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17A01BF"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66421">
              <w:rPr>
                <w:rFonts w:ascii="Times New Roman" w:hAnsi="Times New Roman" w:cs="Times New Roman"/>
                <w:b/>
                <w:color w:val="auto"/>
                <w:sz w:val="48"/>
              </w:rPr>
              <w:t xml:space="preserve">Jodie Conlon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3494E20"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66421">
              <w:rPr>
                <w:rFonts w:ascii="Times New Roman" w:hAnsi="Times New Roman" w:cs="Times New Roman"/>
                <w:b/>
                <w:color w:val="auto"/>
                <w:sz w:val="48"/>
              </w:rPr>
              <w:t xml:space="preserve"> Jodieconlon2015@icloud.com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58D2B156"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25EA11E0" w14:textId="29AE641B" w:rsidR="006F3EE3" w:rsidRPr="005D3F07" w:rsidRDefault="006F3EE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1919020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318E819" w14:textId="784B0173" w:rsidR="00FC0334" w:rsidRPr="00B076E8" w:rsidRDefault="00175F59" w:rsidP="00FF7EBB">
            <w:pPr>
              <w:jc w:val="both"/>
              <w:rPr>
                <w:sz w:val="24"/>
                <w:szCs w:val="24"/>
              </w:rPr>
            </w:pPr>
            <w:r w:rsidRPr="00B076E8">
              <w:rPr>
                <w:sz w:val="24"/>
                <w:szCs w:val="24"/>
              </w:rPr>
              <w:t>National legislation – Human rights Act 1998</w:t>
            </w:r>
            <w:r w:rsidR="00EB6059" w:rsidRPr="00B076E8">
              <w:rPr>
                <w:sz w:val="24"/>
                <w:szCs w:val="24"/>
              </w:rPr>
              <w:t xml:space="preserve"> – Fundamental right that everyone in the UK is entitled to. </w:t>
            </w:r>
            <w:r w:rsidRPr="00B076E8">
              <w:rPr>
                <w:sz w:val="24"/>
                <w:szCs w:val="24"/>
              </w:rPr>
              <w:t>Equality Act 2010</w:t>
            </w:r>
            <w:r w:rsidR="00EB6059" w:rsidRPr="00B076E8">
              <w:rPr>
                <w:sz w:val="24"/>
                <w:szCs w:val="24"/>
              </w:rPr>
              <w:t xml:space="preserve"> – making it illegal for people to be discriminated against due to certain characteristics such as Age.</w:t>
            </w:r>
            <w:r w:rsidRPr="00B076E8">
              <w:rPr>
                <w:sz w:val="24"/>
                <w:szCs w:val="24"/>
              </w:rPr>
              <w:t xml:space="preserve"> Mental capacity Act 2005</w:t>
            </w:r>
            <w:r w:rsidR="00EB6059" w:rsidRPr="00B076E8">
              <w:rPr>
                <w:sz w:val="24"/>
                <w:szCs w:val="24"/>
              </w:rPr>
              <w:t xml:space="preserve"> – discusses capacity and protects your right to make decisions if able to. </w:t>
            </w:r>
            <w:r w:rsidR="00C02B4B" w:rsidRPr="00B076E8">
              <w:rPr>
                <w:sz w:val="24"/>
                <w:szCs w:val="24"/>
              </w:rPr>
              <w:t xml:space="preserve">Data Protection Act 2018 – allows for the sharing of personal information </w:t>
            </w:r>
            <w:r w:rsidR="00CB7CE6" w:rsidRPr="00B076E8">
              <w:rPr>
                <w:sz w:val="24"/>
                <w:szCs w:val="24"/>
              </w:rPr>
              <w:t>in the process to safeguard adults at risk of abuse, neglect and exploitation</w:t>
            </w:r>
          </w:p>
          <w:p w14:paraId="1669DEBC" w14:textId="3F4EF32B" w:rsidR="00175F59" w:rsidRPr="00B076E8" w:rsidRDefault="00175F59" w:rsidP="00FF7EBB">
            <w:pPr>
              <w:jc w:val="both"/>
              <w:rPr>
                <w:sz w:val="24"/>
                <w:szCs w:val="24"/>
              </w:rPr>
            </w:pPr>
          </w:p>
          <w:p w14:paraId="52D38DBD" w14:textId="1731D5B8" w:rsidR="00175F59" w:rsidRPr="00B076E8" w:rsidRDefault="00175F59" w:rsidP="00FF7EBB">
            <w:pPr>
              <w:jc w:val="both"/>
              <w:rPr>
                <w:sz w:val="24"/>
                <w:szCs w:val="24"/>
              </w:rPr>
            </w:pPr>
            <w:r w:rsidRPr="00B076E8">
              <w:rPr>
                <w:sz w:val="24"/>
                <w:szCs w:val="24"/>
              </w:rPr>
              <w:t>Local – Social Services and Wellbeing (Wales) Act 2014</w:t>
            </w:r>
            <w:r w:rsidR="00D23070" w:rsidRPr="00B076E8">
              <w:rPr>
                <w:sz w:val="24"/>
                <w:szCs w:val="24"/>
              </w:rPr>
              <w:t xml:space="preserve"> (</w:t>
            </w:r>
            <w:proofErr w:type="spellStart"/>
            <w:r w:rsidR="00D23070" w:rsidRPr="00B076E8">
              <w:rPr>
                <w:sz w:val="24"/>
                <w:szCs w:val="24"/>
              </w:rPr>
              <w:t>SSWWAct</w:t>
            </w:r>
            <w:proofErr w:type="spellEnd"/>
            <w:r w:rsidR="00D23070" w:rsidRPr="00B076E8">
              <w:rPr>
                <w:sz w:val="24"/>
                <w:szCs w:val="24"/>
              </w:rPr>
              <w:t xml:space="preserve"> 2014)</w:t>
            </w:r>
            <w:r w:rsidR="00813BD5" w:rsidRPr="00B076E8">
              <w:rPr>
                <w:sz w:val="24"/>
                <w:szCs w:val="24"/>
              </w:rPr>
              <w:t xml:space="preserve"> </w:t>
            </w:r>
            <w:r w:rsidR="00EB6059" w:rsidRPr="00B076E8">
              <w:rPr>
                <w:sz w:val="24"/>
                <w:szCs w:val="24"/>
              </w:rPr>
              <w:t>Was a</w:t>
            </w:r>
            <w:r w:rsidR="00813BD5" w:rsidRPr="00B076E8">
              <w:rPr>
                <w:sz w:val="24"/>
                <w:szCs w:val="24"/>
              </w:rPr>
              <w:t xml:space="preserve">n </w:t>
            </w:r>
            <w:r w:rsidR="00EB6059" w:rsidRPr="00B076E8">
              <w:rPr>
                <w:sz w:val="24"/>
                <w:szCs w:val="24"/>
              </w:rPr>
              <w:t xml:space="preserve">amalgamation of legal framework of Children and Adults whom are in need of care and support in Wales. The aim was to improve the well-being of both by transforming the way we practice now and in the future. </w:t>
            </w:r>
          </w:p>
          <w:p w14:paraId="0257000A" w14:textId="34BC1C67" w:rsidR="00175F59" w:rsidRPr="00B076E8" w:rsidRDefault="00175F59" w:rsidP="00FF7EBB">
            <w:pPr>
              <w:jc w:val="both"/>
              <w:rPr>
                <w:sz w:val="24"/>
                <w:szCs w:val="24"/>
              </w:rPr>
            </w:pPr>
          </w:p>
          <w:p w14:paraId="2F9A5EEE" w14:textId="6FCCB6BA" w:rsidR="00175F59" w:rsidRPr="00B076E8" w:rsidRDefault="00175F59" w:rsidP="00FF7EBB">
            <w:pPr>
              <w:jc w:val="both"/>
              <w:rPr>
                <w:sz w:val="24"/>
                <w:szCs w:val="24"/>
              </w:rPr>
            </w:pPr>
            <w:r w:rsidRPr="00B076E8">
              <w:rPr>
                <w:sz w:val="24"/>
                <w:szCs w:val="24"/>
              </w:rPr>
              <w:t xml:space="preserve">Organisational </w:t>
            </w:r>
            <w:r w:rsidR="009E0684" w:rsidRPr="00B076E8">
              <w:rPr>
                <w:sz w:val="24"/>
                <w:szCs w:val="24"/>
              </w:rPr>
              <w:t>–</w:t>
            </w:r>
            <w:r w:rsidRPr="00B076E8">
              <w:rPr>
                <w:sz w:val="24"/>
                <w:szCs w:val="24"/>
              </w:rPr>
              <w:t xml:space="preserve"> </w:t>
            </w:r>
            <w:r w:rsidR="009E0684" w:rsidRPr="00B076E8">
              <w:rPr>
                <w:sz w:val="24"/>
                <w:szCs w:val="24"/>
              </w:rPr>
              <w:t xml:space="preserve">Mid and West Wales Safeguarding Board Safeguarding children and adults </w:t>
            </w:r>
            <w:r w:rsidR="00EB6059" w:rsidRPr="00B076E8">
              <w:rPr>
                <w:sz w:val="24"/>
                <w:szCs w:val="24"/>
              </w:rPr>
              <w:t>was created under P</w:t>
            </w:r>
            <w:r w:rsidR="00D23070" w:rsidRPr="00B076E8">
              <w:rPr>
                <w:sz w:val="24"/>
                <w:szCs w:val="24"/>
              </w:rPr>
              <w:t xml:space="preserve">art 7 of </w:t>
            </w:r>
            <w:proofErr w:type="spellStart"/>
            <w:r w:rsidR="00D23070" w:rsidRPr="00B076E8">
              <w:rPr>
                <w:sz w:val="24"/>
                <w:szCs w:val="24"/>
              </w:rPr>
              <w:t>SSWWAct</w:t>
            </w:r>
            <w:proofErr w:type="spellEnd"/>
            <w:r w:rsidR="00D23070" w:rsidRPr="00B076E8">
              <w:rPr>
                <w:sz w:val="24"/>
                <w:szCs w:val="24"/>
              </w:rPr>
              <w:t xml:space="preserve"> 2014 to replace local safeguarding children boards. Aim is to improve outcomes for all at risk and their families. CWMPAS is an acronym for Collaborative Working and Maintaining Partnership in Adult Safeguarding </w:t>
            </w:r>
            <w:sdt>
              <w:sdtPr>
                <w:rPr>
                  <w:sz w:val="24"/>
                  <w:szCs w:val="24"/>
                </w:rPr>
                <w:id w:val="-660922433"/>
                <w:citation/>
              </w:sdtPr>
              <w:sdtEndPr/>
              <w:sdtContent>
                <w:r w:rsidR="00D23070" w:rsidRPr="00B076E8">
                  <w:rPr>
                    <w:sz w:val="24"/>
                    <w:szCs w:val="24"/>
                  </w:rPr>
                  <w:fldChar w:fldCharType="begin"/>
                </w:r>
                <w:r w:rsidR="00D23070" w:rsidRPr="00B076E8">
                  <w:rPr>
                    <w:sz w:val="24"/>
                    <w:szCs w:val="24"/>
                  </w:rPr>
                  <w:instrText xml:space="preserve"> CITATION XXX22 \l 2057 </w:instrText>
                </w:r>
                <w:r w:rsidR="00D23070" w:rsidRPr="00B076E8">
                  <w:rPr>
                    <w:sz w:val="24"/>
                    <w:szCs w:val="24"/>
                  </w:rPr>
                  <w:fldChar w:fldCharType="separate"/>
                </w:r>
                <w:r w:rsidR="00D23070" w:rsidRPr="00B076E8">
                  <w:rPr>
                    <w:noProof/>
                    <w:sz w:val="24"/>
                    <w:szCs w:val="24"/>
                  </w:rPr>
                  <w:t>(XXX County Council, 2022)</w:t>
                </w:r>
                <w:r w:rsidR="00D23070" w:rsidRPr="00B076E8">
                  <w:rPr>
                    <w:sz w:val="24"/>
                    <w:szCs w:val="24"/>
                  </w:rPr>
                  <w:fldChar w:fldCharType="end"/>
                </w:r>
              </w:sdtContent>
            </w:sdt>
            <w:r w:rsidR="00D23070" w:rsidRPr="00B076E8">
              <w:rPr>
                <w:sz w:val="24"/>
                <w:szCs w:val="24"/>
              </w:rPr>
              <w:t xml:space="preserve">. </w:t>
            </w:r>
          </w:p>
          <w:p w14:paraId="464A187A" w14:textId="33D8868D" w:rsidR="009E0684" w:rsidRPr="00B076E8" w:rsidRDefault="009E0684" w:rsidP="00FF7EBB">
            <w:pPr>
              <w:jc w:val="both"/>
              <w:rPr>
                <w:sz w:val="24"/>
                <w:szCs w:val="24"/>
              </w:rPr>
            </w:pPr>
          </w:p>
          <w:p w14:paraId="14AEA94A" w14:textId="39B422A2" w:rsidR="009E0684" w:rsidRPr="00B076E8" w:rsidRDefault="009E0684" w:rsidP="00FF7EBB">
            <w:pPr>
              <w:jc w:val="both"/>
              <w:rPr>
                <w:sz w:val="24"/>
                <w:szCs w:val="24"/>
              </w:rPr>
            </w:pPr>
            <w:r w:rsidRPr="00B076E8">
              <w:rPr>
                <w:sz w:val="24"/>
                <w:szCs w:val="24"/>
              </w:rPr>
              <w:t xml:space="preserve">Indicators of harm, neglect and or abuse can be low </w:t>
            </w:r>
            <w:r w:rsidR="00757EDA" w:rsidRPr="00B076E8">
              <w:rPr>
                <w:sz w:val="24"/>
                <w:szCs w:val="24"/>
              </w:rPr>
              <w:t>self-esteem</w:t>
            </w:r>
            <w:r w:rsidRPr="00B076E8">
              <w:rPr>
                <w:sz w:val="24"/>
                <w:szCs w:val="24"/>
              </w:rPr>
              <w:t xml:space="preserve"> due to feeling like it is their fault. Bruising, cuts and even broken bones. Being humiliated in public or being called derogatory names. Having their finances limited/stopped also being isolated and a fear of outside intervention. The list is not exclusive and can be many other factors, it is important for the adult at risk to know that nothing they have done is a justification for any of these behaviours</w:t>
            </w:r>
            <w:r w:rsidR="00CC6311" w:rsidRPr="00B076E8">
              <w:rPr>
                <w:sz w:val="24"/>
                <w:szCs w:val="24"/>
              </w:rPr>
              <w:t xml:space="preserve"> </w:t>
            </w:r>
            <w:sdt>
              <w:sdtPr>
                <w:rPr>
                  <w:sz w:val="24"/>
                  <w:szCs w:val="24"/>
                </w:rPr>
                <w:id w:val="2076625347"/>
                <w:citation/>
              </w:sdtPr>
              <w:sdtEndPr/>
              <w:sdtContent>
                <w:r w:rsidR="00CC6311" w:rsidRPr="00B076E8">
                  <w:rPr>
                    <w:sz w:val="24"/>
                    <w:szCs w:val="24"/>
                  </w:rPr>
                  <w:fldChar w:fldCharType="begin"/>
                </w:r>
                <w:r w:rsidR="00CC6311" w:rsidRPr="00B076E8">
                  <w:rPr>
                    <w:sz w:val="24"/>
                    <w:szCs w:val="24"/>
                  </w:rPr>
                  <w:instrText xml:space="preserve">CITATION Soc15 \l 2057 </w:instrText>
                </w:r>
                <w:r w:rsidR="00CC6311" w:rsidRPr="00B076E8">
                  <w:rPr>
                    <w:sz w:val="24"/>
                    <w:szCs w:val="24"/>
                  </w:rPr>
                  <w:fldChar w:fldCharType="separate"/>
                </w:r>
                <w:r w:rsidR="00CC6311" w:rsidRPr="00B076E8">
                  <w:rPr>
                    <w:noProof/>
                    <w:sz w:val="24"/>
                    <w:szCs w:val="24"/>
                  </w:rPr>
                  <w:t>(Social Care Institute for Excellence, 2015)</w:t>
                </w:r>
                <w:r w:rsidR="00CC6311" w:rsidRPr="00B076E8">
                  <w:rPr>
                    <w:sz w:val="24"/>
                    <w:szCs w:val="24"/>
                  </w:rPr>
                  <w:fldChar w:fldCharType="end"/>
                </w:r>
              </w:sdtContent>
            </w:sdt>
            <w:r w:rsidRPr="00B076E8">
              <w:rPr>
                <w:sz w:val="24"/>
                <w:szCs w:val="24"/>
              </w:rPr>
              <w:t xml:space="preserve">. </w:t>
            </w:r>
          </w:p>
          <w:p w14:paraId="7BCC82B4" w14:textId="26C3E1DB" w:rsidR="00CC6311" w:rsidRPr="00B076E8" w:rsidRDefault="00CC6311" w:rsidP="00FF7EBB">
            <w:pPr>
              <w:jc w:val="both"/>
              <w:rPr>
                <w:sz w:val="24"/>
                <w:szCs w:val="24"/>
              </w:rPr>
            </w:pPr>
          </w:p>
          <w:p w14:paraId="6D8CB8AF" w14:textId="3D968B1B" w:rsidR="00FC0334" w:rsidRPr="00B076E8" w:rsidRDefault="00CC6311" w:rsidP="00FF7EBB">
            <w:pPr>
              <w:jc w:val="both"/>
              <w:rPr>
                <w:sz w:val="24"/>
                <w:szCs w:val="24"/>
              </w:rPr>
            </w:pPr>
            <w:r w:rsidRPr="00B076E8">
              <w:rPr>
                <w:sz w:val="24"/>
                <w:szCs w:val="24"/>
              </w:rPr>
              <w:t xml:space="preserve">Process </w:t>
            </w:r>
            <w:r w:rsidR="00925014" w:rsidRPr="00B076E8">
              <w:rPr>
                <w:sz w:val="24"/>
                <w:szCs w:val="24"/>
              </w:rPr>
              <w:t>to safeguard an</w:t>
            </w:r>
            <w:r w:rsidR="00813BD5" w:rsidRPr="00B076E8">
              <w:rPr>
                <w:sz w:val="24"/>
                <w:szCs w:val="24"/>
              </w:rPr>
              <w:t xml:space="preserve"> adult begins with a referral</w:t>
            </w:r>
            <w:r w:rsidR="00C02B4B" w:rsidRPr="00B076E8">
              <w:rPr>
                <w:sz w:val="24"/>
                <w:szCs w:val="24"/>
              </w:rPr>
              <w:t xml:space="preserve">. </w:t>
            </w:r>
            <w:r w:rsidR="00757EDA" w:rsidRPr="00B076E8">
              <w:rPr>
                <w:sz w:val="24"/>
                <w:szCs w:val="24"/>
              </w:rPr>
              <w:t xml:space="preserve">As much information is gathered as possible to determine the next steps a decision is needed within 7 days. If it is agreed a strategy discussion is needed then this will take place with police and any other relevant agencies. Any criminal investigation identified will take priority over all other enquiries however </w:t>
            </w:r>
            <w:r w:rsidR="00757EDA" w:rsidRPr="00B076E8">
              <w:rPr>
                <w:sz w:val="24"/>
                <w:szCs w:val="24"/>
              </w:rPr>
              <w:lastRenderedPageBreak/>
              <w:t xml:space="preserve">they can run concurrently with Social services. Social Services take the lead in investigating an adult at risk under s126 </w:t>
            </w:r>
            <w:sdt>
              <w:sdtPr>
                <w:rPr>
                  <w:sz w:val="24"/>
                  <w:szCs w:val="24"/>
                </w:rPr>
                <w:id w:val="-1818869695"/>
                <w:citation/>
              </w:sdtPr>
              <w:sdtEndPr/>
              <w:sdtContent>
                <w:r w:rsidR="00D216B9" w:rsidRPr="00B076E8">
                  <w:rPr>
                    <w:sz w:val="24"/>
                    <w:szCs w:val="24"/>
                  </w:rPr>
                  <w:fldChar w:fldCharType="begin"/>
                </w:r>
                <w:r w:rsidR="00D216B9" w:rsidRPr="00B076E8">
                  <w:rPr>
                    <w:sz w:val="24"/>
                    <w:szCs w:val="24"/>
                  </w:rPr>
                  <w:instrText xml:space="preserve">CITATION UKL23 \l 2057 </w:instrText>
                </w:r>
                <w:r w:rsidR="00D216B9" w:rsidRPr="00B076E8">
                  <w:rPr>
                    <w:sz w:val="24"/>
                    <w:szCs w:val="24"/>
                  </w:rPr>
                  <w:fldChar w:fldCharType="separate"/>
                </w:r>
                <w:r w:rsidR="00D216B9" w:rsidRPr="00B076E8">
                  <w:rPr>
                    <w:noProof/>
                    <w:sz w:val="24"/>
                    <w:szCs w:val="24"/>
                  </w:rPr>
                  <w:t>(Social Services and Well-being (Wales) Act, 2014)</w:t>
                </w:r>
                <w:r w:rsidR="00D216B9" w:rsidRPr="00B076E8">
                  <w:rPr>
                    <w:sz w:val="24"/>
                    <w:szCs w:val="24"/>
                  </w:rPr>
                  <w:fldChar w:fldCharType="end"/>
                </w:r>
              </w:sdtContent>
            </w:sdt>
            <w:r w:rsidR="00D216B9" w:rsidRPr="00B076E8">
              <w:rPr>
                <w:sz w:val="24"/>
                <w:szCs w:val="24"/>
              </w:rPr>
              <w:t xml:space="preserve">. Action is then taken under three headings. </w:t>
            </w:r>
          </w:p>
          <w:p w14:paraId="05317519" w14:textId="3E98DF4E" w:rsidR="00D216B9" w:rsidRPr="00B076E8" w:rsidRDefault="00D216B9" w:rsidP="00D216B9">
            <w:pPr>
              <w:pStyle w:val="ListParagraph"/>
              <w:numPr>
                <w:ilvl w:val="0"/>
                <w:numId w:val="54"/>
              </w:numPr>
              <w:jc w:val="both"/>
              <w:rPr>
                <w:sz w:val="24"/>
                <w:szCs w:val="24"/>
              </w:rPr>
            </w:pPr>
            <w:r w:rsidRPr="00B076E8">
              <w:rPr>
                <w:sz w:val="24"/>
                <w:szCs w:val="24"/>
              </w:rPr>
              <w:t>Immediate Protection - Remove the adult from imme</w:t>
            </w:r>
            <w:r w:rsidR="00813BD5" w:rsidRPr="00B076E8">
              <w:rPr>
                <w:sz w:val="24"/>
                <w:szCs w:val="24"/>
              </w:rPr>
              <w:t xml:space="preserve">diate risk is the priority, </w:t>
            </w:r>
            <w:r w:rsidRPr="00B076E8">
              <w:rPr>
                <w:sz w:val="24"/>
                <w:szCs w:val="24"/>
              </w:rPr>
              <w:t>further strategy meetings will take place when required. A case conference wi</w:t>
            </w:r>
            <w:r w:rsidR="00813BD5" w:rsidRPr="00B076E8">
              <w:rPr>
                <w:sz w:val="24"/>
                <w:szCs w:val="24"/>
              </w:rPr>
              <w:t xml:space="preserve">ll take place where </w:t>
            </w:r>
            <w:r w:rsidRPr="00B076E8">
              <w:rPr>
                <w:sz w:val="24"/>
                <w:szCs w:val="24"/>
              </w:rPr>
              <w:t>agree</w:t>
            </w:r>
            <w:r w:rsidR="00813BD5" w:rsidRPr="00B076E8">
              <w:rPr>
                <w:sz w:val="24"/>
                <w:szCs w:val="24"/>
              </w:rPr>
              <w:t>ment that threshold has been met for</w:t>
            </w:r>
            <w:r w:rsidRPr="00B076E8">
              <w:rPr>
                <w:sz w:val="24"/>
                <w:szCs w:val="24"/>
              </w:rPr>
              <w:t xml:space="preserve"> Care and Support. Part 4 Care and Sup</w:t>
            </w:r>
            <w:r w:rsidR="00813BD5" w:rsidRPr="00B076E8">
              <w:rPr>
                <w:sz w:val="24"/>
                <w:szCs w:val="24"/>
              </w:rPr>
              <w:t xml:space="preserve">port Protection Plan will be created </w:t>
            </w:r>
            <w:r w:rsidRPr="00B076E8">
              <w:rPr>
                <w:sz w:val="24"/>
                <w:szCs w:val="24"/>
              </w:rPr>
              <w:t xml:space="preserve">collaboratively with the Adult and or their carers depending on capacity. This will be constantly under Review and Closure may be reached if the need is no longer needed over time. </w:t>
            </w:r>
          </w:p>
          <w:p w14:paraId="078301E3" w14:textId="32494528" w:rsidR="00D216B9" w:rsidRPr="00B076E8" w:rsidRDefault="00D216B9" w:rsidP="00D216B9">
            <w:pPr>
              <w:pStyle w:val="ListParagraph"/>
              <w:numPr>
                <w:ilvl w:val="0"/>
                <w:numId w:val="54"/>
              </w:numPr>
              <w:jc w:val="both"/>
              <w:rPr>
                <w:sz w:val="24"/>
                <w:szCs w:val="24"/>
              </w:rPr>
            </w:pPr>
            <w:r w:rsidRPr="00B076E8">
              <w:rPr>
                <w:sz w:val="24"/>
                <w:szCs w:val="24"/>
              </w:rPr>
              <w:t xml:space="preserve">Adult not at risk but may have other needs for care and support services </w:t>
            </w:r>
            <w:r w:rsidR="00E664CE" w:rsidRPr="00B076E8">
              <w:rPr>
                <w:sz w:val="24"/>
                <w:szCs w:val="24"/>
              </w:rPr>
              <w:t>–</w:t>
            </w:r>
            <w:r w:rsidRPr="00B076E8">
              <w:rPr>
                <w:sz w:val="24"/>
                <w:szCs w:val="24"/>
              </w:rPr>
              <w:t xml:space="preserve"> </w:t>
            </w:r>
            <w:r w:rsidR="00E664CE" w:rsidRPr="00B076E8">
              <w:rPr>
                <w:sz w:val="24"/>
                <w:szCs w:val="24"/>
              </w:rPr>
              <w:t xml:space="preserve">Advise individuals and their carers where they can access support and guidance and sign post to these services. </w:t>
            </w:r>
          </w:p>
          <w:p w14:paraId="2ED32A52" w14:textId="10B37F74" w:rsidR="00D216B9" w:rsidRPr="00B076E8" w:rsidRDefault="00D216B9" w:rsidP="00D216B9">
            <w:pPr>
              <w:pStyle w:val="ListParagraph"/>
              <w:numPr>
                <w:ilvl w:val="0"/>
                <w:numId w:val="54"/>
              </w:numPr>
              <w:jc w:val="both"/>
              <w:rPr>
                <w:sz w:val="24"/>
                <w:szCs w:val="24"/>
              </w:rPr>
            </w:pPr>
            <w:r w:rsidRPr="00B076E8">
              <w:rPr>
                <w:sz w:val="24"/>
                <w:szCs w:val="24"/>
              </w:rPr>
              <w:t>Adult at risk and action to protect needed</w:t>
            </w:r>
            <w:r w:rsidR="00E664CE" w:rsidRPr="00B076E8">
              <w:rPr>
                <w:sz w:val="24"/>
                <w:szCs w:val="24"/>
              </w:rPr>
              <w:t xml:space="preserve"> - Case conference to take place and there is agreement that there is a need for Care and Support, Part 4 Care and Support Protection Plan will be created and worked through. Further strategy me</w:t>
            </w:r>
            <w:r w:rsidR="00B076E8" w:rsidRPr="00B076E8">
              <w:rPr>
                <w:sz w:val="24"/>
                <w:szCs w:val="24"/>
              </w:rPr>
              <w:t xml:space="preserve">etings can take place when </w:t>
            </w:r>
            <w:r w:rsidR="00813BD5" w:rsidRPr="00B076E8">
              <w:rPr>
                <w:sz w:val="24"/>
                <w:szCs w:val="24"/>
              </w:rPr>
              <w:t>and if needed with additional information</w:t>
            </w:r>
            <w:r w:rsidR="00E664CE" w:rsidRPr="00B076E8">
              <w:rPr>
                <w:sz w:val="24"/>
                <w:szCs w:val="24"/>
              </w:rPr>
              <w:t>. This will be constantly reviewed and closure will take place if the nee</w:t>
            </w:r>
            <w:r w:rsidR="00B076E8" w:rsidRPr="00B076E8">
              <w:rPr>
                <w:sz w:val="24"/>
                <w:szCs w:val="24"/>
              </w:rPr>
              <w:t>ds reduce</w:t>
            </w:r>
            <w:r w:rsidR="00E664CE" w:rsidRPr="00B076E8">
              <w:rPr>
                <w:sz w:val="24"/>
                <w:szCs w:val="24"/>
              </w:rPr>
              <w:t xml:space="preserve"> </w:t>
            </w:r>
            <w:sdt>
              <w:sdtPr>
                <w:rPr>
                  <w:sz w:val="24"/>
                  <w:szCs w:val="24"/>
                </w:rPr>
                <w:id w:val="1607306192"/>
                <w:citation/>
              </w:sdtPr>
              <w:sdtEndPr/>
              <w:sdtContent>
                <w:r w:rsidR="00E664CE" w:rsidRPr="00B076E8">
                  <w:rPr>
                    <w:sz w:val="24"/>
                    <w:szCs w:val="24"/>
                  </w:rPr>
                  <w:fldChar w:fldCharType="begin"/>
                </w:r>
                <w:r w:rsidR="00E664CE" w:rsidRPr="00B076E8">
                  <w:rPr>
                    <w:sz w:val="24"/>
                    <w:szCs w:val="24"/>
                  </w:rPr>
                  <w:instrText xml:space="preserve">CITATION Soc23 \l 2057 </w:instrText>
                </w:r>
                <w:r w:rsidR="00E664CE" w:rsidRPr="00B076E8">
                  <w:rPr>
                    <w:sz w:val="24"/>
                    <w:szCs w:val="24"/>
                  </w:rPr>
                  <w:fldChar w:fldCharType="separate"/>
                </w:r>
                <w:r w:rsidR="00E664CE" w:rsidRPr="00B076E8">
                  <w:rPr>
                    <w:noProof/>
                    <w:sz w:val="24"/>
                    <w:szCs w:val="24"/>
                  </w:rPr>
                  <w:t>(Social Care Wales, 2023)</w:t>
                </w:r>
                <w:r w:rsidR="00E664CE" w:rsidRPr="00B076E8">
                  <w:rPr>
                    <w:sz w:val="24"/>
                    <w:szCs w:val="24"/>
                  </w:rPr>
                  <w:fldChar w:fldCharType="end"/>
                </w:r>
              </w:sdtContent>
            </w:sdt>
            <w:r w:rsidR="00E664CE" w:rsidRPr="00B076E8">
              <w:rPr>
                <w:sz w:val="24"/>
                <w:szCs w:val="24"/>
              </w:rPr>
              <w:t xml:space="preserve">.  </w:t>
            </w:r>
          </w:p>
          <w:p w14:paraId="4A95F4DB" w14:textId="77777777" w:rsidR="00FC0334" w:rsidRDefault="00FC0334" w:rsidP="00FF7EBB">
            <w:pPr>
              <w:jc w:val="both"/>
              <w:rPr>
                <w:sz w:val="24"/>
                <w:szCs w:val="24"/>
              </w:rPr>
            </w:pPr>
          </w:p>
          <w:p w14:paraId="14883BA0" w14:textId="2AF7F905" w:rsidR="00FC0334" w:rsidRDefault="00B076E8" w:rsidP="00FF7EBB">
            <w:pPr>
              <w:jc w:val="both"/>
              <w:rPr>
                <w:sz w:val="24"/>
                <w:szCs w:val="24"/>
              </w:rPr>
            </w:pPr>
            <w:r>
              <w:rPr>
                <w:sz w:val="24"/>
                <w:szCs w:val="24"/>
              </w:rPr>
              <w:t>Word Count: 545</w:t>
            </w:r>
          </w:p>
          <w:p w14:paraId="49641ACD" w14:textId="77777777" w:rsidR="00FC0334" w:rsidRDefault="00FC0334" w:rsidP="00FF7EBB">
            <w:pPr>
              <w:jc w:val="both"/>
              <w:rPr>
                <w:sz w:val="24"/>
                <w:szCs w:val="24"/>
              </w:rPr>
            </w:pP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795C6051" w14:textId="3C046C1C"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3764649B" w14:textId="3220C4B2" w:rsidR="00B076E8" w:rsidRDefault="00B076E8" w:rsidP="00FC0334">
            <w:pPr>
              <w:jc w:val="both"/>
              <w:rPr>
                <w:sz w:val="24"/>
                <w:szCs w:val="24"/>
              </w:rPr>
            </w:pPr>
          </w:p>
          <w:p w14:paraId="390F7437" w14:textId="4A3AA9B1" w:rsidR="00BF0176" w:rsidRDefault="00256224" w:rsidP="00FC0334">
            <w:pPr>
              <w:jc w:val="both"/>
              <w:rPr>
                <w:sz w:val="24"/>
                <w:szCs w:val="24"/>
              </w:rPr>
            </w:pPr>
            <w:r>
              <w:rPr>
                <w:sz w:val="24"/>
                <w:szCs w:val="24"/>
              </w:rPr>
              <w:t xml:space="preserve">Most of the National, </w:t>
            </w:r>
            <w:r w:rsidR="00B076E8">
              <w:rPr>
                <w:sz w:val="24"/>
                <w:szCs w:val="24"/>
              </w:rPr>
              <w:t xml:space="preserve">Local and Organisational </w:t>
            </w:r>
            <w:r w:rsidR="00BF0176">
              <w:rPr>
                <w:sz w:val="24"/>
                <w:szCs w:val="24"/>
              </w:rPr>
              <w:t>legislation is somewhat</w:t>
            </w:r>
            <w:r w:rsidR="00B076E8">
              <w:rPr>
                <w:sz w:val="24"/>
                <w:szCs w:val="24"/>
              </w:rPr>
              <w:t xml:space="preserve"> the same for both Adults and Children however there are differences to</w:t>
            </w:r>
            <w:r>
              <w:rPr>
                <w:sz w:val="24"/>
                <w:szCs w:val="24"/>
              </w:rPr>
              <w:t xml:space="preserve"> some</w:t>
            </w:r>
            <w:r w:rsidR="00B076E8">
              <w:rPr>
                <w:sz w:val="24"/>
                <w:szCs w:val="24"/>
              </w:rPr>
              <w:t xml:space="preserve"> Legislation with one overlap being The Mental Capacity Act 2005 as this applies to </w:t>
            </w:r>
            <w:r w:rsidR="00BF0176">
              <w:rPr>
                <w:sz w:val="24"/>
                <w:szCs w:val="24"/>
              </w:rPr>
              <w:t>individuals from age 16, this age is</w:t>
            </w:r>
            <w:r w:rsidR="009A02D5">
              <w:rPr>
                <w:sz w:val="24"/>
                <w:szCs w:val="24"/>
              </w:rPr>
              <w:t xml:space="preserve"> </w:t>
            </w:r>
            <w:r w:rsidR="002341D3">
              <w:rPr>
                <w:sz w:val="24"/>
                <w:szCs w:val="24"/>
              </w:rPr>
              <w:t xml:space="preserve">still considered a child. Capacity is the ability to make an informed decision based on the ability to understand a specific situation, the options available and the decision. Importantly just because someone is not able to make one decision does not mean they can’t make another </w:t>
            </w:r>
            <w:sdt>
              <w:sdtPr>
                <w:rPr>
                  <w:sz w:val="24"/>
                  <w:szCs w:val="24"/>
                </w:rPr>
                <w:id w:val="1975025323"/>
                <w:citation/>
              </w:sdtPr>
              <w:sdtEndPr/>
              <w:sdtContent>
                <w:r w:rsidR="002341D3">
                  <w:rPr>
                    <w:sz w:val="24"/>
                    <w:szCs w:val="24"/>
                  </w:rPr>
                  <w:fldChar w:fldCharType="begin"/>
                </w:r>
                <w:r w:rsidR="002341D3">
                  <w:rPr>
                    <w:sz w:val="24"/>
                    <w:szCs w:val="24"/>
                  </w:rPr>
                  <w:instrText xml:space="preserve"> CITATION Men23 \l 2057 </w:instrText>
                </w:r>
                <w:r w:rsidR="002341D3">
                  <w:rPr>
                    <w:sz w:val="24"/>
                    <w:szCs w:val="24"/>
                  </w:rPr>
                  <w:fldChar w:fldCharType="separate"/>
                </w:r>
                <w:r w:rsidR="002341D3" w:rsidRPr="002341D3">
                  <w:rPr>
                    <w:noProof/>
                    <w:sz w:val="24"/>
                    <w:szCs w:val="24"/>
                  </w:rPr>
                  <w:t>(Mencap, 2023)</w:t>
                </w:r>
                <w:r w:rsidR="002341D3">
                  <w:rPr>
                    <w:sz w:val="24"/>
                    <w:szCs w:val="24"/>
                  </w:rPr>
                  <w:fldChar w:fldCharType="end"/>
                </w:r>
              </w:sdtContent>
            </w:sdt>
            <w:r w:rsidR="002341D3">
              <w:rPr>
                <w:sz w:val="24"/>
                <w:szCs w:val="24"/>
              </w:rPr>
              <w:t xml:space="preserve">. </w:t>
            </w:r>
          </w:p>
          <w:p w14:paraId="43FF6E24" w14:textId="77777777" w:rsidR="00BF0176" w:rsidRDefault="00BF0176" w:rsidP="00FC0334">
            <w:pPr>
              <w:jc w:val="both"/>
              <w:rPr>
                <w:sz w:val="24"/>
                <w:szCs w:val="24"/>
              </w:rPr>
            </w:pPr>
          </w:p>
          <w:p w14:paraId="069F5D24" w14:textId="57DB0DC1" w:rsidR="00256224" w:rsidRDefault="00BF0176" w:rsidP="00FC0334">
            <w:pPr>
              <w:jc w:val="both"/>
              <w:rPr>
                <w:sz w:val="24"/>
                <w:szCs w:val="24"/>
              </w:rPr>
            </w:pPr>
            <w:r>
              <w:rPr>
                <w:sz w:val="24"/>
                <w:szCs w:val="24"/>
              </w:rPr>
              <w:t>Legislation solely for children are – Children Act 1989 although Part 3 has now been replaced by part 6 of Social Services and Wellbeing (Wales) Act 2014. Children Act 2004</w:t>
            </w:r>
            <w:r w:rsidR="00B076E8">
              <w:rPr>
                <w:sz w:val="24"/>
                <w:szCs w:val="24"/>
              </w:rPr>
              <w:t xml:space="preserve"> </w:t>
            </w:r>
            <w:r>
              <w:rPr>
                <w:sz w:val="24"/>
                <w:szCs w:val="24"/>
              </w:rPr>
              <w:t xml:space="preserve">was the provision of a children’s commissioner. </w:t>
            </w:r>
            <w:r w:rsidR="00256224">
              <w:rPr>
                <w:sz w:val="24"/>
                <w:szCs w:val="24"/>
              </w:rPr>
              <w:t xml:space="preserve">The Rights of children and Young Person (Wales) Measure 2011 – ensures that all children’s rights are include in all legislation and policy making in wales. United Convention on the Rights of the Child (UNCRC) – every child in the world has a right to survive and fulfil their potential. </w:t>
            </w:r>
          </w:p>
          <w:p w14:paraId="09AB9669" w14:textId="117532A0" w:rsidR="00256224" w:rsidRDefault="00256224" w:rsidP="00FC0334">
            <w:pPr>
              <w:jc w:val="both"/>
              <w:rPr>
                <w:sz w:val="24"/>
                <w:szCs w:val="24"/>
              </w:rPr>
            </w:pPr>
          </w:p>
          <w:p w14:paraId="5823CBD6" w14:textId="7706B2AF" w:rsidR="00256224" w:rsidRDefault="00256224" w:rsidP="00FC0334">
            <w:pPr>
              <w:jc w:val="both"/>
              <w:rPr>
                <w:sz w:val="24"/>
                <w:szCs w:val="24"/>
              </w:rPr>
            </w:pPr>
            <w:r>
              <w:rPr>
                <w:sz w:val="24"/>
                <w:szCs w:val="24"/>
              </w:rPr>
              <w:lastRenderedPageBreak/>
              <w:t xml:space="preserve">The definition of a child is set out in Section 3 of the Social Services and Wellbeing (Wales) Act 2014 ‘a person who is aged under 18’ </w:t>
            </w:r>
            <w:sdt>
              <w:sdtPr>
                <w:rPr>
                  <w:sz w:val="24"/>
                  <w:szCs w:val="24"/>
                </w:rPr>
                <w:id w:val="-328908876"/>
                <w:citation/>
              </w:sdtPr>
              <w:sdtEndPr/>
              <w:sdtContent>
                <w:r>
                  <w:rPr>
                    <w:sz w:val="24"/>
                    <w:szCs w:val="24"/>
                  </w:rPr>
                  <w:fldChar w:fldCharType="begin"/>
                </w:r>
                <w:r>
                  <w:rPr>
                    <w:sz w:val="24"/>
                    <w:szCs w:val="24"/>
                  </w:rPr>
                  <w:instrText xml:space="preserve"> CITATION NSP23 \l 2057 </w:instrText>
                </w:r>
                <w:r>
                  <w:rPr>
                    <w:sz w:val="24"/>
                    <w:szCs w:val="24"/>
                  </w:rPr>
                  <w:fldChar w:fldCharType="separate"/>
                </w:r>
                <w:r w:rsidRPr="00256224">
                  <w:rPr>
                    <w:noProof/>
                    <w:sz w:val="24"/>
                    <w:szCs w:val="24"/>
                  </w:rPr>
                  <w:t>(NSPCC Learning, 2023)</w:t>
                </w:r>
                <w:r>
                  <w:rPr>
                    <w:sz w:val="24"/>
                    <w:szCs w:val="24"/>
                  </w:rPr>
                  <w:fldChar w:fldCharType="end"/>
                </w:r>
              </w:sdtContent>
            </w:sdt>
            <w:r>
              <w:rPr>
                <w:sz w:val="24"/>
                <w:szCs w:val="24"/>
              </w:rPr>
              <w:t>.</w:t>
            </w:r>
          </w:p>
          <w:p w14:paraId="5701C9DA" w14:textId="2B22A424" w:rsidR="001C09DC" w:rsidRDefault="001C09DC" w:rsidP="00FC0334">
            <w:pPr>
              <w:jc w:val="both"/>
              <w:rPr>
                <w:sz w:val="24"/>
                <w:szCs w:val="24"/>
              </w:rPr>
            </w:pPr>
          </w:p>
          <w:p w14:paraId="4FE84319" w14:textId="0AE79706" w:rsidR="001C09DC" w:rsidRDefault="001C09DC" w:rsidP="00FC0334">
            <w:pPr>
              <w:jc w:val="both"/>
              <w:rPr>
                <w:sz w:val="24"/>
                <w:szCs w:val="24"/>
              </w:rPr>
            </w:pPr>
            <w:r>
              <w:rPr>
                <w:sz w:val="24"/>
                <w:szCs w:val="24"/>
              </w:rPr>
              <w:t xml:space="preserve">Indicators of Harm, Neglect or Abuse can be the same for both Adults and Children however there will be differences as children may be too young to have their finances tampered with and likewise children attend a school setting and be visible to outside agencies, Adults can become withdrawn and this is not on anyone’s radar as they don’t attend any setting. There can be a view that Adults can be the cause of their own injuries and this is not the case for children especially younger children. </w:t>
            </w:r>
          </w:p>
          <w:p w14:paraId="71998344" w14:textId="4EA54FB4" w:rsidR="001C09DC" w:rsidRDefault="001C09DC" w:rsidP="00FC0334">
            <w:pPr>
              <w:jc w:val="both"/>
              <w:rPr>
                <w:sz w:val="24"/>
                <w:szCs w:val="24"/>
              </w:rPr>
            </w:pPr>
          </w:p>
          <w:p w14:paraId="36EF90A5" w14:textId="77C17599" w:rsidR="001C09DC" w:rsidRDefault="001C09DC" w:rsidP="00FC0334">
            <w:pPr>
              <w:jc w:val="both"/>
              <w:rPr>
                <w:sz w:val="24"/>
                <w:szCs w:val="24"/>
              </w:rPr>
            </w:pPr>
            <w:r>
              <w:rPr>
                <w:sz w:val="24"/>
                <w:szCs w:val="24"/>
              </w:rPr>
              <w:t xml:space="preserve">One of the main differences between Adult and Children Safeguarding is the ability for </w:t>
            </w:r>
            <w:r w:rsidR="00D40A91">
              <w:rPr>
                <w:sz w:val="24"/>
                <w:szCs w:val="24"/>
              </w:rPr>
              <w:t xml:space="preserve">Adults to make unwise decisions </w:t>
            </w:r>
            <w:sdt>
              <w:sdtPr>
                <w:rPr>
                  <w:sz w:val="24"/>
                  <w:szCs w:val="24"/>
                </w:rPr>
                <w:id w:val="430017326"/>
                <w:citation/>
              </w:sdtPr>
              <w:sdtEndPr/>
              <w:sdtContent>
                <w:r w:rsidR="00D40A91">
                  <w:rPr>
                    <w:sz w:val="24"/>
                    <w:szCs w:val="24"/>
                  </w:rPr>
                  <w:fldChar w:fldCharType="begin"/>
                </w:r>
                <w:r w:rsidR="00D40A91">
                  <w:rPr>
                    <w:sz w:val="24"/>
                    <w:szCs w:val="24"/>
                  </w:rPr>
                  <w:instrText xml:space="preserve"> CITATION PWe23 \l 2057 </w:instrText>
                </w:r>
                <w:r w:rsidR="00D40A91">
                  <w:rPr>
                    <w:sz w:val="24"/>
                    <w:szCs w:val="24"/>
                  </w:rPr>
                  <w:fldChar w:fldCharType="separate"/>
                </w:r>
                <w:r w:rsidR="00D40A91" w:rsidRPr="00D40A91">
                  <w:rPr>
                    <w:noProof/>
                    <w:sz w:val="24"/>
                    <w:szCs w:val="24"/>
                  </w:rPr>
                  <w:t>(Weller, 2023)</w:t>
                </w:r>
                <w:r w:rsidR="00D40A91">
                  <w:rPr>
                    <w:sz w:val="24"/>
                    <w:szCs w:val="24"/>
                  </w:rPr>
                  <w:fldChar w:fldCharType="end"/>
                </w:r>
              </w:sdtContent>
            </w:sdt>
            <w:r w:rsidR="00D40A91">
              <w:rPr>
                <w:sz w:val="24"/>
                <w:szCs w:val="24"/>
              </w:rPr>
              <w:t xml:space="preserve">. This can relate to life saving treatment, that could be detrimental to their existence however if the adult is deemed to have capacity then they are respected in making such a choice. This is not the case for children as the best interest of the child is predominantly to preserve life and discussions around this topic have </w:t>
            </w:r>
            <w:r w:rsidR="002341D3">
              <w:rPr>
                <w:sz w:val="24"/>
                <w:szCs w:val="24"/>
              </w:rPr>
              <w:t>begun</w:t>
            </w:r>
            <w:r w:rsidR="00D40A91">
              <w:rPr>
                <w:sz w:val="24"/>
                <w:szCs w:val="24"/>
              </w:rPr>
              <w:t xml:space="preserve"> </w:t>
            </w:r>
            <w:r w:rsidR="009A02D5">
              <w:rPr>
                <w:sz w:val="24"/>
                <w:szCs w:val="24"/>
              </w:rPr>
              <w:t xml:space="preserve">in an article by </w:t>
            </w:r>
            <w:sdt>
              <w:sdtPr>
                <w:rPr>
                  <w:sz w:val="24"/>
                  <w:szCs w:val="24"/>
                </w:rPr>
                <w:id w:val="1726722320"/>
                <w:citation/>
              </w:sdtPr>
              <w:sdtEndPr/>
              <w:sdtContent>
                <w:r w:rsidR="009A02D5">
                  <w:rPr>
                    <w:sz w:val="24"/>
                    <w:szCs w:val="24"/>
                  </w:rPr>
                  <w:fldChar w:fldCharType="begin"/>
                </w:r>
                <w:r w:rsidR="009A02D5">
                  <w:rPr>
                    <w:sz w:val="24"/>
                    <w:szCs w:val="24"/>
                  </w:rPr>
                  <w:instrText xml:space="preserve"> CITATION Aar19 \l 2057 </w:instrText>
                </w:r>
                <w:r w:rsidR="009A02D5">
                  <w:rPr>
                    <w:sz w:val="24"/>
                    <w:szCs w:val="24"/>
                  </w:rPr>
                  <w:fldChar w:fldCharType="separate"/>
                </w:r>
                <w:r w:rsidR="009A02D5" w:rsidRPr="009A02D5">
                  <w:rPr>
                    <w:noProof/>
                    <w:sz w:val="24"/>
                    <w:szCs w:val="24"/>
                  </w:rPr>
                  <w:t>(Aaron Wightman, 2019)</w:t>
                </w:r>
                <w:r w:rsidR="009A02D5">
                  <w:rPr>
                    <w:sz w:val="24"/>
                    <w:szCs w:val="24"/>
                  </w:rPr>
                  <w:fldChar w:fldCharType="end"/>
                </w:r>
              </w:sdtContent>
            </w:sdt>
            <w:r w:rsidR="009A02D5">
              <w:rPr>
                <w:sz w:val="24"/>
                <w:szCs w:val="24"/>
              </w:rPr>
              <w:t xml:space="preserve"> where they discuss how ethical it is to maintain life when quality of life is very poor. </w:t>
            </w:r>
          </w:p>
          <w:p w14:paraId="7CD79F83" w14:textId="181C458F" w:rsidR="009A02D5" w:rsidRDefault="009A02D5" w:rsidP="00FC0334">
            <w:pPr>
              <w:jc w:val="both"/>
              <w:rPr>
                <w:sz w:val="24"/>
                <w:szCs w:val="24"/>
              </w:rPr>
            </w:pPr>
          </w:p>
          <w:p w14:paraId="67E7ED72" w14:textId="01D9DB13" w:rsidR="00FC0334" w:rsidRDefault="002341D3" w:rsidP="00FC0334">
            <w:pPr>
              <w:jc w:val="both"/>
              <w:rPr>
                <w:sz w:val="24"/>
                <w:szCs w:val="24"/>
              </w:rPr>
            </w:pPr>
            <w:r>
              <w:rPr>
                <w:sz w:val="24"/>
                <w:szCs w:val="24"/>
              </w:rPr>
              <w:t>Word Count: 397</w:t>
            </w:r>
          </w:p>
          <w:p w14:paraId="478D2F84" w14:textId="77777777" w:rsidR="00FC0334" w:rsidRDefault="00FC0334" w:rsidP="00FC0334">
            <w:pPr>
              <w:jc w:val="both"/>
              <w:rPr>
                <w:sz w:val="24"/>
                <w:szCs w:val="24"/>
              </w:rPr>
            </w:pP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39EFF89B" w:rsidR="00FC0334" w:rsidRDefault="00FC0334" w:rsidP="00FC0334">
      <w:pPr>
        <w:rPr>
          <w:sz w:val="24"/>
          <w:szCs w:val="24"/>
        </w:rPr>
      </w:pPr>
    </w:p>
    <w:p w14:paraId="462126FA" w14:textId="77777777" w:rsidR="007C26FE" w:rsidRDefault="007C26FE" w:rsidP="00FC0334">
      <w:pPr>
        <w:rPr>
          <w:sz w:val="24"/>
          <w:szCs w:val="24"/>
        </w:rPr>
      </w:pPr>
      <w:bookmarkStart w:id="0" w:name="_GoBack"/>
      <w:bookmarkEnd w:id="0"/>
    </w:p>
    <w:sectPr w:rsidR="007C26FE"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F145594" w14:textId="77777777" w:rsidR="00CA6966" w:rsidRDefault="00CA6966">
      <w:r>
        <w:separator/>
      </w:r>
    </w:p>
  </w:endnote>
  <w:endnote w:type="continuationSeparator" w:id="0">
    <w:p w14:paraId="1EBC12B1" w14:textId="77777777" w:rsidR="00CA6966" w:rsidRDefault="00CA69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4BCD5519" w:rsidR="00A5656A" w:rsidRDefault="00A5656A">
    <w:pPr>
      <w:pStyle w:val="Footer"/>
      <w:jc w:val="right"/>
    </w:pPr>
    <w:r>
      <w:fldChar w:fldCharType="begin"/>
    </w:r>
    <w:r>
      <w:instrText xml:space="preserve"> PAGE   \* MERGEFORMAT </w:instrText>
    </w:r>
    <w:r>
      <w:fldChar w:fldCharType="separate"/>
    </w:r>
    <w:r w:rsidR="007C26FE">
      <w:rPr>
        <w:noProof/>
      </w:rPr>
      <w:t>3</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074457D" w14:textId="77777777" w:rsidR="00CA6966" w:rsidRDefault="00CA6966">
      <w:r>
        <w:separator/>
      </w:r>
    </w:p>
  </w:footnote>
  <w:footnote w:type="continuationSeparator" w:id="0">
    <w:p w14:paraId="129DFA4A" w14:textId="77777777" w:rsidR="00CA6966" w:rsidRDefault="00CA696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D5B534B"/>
    <w:multiLevelType w:val="hybridMultilevel"/>
    <w:tmpl w:val="E070DAF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6"/>
  </w:num>
  <w:num w:numId="4">
    <w:abstractNumId w:val="48"/>
  </w:num>
  <w:num w:numId="5">
    <w:abstractNumId w:val="35"/>
  </w:num>
  <w:num w:numId="6">
    <w:abstractNumId w:val="33"/>
  </w:num>
  <w:num w:numId="7">
    <w:abstractNumId w:val="29"/>
  </w:num>
  <w:num w:numId="8">
    <w:abstractNumId w:val="31"/>
  </w:num>
  <w:num w:numId="9">
    <w:abstractNumId w:val="10"/>
  </w:num>
  <w:num w:numId="10">
    <w:abstractNumId w:val="34"/>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2"/>
  </w:num>
  <w:num w:numId="26">
    <w:abstractNumId w:val="36"/>
  </w:num>
  <w:num w:numId="27">
    <w:abstractNumId w:val="41"/>
  </w:num>
  <w:num w:numId="28">
    <w:abstractNumId w:val="20"/>
  </w:num>
  <w:num w:numId="29">
    <w:abstractNumId w:val="44"/>
  </w:num>
  <w:num w:numId="30">
    <w:abstractNumId w:val="32"/>
  </w:num>
  <w:num w:numId="31">
    <w:abstractNumId w:val="12"/>
  </w:num>
  <w:num w:numId="32">
    <w:abstractNumId w:val="45"/>
  </w:num>
  <w:num w:numId="33">
    <w:abstractNumId w:val="40"/>
  </w:num>
  <w:num w:numId="34">
    <w:abstractNumId w:val="5"/>
  </w:num>
  <w:num w:numId="35">
    <w:abstractNumId w:val="47"/>
  </w:num>
  <w:num w:numId="36">
    <w:abstractNumId w:val="43"/>
  </w:num>
  <w:num w:numId="37">
    <w:abstractNumId w:val="37"/>
  </w:num>
  <w:num w:numId="38">
    <w:abstractNumId w:val="38"/>
  </w:num>
  <w:num w:numId="39">
    <w:abstractNumId w:val="4"/>
  </w:num>
  <w:num w:numId="40">
    <w:abstractNumId w:val="6"/>
  </w:num>
  <w:num w:numId="41">
    <w:abstractNumId w:val="25"/>
  </w:num>
  <w:num w:numId="42">
    <w:abstractNumId w:val="7"/>
  </w:num>
  <w:num w:numId="43">
    <w:abstractNumId w:val="3"/>
  </w:num>
  <w:num w:numId="44">
    <w:abstractNumId w:val="39"/>
  </w:num>
  <w:num w:numId="45">
    <w:abstractNumId w:val="0"/>
  </w:num>
  <w:num w:numId="46">
    <w:abstractNumId w:val="14"/>
  </w:num>
  <w:num w:numId="47">
    <w:abstractNumId w:val="49"/>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 w:numId="54">
    <w:abstractNumId w:val="30"/>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771AE"/>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5F59"/>
    <w:rsid w:val="001772BF"/>
    <w:rsid w:val="001772DE"/>
    <w:rsid w:val="0019496C"/>
    <w:rsid w:val="001961CF"/>
    <w:rsid w:val="001A59BB"/>
    <w:rsid w:val="001A607E"/>
    <w:rsid w:val="001A6A51"/>
    <w:rsid w:val="001A79C4"/>
    <w:rsid w:val="001B331A"/>
    <w:rsid w:val="001C0237"/>
    <w:rsid w:val="001C09DC"/>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41D3"/>
    <w:rsid w:val="00235176"/>
    <w:rsid w:val="00236061"/>
    <w:rsid w:val="0024100E"/>
    <w:rsid w:val="00241C1B"/>
    <w:rsid w:val="0024288B"/>
    <w:rsid w:val="00243DB0"/>
    <w:rsid w:val="00247265"/>
    <w:rsid w:val="00256224"/>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1E54"/>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421"/>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6728C"/>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3EE3"/>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57EDA"/>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26FE"/>
    <w:rsid w:val="007C556F"/>
    <w:rsid w:val="007C5ABE"/>
    <w:rsid w:val="007C6A87"/>
    <w:rsid w:val="007D0A07"/>
    <w:rsid w:val="007D0F11"/>
    <w:rsid w:val="007D133D"/>
    <w:rsid w:val="007D3EB4"/>
    <w:rsid w:val="007D3F16"/>
    <w:rsid w:val="007F10BD"/>
    <w:rsid w:val="007F312E"/>
    <w:rsid w:val="007F3F7E"/>
    <w:rsid w:val="007F4BA4"/>
    <w:rsid w:val="00813BD5"/>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29E3"/>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5014"/>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02D5"/>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0684"/>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AF715F"/>
    <w:rsid w:val="00B0296A"/>
    <w:rsid w:val="00B076E8"/>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176"/>
    <w:rsid w:val="00BF0D6C"/>
    <w:rsid w:val="00C01D14"/>
    <w:rsid w:val="00C01D97"/>
    <w:rsid w:val="00C025B4"/>
    <w:rsid w:val="00C029EC"/>
    <w:rsid w:val="00C02B4B"/>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6966"/>
    <w:rsid w:val="00CA7E6A"/>
    <w:rsid w:val="00CB258E"/>
    <w:rsid w:val="00CB3C8F"/>
    <w:rsid w:val="00CB7CE6"/>
    <w:rsid w:val="00CC02F1"/>
    <w:rsid w:val="00CC1122"/>
    <w:rsid w:val="00CC11A6"/>
    <w:rsid w:val="00CC135E"/>
    <w:rsid w:val="00CC6311"/>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16B9"/>
    <w:rsid w:val="00D22C8F"/>
    <w:rsid w:val="00D23070"/>
    <w:rsid w:val="00D3203C"/>
    <w:rsid w:val="00D33491"/>
    <w:rsid w:val="00D3442D"/>
    <w:rsid w:val="00D36F00"/>
    <w:rsid w:val="00D40A91"/>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64CE"/>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059"/>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D216B9"/>
    <w:pPr>
      <w:ind w:left="720"/>
      <w:contextualSpacing/>
    </w:pPr>
  </w:style>
  <w:style w:type="character" w:customStyle="1" w:styleId="Heading1Char">
    <w:name w:val="Heading 1 Char"/>
    <w:basedOn w:val="DefaultParagraphFont"/>
    <w:link w:val="Heading1"/>
    <w:uiPriority w:val="9"/>
    <w:rsid w:val="007C26FE"/>
    <w:rPr>
      <w:rFonts w:ascii="Arial" w:hAnsi="Arial" w:cs="Arial"/>
      <w:b/>
      <w:color w:val="000000"/>
      <w:kern w:val="28"/>
      <w:sz w:val="28"/>
    </w:rPr>
  </w:style>
  <w:style w:type="paragraph" w:styleId="Bibliography">
    <w:name w:val="Bibliography"/>
    <w:basedOn w:val="Normal"/>
    <w:next w:val="Normal"/>
    <w:uiPriority w:val="37"/>
    <w:unhideWhenUsed/>
    <w:rsid w:val="007C26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1702435">
      <w:bodyDiv w:val="1"/>
      <w:marLeft w:val="0"/>
      <w:marRight w:val="0"/>
      <w:marTop w:val="0"/>
      <w:marBottom w:val="0"/>
      <w:divBdr>
        <w:top w:val="none" w:sz="0" w:space="0" w:color="auto"/>
        <w:left w:val="none" w:sz="0" w:space="0" w:color="auto"/>
        <w:bottom w:val="none" w:sz="0" w:space="0" w:color="auto"/>
        <w:right w:val="none" w:sz="0" w:space="0" w:color="auto"/>
      </w:divBdr>
    </w:div>
    <w:div w:id="99186599">
      <w:bodyDiv w:val="1"/>
      <w:marLeft w:val="0"/>
      <w:marRight w:val="0"/>
      <w:marTop w:val="0"/>
      <w:marBottom w:val="0"/>
      <w:divBdr>
        <w:top w:val="none" w:sz="0" w:space="0" w:color="auto"/>
        <w:left w:val="none" w:sz="0" w:space="0" w:color="auto"/>
        <w:bottom w:val="none" w:sz="0" w:space="0" w:color="auto"/>
        <w:right w:val="none" w:sz="0" w:space="0" w:color="auto"/>
      </w:divBdr>
    </w:div>
    <w:div w:id="105346549">
      <w:bodyDiv w:val="1"/>
      <w:marLeft w:val="0"/>
      <w:marRight w:val="0"/>
      <w:marTop w:val="0"/>
      <w:marBottom w:val="0"/>
      <w:divBdr>
        <w:top w:val="none" w:sz="0" w:space="0" w:color="auto"/>
        <w:left w:val="none" w:sz="0" w:space="0" w:color="auto"/>
        <w:bottom w:val="none" w:sz="0" w:space="0" w:color="auto"/>
        <w:right w:val="none" w:sz="0" w:space="0" w:color="auto"/>
      </w:divBdr>
    </w:div>
    <w:div w:id="256133688">
      <w:bodyDiv w:val="1"/>
      <w:marLeft w:val="0"/>
      <w:marRight w:val="0"/>
      <w:marTop w:val="0"/>
      <w:marBottom w:val="0"/>
      <w:divBdr>
        <w:top w:val="none" w:sz="0" w:space="0" w:color="auto"/>
        <w:left w:val="none" w:sz="0" w:space="0" w:color="auto"/>
        <w:bottom w:val="none" w:sz="0" w:space="0" w:color="auto"/>
        <w:right w:val="none" w:sz="0" w:space="0" w:color="auto"/>
      </w:divBdr>
    </w:div>
    <w:div w:id="287707542">
      <w:bodyDiv w:val="1"/>
      <w:marLeft w:val="0"/>
      <w:marRight w:val="0"/>
      <w:marTop w:val="0"/>
      <w:marBottom w:val="0"/>
      <w:divBdr>
        <w:top w:val="none" w:sz="0" w:space="0" w:color="auto"/>
        <w:left w:val="none" w:sz="0" w:space="0" w:color="auto"/>
        <w:bottom w:val="none" w:sz="0" w:space="0" w:color="auto"/>
        <w:right w:val="none" w:sz="0" w:space="0" w:color="auto"/>
      </w:divBdr>
    </w:div>
    <w:div w:id="321741536">
      <w:bodyDiv w:val="1"/>
      <w:marLeft w:val="0"/>
      <w:marRight w:val="0"/>
      <w:marTop w:val="0"/>
      <w:marBottom w:val="0"/>
      <w:divBdr>
        <w:top w:val="none" w:sz="0" w:space="0" w:color="auto"/>
        <w:left w:val="none" w:sz="0" w:space="0" w:color="auto"/>
        <w:bottom w:val="none" w:sz="0" w:space="0" w:color="auto"/>
        <w:right w:val="none" w:sz="0" w:space="0" w:color="auto"/>
      </w:divBdr>
    </w:div>
    <w:div w:id="345864766">
      <w:bodyDiv w:val="1"/>
      <w:marLeft w:val="0"/>
      <w:marRight w:val="0"/>
      <w:marTop w:val="0"/>
      <w:marBottom w:val="0"/>
      <w:divBdr>
        <w:top w:val="none" w:sz="0" w:space="0" w:color="auto"/>
        <w:left w:val="none" w:sz="0" w:space="0" w:color="auto"/>
        <w:bottom w:val="none" w:sz="0" w:space="0" w:color="auto"/>
        <w:right w:val="none" w:sz="0" w:space="0" w:color="auto"/>
      </w:divBdr>
    </w:div>
    <w:div w:id="409037323">
      <w:bodyDiv w:val="1"/>
      <w:marLeft w:val="0"/>
      <w:marRight w:val="0"/>
      <w:marTop w:val="0"/>
      <w:marBottom w:val="0"/>
      <w:divBdr>
        <w:top w:val="none" w:sz="0" w:space="0" w:color="auto"/>
        <w:left w:val="none" w:sz="0" w:space="0" w:color="auto"/>
        <w:bottom w:val="none" w:sz="0" w:space="0" w:color="auto"/>
        <w:right w:val="none" w:sz="0" w:space="0" w:color="auto"/>
      </w:divBdr>
    </w:div>
    <w:div w:id="495998020">
      <w:bodyDiv w:val="1"/>
      <w:marLeft w:val="0"/>
      <w:marRight w:val="0"/>
      <w:marTop w:val="0"/>
      <w:marBottom w:val="0"/>
      <w:divBdr>
        <w:top w:val="none" w:sz="0" w:space="0" w:color="auto"/>
        <w:left w:val="none" w:sz="0" w:space="0" w:color="auto"/>
        <w:bottom w:val="none" w:sz="0" w:space="0" w:color="auto"/>
        <w:right w:val="none" w:sz="0" w:space="0" w:color="auto"/>
      </w:divBdr>
    </w:div>
    <w:div w:id="521893838">
      <w:bodyDiv w:val="1"/>
      <w:marLeft w:val="0"/>
      <w:marRight w:val="0"/>
      <w:marTop w:val="0"/>
      <w:marBottom w:val="0"/>
      <w:divBdr>
        <w:top w:val="none" w:sz="0" w:space="0" w:color="auto"/>
        <w:left w:val="none" w:sz="0" w:space="0" w:color="auto"/>
        <w:bottom w:val="none" w:sz="0" w:space="0" w:color="auto"/>
        <w:right w:val="none" w:sz="0" w:space="0" w:color="auto"/>
      </w:divBdr>
    </w:div>
    <w:div w:id="527529309">
      <w:bodyDiv w:val="1"/>
      <w:marLeft w:val="0"/>
      <w:marRight w:val="0"/>
      <w:marTop w:val="0"/>
      <w:marBottom w:val="0"/>
      <w:divBdr>
        <w:top w:val="none" w:sz="0" w:space="0" w:color="auto"/>
        <w:left w:val="none" w:sz="0" w:space="0" w:color="auto"/>
        <w:bottom w:val="none" w:sz="0" w:space="0" w:color="auto"/>
        <w:right w:val="none" w:sz="0" w:space="0" w:color="auto"/>
      </w:divBdr>
    </w:div>
    <w:div w:id="541593750">
      <w:bodyDiv w:val="1"/>
      <w:marLeft w:val="0"/>
      <w:marRight w:val="0"/>
      <w:marTop w:val="0"/>
      <w:marBottom w:val="0"/>
      <w:divBdr>
        <w:top w:val="none" w:sz="0" w:space="0" w:color="auto"/>
        <w:left w:val="none" w:sz="0" w:space="0" w:color="auto"/>
        <w:bottom w:val="none" w:sz="0" w:space="0" w:color="auto"/>
        <w:right w:val="none" w:sz="0" w:space="0" w:color="auto"/>
      </w:divBdr>
    </w:div>
    <w:div w:id="596980528">
      <w:bodyDiv w:val="1"/>
      <w:marLeft w:val="0"/>
      <w:marRight w:val="0"/>
      <w:marTop w:val="0"/>
      <w:marBottom w:val="0"/>
      <w:divBdr>
        <w:top w:val="none" w:sz="0" w:space="0" w:color="auto"/>
        <w:left w:val="none" w:sz="0" w:space="0" w:color="auto"/>
        <w:bottom w:val="none" w:sz="0" w:space="0" w:color="auto"/>
        <w:right w:val="none" w:sz="0" w:space="0" w:color="auto"/>
      </w:divBdr>
    </w:div>
    <w:div w:id="638000223">
      <w:bodyDiv w:val="1"/>
      <w:marLeft w:val="0"/>
      <w:marRight w:val="0"/>
      <w:marTop w:val="0"/>
      <w:marBottom w:val="0"/>
      <w:divBdr>
        <w:top w:val="none" w:sz="0" w:space="0" w:color="auto"/>
        <w:left w:val="none" w:sz="0" w:space="0" w:color="auto"/>
        <w:bottom w:val="none" w:sz="0" w:space="0" w:color="auto"/>
        <w:right w:val="none" w:sz="0" w:space="0" w:color="auto"/>
      </w:divBdr>
    </w:div>
    <w:div w:id="644818177">
      <w:bodyDiv w:val="1"/>
      <w:marLeft w:val="0"/>
      <w:marRight w:val="0"/>
      <w:marTop w:val="0"/>
      <w:marBottom w:val="0"/>
      <w:divBdr>
        <w:top w:val="none" w:sz="0" w:space="0" w:color="auto"/>
        <w:left w:val="none" w:sz="0" w:space="0" w:color="auto"/>
        <w:bottom w:val="none" w:sz="0" w:space="0" w:color="auto"/>
        <w:right w:val="none" w:sz="0" w:space="0" w:color="auto"/>
      </w:divBdr>
    </w:div>
    <w:div w:id="727581321">
      <w:bodyDiv w:val="1"/>
      <w:marLeft w:val="0"/>
      <w:marRight w:val="0"/>
      <w:marTop w:val="0"/>
      <w:marBottom w:val="0"/>
      <w:divBdr>
        <w:top w:val="none" w:sz="0" w:space="0" w:color="auto"/>
        <w:left w:val="none" w:sz="0" w:space="0" w:color="auto"/>
        <w:bottom w:val="none" w:sz="0" w:space="0" w:color="auto"/>
        <w:right w:val="none" w:sz="0" w:space="0" w:color="auto"/>
      </w:divBdr>
    </w:div>
    <w:div w:id="797332793">
      <w:bodyDiv w:val="1"/>
      <w:marLeft w:val="0"/>
      <w:marRight w:val="0"/>
      <w:marTop w:val="0"/>
      <w:marBottom w:val="0"/>
      <w:divBdr>
        <w:top w:val="none" w:sz="0" w:space="0" w:color="auto"/>
        <w:left w:val="none" w:sz="0" w:space="0" w:color="auto"/>
        <w:bottom w:val="none" w:sz="0" w:space="0" w:color="auto"/>
        <w:right w:val="none" w:sz="0" w:space="0" w:color="auto"/>
      </w:divBdr>
    </w:div>
    <w:div w:id="835534447">
      <w:bodyDiv w:val="1"/>
      <w:marLeft w:val="0"/>
      <w:marRight w:val="0"/>
      <w:marTop w:val="0"/>
      <w:marBottom w:val="0"/>
      <w:divBdr>
        <w:top w:val="none" w:sz="0" w:space="0" w:color="auto"/>
        <w:left w:val="none" w:sz="0" w:space="0" w:color="auto"/>
        <w:bottom w:val="none" w:sz="0" w:space="0" w:color="auto"/>
        <w:right w:val="none" w:sz="0" w:space="0" w:color="auto"/>
      </w:divBdr>
    </w:div>
    <w:div w:id="950282776">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02918563">
      <w:bodyDiv w:val="1"/>
      <w:marLeft w:val="0"/>
      <w:marRight w:val="0"/>
      <w:marTop w:val="0"/>
      <w:marBottom w:val="0"/>
      <w:divBdr>
        <w:top w:val="none" w:sz="0" w:space="0" w:color="auto"/>
        <w:left w:val="none" w:sz="0" w:space="0" w:color="auto"/>
        <w:bottom w:val="none" w:sz="0" w:space="0" w:color="auto"/>
        <w:right w:val="none" w:sz="0" w:space="0" w:color="auto"/>
      </w:divBdr>
    </w:div>
    <w:div w:id="1137802175">
      <w:bodyDiv w:val="1"/>
      <w:marLeft w:val="0"/>
      <w:marRight w:val="0"/>
      <w:marTop w:val="0"/>
      <w:marBottom w:val="0"/>
      <w:divBdr>
        <w:top w:val="none" w:sz="0" w:space="0" w:color="auto"/>
        <w:left w:val="none" w:sz="0" w:space="0" w:color="auto"/>
        <w:bottom w:val="none" w:sz="0" w:space="0" w:color="auto"/>
        <w:right w:val="none" w:sz="0" w:space="0" w:color="auto"/>
      </w:divBdr>
    </w:div>
    <w:div w:id="118181955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58294321">
      <w:bodyDiv w:val="1"/>
      <w:marLeft w:val="0"/>
      <w:marRight w:val="0"/>
      <w:marTop w:val="0"/>
      <w:marBottom w:val="0"/>
      <w:divBdr>
        <w:top w:val="none" w:sz="0" w:space="0" w:color="auto"/>
        <w:left w:val="none" w:sz="0" w:space="0" w:color="auto"/>
        <w:bottom w:val="none" w:sz="0" w:space="0" w:color="auto"/>
        <w:right w:val="none" w:sz="0" w:space="0" w:color="auto"/>
      </w:divBdr>
    </w:div>
    <w:div w:id="1283415433">
      <w:bodyDiv w:val="1"/>
      <w:marLeft w:val="0"/>
      <w:marRight w:val="0"/>
      <w:marTop w:val="0"/>
      <w:marBottom w:val="0"/>
      <w:divBdr>
        <w:top w:val="none" w:sz="0" w:space="0" w:color="auto"/>
        <w:left w:val="none" w:sz="0" w:space="0" w:color="auto"/>
        <w:bottom w:val="none" w:sz="0" w:space="0" w:color="auto"/>
        <w:right w:val="none" w:sz="0" w:space="0" w:color="auto"/>
      </w:divBdr>
    </w:div>
    <w:div w:id="1377507491">
      <w:bodyDiv w:val="1"/>
      <w:marLeft w:val="0"/>
      <w:marRight w:val="0"/>
      <w:marTop w:val="0"/>
      <w:marBottom w:val="0"/>
      <w:divBdr>
        <w:top w:val="none" w:sz="0" w:space="0" w:color="auto"/>
        <w:left w:val="none" w:sz="0" w:space="0" w:color="auto"/>
        <w:bottom w:val="none" w:sz="0" w:space="0" w:color="auto"/>
        <w:right w:val="none" w:sz="0" w:space="0" w:color="auto"/>
      </w:divBdr>
    </w:div>
    <w:div w:id="1575581078">
      <w:bodyDiv w:val="1"/>
      <w:marLeft w:val="0"/>
      <w:marRight w:val="0"/>
      <w:marTop w:val="0"/>
      <w:marBottom w:val="0"/>
      <w:divBdr>
        <w:top w:val="none" w:sz="0" w:space="0" w:color="auto"/>
        <w:left w:val="none" w:sz="0" w:space="0" w:color="auto"/>
        <w:bottom w:val="none" w:sz="0" w:space="0" w:color="auto"/>
        <w:right w:val="none" w:sz="0" w:space="0" w:color="auto"/>
      </w:divBdr>
    </w:div>
    <w:div w:id="1722705235">
      <w:bodyDiv w:val="1"/>
      <w:marLeft w:val="0"/>
      <w:marRight w:val="0"/>
      <w:marTop w:val="0"/>
      <w:marBottom w:val="0"/>
      <w:divBdr>
        <w:top w:val="none" w:sz="0" w:space="0" w:color="auto"/>
        <w:left w:val="none" w:sz="0" w:space="0" w:color="auto"/>
        <w:bottom w:val="none" w:sz="0" w:space="0" w:color="auto"/>
        <w:right w:val="none" w:sz="0" w:space="0" w:color="auto"/>
      </w:divBdr>
    </w:div>
    <w:div w:id="1804225108">
      <w:bodyDiv w:val="1"/>
      <w:marLeft w:val="0"/>
      <w:marRight w:val="0"/>
      <w:marTop w:val="0"/>
      <w:marBottom w:val="0"/>
      <w:divBdr>
        <w:top w:val="none" w:sz="0" w:space="0" w:color="auto"/>
        <w:left w:val="none" w:sz="0" w:space="0" w:color="auto"/>
        <w:bottom w:val="none" w:sz="0" w:space="0" w:color="auto"/>
        <w:right w:val="none" w:sz="0" w:space="0" w:color="auto"/>
      </w:divBdr>
    </w:div>
    <w:div w:id="1860508930">
      <w:bodyDiv w:val="1"/>
      <w:marLeft w:val="0"/>
      <w:marRight w:val="0"/>
      <w:marTop w:val="0"/>
      <w:marBottom w:val="0"/>
      <w:divBdr>
        <w:top w:val="none" w:sz="0" w:space="0" w:color="auto"/>
        <w:left w:val="none" w:sz="0" w:space="0" w:color="auto"/>
        <w:bottom w:val="none" w:sz="0" w:space="0" w:color="auto"/>
        <w:right w:val="none" w:sz="0" w:space="0" w:color="auto"/>
      </w:divBdr>
    </w:div>
    <w:div w:id="1911964850">
      <w:bodyDiv w:val="1"/>
      <w:marLeft w:val="0"/>
      <w:marRight w:val="0"/>
      <w:marTop w:val="0"/>
      <w:marBottom w:val="0"/>
      <w:divBdr>
        <w:top w:val="none" w:sz="0" w:space="0" w:color="auto"/>
        <w:left w:val="none" w:sz="0" w:space="0" w:color="auto"/>
        <w:bottom w:val="none" w:sz="0" w:space="0" w:color="auto"/>
        <w:right w:val="none" w:sz="0" w:space="0" w:color="auto"/>
      </w:divBdr>
    </w:div>
    <w:div w:id="1913158584">
      <w:bodyDiv w:val="1"/>
      <w:marLeft w:val="0"/>
      <w:marRight w:val="0"/>
      <w:marTop w:val="0"/>
      <w:marBottom w:val="0"/>
      <w:divBdr>
        <w:top w:val="none" w:sz="0" w:space="0" w:color="auto"/>
        <w:left w:val="none" w:sz="0" w:space="0" w:color="auto"/>
        <w:bottom w:val="none" w:sz="0" w:space="0" w:color="auto"/>
        <w:right w:val="none" w:sz="0" w:space="0" w:color="auto"/>
      </w:divBdr>
    </w:div>
    <w:div w:id="201707592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5376244">
      <w:bodyDiv w:val="1"/>
      <w:marLeft w:val="0"/>
      <w:marRight w:val="0"/>
      <w:marTop w:val="0"/>
      <w:marBottom w:val="0"/>
      <w:divBdr>
        <w:top w:val="none" w:sz="0" w:space="0" w:color="auto"/>
        <w:left w:val="none" w:sz="0" w:space="0" w:color="auto"/>
        <w:bottom w:val="none" w:sz="0" w:space="0" w:color="auto"/>
        <w:right w:val="none" w:sz="0" w:space="0" w:color="auto"/>
      </w:divBdr>
    </w:div>
    <w:div w:id="2140874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Soc15</b:Tag>
    <b:SourceType>DocumentFromInternetSite</b:SourceType>
    <b:Guid>{83A7C1E1-1E21-4A58-BC61-109E7CD9C3C3}</b:Guid>
    <b:Title>At a glance 69: Safeguarding adults: Types and indicators of abuse</b:Title>
    <b:Year>2015</b:Year>
    <b:Author>
      <b:Author>
        <b:Corporate>Social Care Institute for Excellence</b:Corporate>
      </b:Author>
    </b:Author>
    <b:Month>January</b:Month>
    <b:YearAccessed>2023</b:YearAccessed>
    <b:MonthAccessed>October</b:MonthAccessed>
    <b:DayAccessed>19</b:DayAccessed>
    <b:URL>https://www.scie.org.uk/publications/ataglance/ataglance69-adult-safeguarding-types-and-indicators-of-abuse.pdf?res=true</b:URL>
    <b:RefOrder>2</b:RefOrder>
  </b:Source>
  <b:Source>
    <b:Tag>UKL23</b:Tag>
    <b:SourceType>InternetSite</b:SourceType>
    <b:Guid>{0FB75C33-8ECC-42E3-9AAB-7062A6BACDF0}</b:Guid>
    <b:Title>Social Services and Well-being (Wales) Act 2014</b:Title>
    <b:YearAccessed>2023</b:YearAccessed>
    <b:MonthAccessed>October</b:MonthAccessed>
    <b:DayAccessed>19th</b:DayAccessed>
    <b:URL>https://www.legislation.gov.uk/anaw/2014/4/contents</b:URL>
    <b:Author>
      <b:Author>
        <b:Corporate>Social Services and Well-being (Wales) Act</b:Corporate>
      </b:Author>
    </b:Author>
    <b:Publisher>The National Archives</b:Publisher>
    <b:Year>2014</b:Year>
    <b:RefOrder>3</b:RefOrder>
  </b:Source>
  <b:Source>
    <b:Tag>Soc23</b:Tag>
    <b:SourceType>InternetSite</b:SourceType>
    <b:Guid>{D27749B7-1BC6-4755-9C70-FF4E4AD975CA}</b:Guid>
    <b:Author>
      <b:Author>
        <b:Corporate>Social Care Wales</b:Corporate>
      </b:Author>
    </b:Author>
    <b:Title>Wales Safeguarding Procedures: Reviewing the adult safeguarding (adult protection) process</b:Title>
    <b:YearAccessed>2023</b:YearAccessed>
    <b:MonthAccessed>October</b:MonthAccessed>
    <b:DayAccessed>19th</b:DayAccessed>
    <b:URL>https://www.safeguarding.wales/en/adu-i/adu-i-a4/a4-p6/</b:URL>
    <b:Year>2023</b:Year>
    <b:RefOrder>4</b:RefOrder>
  </b:Source>
  <b:Source>
    <b:Tag>XXX22</b:Tag>
    <b:SourceType>InternetSite</b:SourceType>
    <b:Guid>{DD5C201A-AD4F-4118-B95A-515B2ED7EB15}</b:Guid>
    <b:Author>
      <b:Author>
        <b:Corporate>XXX County Council</b:Corporate>
      </b:Author>
    </b:Author>
    <b:Title>Safeguarding Adults and Children</b:Title>
    <b:Year>2022</b:Year>
    <b:YearAccessed>2023</b:YearAccessed>
    <b:MonthAccessed>October</b:MonthAccessed>
    <b:DayAccessed>19th</b:DayAccessed>
    <b:URL>https://www.XXX.gov.uk/safeguarding-adults-and-children/safeguarding-boards</b:URL>
    <b:RefOrder>1</b:RefOrder>
  </b:Source>
  <b:Source>
    <b:Tag>NSP23</b:Tag>
    <b:SourceType>InternetSite</b:SourceType>
    <b:Guid>{BD77965E-B188-452D-8C7B-AE0F7371B870}</b:Guid>
    <b:Author>
      <b:Author>
        <b:Corporate>NSPCC Learning</b:Corporate>
      </b:Author>
    </b:Author>
    <b:Title>Children and the Law</b:Title>
    <b:Year>2023</b:Year>
    <b:YearAccessed>2023</b:YearAccessed>
    <b:MonthAccessed>October</b:MonthAccessed>
    <b:DayAccessed>19</b:DayAccessed>
    <b:URL>https://learning.nspcc.org.uk/child-protection-system/children-the-law</b:URL>
    <b:RefOrder>6</b:RefOrder>
  </b:Source>
  <b:Source>
    <b:Tag>PWe23</b:Tag>
    <b:SourceType>BookSection</b:SourceType>
    <b:Guid>{660C9089-0E80-4578-B241-20F5475683E4}</b:Guid>
    <b:Title>Mental health laws and older adults. </b:Title>
    <b:Year>2023</b:Year>
    <b:Author>
      <b:Author>
        <b:NameList>
          <b:Person>
            <b:Last>Weller</b:Last>
            <b:First>P</b:First>
          </b:Person>
        </b:NameList>
      </b:Author>
    </b:Author>
    <b:BookTitle>Routledge Handbook of Mental Health Law</b:BookTitle>
    <b:Pages>179-192</b:Pages>
    <b:Publisher>Routledge</b:Publisher>
    <b:RefOrder>7</b:RefOrder>
  </b:Source>
  <b:Source>
    <b:Tag>Aar19</b:Tag>
    <b:SourceType>JournalArticle</b:SourceType>
    <b:Guid>{BCCD5F07-9860-43DA-94C6-A080F05AE187}</b:Guid>
    <b:Title>The Relational Potential Standard: Rethinking the Ethical Justification for Life-Sustaining Treatment for Children with Profound Cognitive Disabilities</b:Title>
    <b:Year>2019</b:Year>
    <b:Pages>18-25</b:Pages>
    <b:Author>
      <b:Author>
        <b:NameList>
          <b:Person>
            <b:Last>Aaron Wightman</b:Last>
            <b:First>Jennifer</b:First>
            <b:Middle>Kett, Georgina Campelia, Benjamin S. Wilfond</b:Middle>
          </b:Person>
        </b:NameList>
      </b:Author>
    </b:Author>
    <b:JournalName>The Hastings Centre Report</b:JournalName>
    <b:Volume>49</b:Volume>
    <b:Issue>3</b:Issue>
    <b:RefOrder>8</b:RefOrder>
  </b:Source>
  <b:Source>
    <b:Tag>Men23</b:Tag>
    <b:SourceType>InternetSite</b:SourceType>
    <b:Guid>{6111C51F-A613-4590-B85A-6033E049433B}</b:Guid>
    <b:Title>The Mental Capacity Act</b:Title>
    <b:Year>2023</b:Year>
    <b:Author>
      <b:Author>
        <b:Corporate>Mencap</b:Corporate>
      </b:Author>
    </b:Author>
    <b:YearAccessed>2023</b:YearAccessed>
    <b:MonthAccessed>October</b:MonthAccessed>
    <b:DayAccessed>19</b:DayAccessed>
    <b:URL>https://www.mencap.org.uk/advice-and-support/mental-capacity-act#:~:text=Mental%20capacity%20is%20the%20ability,can't%20make%20other%20decisions.</b:URL>
    <b:RefOrder>5</b:RefOrder>
  </b:Source>
</b:Sources>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0BB240A-238C-4346-8D13-F88AC67FC7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Pages>
  <Words>1081</Words>
  <Characters>6168</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Conlon, Jodie</cp:lastModifiedBy>
  <cp:revision>3</cp:revision>
  <cp:lastPrinted>2020-02-11T19:20:00Z</cp:lastPrinted>
  <dcterms:created xsi:type="dcterms:W3CDTF">2023-10-19T15:56:00Z</dcterms:created>
  <dcterms:modified xsi:type="dcterms:W3CDTF">2023-10-22T14:00:00Z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