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C178C" w14:textId="24EA2947" w:rsidR="00473124" w:rsidRDefault="001C524F" w:rsidP="001C524F">
      <w:pPr>
        <w:pStyle w:val="Title"/>
        <w:jc w:val="center"/>
        <w:rPr>
          <w:b/>
          <w:bCs/>
          <w:sz w:val="44"/>
          <w:szCs w:val="44"/>
        </w:rPr>
      </w:pPr>
      <w:r w:rsidRPr="001C524F">
        <w:rPr>
          <w:b/>
          <w:bCs/>
          <w:sz w:val="44"/>
          <w:szCs w:val="44"/>
        </w:rPr>
        <w:t xml:space="preserve">Holding the UK Government to account </w:t>
      </w:r>
    </w:p>
    <w:p w14:paraId="3EE1E65A" w14:textId="77777777" w:rsidR="001C524F" w:rsidRDefault="001C524F" w:rsidP="001C524F"/>
    <w:p w14:paraId="6514268A" w14:textId="77777777" w:rsidR="001C524F" w:rsidRDefault="001C524F" w:rsidP="001C524F">
      <w:pPr>
        <w:rPr>
          <w:rStyle w:val="Strong"/>
          <w:sz w:val="24"/>
          <w:szCs w:val="24"/>
        </w:rPr>
      </w:pPr>
    </w:p>
    <w:p w14:paraId="1ABF432C" w14:textId="642E738F" w:rsidR="001C524F" w:rsidRDefault="001C524F" w:rsidP="001C524F">
      <w:pPr>
        <w:rPr>
          <w:rStyle w:val="Strong"/>
          <w:sz w:val="24"/>
          <w:szCs w:val="24"/>
        </w:rPr>
      </w:pPr>
      <w:r w:rsidRPr="001C524F">
        <w:rPr>
          <w:rStyle w:val="Strong"/>
          <w:sz w:val="24"/>
          <w:szCs w:val="24"/>
        </w:rPr>
        <w:t>Introduction</w:t>
      </w:r>
    </w:p>
    <w:p w14:paraId="43EF974F" w14:textId="77777777" w:rsidR="00F32C37" w:rsidRDefault="00F32C37" w:rsidP="001C524F">
      <w:pPr>
        <w:rPr>
          <w:rStyle w:val="Strong"/>
          <w:sz w:val="24"/>
          <w:szCs w:val="24"/>
        </w:rPr>
      </w:pPr>
    </w:p>
    <w:p w14:paraId="0FEEA312" w14:textId="02459EF4" w:rsidR="001C524F" w:rsidRDefault="001C524F" w:rsidP="001C524F">
      <w:pPr>
        <w:rPr>
          <w:rStyle w:val="Strong"/>
          <w:b w:val="0"/>
          <w:bCs w:val="0"/>
        </w:rPr>
      </w:pPr>
      <w:r>
        <w:rPr>
          <w:rStyle w:val="Strong"/>
          <w:b w:val="0"/>
          <w:bCs w:val="0"/>
        </w:rPr>
        <w:t>White (2015) attributed the axiom “Good Scrutiny Makes for Good Government,” which captures the essence of democratic accountability and governance. This principle emphasises the importance of oversight mechanisms in ensuring government transparency, efficiency, and responsiveness to the needs of the public. In the United Kingdom, a country known for its unwritten constitution and complex political traditions, the mechanisms forholding the government accountable are both unique and complicated. The UK system, which is characterised by a mix of historical conventions and modern practices, offers fertile ground for investigating how effective scrutiny is implemented and its impact on governance quality. This essay will look at the structure of the UK executive, the theory of separation of powers as it applies to the UK, the various methods for holding the executive accountable, and the strengths and weaknesses of each approach. Finally, this discussion seeks to shed light on the fundamental question: dose scrutiny pave the way for good governance in the UK context?</w:t>
      </w:r>
    </w:p>
    <w:p w14:paraId="1CE26800" w14:textId="77777777" w:rsidR="00FD4622" w:rsidRDefault="00FD4622" w:rsidP="001C524F">
      <w:pPr>
        <w:rPr>
          <w:rStyle w:val="Strong"/>
          <w:b w:val="0"/>
          <w:bCs w:val="0"/>
        </w:rPr>
      </w:pPr>
    </w:p>
    <w:p w14:paraId="4220F7B8" w14:textId="48451133" w:rsidR="00FD4622" w:rsidRDefault="00FD4622" w:rsidP="001C524F">
      <w:pPr>
        <w:rPr>
          <w:rStyle w:val="Strong"/>
          <w:sz w:val="28"/>
          <w:szCs w:val="28"/>
        </w:rPr>
      </w:pPr>
      <w:r>
        <w:rPr>
          <w:rStyle w:val="Strong"/>
          <w:sz w:val="28"/>
          <w:szCs w:val="28"/>
        </w:rPr>
        <w:t>The UK Executive</w:t>
      </w:r>
    </w:p>
    <w:p w14:paraId="647004B1" w14:textId="598C9308" w:rsidR="00FD4622" w:rsidRDefault="004D3485" w:rsidP="001C524F">
      <w:pPr>
        <w:rPr>
          <w:rStyle w:val="Strong"/>
          <w:b w:val="0"/>
          <w:bCs w:val="0"/>
        </w:rPr>
      </w:pPr>
      <w:r>
        <w:rPr>
          <w:rStyle w:val="Strong"/>
          <w:b w:val="0"/>
          <w:bCs w:val="0"/>
        </w:rPr>
        <w:t>The executive branch of the United Kingdom, distinguished by its parliamentary system, is unique it its integration with both governmental and monarchical structures. The UK’s executive operates under a constitutional monarchy, with the reigning monarch, currently King Charles III, serving as the state’s ceremonial head and the Prime Minister as the head of government (Wikipedia, 2023). This division ensures that, while traditional heritage is preserved, actual</w:t>
      </w:r>
      <w:r w:rsidR="008448EB">
        <w:rPr>
          <w:rStyle w:val="Strong"/>
          <w:b w:val="0"/>
          <w:bCs w:val="0"/>
        </w:rPr>
        <w:t xml:space="preserve"> governance adheres to democratic principles.</w:t>
      </w:r>
    </w:p>
    <w:p w14:paraId="696579EF" w14:textId="1E037858" w:rsidR="008448EB" w:rsidRDefault="008448EB" w:rsidP="001C524F">
      <w:pPr>
        <w:rPr>
          <w:rStyle w:val="Strong"/>
          <w:b w:val="0"/>
          <w:bCs w:val="0"/>
        </w:rPr>
      </w:pPr>
      <w:r>
        <w:rPr>
          <w:rStyle w:val="Strong"/>
          <w:b w:val="0"/>
          <w:bCs w:val="0"/>
        </w:rPr>
        <w:t>The Prime Minister, who leads the majority party or coalition in the House of Commons, oversees executive functions and shapes national policy and administration.</w:t>
      </w:r>
      <w:r w:rsidR="006A730B">
        <w:rPr>
          <w:rStyle w:val="Strong"/>
          <w:b w:val="0"/>
          <w:bCs w:val="0"/>
        </w:rPr>
        <w:t xml:space="preserve"> This position, based on parliamentary confidence, exemplifies the fusion of legislative and executive powers that characterises the UK’s unwritten constitution. The Cabinet, appointed by the Prime Minister, consists of senior ministers in charge of various government departments who play critical roles in decision-making and policy implementation.</w:t>
      </w:r>
    </w:p>
    <w:p w14:paraId="7717CD16" w14:textId="6744108C" w:rsidR="006A730B" w:rsidRDefault="006A730B" w:rsidP="001C524F">
      <w:pPr>
        <w:rPr>
          <w:rStyle w:val="Strong"/>
          <w:b w:val="0"/>
          <w:bCs w:val="0"/>
        </w:rPr>
      </w:pPr>
      <w:r>
        <w:rPr>
          <w:rStyle w:val="Strong"/>
          <w:b w:val="0"/>
          <w:bCs w:val="0"/>
        </w:rPr>
        <w:t>Accountability and scrutiny are critical components of this system, with the Prime Minister and Cabinet members accountable to Parliament and, indirectly, the public. This setup ensures that the governance structure is resp</w:t>
      </w:r>
      <w:r w:rsidR="00812B3E">
        <w:rPr>
          <w:rStyle w:val="Strong"/>
          <w:b w:val="0"/>
          <w:bCs w:val="0"/>
        </w:rPr>
        <w:t>onsive to the needs of the electorate and allows for systematic checks and balances (Wikipedia, 2023).</w:t>
      </w:r>
    </w:p>
    <w:p w14:paraId="40CE1154" w14:textId="77777777" w:rsidR="00812B3E" w:rsidRDefault="00812B3E" w:rsidP="001C524F">
      <w:pPr>
        <w:rPr>
          <w:rStyle w:val="Strong"/>
          <w:b w:val="0"/>
          <w:bCs w:val="0"/>
        </w:rPr>
      </w:pPr>
    </w:p>
    <w:p w14:paraId="6C8A26A7" w14:textId="0688452F" w:rsidR="00812B3E" w:rsidRDefault="00812B3E" w:rsidP="001C524F">
      <w:pPr>
        <w:rPr>
          <w:rStyle w:val="Strong"/>
          <w:sz w:val="28"/>
          <w:szCs w:val="28"/>
        </w:rPr>
      </w:pPr>
      <w:r>
        <w:rPr>
          <w:rStyle w:val="Strong"/>
          <w:sz w:val="28"/>
          <w:szCs w:val="28"/>
        </w:rPr>
        <w:t>Separation of Powers Theory</w:t>
      </w:r>
    </w:p>
    <w:p w14:paraId="2551D01F" w14:textId="15C464DE" w:rsidR="00812B3E" w:rsidRDefault="00812B3E" w:rsidP="001C524F">
      <w:pPr>
        <w:rPr>
          <w:rStyle w:val="Strong"/>
          <w:b w:val="0"/>
          <w:bCs w:val="0"/>
        </w:rPr>
      </w:pPr>
      <w:r>
        <w:rPr>
          <w:rStyle w:val="Strong"/>
          <w:b w:val="0"/>
          <w:bCs w:val="0"/>
        </w:rPr>
        <w:t xml:space="preserve">The theory of separation of powers is a model for state governance that emphasises the division of state responsibilities into distinct branches in order to prevent any one branch from </w:t>
      </w:r>
      <w:r>
        <w:rPr>
          <w:rStyle w:val="Strong"/>
          <w:b w:val="0"/>
          <w:bCs w:val="0"/>
        </w:rPr>
        <w:lastRenderedPageBreak/>
        <w:t xml:space="preserve">performing into distinct branches in order to prevent any one branch from performing the functions of another. Montesquieu first articulated this concept in “The Spirit of the Laws” (1748) to ensure a system of checks and balances within a government, fostering political liberty and protecting against tyranny. </w:t>
      </w:r>
    </w:p>
    <w:p w14:paraId="01A35662" w14:textId="163A6A40" w:rsidR="00812B3E" w:rsidRDefault="00812B3E" w:rsidP="001C524F">
      <w:pPr>
        <w:rPr>
          <w:rStyle w:val="Strong"/>
          <w:b w:val="0"/>
          <w:bCs w:val="0"/>
        </w:rPr>
      </w:pPr>
      <w:r>
        <w:rPr>
          <w:rStyle w:val="Strong"/>
          <w:b w:val="0"/>
          <w:bCs w:val="0"/>
        </w:rPr>
        <w:t>According to the theory, the state is divided into three branches: legislative, which enacts laws; executive, which implements laws;</w:t>
      </w:r>
      <w:r w:rsidR="00EF2D7D">
        <w:rPr>
          <w:rStyle w:val="Strong"/>
          <w:b w:val="0"/>
          <w:bCs w:val="0"/>
        </w:rPr>
        <w:t xml:space="preserve"> and judicial, which interprets laws and resolves disputes. Each branch operates independently and has distinct powers and responsibilities, ensuring that no one branch has control over the others. Montesquieu argued that combining legislative, executive, and judicial powers in the same person or body eliminates liberty by potentially allowing arbitrary powers to emerge (Montesquieu, 1748). The practical application of the separation of powers can differ significantly across countries. For example, in the United States, the constitution explicitly defines each branch’s roles and limitations, resulting in a strong structure for the separation of powers (Vile, 1998). In contrast, the United Kingdom lacks a co</w:t>
      </w:r>
      <w:r w:rsidR="009518C2">
        <w:rPr>
          <w:rStyle w:val="Strong"/>
          <w:b w:val="0"/>
          <w:bCs w:val="0"/>
        </w:rPr>
        <w:t>dified constitution that clearly divides power. Instead, the UK operates under a system known as “parliamentary sovereignty,” in which the distinction between the executive and legislative branches is less clear, with the Prime Minister and Cabinet serving in the legislature (Masterman, 2011). Critics of the separation of powers argue that when branches of government disagree, it can result in inefficiencies and deadlock. However, proponents argue that these checks and balances are essential for protecting democratic principles and preventing abuses of power (Ackerman, 2000).</w:t>
      </w:r>
    </w:p>
    <w:p w14:paraId="6F78DDE8" w14:textId="46B821B8" w:rsidR="009518C2" w:rsidRDefault="009518C2" w:rsidP="001C524F">
      <w:pPr>
        <w:rPr>
          <w:rStyle w:val="Strong"/>
          <w:b w:val="0"/>
          <w:bCs w:val="0"/>
        </w:rPr>
      </w:pPr>
      <w:r>
        <w:rPr>
          <w:rStyle w:val="Strong"/>
          <w:b w:val="0"/>
          <w:bCs w:val="0"/>
        </w:rPr>
        <w:t xml:space="preserve">The theory of separation of powers remains a fundamental principle of democratic governance, emphasising the importance of a fair distribution of power within a state in order to protect liberties and prevent despotism of power within a state in order to protect liberties and prevent despotism. While the UK does not strictly adhere to a separation of powers due to the </w:t>
      </w:r>
      <w:r w:rsidR="009D0550">
        <w:rPr>
          <w:rStyle w:val="Strong"/>
          <w:b w:val="0"/>
          <w:bCs w:val="0"/>
        </w:rPr>
        <w:t>legislative and executive branches’ overlapping roles, the concept continues to influence the country’s governance framework. The theory proposes dividing governmental powers among different branches to prevent any one entity from gaining too much power.</w:t>
      </w:r>
    </w:p>
    <w:p w14:paraId="0E20CF03" w14:textId="31E6CAF6" w:rsidR="009D0550" w:rsidRDefault="009D0550" w:rsidP="001C524F">
      <w:pPr>
        <w:rPr>
          <w:rStyle w:val="Strong"/>
          <w:sz w:val="28"/>
          <w:szCs w:val="28"/>
        </w:rPr>
      </w:pPr>
      <w:r>
        <w:rPr>
          <w:rStyle w:val="Strong"/>
          <w:sz w:val="28"/>
          <w:szCs w:val="28"/>
        </w:rPr>
        <w:t>Accountability Mechanisms</w:t>
      </w:r>
    </w:p>
    <w:p w14:paraId="205229B8" w14:textId="18B95A63" w:rsidR="009D0550" w:rsidRDefault="009D0550" w:rsidP="001C524F">
      <w:pPr>
        <w:rPr>
          <w:rStyle w:val="Strong"/>
          <w:b w:val="0"/>
          <w:bCs w:val="0"/>
        </w:rPr>
      </w:pPr>
      <w:r>
        <w:rPr>
          <w:rStyle w:val="Strong"/>
          <w:b w:val="0"/>
          <w:bCs w:val="0"/>
        </w:rPr>
        <w:t>Accountability mechanisms and critical components of democratic gov</w:t>
      </w:r>
      <w:r w:rsidR="0028690A">
        <w:rPr>
          <w:rStyle w:val="Strong"/>
          <w:b w:val="0"/>
          <w:bCs w:val="0"/>
        </w:rPr>
        <w:t>ernance structures, ensuring that public officials are accountable for their actions and decisions. These mechanisms promote transparency, the rule of law, and public trust in government institutions. Accountability</w:t>
      </w:r>
      <w:r w:rsidR="00725FF0">
        <w:rPr>
          <w:rStyle w:val="Strong"/>
          <w:b w:val="0"/>
          <w:bCs w:val="0"/>
        </w:rPr>
        <w:t xml:space="preserve"> is more than just following the law; it also includes ethical standards, responsiveness, and effective public service delivery (Bovens, 2007).</w:t>
      </w:r>
      <w:r w:rsidR="00CF5512">
        <w:rPr>
          <w:rStyle w:val="Strong"/>
          <w:b w:val="0"/>
          <w:bCs w:val="0"/>
        </w:rPr>
        <w:t xml:space="preserve"> Legislative oversight is an important accountability mechanism in which legislators review and monitor the executive branch’s actions. This includes budget approvals, hearings, and investigations, which serve as checks on the executive’s power and ensure that policies are in the public’s best interests (Pelizzo &amp; Stapenhurst, 2014). Judicial review is another important mechanism in which courts assess the legality of government actions, preventing abuses of power and protecting citizens’</w:t>
      </w:r>
      <w:r w:rsidR="009D43D3">
        <w:rPr>
          <w:rStyle w:val="Strong"/>
          <w:b w:val="0"/>
          <w:bCs w:val="0"/>
        </w:rPr>
        <w:t xml:space="preserve"> rights (Shapiro, 1988). Furthermore, the media and civil society play an important role in holding governments accountable. Investigative journalism, public forums, and social audits enable citizens to demand accountability and participate in policy scrutiny (Norris, 2014). Furthermore, transparency mechanisms such as freedom of information laws allow the public access to government data, increasing officials’ accountability to citizens (Terrill, 2001). Effective accountability mechanisms ensure that government actions are scrutinised and consistent with legal and ethical standards, promoting democratic governance and public trust.</w:t>
      </w:r>
    </w:p>
    <w:p w14:paraId="734B7141" w14:textId="7897D7F7" w:rsidR="009D43D3" w:rsidRDefault="009D43D3" w:rsidP="001C524F">
      <w:pPr>
        <w:rPr>
          <w:rStyle w:val="Strong"/>
          <w:sz w:val="28"/>
          <w:szCs w:val="28"/>
        </w:rPr>
      </w:pPr>
      <w:r>
        <w:rPr>
          <w:rStyle w:val="Strong"/>
          <w:sz w:val="28"/>
          <w:szCs w:val="28"/>
        </w:rPr>
        <w:lastRenderedPageBreak/>
        <w:t xml:space="preserve">Parliamentary Scrutiny </w:t>
      </w:r>
    </w:p>
    <w:p w14:paraId="185C4432" w14:textId="2D1AE477" w:rsidR="009D43D3" w:rsidRDefault="009D43D3" w:rsidP="001C524F">
      <w:pPr>
        <w:rPr>
          <w:rStyle w:val="Strong"/>
          <w:b w:val="0"/>
          <w:bCs w:val="0"/>
        </w:rPr>
      </w:pPr>
      <w:r>
        <w:rPr>
          <w:rStyle w:val="Strong"/>
          <w:b w:val="0"/>
          <w:bCs w:val="0"/>
        </w:rPr>
        <w:t xml:space="preserve">Parliamentary scrutiny is an essential component of democratic governance, acting as a critical mechanism for holding the executive branch accountable. This process ensures that government actions are transparent, follow legal and ethical standards, and serve the public interest (Flinders, 2001). Parliamentary scrutiny can take many forms, including debates, questioning periods, committee </w:t>
      </w:r>
      <w:r w:rsidR="00CA4225">
        <w:rPr>
          <w:rStyle w:val="Strong"/>
          <w:b w:val="0"/>
          <w:bCs w:val="0"/>
        </w:rPr>
        <w:t>inquiries</w:t>
      </w:r>
      <w:r>
        <w:rPr>
          <w:rStyle w:val="Strong"/>
          <w:b w:val="0"/>
          <w:bCs w:val="0"/>
        </w:rPr>
        <w:t>, and legislative reviews.</w:t>
      </w:r>
    </w:p>
    <w:p w14:paraId="76E1C07A" w14:textId="35BD099F" w:rsidR="00CA4225" w:rsidRDefault="00CA4225" w:rsidP="001C524F">
      <w:pPr>
        <w:rPr>
          <w:rStyle w:val="Strong"/>
          <w:b w:val="0"/>
          <w:bCs w:val="0"/>
        </w:rPr>
      </w:pPr>
      <w:r>
        <w:rPr>
          <w:rStyle w:val="Strong"/>
          <w:b w:val="0"/>
          <w:bCs w:val="0"/>
        </w:rPr>
        <w:t>One of the primary methods of parliamentary scrutiny is through questioning periods, such as Prime Minister’s Questions (PMQs) in the United Kingdom, are one members of parliament (MPs) can question the Prime</w:t>
      </w:r>
      <w:r w:rsidR="001D7552">
        <w:rPr>
          <w:rStyle w:val="Strong"/>
          <w:b w:val="0"/>
          <w:bCs w:val="0"/>
        </w:rPr>
        <w:t xml:space="preserve"> Minister and other cabinet ministers about their policies and decisions. This practice allows MPs to express their concerns, challenge the government’s agenda, and highlight issues of public interest (Russell &amp; Benton, 2011).</w:t>
      </w:r>
    </w:p>
    <w:p w14:paraId="13EF4F99" w14:textId="026671BB" w:rsidR="001D7552" w:rsidRDefault="001D7552" w:rsidP="001C524F">
      <w:pPr>
        <w:rPr>
          <w:rStyle w:val="Strong"/>
          <w:b w:val="0"/>
          <w:bCs w:val="0"/>
        </w:rPr>
      </w:pPr>
      <w:r>
        <w:rPr>
          <w:rStyle w:val="Strong"/>
          <w:b w:val="0"/>
          <w:bCs w:val="0"/>
        </w:rPr>
        <w:t xml:space="preserve">Committee inquiries play an important role in scrutiny, with parliamentary committees looking into specific policy areas, government spending, and proposed legislation. These committees have the authority to summon witnesses, collect evidence, and issue reports recommending changes or raising concerns, thereby influencing government policy and practice (Benton &amp; Russell, 2013). Factors such as party loyalty, causing MPs to refrain from questioning their party leaders, and the government’s control over the parliamentary agenda, can limit the effectiveness of parliamentary scrutiny. Proposed reforms, such as allowing more time for questioning, strengthening committee independence, and improving access to information, aim to enhance the effectiveness of scrutiny. </w:t>
      </w:r>
    </w:p>
    <w:p w14:paraId="59980088" w14:textId="14A6D60E" w:rsidR="001D7552" w:rsidRDefault="001D7552" w:rsidP="001C524F">
      <w:pPr>
        <w:rPr>
          <w:rStyle w:val="Strong"/>
          <w:b w:val="0"/>
          <w:bCs w:val="0"/>
        </w:rPr>
      </w:pPr>
      <w:r>
        <w:rPr>
          <w:rStyle w:val="Strong"/>
          <w:b w:val="0"/>
          <w:bCs w:val="0"/>
        </w:rPr>
        <w:t>Finally, parliamentary scrutiny is critical to the functioning of a healthy demo</w:t>
      </w:r>
      <w:r w:rsidR="00D7001D">
        <w:rPr>
          <w:rStyle w:val="Strong"/>
          <w:b w:val="0"/>
          <w:bCs w:val="0"/>
        </w:rPr>
        <w:t>cracy, as it ensures government accountability and transparency. While there are challenges to its effectiveness, ongoing reforms and MP’s diligent efforts can strengthen this critical democratic process.</w:t>
      </w:r>
    </w:p>
    <w:p w14:paraId="2FD1DBF5" w14:textId="563FF79B" w:rsidR="00D7001D" w:rsidRDefault="00D7001D" w:rsidP="001C524F">
      <w:pPr>
        <w:rPr>
          <w:rStyle w:val="Strong"/>
          <w:sz w:val="28"/>
          <w:szCs w:val="28"/>
        </w:rPr>
      </w:pPr>
      <w:r>
        <w:rPr>
          <w:rStyle w:val="Strong"/>
          <w:sz w:val="28"/>
          <w:szCs w:val="28"/>
        </w:rPr>
        <w:t>Reform Suggestions</w:t>
      </w:r>
    </w:p>
    <w:p w14:paraId="12716E8C" w14:textId="77777777" w:rsidR="003619F0" w:rsidRDefault="00CD0DB5" w:rsidP="00F10E99">
      <w:pPr>
        <w:rPr>
          <w:rStyle w:val="Strong"/>
          <w:b w:val="0"/>
          <w:bCs w:val="0"/>
        </w:rPr>
      </w:pPr>
      <w:r>
        <w:rPr>
          <w:rStyle w:val="Strong"/>
          <w:b w:val="0"/>
          <w:bCs w:val="0"/>
        </w:rPr>
        <w:t>Typically, reform proposals in democratic governance aim to enhance transparency, accountability, and</w:t>
      </w:r>
      <w:r w:rsidR="00F10E99">
        <w:rPr>
          <w:rStyle w:val="Strong"/>
          <w:b w:val="0"/>
          <w:bCs w:val="0"/>
        </w:rPr>
        <w:t xml:space="preserve"> efficiency. One common proposal is to strengthen the independence and resources of oversight institutions, such as anti</w:t>
      </w:r>
      <w:r w:rsidR="003619F0">
        <w:rPr>
          <w:rStyle w:val="Strong"/>
          <w:b w:val="0"/>
          <w:bCs w:val="0"/>
        </w:rPr>
        <w:t>-</w:t>
      </w:r>
      <w:r w:rsidR="00F10E99">
        <w:rPr>
          <w:rStyle w:val="Strong"/>
          <w:b w:val="0"/>
          <w:bCs w:val="0"/>
        </w:rPr>
        <w:t>corruption bodies and ombudsmen offices, so that they have the tools and autonomy they need to do their jobs effectively (Klitgaard, 1988). This can help to prevent corruption, promote fair practices, and keep the public’s trust in government operations.</w:t>
      </w:r>
    </w:p>
    <w:p w14:paraId="41134D0D" w14:textId="602D8742" w:rsidR="003619F0" w:rsidRDefault="00F10E99" w:rsidP="00F10E99">
      <w:pPr>
        <w:rPr>
          <w:rStyle w:val="Strong"/>
          <w:b w:val="0"/>
          <w:bCs w:val="0"/>
        </w:rPr>
      </w:pPr>
      <w:r>
        <w:rPr>
          <w:rStyle w:val="Strong"/>
          <w:b w:val="0"/>
          <w:bCs w:val="0"/>
        </w:rPr>
        <w:t xml:space="preserve"> </w:t>
      </w:r>
      <w:r w:rsidR="0017655A">
        <w:rPr>
          <w:rStyle w:val="Strong"/>
          <w:b w:val="0"/>
          <w:bCs w:val="0"/>
        </w:rPr>
        <w:t>Another significant reform is the enhancement of public participatory budgeting,</w:t>
      </w:r>
      <w:r w:rsidR="003169ED">
        <w:rPr>
          <w:rStyle w:val="Strong"/>
          <w:b w:val="0"/>
          <w:bCs w:val="0"/>
        </w:rPr>
        <w:t xml:space="preserve"> which will allow for greater citizen involvement in decision-making processes. This could include public, consultations, participatory budgeting,</w:t>
      </w:r>
      <w:r w:rsidR="0017655A">
        <w:rPr>
          <w:rStyle w:val="Strong"/>
          <w:b w:val="0"/>
          <w:bCs w:val="0"/>
        </w:rPr>
        <w:t xml:space="preserve"> and the use of digital platforms to gather public feedback and ideas (Fung, 2006). By directly engaging citizens, governments can ensure that policies reflect their needs and preferences, increasing legitimacy and compliance.</w:t>
      </w:r>
    </w:p>
    <w:p w14:paraId="03BC901D" w14:textId="24AAA1F0" w:rsidR="003619F0" w:rsidRDefault="0017655A" w:rsidP="00F10E99">
      <w:pPr>
        <w:rPr>
          <w:rStyle w:val="Strong"/>
          <w:b w:val="0"/>
          <w:bCs w:val="0"/>
        </w:rPr>
      </w:pPr>
      <w:r>
        <w:rPr>
          <w:rStyle w:val="Strong"/>
          <w:b w:val="0"/>
          <w:bCs w:val="0"/>
        </w:rPr>
        <w:t xml:space="preserve"> Electoral reforms, such as the implementation of proportional representation systems, can also improve democratic governance. These systems are more inclusive and representative, which reduces the likelihood of political polarisation and </w:t>
      </w:r>
      <w:r w:rsidR="003619F0">
        <w:rPr>
          <w:rStyle w:val="Strong"/>
          <w:b w:val="0"/>
          <w:bCs w:val="0"/>
        </w:rPr>
        <w:t xml:space="preserve">increases the diversity of perspectives and interests represented in legislative bodies (Lijphart, 1999). Finally, transparency initiatives such as the implementation of open data policies and stricter freedom of information laws can improve public access to government information, allowing citizens and the media to hold public officials accountable (Terrill, 2001). These reforms have the potential to reduce </w:t>
      </w:r>
      <w:r w:rsidR="003619F0">
        <w:rPr>
          <w:rStyle w:val="Strong"/>
          <w:b w:val="0"/>
          <w:bCs w:val="0"/>
        </w:rPr>
        <w:lastRenderedPageBreak/>
        <w:t>corruption and inefficiency by increasing the visibility and understandability of government actions.</w:t>
      </w:r>
    </w:p>
    <w:p w14:paraId="2CBB8207" w14:textId="16DC683C" w:rsidR="003169ED" w:rsidRDefault="003169ED" w:rsidP="00F10E99">
      <w:pPr>
        <w:rPr>
          <w:rStyle w:val="Strong"/>
          <w:sz w:val="28"/>
          <w:szCs w:val="28"/>
        </w:rPr>
      </w:pPr>
      <w:r>
        <w:rPr>
          <w:rStyle w:val="Strong"/>
          <w:sz w:val="28"/>
          <w:szCs w:val="28"/>
        </w:rPr>
        <w:t>Conclusion</w:t>
      </w:r>
    </w:p>
    <w:p w14:paraId="65EE1601" w14:textId="77777777" w:rsidR="00F32C37" w:rsidRDefault="00F32C37" w:rsidP="00F10E99">
      <w:pPr>
        <w:rPr>
          <w:rStyle w:val="Strong"/>
          <w:b w:val="0"/>
          <w:bCs w:val="0"/>
        </w:rPr>
      </w:pPr>
    </w:p>
    <w:p w14:paraId="6CFD70A5" w14:textId="4D1CD397" w:rsidR="003169ED" w:rsidRDefault="003169ED" w:rsidP="00F10E99">
      <w:pPr>
        <w:rPr>
          <w:rStyle w:val="Strong"/>
          <w:b w:val="0"/>
          <w:bCs w:val="0"/>
        </w:rPr>
      </w:pPr>
      <w:r>
        <w:rPr>
          <w:rStyle w:val="Strong"/>
          <w:b w:val="0"/>
          <w:bCs w:val="0"/>
        </w:rPr>
        <w:t xml:space="preserve">Finally, the discussion about the effectiveness of scrutiny mechanisms in promoting good governance has highlighted their critical role within democratic systems. The examination of the United Kingdom’s executive accountability, the theory of separation of powers, and proposed reforms emphasises the critical importance of rigorous scrutiny in maintaining a transparent, </w:t>
      </w:r>
      <w:r w:rsidR="00020355">
        <w:rPr>
          <w:rStyle w:val="Strong"/>
          <w:b w:val="0"/>
          <w:bCs w:val="0"/>
        </w:rPr>
        <w:t>accountable, and effective government. Parliamentary scrutiny, which includes legislative oversight, judicial review, and increased public engagement, is an important tool for ensuring that government actions comply with legal standards and public expectations. The discussions reveal that, while no system is perfect, the presence of robust scrutiny processes contributes significantly to a democracy’s health and function. Scrutiny mechanisms facilitate the examination of government policies and decisions, allowing for issue identification and correction, preventing power abuse, and fostering an accountability culture.</w:t>
      </w:r>
    </w:p>
    <w:p w14:paraId="7C824D95" w14:textId="03306C64" w:rsidR="00020355" w:rsidRDefault="00020355" w:rsidP="00F10E99">
      <w:pPr>
        <w:rPr>
          <w:rStyle w:val="Strong"/>
          <w:b w:val="0"/>
          <w:bCs w:val="0"/>
        </w:rPr>
      </w:pPr>
      <w:r>
        <w:rPr>
          <w:rStyle w:val="Strong"/>
          <w:b w:val="0"/>
          <w:bCs w:val="0"/>
        </w:rPr>
        <w:t xml:space="preserve">Institutions </w:t>
      </w:r>
      <w:r w:rsidR="00C45F9A">
        <w:rPr>
          <w:rStyle w:val="Strong"/>
          <w:b w:val="0"/>
          <w:bCs w:val="0"/>
        </w:rPr>
        <w:t>must be willing to adapt and reform in order for scrutiny to be effective. As previously stated, the ongoing evolution of democratic practices necessitates the refinement of existing oversight mechanisms and the implementation of novel approaches to public governance. Finally, while scrutiny does not guarantee good governance, it is an important part of a well- functioning government. It holds decision-makers accountable for their actions, promotes transparency, and allows citizens to participate in a more informed manner. As a result, improving scrutiny mechanisms is not only beneficial but also necessary for maintaining and improving democratic governance.</w:t>
      </w:r>
    </w:p>
    <w:p w14:paraId="1300A88E" w14:textId="77A07E8A" w:rsidR="00C45F9A" w:rsidRDefault="00C45F9A" w:rsidP="00F10E99">
      <w:pPr>
        <w:rPr>
          <w:rStyle w:val="Strong"/>
          <w:sz w:val="28"/>
          <w:szCs w:val="28"/>
        </w:rPr>
      </w:pPr>
      <w:r>
        <w:rPr>
          <w:rStyle w:val="Strong"/>
          <w:sz w:val="28"/>
          <w:szCs w:val="28"/>
        </w:rPr>
        <w:t>References</w:t>
      </w:r>
    </w:p>
    <w:p w14:paraId="2F4B6E87" w14:textId="03E0B90C" w:rsidR="0000022C" w:rsidRDefault="0000022C" w:rsidP="0000022C">
      <w:pPr>
        <w:pStyle w:val="ListParagraph"/>
        <w:numPr>
          <w:ilvl w:val="0"/>
          <w:numId w:val="1"/>
        </w:numPr>
        <w:rPr>
          <w:rStyle w:val="Strong"/>
          <w:b w:val="0"/>
          <w:bCs w:val="0"/>
        </w:rPr>
      </w:pPr>
      <w:r>
        <w:rPr>
          <w:rStyle w:val="Strong"/>
          <w:b w:val="0"/>
          <w:bCs w:val="0"/>
        </w:rPr>
        <w:t xml:space="preserve">IndexMundi (2021). ‘United Kingdom Executive branch’, IndexMundi. Available at: </w:t>
      </w:r>
      <w:hyperlink r:id="rId5" w:history="1">
        <w:r w:rsidRPr="005F68F1">
          <w:rPr>
            <w:rStyle w:val="Hyperlink"/>
          </w:rPr>
          <w:t>https://www.indexmundi.com/united_kingdom/executive_branch.html</w:t>
        </w:r>
      </w:hyperlink>
      <w:r>
        <w:rPr>
          <w:rStyle w:val="Strong"/>
          <w:b w:val="0"/>
          <w:bCs w:val="0"/>
        </w:rPr>
        <w:t xml:space="preserve"> (Accessed: [Insert Date of Access]). </w:t>
      </w:r>
    </w:p>
    <w:p w14:paraId="1199242F" w14:textId="4B1AE137" w:rsidR="0000022C" w:rsidRDefault="00A406DA" w:rsidP="0000022C">
      <w:pPr>
        <w:pStyle w:val="ListParagraph"/>
        <w:numPr>
          <w:ilvl w:val="0"/>
          <w:numId w:val="1"/>
        </w:numPr>
        <w:rPr>
          <w:rStyle w:val="Strong"/>
          <w:b w:val="0"/>
          <w:bCs w:val="0"/>
        </w:rPr>
      </w:pPr>
      <w:r>
        <w:rPr>
          <w:rStyle w:val="Strong"/>
          <w:b w:val="0"/>
          <w:bCs w:val="0"/>
        </w:rPr>
        <w:t xml:space="preserve">Wikipedia contributors (2023). ‘Politics of the United Kingdom’, Wikipedia. Available at: </w:t>
      </w:r>
      <w:hyperlink r:id="rId6" w:history="1">
        <w:r w:rsidRPr="005F68F1">
          <w:rPr>
            <w:rStyle w:val="Hyperlink"/>
          </w:rPr>
          <w:t>https://en.wikipedia.org/wiki/Politics_of_the_United_Kingdom</w:t>
        </w:r>
      </w:hyperlink>
      <w:r>
        <w:rPr>
          <w:rStyle w:val="Strong"/>
          <w:b w:val="0"/>
          <w:bCs w:val="0"/>
        </w:rPr>
        <w:t xml:space="preserve"> (Accessed: [Insert Date of Access]).</w:t>
      </w:r>
    </w:p>
    <w:p w14:paraId="435A63BF" w14:textId="70DA552E" w:rsidR="00A406DA" w:rsidRDefault="00A406DA" w:rsidP="0000022C">
      <w:pPr>
        <w:pStyle w:val="ListParagraph"/>
        <w:numPr>
          <w:ilvl w:val="0"/>
          <w:numId w:val="1"/>
        </w:numPr>
        <w:rPr>
          <w:rStyle w:val="Strong"/>
          <w:b w:val="0"/>
          <w:bCs w:val="0"/>
        </w:rPr>
      </w:pPr>
      <w:r>
        <w:rPr>
          <w:rStyle w:val="Strong"/>
          <w:b w:val="0"/>
          <w:bCs w:val="0"/>
        </w:rPr>
        <w:t>Ackerman, B. (2000). We the people: Transformations. Belknap Press.</w:t>
      </w:r>
    </w:p>
    <w:p w14:paraId="1B0B03CB" w14:textId="7CE4F487" w:rsidR="00A406DA" w:rsidRDefault="00A406DA" w:rsidP="0000022C">
      <w:pPr>
        <w:pStyle w:val="ListParagraph"/>
        <w:numPr>
          <w:ilvl w:val="0"/>
          <w:numId w:val="1"/>
        </w:numPr>
        <w:rPr>
          <w:rStyle w:val="Strong"/>
          <w:b w:val="0"/>
          <w:bCs w:val="0"/>
        </w:rPr>
      </w:pPr>
      <w:r>
        <w:rPr>
          <w:rStyle w:val="Strong"/>
          <w:b w:val="0"/>
          <w:bCs w:val="0"/>
        </w:rPr>
        <w:t>Masterman, R. (2011). The separation of powers in the contemporary constitution: Judicial competence and independence in the United Kingdom. Cambridge University Press.</w:t>
      </w:r>
    </w:p>
    <w:p w14:paraId="07231909" w14:textId="3480D904" w:rsidR="00A406DA" w:rsidRDefault="00A406DA" w:rsidP="0000022C">
      <w:pPr>
        <w:pStyle w:val="ListParagraph"/>
        <w:numPr>
          <w:ilvl w:val="0"/>
          <w:numId w:val="1"/>
        </w:numPr>
        <w:rPr>
          <w:rStyle w:val="Strong"/>
          <w:b w:val="0"/>
          <w:bCs w:val="0"/>
        </w:rPr>
      </w:pPr>
      <w:r>
        <w:rPr>
          <w:rStyle w:val="Strong"/>
          <w:b w:val="0"/>
          <w:bCs w:val="0"/>
        </w:rPr>
        <w:t xml:space="preserve">Montesquieu, C. (1748). De l’esprint des lois (The Spirit of the Laws). </w:t>
      </w:r>
    </w:p>
    <w:p w14:paraId="2F2FAE20" w14:textId="7C18B205" w:rsidR="00A406DA" w:rsidRDefault="00A406DA" w:rsidP="0000022C">
      <w:pPr>
        <w:pStyle w:val="ListParagraph"/>
        <w:numPr>
          <w:ilvl w:val="0"/>
          <w:numId w:val="1"/>
        </w:numPr>
        <w:rPr>
          <w:rStyle w:val="Strong"/>
          <w:b w:val="0"/>
          <w:bCs w:val="0"/>
        </w:rPr>
      </w:pPr>
      <w:r>
        <w:rPr>
          <w:rStyle w:val="Strong"/>
          <w:b w:val="0"/>
          <w:bCs w:val="0"/>
        </w:rPr>
        <w:t>Vile, M.J.C. (1998). Constitutionalism and the Separation of Powers. Liberty Fund.</w:t>
      </w:r>
    </w:p>
    <w:p w14:paraId="729F1075" w14:textId="47133923" w:rsidR="00A406DA" w:rsidRDefault="00A406DA" w:rsidP="0000022C">
      <w:pPr>
        <w:pStyle w:val="ListParagraph"/>
        <w:numPr>
          <w:ilvl w:val="0"/>
          <w:numId w:val="1"/>
        </w:numPr>
        <w:rPr>
          <w:rStyle w:val="Strong"/>
          <w:b w:val="0"/>
          <w:bCs w:val="0"/>
        </w:rPr>
      </w:pPr>
      <w:r>
        <w:rPr>
          <w:rStyle w:val="Strong"/>
          <w:b w:val="0"/>
          <w:bCs w:val="0"/>
        </w:rPr>
        <w:t>Bovens, M. (2007). Analyzing and assessing accountability: A conceptual framework. European Law Journal, 13(4), 447-468.</w:t>
      </w:r>
    </w:p>
    <w:p w14:paraId="24216CE7" w14:textId="29B7C7D5" w:rsidR="00A406DA" w:rsidRDefault="00640F42" w:rsidP="0000022C">
      <w:pPr>
        <w:pStyle w:val="ListParagraph"/>
        <w:numPr>
          <w:ilvl w:val="0"/>
          <w:numId w:val="1"/>
        </w:numPr>
        <w:rPr>
          <w:rStyle w:val="Strong"/>
          <w:b w:val="0"/>
          <w:bCs w:val="0"/>
        </w:rPr>
      </w:pPr>
      <w:r>
        <w:rPr>
          <w:rStyle w:val="Strong"/>
          <w:b w:val="0"/>
          <w:bCs w:val="0"/>
        </w:rPr>
        <w:t>Norris, P. (2014). Digital divide: Civic engagement, information poverty, and the internet worldwide. Cambridge University Press.</w:t>
      </w:r>
    </w:p>
    <w:p w14:paraId="07CD0605" w14:textId="3CE42D5B" w:rsidR="00640F42" w:rsidRDefault="00640F42" w:rsidP="0000022C">
      <w:pPr>
        <w:pStyle w:val="ListParagraph"/>
        <w:numPr>
          <w:ilvl w:val="0"/>
          <w:numId w:val="1"/>
        </w:numPr>
        <w:rPr>
          <w:rStyle w:val="Strong"/>
          <w:b w:val="0"/>
          <w:bCs w:val="0"/>
        </w:rPr>
      </w:pPr>
      <w:r>
        <w:rPr>
          <w:rStyle w:val="Strong"/>
          <w:b w:val="0"/>
          <w:bCs w:val="0"/>
        </w:rPr>
        <w:t>Pelizzo, R., &amp; Stapenhurst, R. (2014). Tools for legislative oversight: An empirical investigation. World Bank Publications.</w:t>
      </w:r>
    </w:p>
    <w:p w14:paraId="3726E64B" w14:textId="314DD72F" w:rsidR="00640F42" w:rsidRDefault="00640F42" w:rsidP="0000022C">
      <w:pPr>
        <w:pStyle w:val="ListParagraph"/>
        <w:numPr>
          <w:ilvl w:val="0"/>
          <w:numId w:val="1"/>
        </w:numPr>
        <w:rPr>
          <w:rStyle w:val="Strong"/>
          <w:b w:val="0"/>
          <w:bCs w:val="0"/>
        </w:rPr>
      </w:pPr>
      <w:r>
        <w:rPr>
          <w:rStyle w:val="Strong"/>
          <w:b w:val="0"/>
          <w:bCs w:val="0"/>
        </w:rPr>
        <w:t>Shapiro, M. (1988). Who guards the guardians? Judicial control of administration. University of Georgia Press.</w:t>
      </w:r>
    </w:p>
    <w:p w14:paraId="7AE6F384" w14:textId="2599689A" w:rsidR="00640F42" w:rsidRDefault="00640F42" w:rsidP="0000022C">
      <w:pPr>
        <w:pStyle w:val="ListParagraph"/>
        <w:numPr>
          <w:ilvl w:val="0"/>
          <w:numId w:val="1"/>
        </w:numPr>
        <w:rPr>
          <w:rStyle w:val="Strong"/>
          <w:b w:val="0"/>
          <w:bCs w:val="0"/>
        </w:rPr>
      </w:pPr>
      <w:r>
        <w:rPr>
          <w:rStyle w:val="Strong"/>
          <w:b w:val="0"/>
          <w:bCs w:val="0"/>
        </w:rPr>
        <w:lastRenderedPageBreak/>
        <w:t>Terrill, R. (2001). Transparency and public accountability in the administrative state. Law &amp; Contemporary Problems, 64(4), 153-160.</w:t>
      </w:r>
    </w:p>
    <w:p w14:paraId="2A6A3FA9" w14:textId="0ED0991C" w:rsidR="00640F42" w:rsidRDefault="00640F42" w:rsidP="0000022C">
      <w:pPr>
        <w:pStyle w:val="ListParagraph"/>
        <w:numPr>
          <w:ilvl w:val="0"/>
          <w:numId w:val="1"/>
        </w:numPr>
        <w:rPr>
          <w:rStyle w:val="Strong"/>
          <w:b w:val="0"/>
          <w:bCs w:val="0"/>
        </w:rPr>
      </w:pPr>
      <w:r>
        <w:rPr>
          <w:rStyle w:val="Strong"/>
          <w:b w:val="0"/>
          <w:bCs w:val="0"/>
        </w:rPr>
        <w:t>Fung, A. (2006). Varieties of participation in complex governance. Public Administration Review, 66(s1), 66-75.</w:t>
      </w:r>
    </w:p>
    <w:p w14:paraId="3B0CCF19" w14:textId="036FBA51" w:rsidR="00640F42" w:rsidRDefault="00640F42" w:rsidP="0000022C">
      <w:pPr>
        <w:pStyle w:val="ListParagraph"/>
        <w:numPr>
          <w:ilvl w:val="0"/>
          <w:numId w:val="1"/>
        </w:numPr>
        <w:rPr>
          <w:rStyle w:val="Strong"/>
          <w:b w:val="0"/>
          <w:bCs w:val="0"/>
        </w:rPr>
      </w:pPr>
      <w:r>
        <w:rPr>
          <w:rStyle w:val="Strong"/>
          <w:b w:val="0"/>
          <w:bCs w:val="0"/>
        </w:rPr>
        <w:t>Klitgaard, R. (1988). Controlling corruption. University of California Press.</w:t>
      </w:r>
    </w:p>
    <w:p w14:paraId="1513197A" w14:textId="6CB97586" w:rsidR="00640F42" w:rsidRDefault="00640F42" w:rsidP="0000022C">
      <w:pPr>
        <w:pStyle w:val="ListParagraph"/>
        <w:numPr>
          <w:ilvl w:val="0"/>
          <w:numId w:val="1"/>
        </w:numPr>
        <w:rPr>
          <w:rStyle w:val="Strong"/>
          <w:b w:val="0"/>
          <w:bCs w:val="0"/>
        </w:rPr>
      </w:pPr>
      <w:r w:rsidRPr="00640F42">
        <w:rPr>
          <w:rStyle w:val="Strong"/>
          <w:b w:val="0"/>
          <w:bCs w:val="0"/>
        </w:rPr>
        <w:t>Lijphart, A. (1</w:t>
      </w:r>
      <w:r>
        <w:rPr>
          <w:rStyle w:val="Strong"/>
          <w:b w:val="0"/>
          <w:bCs w:val="0"/>
        </w:rPr>
        <w:t xml:space="preserve">999). Patterns of democracy: Government forms and performance in thirty-six countries. Yale University Press. </w:t>
      </w:r>
    </w:p>
    <w:p w14:paraId="3B875FB5" w14:textId="4C3485AA" w:rsidR="00640F42" w:rsidRDefault="00640F42" w:rsidP="0000022C">
      <w:pPr>
        <w:pStyle w:val="ListParagraph"/>
        <w:numPr>
          <w:ilvl w:val="0"/>
          <w:numId w:val="1"/>
        </w:numPr>
        <w:rPr>
          <w:rStyle w:val="Strong"/>
          <w:b w:val="0"/>
          <w:bCs w:val="0"/>
        </w:rPr>
      </w:pPr>
      <w:r>
        <w:rPr>
          <w:rStyle w:val="Strong"/>
          <w:b w:val="0"/>
          <w:bCs w:val="0"/>
        </w:rPr>
        <w:t>Ter</w:t>
      </w:r>
      <w:r w:rsidR="00F32C37">
        <w:rPr>
          <w:rStyle w:val="Strong"/>
          <w:b w:val="0"/>
          <w:bCs w:val="0"/>
        </w:rPr>
        <w:t>rill, R. (2001). Transparency and public accountability in the administrative state. Law &amp; Contemporary Problems, 64(4), 153-160.</w:t>
      </w:r>
    </w:p>
    <w:p w14:paraId="7FF4860F" w14:textId="2D2B5792" w:rsidR="00F32C37" w:rsidRDefault="00F32C37" w:rsidP="0000022C">
      <w:pPr>
        <w:pStyle w:val="ListParagraph"/>
        <w:numPr>
          <w:ilvl w:val="0"/>
          <w:numId w:val="1"/>
        </w:numPr>
        <w:rPr>
          <w:rStyle w:val="Strong"/>
          <w:b w:val="0"/>
          <w:bCs w:val="0"/>
        </w:rPr>
      </w:pPr>
      <w:r>
        <w:rPr>
          <w:rStyle w:val="Strong"/>
          <w:b w:val="0"/>
          <w:bCs w:val="0"/>
        </w:rPr>
        <w:t>Benton, M., &amp; Russell, M. (2013). Assessing the impact of parliamentary oversight committees: The select committees in the British House of Commons. Parliamentary Affairs, 66(4), 772-797.</w:t>
      </w:r>
    </w:p>
    <w:p w14:paraId="7E2604D8" w14:textId="18D6DF30" w:rsidR="00F32C37" w:rsidRDefault="00F32C37" w:rsidP="0000022C">
      <w:pPr>
        <w:pStyle w:val="ListParagraph"/>
        <w:numPr>
          <w:ilvl w:val="0"/>
          <w:numId w:val="1"/>
        </w:numPr>
        <w:rPr>
          <w:rStyle w:val="Strong"/>
          <w:b w:val="0"/>
          <w:bCs w:val="0"/>
        </w:rPr>
      </w:pPr>
      <w:r>
        <w:rPr>
          <w:rStyle w:val="Strong"/>
          <w:b w:val="0"/>
          <w:bCs w:val="0"/>
        </w:rPr>
        <w:t>Flinders, M. (2001). The politics of accountability in the modern state. Ashgate Publishing, Ltd.</w:t>
      </w:r>
    </w:p>
    <w:p w14:paraId="6C938B68" w14:textId="51332EC8" w:rsidR="00F32C37" w:rsidRPr="0000022C" w:rsidRDefault="00F32C37" w:rsidP="0000022C">
      <w:pPr>
        <w:pStyle w:val="ListParagraph"/>
        <w:numPr>
          <w:ilvl w:val="0"/>
          <w:numId w:val="1"/>
        </w:numPr>
        <w:rPr>
          <w:rStyle w:val="Strong"/>
          <w:b w:val="0"/>
          <w:bCs w:val="0"/>
        </w:rPr>
      </w:pPr>
      <w:r>
        <w:rPr>
          <w:rStyle w:val="Strong"/>
          <w:b w:val="0"/>
          <w:bCs w:val="0"/>
        </w:rPr>
        <w:t>Russell, M., &amp; Benton, M. (2011). Selective influence: The policy impact of House of Commons selects committees. Constitution Unit, UCL.</w:t>
      </w:r>
    </w:p>
    <w:sectPr w:rsidR="00F32C37" w:rsidRPr="00000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5421F"/>
    <w:multiLevelType w:val="hybridMultilevel"/>
    <w:tmpl w:val="035EA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5043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C524F"/>
    <w:rsid w:val="0000022C"/>
    <w:rsid w:val="00020355"/>
    <w:rsid w:val="0017655A"/>
    <w:rsid w:val="001C524F"/>
    <w:rsid w:val="001D7552"/>
    <w:rsid w:val="0028690A"/>
    <w:rsid w:val="003169ED"/>
    <w:rsid w:val="003619F0"/>
    <w:rsid w:val="003828C7"/>
    <w:rsid w:val="00473124"/>
    <w:rsid w:val="00482451"/>
    <w:rsid w:val="00491632"/>
    <w:rsid w:val="004D3485"/>
    <w:rsid w:val="00640F42"/>
    <w:rsid w:val="006A730B"/>
    <w:rsid w:val="00725FF0"/>
    <w:rsid w:val="00812B3E"/>
    <w:rsid w:val="008448EB"/>
    <w:rsid w:val="009518C2"/>
    <w:rsid w:val="009D0550"/>
    <w:rsid w:val="009D43D3"/>
    <w:rsid w:val="00A2785D"/>
    <w:rsid w:val="00A406DA"/>
    <w:rsid w:val="00C45F9A"/>
    <w:rsid w:val="00CA4225"/>
    <w:rsid w:val="00CD0DB5"/>
    <w:rsid w:val="00CF5512"/>
    <w:rsid w:val="00D7001D"/>
    <w:rsid w:val="00EF2D7D"/>
    <w:rsid w:val="00F10E99"/>
    <w:rsid w:val="00F32C37"/>
    <w:rsid w:val="00FD4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AFB33"/>
  <w15:chartTrackingRefBased/>
  <w15:docId w15:val="{099353F0-F05F-42B6-A1A9-873475FA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2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52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52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52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52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52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52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52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52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2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52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52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52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52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52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52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52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524F"/>
    <w:rPr>
      <w:rFonts w:eastAsiaTheme="majorEastAsia" w:cstheme="majorBidi"/>
      <w:color w:val="272727" w:themeColor="text1" w:themeTint="D8"/>
    </w:rPr>
  </w:style>
  <w:style w:type="paragraph" w:styleId="Title">
    <w:name w:val="Title"/>
    <w:basedOn w:val="Normal"/>
    <w:next w:val="Normal"/>
    <w:link w:val="TitleChar"/>
    <w:uiPriority w:val="10"/>
    <w:qFormat/>
    <w:rsid w:val="001C52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2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2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52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24F"/>
    <w:pPr>
      <w:spacing w:before="160"/>
      <w:jc w:val="center"/>
    </w:pPr>
    <w:rPr>
      <w:i/>
      <w:iCs/>
      <w:color w:val="404040" w:themeColor="text1" w:themeTint="BF"/>
    </w:rPr>
  </w:style>
  <w:style w:type="character" w:customStyle="1" w:styleId="QuoteChar">
    <w:name w:val="Quote Char"/>
    <w:basedOn w:val="DefaultParagraphFont"/>
    <w:link w:val="Quote"/>
    <w:uiPriority w:val="29"/>
    <w:rsid w:val="001C524F"/>
    <w:rPr>
      <w:i/>
      <w:iCs/>
      <w:color w:val="404040" w:themeColor="text1" w:themeTint="BF"/>
    </w:rPr>
  </w:style>
  <w:style w:type="paragraph" w:styleId="ListParagraph">
    <w:name w:val="List Paragraph"/>
    <w:basedOn w:val="Normal"/>
    <w:uiPriority w:val="34"/>
    <w:qFormat/>
    <w:rsid w:val="001C524F"/>
    <w:pPr>
      <w:ind w:left="720"/>
      <w:contextualSpacing/>
    </w:pPr>
  </w:style>
  <w:style w:type="character" w:styleId="IntenseEmphasis">
    <w:name w:val="Intense Emphasis"/>
    <w:basedOn w:val="DefaultParagraphFont"/>
    <w:uiPriority w:val="21"/>
    <w:qFormat/>
    <w:rsid w:val="001C524F"/>
    <w:rPr>
      <w:i/>
      <w:iCs/>
      <w:color w:val="0F4761" w:themeColor="accent1" w:themeShade="BF"/>
    </w:rPr>
  </w:style>
  <w:style w:type="paragraph" w:styleId="IntenseQuote">
    <w:name w:val="Intense Quote"/>
    <w:basedOn w:val="Normal"/>
    <w:next w:val="Normal"/>
    <w:link w:val="IntenseQuoteChar"/>
    <w:uiPriority w:val="30"/>
    <w:qFormat/>
    <w:rsid w:val="001C52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524F"/>
    <w:rPr>
      <w:i/>
      <w:iCs/>
      <w:color w:val="0F4761" w:themeColor="accent1" w:themeShade="BF"/>
    </w:rPr>
  </w:style>
  <w:style w:type="character" w:styleId="IntenseReference">
    <w:name w:val="Intense Reference"/>
    <w:basedOn w:val="DefaultParagraphFont"/>
    <w:uiPriority w:val="32"/>
    <w:qFormat/>
    <w:rsid w:val="001C524F"/>
    <w:rPr>
      <w:b/>
      <w:bCs/>
      <w:smallCaps/>
      <w:color w:val="0F4761" w:themeColor="accent1" w:themeShade="BF"/>
      <w:spacing w:val="5"/>
    </w:rPr>
  </w:style>
  <w:style w:type="character" w:styleId="SubtleEmphasis">
    <w:name w:val="Subtle Emphasis"/>
    <w:basedOn w:val="DefaultParagraphFont"/>
    <w:uiPriority w:val="19"/>
    <w:qFormat/>
    <w:rsid w:val="001C524F"/>
    <w:rPr>
      <w:i/>
      <w:iCs/>
      <w:color w:val="404040" w:themeColor="text1" w:themeTint="BF"/>
    </w:rPr>
  </w:style>
  <w:style w:type="character" w:styleId="Emphasis">
    <w:name w:val="Emphasis"/>
    <w:basedOn w:val="DefaultParagraphFont"/>
    <w:uiPriority w:val="20"/>
    <w:qFormat/>
    <w:rsid w:val="001C524F"/>
    <w:rPr>
      <w:i/>
      <w:iCs/>
    </w:rPr>
  </w:style>
  <w:style w:type="character" w:styleId="Strong">
    <w:name w:val="Strong"/>
    <w:basedOn w:val="DefaultParagraphFont"/>
    <w:uiPriority w:val="22"/>
    <w:qFormat/>
    <w:rsid w:val="001C524F"/>
    <w:rPr>
      <w:b/>
      <w:bCs/>
    </w:rPr>
  </w:style>
  <w:style w:type="character" w:styleId="Hyperlink">
    <w:name w:val="Hyperlink"/>
    <w:basedOn w:val="DefaultParagraphFont"/>
    <w:uiPriority w:val="99"/>
    <w:unhideWhenUsed/>
    <w:rsid w:val="0000022C"/>
    <w:rPr>
      <w:color w:val="467886" w:themeColor="hyperlink"/>
      <w:u w:val="single"/>
    </w:rPr>
  </w:style>
  <w:style w:type="character" w:styleId="UnresolvedMention">
    <w:name w:val="Unresolved Mention"/>
    <w:basedOn w:val="DefaultParagraphFont"/>
    <w:uiPriority w:val="99"/>
    <w:semiHidden/>
    <w:unhideWhenUsed/>
    <w:rsid w:val="000002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Politics_of_the_United_Kingdom" TargetMode="External"/><Relationship Id="rId5" Type="http://schemas.openxmlformats.org/officeDocument/2006/relationships/hyperlink" Target="https://www.indexmundi.com/united_kingdom/executive_branch.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1113</TotalTime>
  <Pages>5</Pages>
  <Words>2153</Words>
  <Characters>12275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2</cp:revision>
  <dcterms:created xsi:type="dcterms:W3CDTF">2024-03-11T23:41:00Z</dcterms:created>
  <dcterms:modified xsi:type="dcterms:W3CDTF">2024-03-15T14:42:00Z</dcterms:modified>
</cp:coreProperties>
</file>