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Segoe UI" w:cs="Arial"/>
          <w:i w:val="0"/>
          <w:iCs w:val="0"/>
          <w:caps w:val="0"/>
          <w:color w:val="101214"/>
          <w:spacing w:val="0"/>
          <w:sz w:val="24"/>
          <w:szCs w:val="24"/>
          <w:shd w:val="clear" w:fill="FFFFFF"/>
        </w:rPr>
      </w:pPr>
      <w:r>
        <w:rPr>
          <w:rFonts w:hint="default" w:ascii="Arial" w:hAnsi="Arial" w:eastAsia="Segoe UI" w:cs="Arial"/>
          <w:i w:val="0"/>
          <w:iCs w:val="0"/>
          <w:caps w:val="0"/>
          <w:color w:val="101214"/>
          <w:spacing w:val="0"/>
          <w:sz w:val="24"/>
          <w:szCs w:val="24"/>
          <w:shd w:val="clear" w:fill="FFFFFF"/>
        </w:rPr>
        <w:t xml:space="preserve">Leading and Developing People </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Segoe UI" w:cs="Arial"/>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Segoe UI" w:cs="Arial"/>
          <w:i w:val="0"/>
          <w:iCs w:val="0"/>
          <w:caps w:val="0"/>
          <w:color w:val="101214"/>
          <w:spacing w:val="0"/>
          <w:sz w:val="24"/>
          <w:szCs w:val="24"/>
          <w:shd w:val="clear" w:fill="FFFFFF"/>
        </w:rPr>
      </w:pPr>
      <w:r>
        <w:rPr>
          <w:rFonts w:hint="default" w:ascii="Arial" w:hAnsi="Arial" w:eastAsia="Segoe UI" w:cs="Arial"/>
          <w:i w:val="0"/>
          <w:iCs w:val="0"/>
          <w:caps w:val="0"/>
          <w:color w:val="101214"/>
          <w:spacing w:val="0"/>
          <w:sz w:val="24"/>
          <w:szCs w:val="24"/>
          <w:shd w:val="clear" w:fill="FFFFFF"/>
        </w:rPr>
        <w:t>BMBM6012</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r>
        <w:rPr>
          <w:rFonts w:hint="default" w:ascii="Arial" w:hAnsi="Arial" w:eastAsia="宋体" w:cs="Arial"/>
          <w:i w:val="0"/>
          <w:iCs w:val="0"/>
          <w:caps w:val="0"/>
          <w:color w:val="101214"/>
          <w:spacing w:val="0"/>
          <w:sz w:val="24"/>
          <w:szCs w:val="24"/>
          <w:shd w:val="clear" w:fill="FFFFFF"/>
          <w:lang w:val="en-US" w:eastAsia="zh-CN"/>
        </w:rPr>
        <w:t xml:space="preserve">Zhenwei Zhang </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r>
        <w:rPr>
          <w:rFonts w:hint="default" w:ascii="Arial" w:hAnsi="Arial" w:eastAsia="宋体" w:cs="Arial"/>
          <w:i w:val="0"/>
          <w:iCs w:val="0"/>
          <w:caps w:val="0"/>
          <w:color w:val="101214"/>
          <w:spacing w:val="0"/>
          <w:sz w:val="24"/>
          <w:szCs w:val="24"/>
          <w:shd w:val="clear" w:fill="FFFFFF"/>
          <w:lang w:val="en-US" w:eastAsia="zh-CN"/>
        </w:rPr>
        <w:t>2200243</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bookmarkStart w:id="0" w:name="OLE_LINK2"/>
      <w:r>
        <w:rPr>
          <w:rFonts w:hint="default" w:ascii="Arial" w:hAnsi="Arial" w:eastAsia="宋体" w:cs="Arial"/>
          <w:i w:val="0"/>
          <w:iCs w:val="0"/>
          <w:caps w:val="0"/>
          <w:color w:val="101214"/>
          <w:spacing w:val="0"/>
          <w:sz w:val="24"/>
          <w:szCs w:val="24"/>
          <w:shd w:val="clear" w:fill="FFFFFF"/>
          <w:lang w:val="en-US" w:eastAsia="zh-CN"/>
        </w:rPr>
        <w:t>https://uowtsd.sharepoint.com/:v:/r/teams/msteams_3073d3_GRP/Shared%20Documents/General/Recordings/%E6%96%B0%E9%A2%91%E9%81%93%E4%BC%9A%E8%AE%AE-20230720_173809-%E4%BC%9A%E8%AE%AE%E8%AE%B0%E5%BD%95.mp4?csf=1&amp;web=1&amp;e=xeQxZR</w:t>
      </w:r>
    </w:p>
    <w:bookmarkEnd w:id="0"/>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Segoe UI" w:cs="Arial"/>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sdt>
      <w:sdtPr>
        <w:rPr>
          <w:rFonts w:hint="default" w:ascii="宋体" w:hAnsi="宋体" w:eastAsia="宋体" w:cstheme="minorBidi"/>
          <w:kern w:val="2"/>
          <w:sz w:val="21"/>
          <w:szCs w:val="24"/>
          <w:lang w:val="en-US" w:eastAsia="zh-CN" w:bidi="ar-SA"/>
        </w:rPr>
        <w:id w:val="147467178"/>
        <w15:color w:val="DBDBDB"/>
        <w:docPartObj>
          <w:docPartGallery w:val="Table of Contents"/>
          <w:docPartUnique/>
        </w:docPartObj>
      </w:sdtPr>
      <w:sdtEndPr>
        <w:rPr>
          <w:rFonts w:hint="default" w:ascii="Arial" w:hAnsi="Arial" w:cs="Arial" w:eastAsiaTheme="minorEastAsia"/>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bookmarkStart w:id="7" w:name="_GoBack"/>
          <w:bookmarkEnd w:id="7"/>
          <w:r>
            <w:rPr>
              <w:rFonts w:hint="eastAsia" w:ascii="宋体" w:hAnsi="宋体" w:eastAsia="宋体" w:cstheme="minorBidi"/>
              <w:kern w:val="2"/>
              <w:sz w:val="21"/>
              <w:szCs w:val="24"/>
              <w:lang w:val="en-US" w:eastAsia="zh-CN" w:bidi="ar-SA"/>
            </w:rPr>
            <w:t>content</w:t>
          </w:r>
        </w:p>
        <w:p>
          <w:pPr>
            <w:pStyle w:val="3"/>
            <w:tabs>
              <w:tab w:val="right" w:leader="dot" w:pos="8306"/>
            </w:tabs>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"1-1" \h \u </w:instrText>
          </w:r>
          <w:r>
            <w:rPr>
              <w:rFonts w:hint="default" w:ascii="Arial" w:hAnsi="Arial" w:cs="Arial"/>
              <w:sz w:val="24"/>
              <w:szCs w:val="24"/>
              <w:lang w:val="en-US" w:eastAsia="zh-CN"/>
            </w:rPr>
            <w:fldChar w:fldCharType="separate"/>
          </w: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_Toc10538 </w:instrText>
          </w:r>
          <w:r>
            <w:rPr>
              <w:rFonts w:hint="default" w:ascii="Arial" w:hAnsi="Arial" w:cs="Arial"/>
              <w:szCs w:val="24"/>
              <w:lang w:val="en-US" w:eastAsia="zh-CN"/>
            </w:rPr>
            <w:fldChar w:fldCharType="separate"/>
          </w:r>
          <w:r>
            <w:rPr>
              <w:rFonts w:hint="default"/>
              <w:lang w:val="en-US" w:eastAsia="zh-CN"/>
            </w:rPr>
            <w:t>1.0 Glasgow needs in the present and future</w:t>
          </w:r>
          <w:r>
            <w:tab/>
          </w:r>
          <w:r>
            <w:fldChar w:fldCharType="begin"/>
          </w:r>
          <w:r>
            <w:instrText xml:space="preserve"> PAGEREF _Toc10538 \h </w:instrText>
          </w:r>
          <w:r>
            <w:fldChar w:fldCharType="separate"/>
          </w:r>
          <w:r>
            <w:t>3</w:t>
          </w:r>
          <w:r>
            <w:fldChar w:fldCharType="end"/>
          </w:r>
          <w:r>
            <w:rPr>
              <w:rFonts w:hint="default" w:ascii="Arial" w:hAnsi="Arial" w:cs="Arial"/>
              <w:szCs w:val="24"/>
              <w:lang w:val="en-US" w:eastAsia="zh-CN"/>
            </w:rPr>
            <w:fldChar w:fldCharType="end"/>
          </w:r>
        </w:p>
        <w:p>
          <w:pPr>
            <w:pStyle w:val="3"/>
            <w:tabs>
              <w:tab w:val="right" w:leader="dot" w:pos="8306"/>
            </w:tabs>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_Toc28182 </w:instrText>
          </w:r>
          <w:r>
            <w:rPr>
              <w:rFonts w:hint="default" w:ascii="Arial" w:hAnsi="Arial" w:cs="Arial"/>
              <w:szCs w:val="24"/>
              <w:lang w:val="en-US" w:eastAsia="zh-CN"/>
            </w:rPr>
            <w:fldChar w:fldCharType="separate"/>
          </w:r>
          <w:r>
            <w:rPr>
              <w:rFonts w:hint="default"/>
              <w:lang w:val="en-US" w:eastAsia="zh-CN"/>
            </w:rPr>
            <w:t>2.0  Glasgow's strategy</w:t>
          </w:r>
          <w:r>
            <w:tab/>
          </w:r>
          <w:r>
            <w:fldChar w:fldCharType="begin"/>
          </w:r>
          <w:r>
            <w:instrText xml:space="preserve"> PAGEREF _Toc28182 \h </w:instrText>
          </w:r>
          <w:r>
            <w:fldChar w:fldCharType="separate"/>
          </w:r>
          <w:r>
            <w:t>5</w:t>
          </w:r>
          <w:r>
            <w:fldChar w:fldCharType="end"/>
          </w:r>
          <w:r>
            <w:rPr>
              <w:rFonts w:hint="default" w:ascii="Arial" w:hAnsi="Arial" w:cs="Arial"/>
              <w:szCs w:val="24"/>
              <w:lang w:val="en-US" w:eastAsia="zh-CN"/>
            </w:rPr>
            <w:fldChar w:fldCharType="end"/>
          </w:r>
        </w:p>
        <w:p>
          <w:pPr>
            <w:pStyle w:val="3"/>
            <w:tabs>
              <w:tab w:val="right" w:leader="dot" w:pos="8306"/>
            </w:tabs>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_Toc27223 </w:instrText>
          </w:r>
          <w:r>
            <w:rPr>
              <w:rFonts w:hint="default" w:ascii="Arial" w:hAnsi="Arial" w:cs="Arial"/>
              <w:szCs w:val="24"/>
              <w:lang w:val="en-US" w:eastAsia="zh-CN"/>
            </w:rPr>
            <w:fldChar w:fldCharType="separate"/>
          </w:r>
          <w:r>
            <w:rPr>
              <w:rFonts w:hint="default"/>
              <w:lang w:val="en-US" w:eastAsia="zh-CN"/>
            </w:rPr>
            <w:t>3.0 Limitations of the learning and development framework</w:t>
          </w:r>
          <w:r>
            <w:tab/>
          </w:r>
          <w:r>
            <w:fldChar w:fldCharType="begin"/>
          </w:r>
          <w:r>
            <w:instrText xml:space="preserve"> PAGEREF _Toc27223 \h </w:instrText>
          </w:r>
          <w:r>
            <w:fldChar w:fldCharType="separate"/>
          </w:r>
          <w:r>
            <w:t>8</w:t>
          </w:r>
          <w:r>
            <w:fldChar w:fldCharType="end"/>
          </w:r>
          <w:r>
            <w:rPr>
              <w:rFonts w:hint="default" w:ascii="Arial" w:hAnsi="Arial" w:cs="Arial"/>
              <w:szCs w:val="24"/>
              <w:lang w:val="en-US" w:eastAsia="zh-CN"/>
            </w:rPr>
            <w:fldChar w:fldCharType="end"/>
          </w:r>
        </w:p>
        <w:p>
          <w:pPr>
            <w:pStyle w:val="3"/>
            <w:tabs>
              <w:tab w:val="right" w:leader="dot" w:pos="8306"/>
            </w:tabs>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_Toc30074 </w:instrText>
          </w:r>
          <w:r>
            <w:rPr>
              <w:rFonts w:hint="default" w:ascii="Arial" w:hAnsi="Arial" w:cs="Arial"/>
              <w:szCs w:val="24"/>
              <w:lang w:val="en-US" w:eastAsia="zh-CN"/>
            </w:rPr>
            <w:fldChar w:fldCharType="separate"/>
          </w:r>
          <w:r>
            <w:rPr>
              <w:rFonts w:hint="default"/>
              <w:lang w:val="en-US" w:eastAsia="zh-CN"/>
            </w:rPr>
            <w:t>4.0 Summary</w:t>
          </w:r>
          <w:r>
            <w:tab/>
          </w:r>
          <w:r>
            <w:fldChar w:fldCharType="begin"/>
          </w:r>
          <w:r>
            <w:instrText xml:space="preserve"> PAGEREF _Toc30074 \h </w:instrText>
          </w:r>
          <w:r>
            <w:fldChar w:fldCharType="separate"/>
          </w:r>
          <w:r>
            <w:t>10</w:t>
          </w:r>
          <w:r>
            <w:fldChar w:fldCharType="end"/>
          </w:r>
          <w:r>
            <w:rPr>
              <w:rFonts w:hint="default" w:ascii="Arial" w:hAnsi="Arial" w:cs="Arial"/>
              <w:szCs w:val="24"/>
              <w:lang w:val="en-US" w:eastAsia="zh-CN"/>
            </w:rPr>
            <w:fldChar w:fldCharType="end"/>
          </w:r>
        </w:p>
        <w:p>
          <w:pPr>
            <w:pStyle w:val="3"/>
            <w:tabs>
              <w:tab w:val="right" w:leader="dot" w:pos="8306"/>
            </w:tabs>
          </w:pPr>
          <w:r>
            <w:rPr>
              <w:rFonts w:hint="default" w:ascii="Arial" w:hAnsi="Arial" w:cs="Arial"/>
              <w:szCs w:val="24"/>
              <w:lang w:val="en-US" w:eastAsia="zh-CN"/>
            </w:rPr>
            <w:fldChar w:fldCharType="begin"/>
          </w:r>
          <w:r>
            <w:rPr>
              <w:rFonts w:hint="default" w:ascii="Arial" w:hAnsi="Arial" w:cs="Arial"/>
              <w:szCs w:val="24"/>
              <w:lang w:val="en-US" w:eastAsia="zh-CN"/>
            </w:rPr>
            <w:instrText xml:space="preserve"> HYPERLINK \l _Toc29072 </w:instrText>
          </w:r>
          <w:r>
            <w:rPr>
              <w:rFonts w:hint="default" w:ascii="Arial" w:hAnsi="Arial" w:cs="Arial"/>
              <w:szCs w:val="24"/>
              <w:lang w:val="en-US" w:eastAsia="zh-CN"/>
            </w:rPr>
            <w:fldChar w:fldCharType="separate"/>
          </w:r>
          <w:r>
            <w:rPr>
              <w:rFonts w:hint="default"/>
              <w:lang w:val="en-US" w:eastAsia="zh-CN"/>
            </w:rPr>
            <w:t>5.0 Reference</w:t>
          </w:r>
          <w:r>
            <w:tab/>
          </w:r>
          <w:r>
            <w:fldChar w:fldCharType="begin"/>
          </w:r>
          <w:r>
            <w:instrText xml:space="preserve"> PAGEREF _Toc29072 \h </w:instrText>
          </w:r>
          <w:r>
            <w:fldChar w:fldCharType="separate"/>
          </w:r>
          <w:r>
            <w:t>11</w:t>
          </w:r>
          <w:r>
            <w:fldChar w:fldCharType="end"/>
          </w:r>
          <w:r>
            <w:rPr>
              <w:rFonts w:hint="default" w:ascii="Arial" w:hAnsi="Arial" w:cs="Arial"/>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Cs w:val="24"/>
              <w:lang w:val="en-US" w:eastAsia="zh-CN"/>
            </w:rPr>
            <w:fldChar w:fldCharType="end"/>
          </w:r>
        </w:p>
      </w:sdtContent>
    </w:sdt>
    <w:p>
      <w:pPr>
        <w:pStyle w:val="2"/>
        <w:bidi w:val="0"/>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rPr>
          <w:rFonts w:hint="default"/>
          <w:lang w:val="en-US" w:eastAsia="zh-CN"/>
        </w:rPr>
      </w:pPr>
    </w:p>
    <w:p>
      <w:pPr>
        <w:rPr>
          <w:rFonts w:hint="default"/>
          <w:lang w:val="en-US" w:eastAsia="zh-CN"/>
        </w:rPr>
      </w:pPr>
    </w:p>
    <w:p>
      <w:pPr>
        <w:rPr>
          <w:rFonts w:hint="default"/>
          <w:lang w:val="en-US" w:eastAsia="zh-CN"/>
        </w:rPr>
      </w:pPr>
    </w:p>
    <w:p>
      <w:pPr>
        <w:pStyle w:val="2"/>
        <w:bidi w:val="0"/>
        <w:rPr>
          <w:rFonts w:hint="default"/>
          <w:lang w:val="en-US" w:eastAsia="zh-CN"/>
        </w:rPr>
      </w:pPr>
      <w:bookmarkStart w:id="1" w:name="_Toc10538"/>
      <w:r>
        <w:rPr>
          <w:rFonts w:hint="default"/>
          <w:lang w:val="en-US" w:eastAsia="zh-CN"/>
        </w:rPr>
        <w:t>1.0 Glasgow needs in the present and future</w:t>
      </w:r>
      <w:bookmarkEnd w:id="1"/>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In terms of the current needs of Glasgow University, the most important thing Glasgow needs is to attract and retain high-quality staff. Because high-quality employees can better grasp the work skills and knowledge, improve work efficiency. Secondly, high-quality employees can have better innovation ability and entrepreneurial spirit, and inject new vitality into the development of enterprises. Finally, high-quality employees can better integrate into the corporate culture, enhance corporate cohesion and centripetal force, which is conducive to the long-term development of enterprises.(Kane, et al., 2018).  </w:t>
      </w:r>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Second, facing the future needs of Glasgow, Glasgow needs to change the organizational culture. In addition to attracting and retaining high-quality employees, Glasgow should also ensure the good development of the business through various means. Good compensation can be used to further retain employees, and second, to build leadership and ensure capacity development.</w:t>
      </w:r>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Open to learning: “The distance between number one and number two is always a constant. If you want to improve the organization, you have to improve yourself and the organization gets pulled up with you. That is a big lesson. I cannot just expect the organization to improve if I don’t improve myself and lift the organization, because that distance is a constant” (Burnison, 2011).</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pStyle w:val="2"/>
        <w:bidi w:val="0"/>
        <w:rPr>
          <w:rFonts w:hint="default"/>
          <w:lang w:val="en-US" w:eastAsia="zh-CN"/>
        </w:rPr>
      </w:pPr>
      <w:bookmarkStart w:id="2" w:name="_Toc28182"/>
      <w:r>
        <w:rPr>
          <w:rFonts w:hint="default"/>
          <w:lang w:val="en-US" w:eastAsia="zh-CN"/>
        </w:rPr>
        <w:t>2.0  Glasgow's strategy</w:t>
      </w:r>
      <w:bookmarkEnd w:id="2"/>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These issues are well identified and come up in the discussion. First, the University of Glasgow uses the best recruitment and retention methods. For example, in the aspect of recruitment, the school establishes a direct relationship with media suppliers and improves the reputation and popularity of the school through advertisement placement, so as to better attract excellent employees. In terms of retention, to provide a work environment in which workload is distributed efficiently and equitably, allowing managers and employees to engage in meaningful, challenging and achievable workload activities, including recognition and appreciation of work-life balance. In the future development of the University, this strategy is also the way to help Glasgow University to achieve effective competition. (C. Argyris. 1977)</w:t>
      </w:r>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Second, in terms of performance and remuneration, a fair performance appraisal and satisfactory remuneration are the criteria for employees to decide whether to leave or not. Glasgow has a flexible and responsive approach to rewards and an ability to identify excellence, effectively implementing the Framework Agreement, including uniform pay scales, consistent job evaluation, uniform terms and conditions of employment, and performance-related pay through objective rewards and recognition. For example, maintain effective supervision of "people" and promote the development of universities at the cost of ensuring future interests. "People" costs now account for 53 per cent of turnover; These have remained below 60% for five years. These flexible strategies can improve the consistency between pay and performance across all job types. Implement a "simple and easy to understand" compensation and flexible benefits framework for staff to match the University's strategy now and in the future. </w:t>
      </w:r>
      <w:bookmarkStart w:id="3" w:name="OLE_LINK1"/>
      <w:r>
        <w:rPr>
          <w:rFonts w:hint="default" w:ascii="Arial" w:hAnsi="Arial" w:cs="Arial"/>
          <w:sz w:val="24"/>
          <w:szCs w:val="24"/>
          <w:lang w:val="en-US" w:eastAsia="zh-CN"/>
        </w:rPr>
        <w:t>( P. Senge , 1992)</w:t>
      </w:r>
      <w:bookmarkEnd w:id="3"/>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eastAsia="宋体" w:cs="Arial"/>
          <w:i w:val="0"/>
          <w:iCs w:val="0"/>
          <w:caps w:val="0"/>
          <w:color w:val="101214"/>
          <w:spacing w:val="0"/>
          <w:sz w:val="24"/>
          <w:szCs w:val="24"/>
          <w:shd w:val="clear" w:fill="FFFFFF"/>
          <w:lang w:eastAsia="zh-CN"/>
        </w:rPr>
      </w:pPr>
      <w:r>
        <w:rPr>
          <w:rFonts w:hint="default" w:ascii="Arial" w:hAnsi="Arial" w:cs="Arial"/>
          <w:sz w:val="24"/>
          <w:szCs w:val="24"/>
          <w:lang w:val="en-US" w:eastAsia="zh-CN"/>
        </w:rPr>
        <w:t>Third, in a strategy to change organizational culture, Glasgow developed a leadership and management framework for line managers at all levels to achieve and promote effective management of teams. By applying a comprehensive organizational development framework, Glasgow can maximize the capabilities of all employees and develop leadership skills to build world-class strategic leadership. Thus helping Glasgow support and build world-class management and leadership capabilities/competencies to develop talented and inspiring leaders to support collaborative work, build resilience and embrace change.</w:t>
      </w:r>
      <w:r>
        <w:rPr>
          <w:rFonts w:hint="default" w:ascii="Arial" w:hAnsi="Arial" w:eastAsia="宋体" w:cs="Arial"/>
          <w:i w:val="0"/>
          <w:iCs w:val="0"/>
          <w:caps w:val="0"/>
          <w:color w:val="101214"/>
          <w:spacing w:val="0"/>
          <w:sz w:val="24"/>
          <w:szCs w:val="24"/>
          <w:shd w:val="clear" w:fill="FFFFFF"/>
          <w:lang w:eastAsia="zh-CN"/>
        </w:rPr>
        <w:t>As organisations strive for effective collaboration across boundaries, leaders must look beyond the organisational chart to the invisible informal networks supporting the organisation (Cross, et al., 2013; Cullen, et al., 2014). </w:t>
      </w:r>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eastAsia="宋体"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pStyle w:val="2"/>
        <w:bidi w:val="0"/>
        <w:rPr>
          <w:rFonts w:hint="default"/>
          <w:lang w:val="en-US" w:eastAsia="zh-CN"/>
        </w:rPr>
      </w:pPr>
      <w:bookmarkStart w:id="4" w:name="_Toc27223"/>
      <w:r>
        <w:rPr>
          <w:rFonts w:hint="default"/>
          <w:lang w:val="en-US" w:eastAsia="zh-CN"/>
        </w:rPr>
        <w:t>3.0 Limitations of the learning and development framework</w:t>
      </w:r>
      <w:bookmarkEnd w:id="4"/>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eastAsia="宋体" w:cs="Arial"/>
          <w:i w:val="0"/>
          <w:iCs w:val="0"/>
          <w:caps w:val="0"/>
          <w:color w:val="101214"/>
          <w:spacing w:val="0"/>
          <w:sz w:val="24"/>
          <w:szCs w:val="24"/>
          <w:shd w:val="clear" w:fill="FFFFFF"/>
          <w:lang w:val="en-US" w:eastAsia="zh-CN"/>
        </w:rPr>
      </w:pPr>
      <w:r>
        <w:rPr>
          <w:rFonts w:hint="default" w:ascii="Arial" w:hAnsi="Arial" w:eastAsia="Segoe UI" w:cs="Arial"/>
          <w:i w:val="0"/>
          <w:iCs w:val="0"/>
          <w:caps w:val="0"/>
          <w:color w:val="101214"/>
          <w:spacing w:val="0"/>
          <w:sz w:val="24"/>
          <w:szCs w:val="24"/>
          <w:shd w:val="clear" w:fill="FFFFFF"/>
        </w:rPr>
        <w:t>British education management expert David Hopkins and others found in their research that when school development planning first appeared, it had already attracted criticism from many scholars: "There are concerns that school development planning has a clearly bureaucratic and prescriptive character", "it has a tendency to distort the nature of educational change and is" hyper-rational ", "it is not suitable for some school environments, it requires some type of mandatory change". These situations show that the school development planning has its own limitations, including the planning theory has not reached the complete scientific level. Despite the insistence of many scholars, the process of school development planning is a process of rational decision-making, which is the greatest value of school development planning. However, many phenomena in the planning process also tell us that the biggest problem in school development planning is that people do not pay enough attention to the complexity of planning activities, and many things in planning activities cannot be solved by reason alone. This has to do with the fact that planning theory itself has not yet reached a fully scientific level. For example, there is a development strategy embedded with internationalization in the Learning and Development framework, but this is not good advice for some smaller schools, because it will make the development of the school more complicated and may affect the development of the school.</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pStyle w:val="2"/>
        <w:bidi w:val="0"/>
        <w:rPr>
          <w:rFonts w:hint="default"/>
          <w:lang w:val="en-US" w:eastAsia="zh-CN"/>
        </w:rPr>
      </w:pPr>
      <w:bookmarkStart w:id="5" w:name="_Toc30074"/>
      <w:r>
        <w:rPr>
          <w:rFonts w:hint="default"/>
          <w:lang w:val="en-US" w:eastAsia="zh-CN"/>
        </w:rPr>
        <w:t>4.0 Summary</w:t>
      </w:r>
      <w:bookmarkEnd w:id="5"/>
    </w:p>
    <w:p>
      <w:pPr>
        <w:keepNext w:val="0"/>
        <w:keepLines w:val="0"/>
        <w:pageBreakBefore w:val="0"/>
        <w:widowControl w:val="0"/>
        <w:kinsoku/>
        <w:wordWrap/>
        <w:overflowPunct/>
        <w:topLinePunct w:val="0"/>
        <w:autoSpaceDE/>
        <w:autoSpaceDN/>
        <w:bidi w:val="0"/>
        <w:adjustRightInd/>
        <w:snapToGrid/>
        <w:spacing w:line="600" w:lineRule="auto"/>
        <w:ind w:firstLine="420" w:firstLineChars="0"/>
        <w:textAlignment w:val="auto"/>
        <w:rPr>
          <w:rFonts w:hint="default" w:ascii="Arial" w:hAnsi="Arial" w:eastAsia="宋体" w:cs="Arial"/>
          <w:i w:val="0"/>
          <w:iCs w:val="0"/>
          <w:caps w:val="0"/>
          <w:color w:val="101214"/>
          <w:spacing w:val="0"/>
          <w:sz w:val="24"/>
          <w:szCs w:val="24"/>
          <w:lang w:val="en-US" w:eastAsia="zh-CN"/>
        </w:rPr>
      </w:pPr>
      <w:r>
        <w:rPr>
          <w:rFonts w:hint="default" w:ascii="Arial" w:hAnsi="Arial" w:eastAsia="宋体" w:cs="Arial"/>
          <w:i w:val="0"/>
          <w:iCs w:val="0"/>
          <w:caps w:val="0"/>
          <w:color w:val="101214"/>
          <w:spacing w:val="0"/>
          <w:sz w:val="24"/>
          <w:szCs w:val="24"/>
          <w:shd w:val="clear" w:fill="FFFFFF"/>
          <w:lang w:val="en-US" w:eastAsia="zh-CN"/>
        </w:rPr>
        <w:t>To sum up, in the face of the current needs of Glasgow, I think attracting and retaining good people is the most basic need. Excellent employees can better adapt to the needs of enterprises, improve production efficiency and service quality, so as to improve the competitiveness of enterprises and market share. Secondly, a good leader and a fair and flexible reward system are what Glasgow needs to continuously optimize in the future. Finally, schools should collect enough information and data before planning development strategies to design scientific development plans that fit their own needs, rather than blindly imitating them.</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i w:val="0"/>
          <w:iCs w:val="0"/>
          <w:caps w:val="0"/>
          <w:color w:val="101214"/>
          <w:spacing w:val="0"/>
          <w:sz w:val="24"/>
          <w:szCs w:val="24"/>
          <w:lang w:val="en-US" w:eastAsia="zh-CN"/>
        </w:rPr>
      </w:pPr>
    </w:p>
    <w:p>
      <w:pPr>
        <w:pStyle w:val="2"/>
        <w:bidi w:val="0"/>
        <w:rPr>
          <w:rFonts w:hint="default"/>
          <w:lang w:val="en-US" w:eastAsia="zh-CN"/>
        </w:rPr>
      </w:pPr>
      <w:bookmarkStart w:id="6" w:name="_Toc29072"/>
      <w:r>
        <w:rPr>
          <w:rFonts w:hint="default"/>
          <w:lang w:val="en-US" w:eastAsia="zh-CN"/>
        </w:rPr>
        <w:t>5.0 Reference</w:t>
      </w:r>
      <w:bookmarkEnd w:id="6"/>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sz w:val="24"/>
          <w:szCs w:val="24"/>
        </w:rPr>
      </w:pPr>
      <w:r>
        <w:rPr>
          <w:rFonts w:hint="default" w:ascii="Arial" w:hAnsi="Arial" w:eastAsia="宋体" w:cs="Arial"/>
          <w:i w:val="0"/>
          <w:iCs w:val="0"/>
          <w:caps w:val="0"/>
          <w:color w:val="101214"/>
          <w:spacing w:val="0"/>
          <w:sz w:val="24"/>
          <w:szCs w:val="24"/>
          <w:lang w:val="en-US" w:eastAsia="zh-CN"/>
        </w:rPr>
        <w:t xml:space="preserve">1. </w:t>
      </w:r>
      <w:r>
        <w:rPr>
          <w:rFonts w:hint="default" w:ascii="Arial" w:hAnsi="Arial" w:eastAsia="宋体" w:cs="Arial"/>
          <w:sz w:val="24"/>
          <w:szCs w:val="24"/>
        </w:rPr>
        <w:t>Argyris, C. (1977) Double loop learning on organizations. Harvard Business Review. September–October. pp115–25</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2.</w:t>
      </w:r>
      <w:r>
        <w:rPr>
          <w:rFonts w:hint="default" w:ascii="Arial" w:hAnsi="Arial" w:eastAsia="宋体" w:cs="Arial"/>
          <w:sz w:val="24"/>
          <w:szCs w:val="24"/>
        </w:rPr>
        <w:t>Campbell, T. and Cairns, H. (1994) Developing and measuring the learning organization: from buzz words to behaviours. Industrial and Commercial Training. Vol 26, No 7. pp10–15</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3. Cashman, K. (2013). The Five Dimensions of Learning-Agile Leaders. Available at: https://www.forbes.com/sites/kevincashman/2013/04/03/the-five-dimensions-of-learning-agile-leaders/#3e22b6f47457 (Accessed 24th June 2023). </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4. Clarke, N., 2013. Model of complexity leadership development. Human Resource Development International, 16(2), pp. 135-150.</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5. Flaum, J.P. &amp; Winkler, B. (2015) Improve Your Ability to Learn. Available at: https://hbr.org/2015/06/improve-your-ability-to-learn (Accessed 24th June 2023). </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 xml:space="preserve">6. </w:t>
      </w:r>
      <w:r>
        <w:rPr>
          <w:rFonts w:hint="default" w:ascii="Arial" w:hAnsi="Arial" w:eastAsia="宋体" w:cs="Arial"/>
          <w:sz w:val="24"/>
          <w:szCs w:val="24"/>
        </w:rPr>
        <w:t>Islam, T., Khan, S.R., Ahmad, U.N.U.B. and Ahmed, I. (2013) Organisational learning culture and leader-member exchange quality: the way to enhance organisational commitment and reduce turnover intentions. The Learning Organization. Vol 20, No 4/5. pp322–37</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7.Owen, J. (2020) Resilience: 10 habits to thrive in life and work, Harlow: Pearson Education Limited.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 xml:space="preserve">8. </w:t>
      </w:r>
      <w:r>
        <w:rPr>
          <w:rFonts w:hint="default" w:ascii="Arial" w:hAnsi="Arial" w:eastAsia="宋体" w:cs="Arial"/>
          <w:sz w:val="24"/>
          <w:szCs w:val="24"/>
        </w:rPr>
        <w:t>Senge, P. (1992) Building the learning organization. Journal for Quality and Participation. Vol 15, No 2. pp30–38.</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9.</w:t>
      </w:r>
      <w:r>
        <w:rPr>
          <w:rFonts w:hint="default" w:ascii="Arial" w:hAnsi="Arial" w:eastAsia="宋体" w:cs="Arial"/>
          <w:sz w:val="24"/>
          <w:szCs w:val="24"/>
        </w:rPr>
        <w:t>Watkins, K.E. and Marsick, V.J. (1993) Sculpting the learning organization: lessons in the art and science of systemic change. San Francisco: Jossey-Bass</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10. Williams, P., 2002. The Competent Boundary Spanner. Public Administration, 80(1), pp. 103-124. </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 xml:space="preserve">11. </w:t>
      </w:r>
      <w:r>
        <w:rPr>
          <w:rFonts w:hint="default" w:ascii="Arial" w:hAnsi="Arial" w:eastAsia="宋体" w:cs="Arial"/>
          <w:sz w:val="24"/>
          <w:szCs w:val="24"/>
        </w:rPr>
        <w:t>Yang, B. (2003) Identifying valid and reliable measures for dimensions of a learning culture. Advances in Developing Human Resources. Vol 5, No 2. pp152–62.</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12. Yip, J., Ernst, C. &amp; Campbell, M., 2016. Boundary Spanning Leadership, Greensboro: Centre for Creative Leadership.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eastAsia="宋体" w:cs="Arial"/>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NiYTdiZjQ2YzM3NjU2NDY2OGFlMGIzOGI1MzI5NTIifQ=="/>
  </w:docVars>
  <w:rsids>
    <w:rsidRoot w:val="139B1EAF"/>
    <w:rsid w:val="02701BCF"/>
    <w:rsid w:val="139B1EAF"/>
    <w:rsid w:val="143A317E"/>
    <w:rsid w:val="31442AF1"/>
    <w:rsid w:val="31814B5F"/>
    <w:rsid w:val="4FA964E9"/>
    <w:rsid w:val="53FB54F9"/>
    <w:rsid w:val="69F4490E"/>
    <w:rsid w:val="72770970"/>
    <w:rsid w:val="739C3AEB"/>
    <w:rsid w:val="77B96621"/>
    <w:rsid w:val="7CE85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oc 1"/>
    <w:basedOn w:val="1"/>
    <w:next w:val="1"/>
    <w:uiPriority w:val="0"/>
  </w:style>
  <w:style w:type="character" w:styleId="6">
    <w:name w:val="Hyperlink"/>
    <w:basedOn w:val="5"/>
    <w:qFormat/>
    <w:uiPriority w:val="0"/>
    <w:rPr>
      <w:color w:val="0000FF"/>
      <w:u w:val="single"/>
    </w:rPr>
  </w:style>
  <w:style w:type="paragraph" w:customStyle="1" w:styleId="7">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1178</Words>
  <Characters>7259</Characters>
  <Lines>0</Lines>
  <Paragraphs>0</Paragraphs>
  <TotalTime>0</TotalTime>
  <ScaleCrop>false</ScaleCrop>
  <LinksUpToDate>false</LinksUpToDate>
  <CharactersWithSpaces>8418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2023-04-29T07:19:00Z</dcterms:created>
  <dc:creator>无量电仙</dc:creator>
  <cp:lastModifiedBy>无量电仙</cp:lastModifiedBy>
  <dcterms:modified xsi:type="dcterms:W3CDTF">2023-07-20T14:01:51Z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7F78914449734741BD2382B7BB74147C_13</vt:lpwstr>
  </property>
</Properties>
</file>