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831D6" w14:textId="77777777" w:rsidR="00291766" w:rsidRDefault="008D3D19">
      <w:pPr>
        <w:jc w:val="both"/>
        <w:rPr>
          <w:rFonts w:ascii="Times New Roman" w:eastAsia="Times New Roman" w:hAnsi="Times New Roman" w:cs="Times New Roman"/>
        </w:rPr>
      </w:pPr>
      <w:r>
        <w:rPr>
          <w:rFonts w:asciiTheme="minorHAnsi" w:eastAsia="Times New Roman" w:hAnsiTheme="minorHAnsi" w:cs="Times New Roman"/>
        </w:rPr>
        <w:tab/>
      </w:r>
    </w:p>
    <w:p w14:paraId="377CB73C" w14:textId="77777777" w:rsidR="00291766" w:rsidRDefault="00291766">
      <w:pPr>
        <w:jc w:val="both"/>
        <w:rPr>
          <w:rFonts w:ascii="Times New Roman" w:eastAsia="Times New Roman" w:hAnsi="Times New Roman" w:cs="Times New Roman"/>
        </w:rPr>
      </w:pPr>
    </w:p>
    <w:p w14:paraId="468E4021" w14:textId="77777777" w:rsidR="00291766" w:rsidRDefault="00291766">
      <w:pPr>
        <w:jc w:val="both"/>
        <w:rPr>
          <w:rFonts w:ascii="Times New Roman" w:eastAsia="Times New Roman" w:hAnsi="Times New Roman" w:cs="Times New Roman"/>
        </w:rPr>
      </w:pPr>
    </w:p>
    <w:p w14:paraId="5A3F08D4" w14:textId="77777777" w:rsidR="00291766" w:rsidRDefault="00291766">
      <w:pPr>
        <w:jc w:val="center"/>
        <w:rPr>
          <w:rFonts w:ascii="Times New Roman" w:eastAsia="Times New Roman" w:hAnsi="Times New Roman" w:cs="Times New Roman"/>
        </w:rPr>
      </w:pPr>
    </w:p>
    <w:p w14:paraId="34621B5A" w14:textId="77777777" w:rsidR="00145670" w:rsidRDefault="008D3D19">
      <w:pPr>
        <w:jc w:val="center"/>
        <w:rPr>
          <w:rFonts w:ascii="Times New Roman" w:eastAsia="Times New Roman" w:hAnsi="Times New Roman" w:cs="Times New Roman"/>
        </w:rPr>
      </w:pPr>
      <w:r>
        <w:rPr>
          <w:rFonts w:ascii="Times New Roman" w:eastAsia="Times New Roman" w:hAnsi="Times New Roman" w:cs="Times New Roman"/>
        </w:rPr>
        <w:t>Project Management</w:t>
      </w:r>
      <w:r w:rsidR="00145670">
        <w:rPr>
          <w:rFonts w:asciiTheme="minorHAnsi" w:eastAsia="Times New Roman" w:hAnsiTheme="minorHAnsi" w:cs="Times New Roman"/>
        </w:rPr>
        <w:t xml:space="preserve"> LCBB5005</w:t>
      </w:r>
    </w:p>
    <w:p w14:paraId="3F429ADC" w14:textId="0E1F84F5" w:rsidR="00291766" w:rsidRDefault="008D3D19">
      <w:pPr>
        <w:jc w:val="center"/>
        <w:rPr>
          <w:rFonts w:ascii="Times New Roman" w:eastAsia="Times New Roman" w:hAnsi="Times New Roman" w:cs="Times New Roman"/>
        </w:rPr>
      </w:pPr>
      <w:r>
        <w:rPr>
          <w:rFonts w:ascii="Times New Roman" w:eastAsia="Times New Roman" w:hAnsi="Times New Roman" w:cs="Times New Roman"/>
        </w:rPr>
        <w:t>Assessment 1</w:t>
      </w:r>
    </w:p>
    <w:p w14:paraId="793BCEB2" w14:textId="7C6FEC9E" w:rsidR="00291766" w:rsidRDefault="008D3D19">
      <w:pPr>
        <w:jc w:val="center"/>
        <w:rPr>
          <w:rFonts w:ascii="Times New Roman" w:eastAsia="Times New Roman" w:hAnsi="Times New Roman" w:cs="Times New Roman"/>
        </w:rPr>
      </w:pPr>
      <w:r>
        <w:rPr>
          <w:rFonts w:ascii="Times New Roman" w:eastAsia="Times New Roman" w:hAnsi="Times New Roman" w:cs="Times New Roman"/>
        </w:rPr>
        <w:t xml:space="preserve">By </w:t>
      </w:r>
      <w:proofErr w:type="spellStart"/>
      <w:r w:rsidR="00356487">
        <w:rPr>
          <w:rFonts w:asciiTheme="minorHAnsi" w:eastAsia="Times New Roman" w:hAnsiTheme="minorHAnsi" w:cs="Times New Roman"/>
        </w:rPr>
        <w:t>Aniko</w:t>
      </w:r>
      <w:proofErr w:type="spellEnd"/>
      <w:r w:rsidR="00356487">
        <w:rPr>
          <w:rFonts w:asciiTheme="minorHAnsi" w:eastAsia="Times New Roman" w:hAnsiTheme="minorHAnsi" w:cs="Times New Roman"/>
        </w:rPr>
        <w:t xml:space="preserve"> </w:t>
      </w:r>
      <w:proofErr w:type="spellStart"/>
      <w:r w:rsidR="00356487">
        <w:rPr>
          <w:rFonts w:asciiTheme="minorHAnsi" w:eastAsia="Times New Roman" w:hAnsiTheme="minorHAnsi" w:cs="Times New Roman"/>
        </w:rPr>
        <w:t>Pongo</w:t>
      </w:r>
      <w:proofErr w:type="spellEnd"/>
      <w:r w:rsidR="00356487">
        <w:rPr>
          <w:rFonts w:asciiTheme="minorHAnsi" w:eastAsia="Times New Roman" w:hAnsiTheme="minorHAnsi" w:cs="Times New Roman"/>
        </w:rPr>
        <w:t xml:space="preserve"> 2010922</w:t>
      </w:r>
    </w:p>
    <w:p w14:paraId="06758EA2" w14:textId="77777777" w:rsidR="00291766" w:rsidRDefault="00291766">
      <w:pPr>
        <w:jc w:val="center"/>
        <w:rPr>
          <w:rFonts w:ascii="Times New Roman" w:eastAsia="Times New Roman" w:hAnsi="Times New Roman" w:cs="Times New Roman"/>
        </w:rPr>
      </w:pPr>
    </w:p>
    <w:p w14:paraId="66ED9C04" w14:textId="77777777" w:rsidR="00291766" w:rsidRDefault="00291766">
      <w:pPr>
        <w:jc w:val="center"/>
        <w:rPr>
          <w:rFonts w:ascii="Times New Roman" w:eastAsia="Times New Roman" w:hAnsi="Times New Roman" w:cs="Times New Roman"/>
        </w:rPr>
      </w:pPr>
    </w:p>
    <w:p w14:paraId="44872403" w14:textId="77777777" w:rsidR="00291766" w:rsidRDefault="00291766">
      <w:pPr>
        <w:jc w:val="center"/>
        <w:rPr>
          <w:rFonts w:ascii="Times New Roman" w:eastAsia="Times New Roman" w:hAnsi="Times New Roman" w:cs="Times New Roman"/>
        </w:rPr>
      </w:pPr>
    </w:p>
    <w:p w14:paraId="0F7D69C6" w14:textId="77777777" w:rsidR="00291766" w:rsidRDefault="00291766">
      <w:pPr>
        <w:jc w:val="center"/>
        <w:rPr>
          <w:rFonts w:ascii="Times New Roman" w:eastAsia="Times New Roman" w:hAnsi="Times New Roman" w:cs="Times New Roman"/>
        </w:rPr>
      </w:pPr>
    </w:p>
    <w:p w14:paraId="7684504C" w14:textId="1FE8D67E" w:rsidR="00291766" w:rsidRDefault="00291766" w:rsidP="00CC2DBA">
      <w:pPr>
        <w:jc w:val="center"/>
        <w:rPr>
          <w:rFonts w:ascii="Times New Roman" w:eastAsia="Times New Roman" w:hAnsi="Times New Roman" w:cs="Times New Roman"/>
        </w:rPr>
      </w:pPr>
    </w:p>
    <w:p w14:paraId="5768D921" w14:textId="77777777" w:rsidR="0064568A" w:rsidRDefault="0064568A" w:rsidP="00CC2DBA">
      <w:pPr>
        <w:jc w:val="center"/>
        <w:rPr>
          <w:rFonts w:ascii="Times New Roman" w:eastAsia="Times New Roman" w:hAnsi="Times New Roman" w:cs="Times New Roman"/>
        </w:rPr>
      </w:pPr>
    </w:p>
    <w:p w14:paraId="4D0971B7" w14:textId="77777777" w:rsidR="00291766" w:rsidRDefault="008D3D19">
      <w:pPr>
        <w:jc w:val="both"/>
        <w:rPr>
          <w:rFonts w:ascii="Times New Roman" w:eastAsia="Times New Roman" w:hAnsi="Times New Roman" w:cs="Times New Roman"/>
        </w:rPr>
      </w:pPr>
      <w:r>
        <w:br w:type="page"/>
      </w:r>
    </w:p>
    <w:p w14:paraId="7E5C47ED" w14:textId="77777777" w:rsidR="00291766" w:rsidRDefault="008D3D19">
      <w:pPr>
        <w:keepNext/>
        <w:keepLines/>
        <w:pBdr>
          <w:top w:val="nil"/>
          <w:left w:val="nil"/>
          <w:bottom w:val="nil"/>
          <w:right w:val="nil"/>
          <w:between w:val="nil"/>
        </w:pBdr>
        <w:spacing w:before="240"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Table of Contents</w:t>
      </w:r>
    </w:p>
    <w:sdt>
      <w:sdtPr>
        <w:id w:val="-1339696659"/>
        <w:docPartObj>
          <w:docPartGallery w:val="Table of Contents"/>
          <w:docPartUnique/>
        </w:docPartObj>
      </w:sdtPr>
      <w:sdtEndPr/>
      <w:sdtContent>
        <w:p w14:paraId="3540561F" w14:textId="77777777" w:rsidR="00291766" w:rsidRDefault="008D3D19">
          <w:pPr>
            <w:pBdr>
              <w:top w:val="nil"/>
              <w:left w:val="nil"/>
              <w:bottom w:val="nil"/>
              <w:right w:val="nil"/>
              <w:between w:val="nil"/>
            </w:pBdr>
            <w:tabs>
              <w:tab w:val="right" w:pos="9020"/>
            </w:tabs>
            <w:spacing w:after="100"/>
            <w:rPr>
              <w:rFonts w:ascii="Times New Roman" w:eastAsia="Times New Roman" w:hAnsi="Times New Roman" w:cs="Times New Roman"/>
              <w:color w:val="000000"/>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rPr>
              <w:t>Purpose of Project Initiation Document</w:t>
            </w:r>
            <w:r>
              <w:rPr>
                <w:rFonts w:ascii="Times New Roman" w:eastAsia="Times New Roman" w:hAnsi="Times New Roman" w:cs="Times New Roman"/>
                <w:color w:val="000000"/>
              </w:rPr>
              <w:tab/>
              <w:t>3</w:t>
            </w:r>
          </w:hyperlink>
        </w:p>
        <w:p w14:paraId="0034A308"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30j0zll">
            <w:r w:rsidR="008D3D19">
              <w:rPr>
                <w:rFonts w:ascii="Times New Roman" w:eastAsia="Times New Roman" w:hAnsi="Times New Roman" w:cs="Times New Roman"/>
                <w:color w:val="000000"/>
              </w:rPr>
              <w:t>Background of the University</w:t>
            </w:r>
            <w:r w:rsidR="008D3D19">
              <w:rPr>
                <w:rFonts w:ascii="Times New Roman" w:eastAsia="Times New Roman" w:hAnsi="Times New Roman" w:cs="Times New Roman"/>
                <w:color w:val="000000"/>
              </w:rPr>
              <w:tab/>
              <w:t>3</w:t>
            </w:r>
          </w:hyperlink>
        </w:p>
        <w:p w14:paraId="7E5F0D1E"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1fob9te">
            <w:r w:rsidR="008D3D19">
              <w:rPr>
                <w:rFonts w:ascii="Times New Roman" w:eastAsia="Times New Roman" w:hAnsi="Times New Roman" w:cs="Times New Roman"/>
                <w:color w:val="000000"/>
              </w:rPr>
              <w:t>Objectives and Success Criteria of the Project</w:t>
            </w:r>
            <w:r w:rsidR="008D3D19">
              <w:rPr>
                <w:rFonts w:ascii="Times New Roman" w:eastAsia="Times New Roman" w:hAnsi="Times New Roman" w:cs="Times New Roman"/>
                <w:color w:val="000000"/>
              </w:rPr>
              <w:tab/>
              <w:t>4</w:t>
            </w:r>
          </w:hyperlink>
        </w:p>
        <w:p w14:paraId="1F874657"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3znysh7">
            <w:r w:rsidR="008D3D19">
              <w:rPr>
                <w:rFonts w:ascii="Times New Roman" w:eastAsia="Times New Roman" w:hAnsi="Times New Roman" w:cs="Times New Roman"/>
                <w:color w:val="000000"/>
              </w:rPr>
              <w:t>Restriction on Project</w:t>
            </w:r>
            <w:r w:rsidR="008D3D19">
              <w:rPr>
                <w:rFonts w:ascii="Times New Roman" w:eastAsia="Times New Roman" w:hAnsi="Times New Roman" w:cs="Times New Roman"/>
                <w:color w:val="000000"/>
              </w:rPr>
              <w:tab/>
              <w:t>5</w:t>
            </w:r>
          </w:hyperlink>
        </w:p>
        <w:p w14:paraId="23A24502"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2et92p0">
            <w:r w:rsidR="008D3D19">
              <w:rPr>
                <w:rFonts w:ascii="Times New Roman" w:eastAsia="Times New Roman" w:hAnsi="Times New Roman" w:cs="Times New Roman"/>
                <w:color w:val="000000"/>
              </w:rPr>
              <w:t>Assumptions and Predictions for the Project</w:t>
            </w:r>
            <w:r w:rsidR="008D3D19">
              <w:rPr>
                <w:rFonts w:ascii="Times New Roman" w:eastAsia="Times New Roman" w:hAnsi="Times New Roman" w:cs="Times New Roman"/>
                <w:color w:val="000000"/>
              </w:rPr>
              <w:tab/>
              <w:t>5</w:t>
            </w:r>
          </w:hyperlink>
        </w:p>
        <w:p w14:paraId="233E298E"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tyjcwt">
            <w:r w:rsidR="008D3D19">
              <w:rPr>
                <w:rFonts w:ascii="Times New Roman" w:eastAsia="Times New Roman" w:hAnsi="Times New Roman" w:cs="Times New Roman"/>
                <w:color w:val="000000"/>
              </w:rPr>
              <w:t>The Project's Costs</w:t>
            </w:r>
            <w:r w:rsidR="008D3D19">
              <w:rPr>
                <w:rFonts w:ascii="Times New Roman" w:eastAsia="Times New Roman" w:hAnsi="Times New Roman" w:cs="Times New Roman"/>
                <w:color w:val="000000"/>
              </w:rPr>
              <w:tab/>
              <w:t>5</w:t>
            </w:r>
          </w:hyperlink>
        </w:p>
        <w:p w14:paraId="22CCFF89"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3dy6vkm">
            <w:r w:rsidR="008D3D19">
              <w:rPr>
                <w:rFonts w:ascii="Times New Roman" w:eastAsia="Times New Roman" w:hAnsi="Times New Roman" w:cs="Times New Roman"/>
                <w:color w:val="000000"/>
              </w:rPr>
              <w:t>Summary of the Project Options.</w:t>
            </w:r>
            <w:r w:rsidR="008D3D19">
              <w:rPr>
                <w:rFonts w:ascii="Times New Roman" w:eastAsia="Times New Roman" w:hAnsi="Times New Roman" w:cs="Times New Roman"/>
                <w:color w:val="000000"/>
              </w:rPr>
              <w:tab/>
              <w:t>7</w:t>
            </w:r>
          </w:hyperlink>
        </w:p>
        <w:p w14:paraId="2D73E12B"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1t3h5sf">
            <w:r w:rsidR="008D3D19">
              <w:rPr>
                <w:rFonts w:ascii="Times New Roman" w:eastAsia="Times New Roman" w:hAnsi="Times New Roman" w:cs="Times New Roman"/>
                <w:color w:val="000000"/>
              </w:rPr>
              <w:t>Approach of the Project</w:t>
            </w:r>
            <w:r w:rsidR="008D3D19">
              <w:rPr>
                <w:rFonts w:ascii="Times New Roman" w:eastAsia="Times New Roman" w:hAnsi="Times New Roman" w:cs="Times New Roman"/>
                <w:color w:val="000000"/>
              </w:rPr>
              <w:tab/>
              <w:t>7</w:t>
            </w:r>
          </w:hyperlink>
        </w:p>
        <w:p w14:paraId="51920384"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4d34og8">
            <w:r w:rsidR="008D3D19">
              <w:rPr>
                <w:rFonts w:ascii="Times New Roman" w:eastAsia="Times New Roman" w:hAnsi="Times New Roman" w:cs="Times New Roman"/>
                <w:color w:val="000000"/>
              </w:rPr>
              <w:t>Project Management Team</w:t>
            </w:r>
            <w:r w:rsidR="008D3D19">
              <w:rPr>
                <w:rFonts w:ascii="Times New Roman" w:eastAsia="Times New Roman" w:hAnsi="Times New Roman" w:cs="Times New Roman"/>
                <w:color w:val="000000"/>
              </w:rPr>
              <w:tab/>
              <w:t>10</w:t>
            </w:r>
          </w:hyperlink>
        </w:p>
        <w:p w14:paraId="699DB113"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2s8eyo1">
            <w:r w:rsidR="008D3D19">
              <w:rPr>
                <w:rFonts w:ascii="Times New Roman" w:eastAsia="Times New Roman" w:hAnsi="Times New Roman" w:cs="Times New Roman"/>
                <w:color w:val="000000"/>
              </w:rPr>
              <w:t>Communication Strategy for Project</w:t>
            </w:r>
            <w:r w:rsidR="008D3D19">
              <w:rPr>
                <w:rFonts w:ascii="Times New Roman" w:eastAsia="Times New Roman" w:hAnsi="Times New Roman" w:cs="Times New Roman"/>
                <w:color w:val="000000"/>
              </w:rPr>
              <w:tab/>
              <w:t>11</w:t>
            </w:r>
          </w:hyperlink>
        </w:p>
        <w:p w14:paraId="619F02BD"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17dp8vu">
            <w:r w:rsidR="008D3D19">
              <w:rPr>
                <w:rFonts w:ascii="Times New Roman" w:eastAsia="Times New Roman" w:hAnsi="Times New Roman" w:cs="Times New Roman"/>
                <w:color w:val="000000"/>
              </w:rPr>
              <w:t>Risk Log</w:t>
            </w:r>
            <w:r w:rsidR="008D3D19">
              <w:rPr>
                <w:rFonts w:ascii="Times New Roman" w:eastAsia="Times New Roman" w:hAnsi="Times New Roman" w:cs="Times New Roman"/>
                <w:color w:val="000000"/>
              </w:rPr>
              <w:tab/>
              <w:t>12</w:t>
            </w:r>
          </w:hyperlink>
        </w:p>
        <w:p w14:paraId="2C38E886" w14:textId="77777777" w:rsidR="00291766" w:rsidRDefault="00145670">
          <w:pPr>
            <w:pBdr>
              <w:top w:val="nil"/>
              <w:left w:val="nil"/>
              <w:bottom w:val="nil"/>
              <w:right w:val="nil"/>
              <w:between w:val="nil"/>
            </w:pBdr>
            <w:tabs>
              <w:tab w:val="right" w:pos="9020"/>
            </w:tabs>
            <w:spacing w:after="100"/>
            <w:rPr>
              <w:rFonts w:ascii="Times New Roman" w:eastAsia="Times New Roman" w:hAnsi="Times New Roman" w:cs="Times New Roman"/>
              <w:color w:val="000000"/>
            </w:rPr>
          </w:pPr>
          <w:hyperlink w:anchor="_heading=h.3rdcrjn">
            <w:r w:rsidR="008D3D19">
              <w:rPr>
                <w:rFonts w:ascii="Times New Roman" w:eastAsia="Times New Roman" w:hAnsi="Times New Roman" w:cs="Times New Roman"/>
                <w:color w:val="000000"/>
              </w:rPr>
              <w:t>References</w:t>
            </w:r>
            <w:r w:rsidR="008D3D19">
              <w:rPr>
                <w:rFonts w:ascii="Times New Roman" w:eastAsia="Times New Roman" w:hAnsi="Times New Roman" w:cs="Times New Roman"/>
                <w:color w:val="000000"/>
              </w:rPr>
              <w:tab/>
              <w:t>14</w:t>
            </w:r>
          </w:hyperlink>
        </w:p>
        <w:p w14:paraId="1E3D2AAF" w14:textId="77777777" w:rsidR="00291766" w:rsidRDefault="008D3D19">
          <w:pPr>
            <w:rPr>
              <w:rFonts w:ascii="Times New Roman" w:eastAsia="Times New Roman" w:hAnsi="Times New Roman" w:cs="Times New Roman"/>
            </w:rPr>
          </w:pPr>
          <w:r>
            <w:fldChar w:fldCharType="end"/>
          </w:r>
        </w:p>
      </w:sdtContent>
    </w:sdt>
    <w:p w14:paraId="2B9B326C" w14:textId="77777777" w:rsidR="00291766" w:rsidRDefault="00291766">
      <w:pPr>
        <w:jc w:val="both"/>
        <w:rPr>
          <w:rFonts w:ascii="Times New Roman" w:eastAsia="Times New Roman" w:hAnsi="Times New Roman" w:cs="Times New Roman"/>
        </w:rPr>
      </w:pPr>
    </w:p>
    <w:p w14:paraId="7BEA3192" w14:textId="77777777" w:rsidR="00291766" w:rsidRDefault="008D3D19">
      <w:pPr>
        <w:jc w:val="both"/>
        <w:rPr>
          <w:rFonts w:ascii="Times New Roman" w:eastAsia="Times New Roman" w:hAnsi="Times New Roman" w:cs="Times New Roman"/>
        </w:rPr>
      </w:pPr>
      <w:r>
        <w:br w:type="page"/>
      </w:r>
    </w:p>
    <w:p w14:paraId="627CB429" w14:textId="77777777" w:rsidR="00291766" w:rsidRDefault="008D3D19">
      <w:pPr>
        <w:pStyle w:val="Cmsor1"/>
        <w:spacing w:line="360" w:lineRule="auto"/>
        <w:jc w:val="both"/>
      </w:pPr>
      <w:bookmarkStart w:id="0" w:name="_heading=h.gjdgxs" w:colFirst="0" w:colLast="0"/>
      <w:bookmarkEnd w:id="0"/>
      <w:r>
        <w:t>Purpose of Project Initiation Document</w:t>
      </w:r>
    </w:p>
    <w:p w14:paraId="65186820"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This Initiative Initiation Document is based on the Salisbury House (SH) project. It describes why and how the implementation phase should proceed, as well as who should be involved and what their responsibilities are throughout the process (</w:t>
      </w:r>
      <w:proofErr w:type="spellStart"/>
      <w:r>
        <w:rPr>
          <w:rFonts w:ascii="Times New Roman" w:eastAsia="Times New Roman" w:hAnsi="Times New Roman" w:cs="Times New Roman"/>
        </w:rPr>
        <w:t>Daddey</w:t>
      </w:r>
      <w:proofErr w:type="spellEnd"/>
      <w:r>
        <w:rPr>
          <w:rFonts w:ascii="Times New Roman" w:eastAsia="Times New Roman" w:hAnsi="Times New Roman" w:cs="Times New Roman"/>
        </w:rPr>
        <w:t xml:space="preserve"> and Watt, 2021). It will act as a baseline for project management and an evaluation of the overall effectiveness of the project.</w:t>
      </w:r>
    </w:p>
    <w:p w14:paraId="745F8EA8"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Detailed The Initiative's Description</w:t>
      </w:r>
    </w:p>
    <w:p w14:paraId="10F0A69D"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University of Wales Trinity Saint David (UWTSD) London campus has purchased a new building block previously known as Salisbury House. The location is within the Kennington industrial park, which also serves as the home of the university's main campus building. The new structure will include additional teaching rooms to handle the centre’s growing student population, as well as administrative offices for the centre’s key workers. The building block is divided into several sections, including a welcome area, classrooms, a lecturer's office, an administrative office, a students' lounge, a kitchenette, and a restroom facility.</w:t>
      </w:r>
    </w:p>
    <w:p w14:paraId="7B3497F1" w14:textId="77777777" w:rsidR="00291766" w:rsidRDefault="008D3D19">
      <w:pPr>
        <w:pStyle w:val="Cmsor1"/>
        <w:spacing w:line="360" w:lineRule="auto"/>
        <w:jc w:val="both"/>
      </w:pPr>
      <w:bookmarkStart w:id="1" w:name="_heading=h.30j0zll" w:colFirst="0" w:colLast="0"/>
      <w:bookmarkEnd w:id="1"/>
      <w:r>
        <w:t xml:space="preserve">Background of the University </w:t>
      </w:r>
    </w:p>
    <w:p w14:paraId="2BB6009F"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 xml:space="preserve">The University of Wales Trinity Saint David is a multi-campus institution having three main campuses in South West Wales, in Carmarthen, </w:t>
      </w:r>
      <w:proofErr w:type="spellStart"/>
      <w:r>
        <w:rPr>
          <w:rFonts w:ascii="Times New Roman" w:eastAsia="Times New Roman" w:hAnsi="Times New Roman" w:cs="Times New Roman"/>
        </w:rPr>
        <w:t>Lampeter</w:t>
      </w:r>
      <w:proofErr w:type="spellEnd"/>
      <w:r>
        <w:rPr>
          <w:rFonts w:ascii="Times New Roman" w:eastAsia="Times New Roman" w:hAnsi="Times New Roman" w:cs="Times New Roman"/>
        </w:rPr>
        <w:t xml:space="preserve">, and Swansea, as well as a fourth campus in London, England, and learning centres in Cardiff, Wales, and Birmingham, England. The University of Wales Trinity Saint David is a multi-campus institution having three main campuses in South West Wales, in Carmarthen, </w:t>
      </w:r>
      <w:proofErr w:type="spellStart"/>
      <w:r>
        <w:rPr>
          <w:rFonts w:ascii="Times New Roman" w:eastAsia="Times New Roman" w:hAnsi="Times New Roman" w:cs="Times New Roman"/>
        </w:rPr>
        <w:t>Lampeter</w:t>
      </w:r>
      <w:proofErr w:type="spellEnd"/>
      <w:r>
        <w:rPr>
          <w:rFonts w:ascii="Times New Roman" w:eastAsia="Times New Roman" w:hAnsi="Times New Roman" w:cs="Times New Roman"/>
        </w:rPr>
        <w:t>, and Swansea, as well as a fourth campus in London, England, and learning centres throughout the country.</w:t>
      </w:r>
    </w:p>
    <w:p w14:paraId="0042A836"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 xml:space="preserve">In 2010, the University of Wales, </w:t>
      </w:r>
      <w:proofErr w:type="spellStart"/>
      <w:r>
        <w:rPr>
          <w:rFonts w:ascii="Times New Roman" w:eastAsia="Times New Roman" w:hAnsi="Times New Roman" w:cs="Times New Roman"/>
        </w:rPr>
        <w:t>Lampeter</w:t>
      </w:r>
      <w:proofErr w:type="spellEnd"/>
      <w:r>
        <w:rPr>
          <w:rFonts w:ascii="Times New Roman" w:eastAsia="Times New Roman" w:hAnsi="Times New Roman" w:cs="Times New Roman"/>
        </w:rPr>
        <w:t xml:space="preserve"> (UWL) and Trinity University College (TUC) amalgamated to form the University of Wales, </w:t>
      </w:r>
      <w:proofErr w:type="spellStart"/>
      <w:r>
        <w:rPr>
          <w:rFonts w:ascii="Times New Roman" w:eastAsia="Times New Roman" w:hAnsi="Times New Roman" w:cs="Times New Roman"/>
        </w:rPr>
        <w:t>Lampeter</w:t>
      </w:r>
      <w:proofErr w:type="spellEnd"/>
      <w:r>
        <w:rPr>
          <w:rFonts w:ascii="Times New Roman" w:eastAsia="Times New Roman" w:hAnsi="Times New Roman" w:cs="Times New Roman"/>
        </w:rPr>
        <w:t xml:space="preserve"> (UWL). The University of Wales, </w:t>
      </w:r>
      <w:proofErr w:type="spellStart"/>
      <w:r>
        <w:rPr>
          <w:rFonts w:ascii="Times New Roman" w:eastAsia="Times New Roman" w:hAnsi="Times New Roman" w:cs="Times New Roman"/>
        </w:rPr>
        <w:t>Lampeter</w:t>
      </w:r>
      <w:proofErr w:type="spellEnd"/>
      <w:r>
        <w:rPr>
          <w:rFonts w:ascii="Times New Roman" w:eastAsia="Times New Roman" w:hAnsi="Times New Roman" w:cs="Times New Roman"/>
        </w:rPr>
        <w:t xml:space="preserve"> (UWL) and Trinity University College (TUC) are Wales’s two oldest higher education institutions (TUC). </w:t>
      </w:r>
      <w:proofErr w:type="spellStart"/>
      <w:r>
        <w:rPr>
          <w:rFonts w:ascii="Times New Roman" w:eastAsia="Times New Roman" w:hAnsi="Times New Roman" w:cs="Times New Roman"/>
        </w:rPr>
        <w:t>Lampeter's</w:t>
      </w:r>
      <w:proofErr w:type="spellEnd"/>
      <w:r>
        <w:rPr>
          <w:rFonts w:ascii="Times New Roman" w:eastAsia="Times New Roman" w:hAnsi="Times New Roman" w:cs="Times New Roman"/>
        </w:rPr>
        <w:t xml:space="preserve"> royal charter, awarded in 1828, enabled the merger. In 2011, it was announced that the University of Wales would be merged with Trinity Saint David as part of the schools' overall consolidation. The university merged with Swansea Metropolitan University on August 1, 2013 to establish Swansea Metropolitan University.</w:t>
      </w:r>
    </w:p>
    <w:p w14:paraId="183BC7EE"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 xml:space="preserve">The Prince of Wales, R. Brinley Jones, who serves as President, and </w:t>
      </w:r>
      <w:proofErr w:type="spellStart"/>
      <w:r>
        <w:rPr>
          <w:rFonts w:ascii="Times New Roman" w:eastAsia="Times New Roman" w:hAnsi="Times New Roman" w:cs="Times New Roman"/>
        </w:rPr>
        <w:t>Medwin</w:t>
      </w:r>
      <w:proofErr w:type="spellEnd"/>
      <w:r>
        <w:rPr>
          <w:rFonts w:ascii="Times New Roman" w:eastAsia="Times New Roman" w:hAnsi="Times New Roman" w:cs="Times New Roman"/>
        </w:rPr>
        <w:t xml:space="preserve"> Hughes, who serves as Vice-Chancellor, are among those who have provided their support to Trinity Saint David.</w:t>
      </w:r>
    </w:p>
    <w:p w14:paraId="4871C4A9"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Recent events have created an ideal opportunity to rekindle this possibility. Among the most recent developments are the following:</w:t>
      </w:r>
    </w:p>
    <w:p w14:paraId="4F926F60" w14:textId="77777777" w:rsidR="00291766" w:rsidRDefault="008D3D19">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On April 1, it was announced that the Law Courts would close.</w:t>
      </w:r>
    </w:p>
    <w:p w14:paraId="3FC79C14" w14:textId="77777777" w:rsidR="00291766" w:rsidRDefault="008D3D19">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Chichester Vision came forth as a result of the District Council's acceptance.</w:t>
      </w:r>
    </w:p>
    <w:p w14:paraId="67BB7BD0" w14:textId="77777777" w:rsidR="00291766" w:rsidRDefault="008D3D19">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Thirdly, the area's planned adoption of a new </w:t>
      </w:r>
      <w:proofErr w:type="spellStart"/>
      <w:r>
        <w:rPr>
          <w:rFonts w:ascii="Times New Roman" w:eastAsia="Times New Roman" w:hAnsi="Times New Roman" w:cs="Times New Roman"/>
          <w:color w:val="000000"/>
        </w:rPr>
        <w:t>masterplan</w:t>
      </w:r>
      <w:proofErr w:type="spellEnd"/>
    </w:p>
    <w:p w14:paraId="1E89BE85" w14:textId="77777777" w:rsidR="00291766" w:rsidRDefault="008D3D19">
      <w:pPr>
        <w:numPr>
          <w:ilvl w:val="0"/>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The government's focus on growth and its efforts to expand the number of students studying higher education</w:t>
      </w:r>
    </w:p>
    <w:p w14:paraId="255EB3A2" w14:textId="77777777" w:rsidR="00291766" w:rsidRDefault="008D3D19">
      <w:pPr>
        <w:pStyle w:val="Cmsor1"/>
        <w:spacing w:line="360" w:lineRule="auto"/>
        <w:jc w:val="both"/>
      </w:pPr>
      <w:bookmarkStart w:id="2" w:name="_heading=h.1fob9te" w:colFirst="0" w:colLast="0"/>
      <w:bookmarkEnd w:id="2"/>
      <w:r>
        <w:t xml:space="preserve">Objectives and Success Criteria of the Project </w:t>
      </w:r>
    </w:p>
    <w:p w14:paraId="3D1E13FC"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project's outcomes are the first thing that must be addressed. The following are concrete outputs that could be prepared precisely: • Establishing the successful Local Growth Fund (LGF) and other funds, which will leverage around £83 million in private sector investment; (excluding relocation and acquisition costs).</w:t>
      </w:r>
    </w:p>
    <w:p w14:paraId="45F184FC" w14:textId="77777777" w:rsidR="00291766" w:rsidRDefault="008D3D19">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Acquisition of any privately owned property necessary to complete the project.</w:t>
      </w:r>
    </w:p>
    <w:p w14:paraId="5D879A9A" w14:textId="77777777" w:rsidR="00291766" w:rsidRDefault="008D3D19">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Successful facility repurposing</w:t>
      </w:r>
    </w:p>
    <w:p w14:paraId="3642E4BB" w14:textId="77777777" w:rsidR="00291766" w:rsidRDefault="008D3D19">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 strategy implementation group has been formed.</w:t>
      </w:r>
    </w:p>
    <w:p w14:paraId="3F4DAB28" w14:textId="77777777" w:rsidR="00291766" w:rsidRDefault="008D3D19">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If a Compulsory Purchase Order (CPO) is necessary, the CPO must be approved.</w:t>
      </w:r>
    </w:p>
    <w:p w14:paraId="21ABF37A" w14:textId="77777777" w:rsidR="00291766" w:rsidRDefault="008D3D19">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Securing a development partner</w:t>
      </w:r>
    </w:p>
    <w:p w14:paraId="5CA84FE8" w14:textId="77777777" w:rsidR="00291766" w:rsidRDefault="008D3D19">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The project is expected to result in the creation of new jobs, job retention, and the delivery of new dwellings and student housing.</w:t>
      </w:r>
    </w:p>
    <w:p w14:paraId="400E6726" w14:textId="77777777" w:rsidR="00291766" w:rsidRDefault="008D3D19">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Floor space dedicated to students, instructors, staff, and administrative personnel, as well as equipment</w:t>
      </w:r>
    </w:p>
    <w:p w14:paraId="0397FDEA" w14:textId="77777777" w:rsidR="00291766" w:rsidRDefault="008D3D19">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Construction is underway on a new community health centre (subject to funding and specification)</w:t>
      </w:r>
    </w:p>
    <w:p w14:paraId="78F4BD11" w14:textId="77777777" w:rsidR="00291766" w:rsidRDefault="008D3D19">
      <w:pPr>
        <w:numPr>
          <w:ilvl w:val="0"/>
          <w:numId w:val="3"/>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Any capital funds granted by the CDC may earn a profit.</w:t>
      </w:r>
    </w:p>
    <w:p w14:paraId="600624D1"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When implemented, these recommendations will significantly contribute to and support the Community Strategy and Corporate Plan, particularly in the areas of education and employment.</w:t>
      </w:r>
    </w:p>
    <w:p w14:paraId="66BF58A4"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This project will build on Kennington's current economic success, which is already robust, and where the business sector has demonstrated its readiness to join in neighbourhood efforts by previous involvement in similar projects. These final prospects will be realised with the assistance of public funds supplied by the government.</w:t>
      </w:r>
    </w:p>
    <w:p w14:paraId="55B868F0"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Concerning the project's disadvantages, it continues to have a negative impact on a range of sectors, including traffic patterns, utility bills, and legal fees linked with the property acquisition.</w:t>
      </w:r>
    </w:p>
    <w:p w14:paraId="1E9EA578"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idea lacks a master plan that would make it easier for students to navigate the newly constructed university building block. Similarly, the educational institution's management would be responsible for any regulatory processes or for obtaining consents and approvals on their behalf. Perhaps management of the new facility is not included in the project's scope of work.</w:t>
      </w:r>
    </w:p>
    <w:p w14:paraId="473E9DBF" w14:textId="77777777" w:rsidR="00291766" w:rsidRDefault="008D3D19">
      <w:pPr>
        <w:pStyle w:val="Cmsor1"/>
        <w:spacing w:line="360" w:lineRule="auto"/>
        <w:jc w:val="both"/>
      </w:pPr>
      <w:bookmarkStart w:id="3" w:name="_heading=h.3znysh7" w:colFirst="0" w:colLast="0"/>
      <w:bookmarkEnd w:id="3"/>
      <w:r>
        <w:t xml:space="preserve">Restriction on Project </w:t>
      </w:r>
    </w:p>
    <w:p w14:paraId="48368838" w14:textId="77777777" w:rsidR="00291766" w:rsidRDefault="008D3D19">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Approval and Timeline for </w:t>
      </w:r>
      <w:proofErr w:type="spellStart"/>
      <w:r>
        <w:rPr>
          <w:rFonts w:ascii="Times New Roman" w:eastAsia="Times New Roman" w:hAnsi="Times New Roman" w:cs="Times New Roman"/>
          <w:color w:val="000000"/>
        </w:rPr>
        <w:t>Masterplan</w:t>
      </w:r>
      <w:proofErr w:type="spellEnd"/>
      <w:r>
        <w:rPr>
          <w:rFonts w:ascii="Times New Roman" w:eastAsia="Times New Roman" w:hAnsi="Times New Roman" w:cs="Times New Roman"/>
          <w:color w:val="000000"/>
        </w:rPr>
        <w:t xml:space="preserve"> Delivery </w:t>
      </w:r>
    </w:p>
    <w:p w14:paraId="6F14B265" w14:textId="77777777" w:rsidR="00291766" w:rsidRDefault="008D3D19">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Approval and timeline for delivery of any necessary CPOs </w:t>
      </w:r>
    </w:p>
    <w:p w14:paraId="080CB5AB" w14:textId="77777777" w:rsidR="00291766" w:rsidRDefault="008D3D19">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Strategic Partner Agreements </w:t>
      </w:r>
    </w:p>
    <w:p w14:paraId="6AA22707" w14:textId="77777777" w:rsidR="00291766" w:rsidRDefault="008D3D19">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Timing and budget constraints on certain financing streams </w:t>
      </w:r>
    </w:p>
    <w:p w14:paraId="69C02370" w14:textId="77777777" w:rsidR="00291766" w:rsidRDefault="008D3D19">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Planning constraints </w:t>
      </w:r>
    </w:p>
    <w:p w14:paraId="0B1C6F1C" w14:textId="77777777" w:rsidR="00291766" w:rsidRDefault="008D3D19">
      <w:pPr>
        <w:numPr>
          <w:ilvl w:val="0"/>
          <w:numId w:val="4"/>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Fragmented land ownership</w:t>
      </w:r>
    </w:p>
    <w:p w14:paraId="5CDF3C78" w14:textId="77777777" w:rsidR="00291766" w:rsidRDefault="008D3D19">
      <w:pPr>
        <w:pStyle w:val="Cmsor1"/>
        <w:spacing w:line="360" w:lineRule="auto"/>
        <w:jc w:val="both"/>
      </w:pPr>
      <w:bookmarkStart w:id="4" w:name="_heading=h.2et92p0" w:colFirst="0" w:colLast="0"/>
      <w:bookmarkEnd w:id="4"/>
      <w:r>
        <w:t>Assumptions and Predictions for the Project</w:t>
      </w:r>
    </w:p>
    <w:p w14:paraId="7B1FA361"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project's delivery is premised on the following assumptions: Financing for development expenses and funding shortfalls connected with relocations can be obtained from public and private sources.</w:t>
      </w:r>
    </w:p>
    <w:p w14:paraId="07CBADA3"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initiative continues to get political and public backing. Partners are eager to engage in the process of strategic implementation. By the end of February 2018, the Law Courts will be closed and turned over to the HCA.</w:t>
      </w:r>
    </w:p>
    <w:p w14:paraId="2BD1012F" w14:textId="77777777" w:rsidR="00291766" w:rsidRDefault="008D3D19">
      <w:pPr>
        <w:pStyle w:val="Cmsor1"/>
        <w:spacing w:line="360" w:lineRule="auto"/>
        <w:jc w:val="both"/>
      </w:pPr>
      <w:bookmarkStart w:id="5" w:name="_heading=h.tyjcwt" w:colFirst="0" w:colLast="0"/>
      <w:bookmarkEnd w:id="5"/>
      <w:r>
        <w:t xml:space="preserve">The Project's Costs </w:t>
      </w:r>
    </w:p>
    <w:p w14:paraId="0C27400B"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delivery costs of the project are included in the project costs.</w:t>
      </w:r>
    </w:p>
    <w:p w14:paraId="58D0A2E9"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entire cost of the project includes the Project Team's salary and benefits, which are already included in the existing base budget, as well as the cost of consulting and professional services, which is currently estimated to be up to £295,000.</w:t>
      </w:r>
    </w:p>
    <w:p w14:paraId="5706B855"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29A6EDA" wp14:editId="399B738B">
            <wp:extent cx="5734050" cy="613283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734050" cy="6132830"/>
                    </a:xfrm>
                    <a:prstGeom prst="rect">
                      <a:avLst/>
                    </a:prstGeom>
                    <a:ln/>
                  </pic:spPr>
                </pic:pic>
              </a:graphicData>
            </a:graphic>
          </wp:inline>
        </w:drawing>
      </w:r>
    </w:p>
    <w:p w14:paraId="37DA801A"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project will be helped by the CDC's Executive Director, estates, legal, finance, public relations, procurement, and project management teams, as well as many other people. The developer who has been hired will take care of the costs that aren't in the above figures.</w:t>
      </w:r>
    </w:p>
    <w:p w14:paraId="54713C83"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After the project is done, the cost will be worked out.</w:t>
      </w:r>
    </w:p>
    <w:p w14:paraId="172B49FB"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In the event that the council keeps a development share, the only thing that would cost money on a regular basis would be the management of that share. This would be part of the existing estates service's job description.</w:t>
      </w:r>
    </w:p>
    <w:p w14:paraId="72C1D43C"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It is also thought that whatever is built will be profitable and will not need any more money from the government in the future to keep it going.</w:t>
      </w:r>
    </w:p>
    <w:p w14:paraId="10F7E887" w14:textId="77777777" w:rsidR="00291766" w:rsidRDefault="008D3D19">
      <w:pPr>
        <w:pStyle w:val="Cmsor1"/>
        <w:spacing w:line="360" w:lineRule="auto"/>
        <w:jc w:val="both"/>
      </w:pPr>
      <w:bookmarkStart w:id="6" w:name="_heading=h.3dy6vkm" w:colFirst="0" w:colLast="0"/>
      <w:bookmarkEnd w:id="6"/>
      <w:r>
        <w:t>Summary of the Project Options.</w:t>
      </w:r>
    </w:p>
    <w:p w14:paraId="11A037B9"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There are a lot of ways this project could be done, including: CDC and its partners buy land, get planning permission, and build the project themselves. • Allow a third party to draw down the land at an agreed price for a set amount of time. This will allow them to do so. A third party can buy the land after certain conditions, like an acceptable planning permit, have been met. This type of sale is called a "conditional sale."</w:t>
      </w:r>
    </w:p>
    <w:p w14:paraId="4A865BEB"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As with an unconditional sale, an unconditional contract with planning coverage has a clause that allows the CDC/partners to be paid more money if the project turns out better than planned, just like with an unconditional sale. There must be a new legal entity formed in order for Public-Private Partnerships to work. Landowners may be part of the partnership, and it would show how they would pay for things and share the benefits.</w:t>
      </w:r>
    </w:p>
    <w:p w14:paraId="1F812A8D"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Any of these ideas could be done with or without the help of a CPO. The main landowners, including the Homes and Communities Agency, the West Sussex County Council, and the CDC, have met with outside consultants to figure out what to do about the issue. It has been decided that a conditional sale to a developer is the best way to go. So, the landowners' financial risk is reduced, they have some say in the final development's content, and they can join in on the investment if one or more partners choose to do so, but they don't have to.</w:t>
      </w:r>
    </w:p>
    <w:p w14:paraId="394A3771" w14:textId="77777777" w:rsidR="00291766" w:rsidRDefault="008D3D19">
      <w:pPr>
        <w:pStyle w:val="Cmsor1"/>
        <w:spacing w:line="360" w:lineRule="auto"/>
        <w:jc w:val="both"/>
      </w:pPr>
      <w:bookmarkStart w:id="7" w:name="_heading=h.1t3h5sf" w:colFirst="0" w:colLast="0"/>
      <w:bookmarkEnd w:id="7"/>
      <w:r>
        <w:t xml:space="preserve">Approach of the Project </w:t>
      </w:r>
    </w:p>
    <w:p w14:paraId="6F3DCA2E"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The University of Wales Trinity Saint David will be put into place with the help of in-house, partnership, and outside consulting resources. In order to do this, there will be the formation of a Strategic Land Ownership Group. This group will be in charge of managing the disposal programme, timetable, and choice of development partners. It will also agree on how costs and benefits will be split up, and how they will be shared.</w:t>
      </w:r>
    </w:p>
    <w:p w14:paraId="308248A3" w14:textId="77777777" w:rsidR="00291766" w:rsidRDefault="008D3D19">
      <w:pPr>
        <w:jc w:val="both"/>
        <w:rPr>
          <w:rFonts w:ascii="Times New Roman" w:eastAsia="Times New Roman" w:hAnsi="Times New Roman" w:cs="Times New Roman"/>
          <w:b/>
        </w:rPr>
      </w:pPr>
      <w:r>
        <w:rPr>
          <w:rFonts w:ascii="Times New Roman" w:eastAsia="Times New Roman" w:hAnsi="Times New Roman" w:cs="Times New Roman"/>
          <w:b/>
        </w:rPr>
        <w:t xml:space="preserve">Project Management Plan </w:t>
      </w:r>
    </w:p>
    <w:p w14:paraId="11296DDC" w14:textId="77777777" w:rsidR="00291766" w:rsidRDefault="00291766">
      <w:pPr>
        <w:jc w:val="both"/>
        <w:rPr>
          <w:rFonts w:ascii="Times New Roman" w:eastAsia="Times New Roman" w:hAnsi="Times New Roman" w:cs="Times New Roman"/>
          <w:b/>
        </w:rPr>
      </w:pPr>
    </w:p>
    <w:p w14:paraId="7D683FD3" w14:textId="77777777" w:rsidR="00291766" w:rsidRDefault="008D3D19">
      <w:pPr>
        <w:jc w:val="both"/>
        <w:rPr>
          <w:rFonts w:ascii="Times New Roman" w:eastAsia="Times New Roman" w:hAnsi="Times New Roman" w:cs="Times New Roman"/>
          <w:b/>
        </w:rPr>
      </w:pPr>
      <w:r>
        <w:rPr>
          <w:rFonts w:ascii="Times New Roman" w:eastAsia="Times New Roman" w:hAnsi="Times New Roman" w:cs="Times New Roman"/>
          <w:noProof/>
        </w:rPr>
        <w:drawing>
          <wp:inline distT="0" distB="0" distL="0" distR="0" wp14:anchorId="1BAC66E0" wp14:editId="3FF36EE0">
            <wp:extent cx="5755637" cy="8449486"/>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55637" cy="8449486"/>
                    </a:xfrm>
                    <a:prstGeom prst="rect">
                      <a:avLst/>
                    </a:prstGeom>
                    <a:ln/>
                  </pic:spPr>
                </pic:pic>
              </a:graphicData>
            </a:graphic>
          </wp:inline>
        </w:drawing>
      </w:r>
    </w:p>
    <w:p w14:paraId="2365769E" w14:textId="77777777" w:rsidR="00291766" w:rsidRDefault="008D3D19">
      <w:pPr>
        <w:jc w:val="both"/>
        <w:rPr>
          <w:rFonts w:ascii="Times New Roman" w:eastAsia="Times New Roman" w:hAnsi="Times New Roman" w:cs="Times New Roman"/>
          <w:b/>
        </w:rPr>
      </w:pPr>
      <w:r>
        <w:rPr>
          <w:rFonts w:ascii="Times New Roman" w:eastAsia="Times New Roman" w:hAnsi="Times New Roman" w:cs="Times New Roman"/>
          <w:noProof/>
        </w:rPr>
        <w:drawing>
          <wp:inline distT="0" distB="0" distL="0" distR="0" wp14:anchorId="78F1567F" wp14:editId="5D903F25">
            <wp:extent cx="5519078" cy="8146611"/>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519078" cy="8146611"/>
                    </a:xfrm>
                    <a:prstGeom prst="rect">
                      <a:avLst/>
                    </a:prstGeom>
                    <a:ln/>
                  </pic:spPr>
                </pic:pic>
              </a:graphicData>
            </a:graphic>
          </wp:inline>
        </w:drawing>
      </w:r>
    </w:p>
    <w:p w14:paraId="068453B5" w14:textId="77777777" w:rsidR="00291766" w:rsidRDefault="008D3D19">
      <w:pPr>
        <w:jc w:val="both"/>
        <w:rPr>
          <w:rFonts w:ascii="Times New Roman" w:eastAsia="Times New Roman" w:hAnsi="Times New Roman" w:cs="Times New Roman"/>
          <w:b/>
        </w:rPr>
      </w:pPr>
      <w:r>
        <w:rPr>
          <w:rFonts w:ascii="Times New Roman" w:eastAsia="Times New Roman" w:hAnsi="Times New Roman" w:cs="Times New Roman"/>
          <w:noProof/>
        </w:rPr>
        <w:drawing>
          <wp:inline distT="0" distB="0" distL="0" distR="0" wp14:anchorId="01D355C6" wp14:editId="238E2C8D">
            <wp:extent cx="5639832" cy="1303485"/>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639832" cy="1303485"/>
                    </a:xfrm>
                    <a:prstGeom prst="rect">
                      <a:avLst/>
                    </a:prstGeom>
                    <a:ln/>
                  </pic:spPr>
                </pic:pic>
              </a:graphicData>
            </a:graphic>
          </wp:inline>
        </w:drawing>
      </w:r>
    </w:p>
    <w:p w14:paraId="1D8C0519" w14:textId="77777777" w:rsidR="00291766" w:rsidRDefault="008D3D19">
      <w:pPr>
        <w:pStyle w:val="Cmsor1"/>
        <w:spacing w:line="360" w:lineRule="auto"/>
        <w:jc w:val="both"/>
      </w:pPr>
      <w:bookmarkStart w:id="8" w:name="_heading=h.4d34og8" w:colFirst="0" w:colLast="0"/>
      <w:bookmarkEnd w:id="8"/>
      <w:r>
        <w:t>Project Management Team</w:t>
      </w:r>
    </w:p>
    <w:p w14:paraId="1FAC485B" w14:textId="77777777" w:rsidR="00291766" w:rsidRDefault="008D3D19">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04FE9BB" wp14:editId="34C66082">
            <wp:extent cx="5651499" cy="593357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651499" cy="5933570"/>
                    </a:xfrm>
                    <a:prstGeom prst="rect">
                      <a:avLst/>
                    </a:prstGeom>
                    <a:ln/>
                  </pic:spPr>
                </pic:pic>
              </a:graphicData>
            </a:graphic>
          </wp:inline>
        </w:drawing>
      </w:r>
    </w:p>
    <w:p w14:paraId="2F608E58"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A Steering Group, or the proposed Growth Board, will oversee the project and report to it. Its membership will include senior political and officer representation from both the CDC and the WSCC, in addition to the Project Sponsor, who will act as a link between the Project Team and the Steering Group. The Project Team will report to the Steering Group or to the proposed Growth Board, depending on the situation. We will give strategic direction to the project with the assistance of the Steering Group/Growth Board, and we will address resource concerns that cannot be managed within the timeline and money allotted to the project team.</w:t>
      </w:r>
    </w:p>
    <w:p w14:paraId="2641A428" w14:textId="77777777" w:rsidR="00291766" w:rsidRDefault="008D3D19">
      <w:pPr>
        <w:pStyle w:val="Cmsor1"/>
        <w:spacing w:line="360" w:lineRule="auto"/>
        <w:jc w:val="both"/>
      </w:pPr>
      <w:bookmarkStart w:id="9" w:name="_heading=h.2s8eyo1" w:colFirst="0" w:colLast="0"/>
      <w:bookmarkEnd w:id="9"/>
      <w:r>
        <w:t>Communication Strategy for Project</w:t>
      </w:r>
    </w:p>
    <w:p w14:paraId="3F43525F"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On an ongoing basis, CDC Members will be kept informed through the monthly Members' Bulletin, as well as through bespoke email communication as needed, workshops, and reports to the Commercial Programme Board, Steering Group/Growth Board, as required, in accordance with the project's communication strategy (Renfro et al., 2018). In addition, reports to the Corporate Management Team will keep CDC officers abreast of the latest advances in their field.</w:t>
      </w:r>
    </w:p>
    <w:p w14:paraId="14BBD710"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Participants who are critical to the project's success but are not strategic partners, i.e., who are not landowners, will be kept informed of its development and will be given the opportunity to provide input at critical stages of the process (</w:t>
      </w:r>
      <w:proofErr w:type="spellStart"/>
      <w:r>
        <w:rPr>
          <w:rFonts w:ascii="Times New Roman" w:eastAsia="Times New Roman" w:hAnsi="Times New Roman" w:cs="Times New Roman"/>
        </w:rPr>
        <w:t>Shukor</w:t>
      </w:r>
      <w:proofErr w:type="spellEnd"/>
      <w:r>
        <w:rPr>
          <w:rFonts w:ascii="Times New Roman" w:eastAsia="Times New Roman" w:hAnsi="Times New Roman" w:cs="Times New Roman"/>
        </w:rPr>
        <w:t xml:space="preserve"> et al., 2021). A few examples include the Chichester Business Improvement District (BID), the Chichester City Council, and Visit Chichester.</w:t>
      </w:r>
    </w:p>
    <w:p w14:paraId="05363E68"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Documents for public consultation will be made available for viewing on the Council's website as well as in hard copy at Council offices and public libraries throughout the community. All public discussions will be conducted in accordance with the Council's Statement on Community Involvement, which will be made accessible upon request to anybody who wishes to participate. Developing a communication strategy is something that will be done in the near future.</w:t>
      </w:r>
    </w:p>
    <w:p w14:paraId="0D04DB19"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According to the Communication Strategy, which has been agreed upon by all parties to the agreement, Strategic Partners will use their own communication channels to publicise and inform their constituents about the activities of the organisation.</w:t>
      </w:r>
    </w:p>
    <w:p w14:paraId="0E561438"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Planning-related factors such as pre-applications and planning applications will be taken into account in accordance with the standard regulatory communication and consultation process, which will include participation by the Development Plan and Infrastructure Panel and the Planning Committee in the case of a planning-related factor.</w:t>
      </w:r>
    </w:p>
    <w:p w14:paraId="17525C6C" w14:textId="77777777" w:rsidR="00291766" w:rsidRDefault="008D3D19">
      <w:pPr>
        <w:pStyle w:val="Cmsor1"/>
        <w:spacing w:line="360" w:lineRule="auto"/>
        <w:jc w:val="both"/>
      </w:pPr>
      <w:bookmarkStart w:id="10" w:name="_heading=h.17dp8vu" w:colFirst="0" w:colLast="0"/>
      <w:bookmarkEnd w:id="10"/>
      <w:r>
        <w:t>Risk Log</w:t>
      </w:r>
    </w:p>
    <w:p w14:paraId="4DB057ED"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rPr>
        <w:t>On this page, you will find a list of potential hazards, as well as an assessment of their severity and advice for precautions that can be done to mitigate or reduce the risks. As and when new project hazards are uncovered, detailed information about them will be documented.</w:t>
      </w:r>
    </w:p>
    <w:p w14:paraId="0129FDE3" w14:textId="77777777" w:rsidR="00291766" w:rsidRDefault="008D3D19">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9713032" wp14:editId="4652C741">
            <wp:extent cx="5953218" cy="7456927"/>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53218" cy="7456927"/>
                    </a:xfrm>
                    <a:prstGeom prst="rect">
                      <a:avLst/>
                    </a:prstGeom>
                    <a:ln/>
                  </pic:spPr>
                </pic:pic>
              </a:graphicData>
            </a:graphic>
          </wp:inline>
        </w:drawing>
      </w:r>
    </w:p>
    <w:p w14:paraId="42FD9853" w14:textId="77777777" w:rsidR="00291766" w:rsidRDefault="008D3D19">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0B2E153" wp14:editId="197B2FC1">
            <wp:extent cx="5915923" cy="5412775"/>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15923" cy="5412775"/>
                    </a:xfrm>
                    <a:prstGeom prst="rect">
                      <a:avLst/>
                    </a:prstGeom>
                    <a:ln/>
                  </pic:spPr>
                </pic:pic>
              </a:graphicData>
            </a:graphic>
          </wp:inline>
        </w:drawing>
      </w:r>
      <w:r>
        <w:rPr>
          <w:rFonts w:ascii="Times New Roman" w:eastAsia="Times New Roman" w:hAnsi="Times New Roman" w:cs="Times New Roman"/>
        </w:rPr>
        <w:t xml:space="preserve"> </w:t>
      </w:r>
      <w:r>
        <w:br w:type="page"/>
      </w:r>
    </w:p>
    <w:p w14:paraId="15C97E19" w14:textId="77777777" w:rsidR="00291766" w:rsidRDefault="008D3D19">
      <w:pPr>
        <w:pStyle w:val="Cmsor1"/>
        <w:spacing w:line="360" w:lineRule="auto"/>
        <w:jc w:val="both"/>
      </w:pPr>
      <w:bookmarkStart w:id="11" w:name="_heading=h.3rdcrjn" w:colFirst="0" w:colLast="0"/>
      <w:bookmarkEnd w:id="11"/>
      <w:r>
        <w:t xml:space="preserve">References </w:t>
      </w:r>
    </w:p>
    <w:p w14:paraId="6DF75122" w14:textId="77777777" w:rsidR="00291766" w:rsidRDefault="008D3D19">
      <w:pPr>
        <w:ind w:left="720" w:hanging="720"/>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Daddey</w:t>
      </w:r>
      <w:proofErr w:type="spellEnd"/>
      <w:r>
        <w:rPr>
          <w:rFonts w:ascii="Times New Roman" w:eastAsia="Times New Roman" w:hAnsi="Times New Roman" w:cs="Times New Roman"/>
          <w:color w:val="222222"/>
          <w:highlight w:val="white"/>
        </w:rPr>
        <w:t>, F. and Watt, A., 2021. Project Initiation. </w:t>
      </w:r>
      <w:r>
        <w:rPr>
          <w:rFonts w:ascii="Times New Roman" w:eastAsia="Times New Roman" w:hAnsi="Times New Roman" w:cs="Times New Roman"/>
          <w:i/>
          <w:color w:val="222222"/>
          <w:highlight w:val="white"/>
        </w:rPr>
        <w:t>Project Management</w:t>
      </w:r>
      <w:r>
        <w:rPr>
          <w:rFonts w:ascii="Times New Roman" w:eastAsia="Times New Roman" w:hAnsi="Times New Roman" w:cs="Times New Roman"/>
          <w:color w:val="222222"/>
          <w:highlight w:val="white"/>
        </w:rPr>
        <w:t>.</w:t>
      </w:r>
    </w:p>
    <w:p w14:paraId="43F06D34" w14:textId="77777777" w:rsidR="00291766" w:rsidRDefault="008D3D19">
      <w:pPr>
        <w:ind w:left="720" w:hanging="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Renfro, C.P., </w:t>
      </w:r>
      <w:proofErr w:type="spellStart"/>
      <w:r>
        <w:rPr>
          <w:rFonts w:ascii="Times New Roman" w:eastAsia="Times New Roman" w:hAnsi="Times New Roman" w:cs="Times New Roman"/>
          <w:color w:val="222222"/>
          <w:highlight w:val="white"/>
        </w:rPr>
        <w:t>Ferreri</w:t>
      </w:r>
      <w:proofErr w:type="spellEnd"/>
      <w:r>
        <w:rPr>
          <w:rFonts w:ascii="Times New Roman" w:eastAsia="Times New Roman" w:hAnsi="Times New Roman" w:cs="Times New Roman"/>
          <w:color w:val="222222"/>
          <w:highlight w:val="white"/>
        </w:rPr>
        <w:t xml:space="preserve">, S., Barber, T.G. and Foley, S., 2018. Development of a communication strategy to increase </w:t>
      </w:r>
      <w:proofErr w:type="spellStart"/>
      <w:r>
        <w:rPr>
          <w:rFonts w:ascii="Times New Roman" w:eastAsia="Times New Roman" w:hAnsi="Times New Roman" w:cs="Times New Roman"/>
          <w:color w:val="222222"/>
          <w:highlight w:val="white"/>
        </w:rPr>
        <w:t>interprofessional</w:t>
      </w:r>
      <w:proofErr w:type="spellEnd"/>
      <w:r>
        <w:rPr>
          <w:rFonts w:ascii="Times New Roman" w:eastAsia="Times New Roman" w:hAnsi="Times New Roman" w:cs="Times New Roman"/>
          <w:color w:val="222222"/>
          <w:highlight w:val="white"/>
        </w:rPr>
        <w:t xml:space="preserve"> collaboration in the outpatient setting. </w:t>
      </w:r>
      <w:r>
        <w:rPr>
          <w:rFonts w:ascii="Times New Roman" w:eastAsia="Times New Roman" w:hAnsi="Times New Roman" w:cs="Times New Roman"/>
          <w:i/>
          <w:color w:val="222222"/>
          <w:highlight w:val="white"/>
        </w:rPr>
        <w:t>Pharmacy</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6</w:t>
      </w:r>
      <w:r>
        <w:rPr>
          <w:rFonts w:ascii="Times New Roman" w:eastAsia="Times New Roman" w:hAnsi="Times New Roman" w:cs="Times New Roman"/>
          <w:color w:val="222222"/>
          <w:highlight w:val="white"/>
        </w:rPr>
        <w:t>(1), p.4.</w:t>
      </w:r>
    </w:p>
    <w:p w14:paraId="799A346F" w14:textId="77777777" w:rsidR="00291766" w:rsidRDefault="008D3D19">
      <w:pPr>
        <w:ind w:left="720" w:hanging="720"/>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Shukor</w:t>
      </w:r>
      <w:proofErr w:type="spellEnd"/>
      <w:r>
        <w:rPr>
          <w:rFonts w:ascii="Times New Roman" w:eastAsia="Times New Roman" w:hAnsi="Times New Roman" w:cs="Times New Roman"/>
          <w:color w:val="222222"/>
          <w:highlight w:val="white"/>
        </w:rPr>
        <w:t xml:space="preserve">, N.S.A., </w:t>
      </w:r>
      <w:proofErr w:type="spellStart"/>
      <w:r>
        <w:rPr>
          <w:rFonts w:ascii="Times New Roman" w:eastAsia="Times New Roman" w:hAnsi="Times New Roman" w:cs="Times New Roman"/>
          <w:color w:val="222222"/>
          <w:highlight w:val="white"/>
        </w:rPr>
        <w:t>MohdSuradi</w:t>
      </w:r>
      <w:proofErr w:type="spellEnd"/>
      <w:r>
        <w:rPr>
          <w:rFonts w:ascii="Times New Roman" w:eastAsia="Times New Roman" w:hAnsi="Times New Roman" w:cs="Times New Roman"/>
          <w:color w:val="222222"/>
          <w:highlight w:val="white"/>
        </w:rPr>
        <w:t xml:space="preserve">, N.R., </w:t>
      </w:r>
      <w:proofErr w:type="spellStart"/>
      <w:r>
        <w:rPr>
          <w:rFonts w:ascii="Times New Roman" w:eastAsia="Times New Roman" w:hAnsi="Times New Roman" w:cs="Times New Roman"/>
          <w:color w:val="222222"/>
          <w:highlight w:val="white"/>
        </w:rPr>
        <w:t>KamarulAdzhar</w:t>
      </w:r>
      <w:proofErr w:type="spellEnd"/>
      <w:r>
        <w:rPr>
          <w:rFonts w:ascii="Times New Roman" w:eastAsia="Times New Roman" w:hAnsi="Times New Roman" w:cs="Times New Roman"/>
          <w:color w:val="222222"/>
          <w:highlight w:val="white"/>
        </w:rPr>
        <w:t xml:space="preserve">, Z.A., Adnan, Z., </w:t>
      </w:r>
      <w:proofErr w:type="spellStart"/>
      <w:r>
        <w:rPr>
          <w:rFonts w:ascii="Times New Roman" w:eastAsia="Times New Roman" w:hAnsi="Times New Roman" w:cs="Times New Roman"/>
          <w:color w:val="222222"/>
          <w:highlight w:val="white"/>
        </w:rPr>
        <w:t>Teridi</w:t>
      </w:r>
      <w:proofErr w:type="spellEnd"/>
      <w:r>
        <w:rPr>
          <w:rFonts w:ascii="Times New Roman" w:eastAsia="Times New Roman" w:hAnsi="Times New Roman" w:cs="Times New Roman"/>
          <w:color w:val="222222"/>
          <w:highlight w:val="white"/>
        </w:rPr>
        <w:t xml:space="preserve">, N.A. and </w:t>
      </w:r>
      <w:proofErr w:type="spellStart"/>
      <w:r>
        <w:rPr>
          <w:rFonts w:ascii="Times New Roman" w:eastAsia="Times New Roman" w:hAnsi="Times New Roman" w:cs="Times New Roman"/>
          <w:color w:val="222222"/>
          <w:highlight w:val="white"/>
        </w:rPr>
        <w:t>Abd</w:t>
      </w:r>
      <w:proofErr w:type="spellEnd"/>
      <w:r>
        <w:rPr>
          <w:rFonts w:ascii="Times New Roman" w:eastAsia="Times New Roman" w:hAnsi="Times New Roman" w:cs="Times New Roman"/>
          <w:color w:val="222222"/>
          <w:highlight w:val="white"/>
        </w:rPr>
        <w:t xml:space="preserve"> Rauf, M.F., 2021. Information System Development with MVC Approach: A Case Study </w:t>
      </w:r>
      <w:proofErr w:type="gramStart"/>
      <w:r>
        <w:rPr>
          <w:rFonts w:ascii="Times New Roman" w:eastAsia="Times New Roman" w:hAnsi="Times New Roman" w:cs="Times New Roman"/>
          <w:color w:val="222222"/>
          <w:highlight w:val="white"/>
        </w:rPr>
        <w:t>On</w:t>
      </w:r>
      <w:proofErr w:type="gramEnd"/>
      <w:r>
        <w:rPr>
          <w:rFonts w:ascii="Times New Roman" w:eastAsia="Times New Roman" w:hAnsi="Times New Roman" w:cs="Times New Roman"/>
          <w:color w:val="222222"/>
          <w:highlight w:val="white"/>
        </w:rPr>
        <w:t xml:space="preserve"> Team Communication Strategy. </w:t>
      </w:r>
      <w:r>
        <w:rPr>
          <w:rFonts w:ascii="Times New Roman" w:eastAsia="Times New Roman" w:hAnsi="Times New Roman" w:cs="Times New Roman"/>
          <w:i/>
          <w:color w:val="222222"/>
          <w:highlight w:val="white"/>
        </w:rPr>
        <w:t>Turkish Journal of Computer and Mathematics Education (TURCOMAT)</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12</w:t>
      </w:r>
      <w:r>
        <w:rPr>
          <w:rFonts w:ascii="Times New Roman" w:eastAsia="Times New Roman" w:hAnsi="Times New Roman" w:cs="Times New Roman"/>
          <w:color w:val="222222"/>
          <w:highlight w:val="white"/>
        </w:rPr>
        <w:t>(14), pp.4380-4390.</w:t>
      </w:r>
    </w:p>
    <w:p w14:paraId="2BDA90A5" w14:textId="77777777" w:rsidR="00291766" w:rsidRDefault="00291766">
      <w:pPr>
        <w:ind w:left="720" w:hanging="720"/>
        <w:jc w:val="both"/>
        <w:rPr>
          <w:rFonts w:ascii="Times New Roman" w:eastAsia="Times New Roman" w:hAnsi="Times New Roman" w:cs="Times New Roman"/>
          <w:color w:val="222222"/>
          <w:highlight w:val="white"/>
        </w:rPr>
      </w:pPr>
    </w:p>
    <w:p w14:paraId="7AEBC967" w14:textId="77777777" w:rsidR="00291766" w:rsidRDefault="00291766">
      <w:pPr>
        <w:jc w:val="both"/>
        <w:rPr>
          <w:rFonts w:ascii="Times New Roman" w:eastAsia="Times New Roman" w:hAnsi="Times New Roman" w:cs="Times New Roman"/>
        </w:rPr>
      </w:pPr>
    </w:p>
    <w:sectPr w:rsidR="00291766">
      <w:pgSz w:w="11910" w:h="16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auto"/>
    <w:pitch w:val="default"/>
  </w:font>
  <w:font w:name="Noto Sans Symbols">
    <w:panose1 w:val="020B0502040504020204"/>
    <w:charset w:val="00"/>
    <w:family w:val="swiss"/>
    <w:pitch w:val="variable"/>
    <w:sig w:usb0="00000003" w:usb1="0200E0A0" w:usb2="00000000" w:usb3="00000000" w:csb0="00000001" w:csb1="00000000"/>
  </w:font>
  <w:font w:name="Times New Roman">
    <w:altName w:val="Calibri"/>
    <w:panose1 w:val="02020603050405020304"/>
    <w:charset w:val="00"/>
    <w:family w:val="auto"/>
    <w:pitch w:val="default"/>
  </w:font>
  <w:font w:name="Liberation Serif">
    <w:charset w:val="00"/>
    <w:family w:val="roman"/>
    <w:notTrueType/>
    <w:pitch w:val="default"/>
  </w:font>
  <w:font w:name="Cambria">
    <w:panose1 w:val="0204050305040603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96A12"/>
    <w:multiLevelType w:val="multilevel"/>
    <w:tmpl w:val="FFFFFFFF"/>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4915D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33A4B40"/>
    <w:multiLevelType w:val="multilevel"/>
    <w:tmpl w:val="FFFFFFFF"/>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7C86A8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766"/>
    <w:rsid w:val="00145670"/>
    <w:rsid w:val="00291766"/>
    <w:rsid w:val="00356487"/>
    <w:rsid w:val="0064568A"/>
    <w:rsid w:val="008D3D19"/>
    <w:rsid w:val="00B87E8E"/>
    <w:rsid w:val="00BF2021"/>
    <w:rsid w:val="00CC2DB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2EBC74B2"/>
  <w15:docId w15:val="{FA7FDC52-7D00-FA4D-BADF-55E016D6B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hu-HU"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4F3DC5"/>
  </w:style>
  <w:style w:type="paragraph" w:styleId="Cmsor1">
    <w:name w:val="heading 1"/>
    <w:basedOn w:val="Norml"/>
    <w:next w:val="Norml"/>
    <w:link w:val="Cmsor1Char"/>
    <w:uiPriority w:val="9"/>
    <w:qFormat/>
    <w:rsid w:val="000A429A"/>
    <w:pPr>
      <w:keepNext/>
      <w:keepLines/>
      <w:spacing w:before="240" w:after="0" w:line="480" w:lineRule="auto"/>
      <w:outlineLvl w:val="0"/>
    </w:pPr>
    <w:rPr>
      <w:rFonts w:ascii="Times New Roman" w:eastAsiaTheme="majorEastAsia" w:hAnsi="Times New Roman" w:cs="Times New Roman"/>
      <w:b/>
    </w:rPr>
  </w:style>
  <w:style w:type="paragraph" w:styleId="Cmsor2">
    <w:name w:val="heading 2"/>
    <w:basedOn w:val="Norml"/>
    <w:link w:val="Cmsor2Char"/>
    <w:uiPriority w:val="9"/>
    <w:semiHidden/>
    <w:unhideWhenUsed/>
    <w:qFormat/>
    <w:rsid w:val="00CB085D"/>
    <w:pPr>
      <w:widowControl w:val="0"/>
      <w:autoSpaceDE w:val="0"/>
      <w:autoSpaceDN w:val="0"/>
      <w:spacing w:before="210" w:after="120" w:line="240" w:lineRule="auto"/>
      <w:ind w:right="1546"/>
      <w:jc w:val="both"/>
      <w:outlineLvl w:val="1"/>
    </w:pPr>
    <w:rPr>
      <w:rFonts w:ascii="Times New Roman" w:eastAsia="Liberation Serif" w:hAnsi="Times New Roman" w:cs="Liberation Serif"/>
      <w:b/>
      <w:bCs/>
    </w:rPr>
  </w:style>
  <w:style w:type="paragraph" w:styleId="Cmsor3">
    <w:name w:val="heading 3"/>
    <w:basedOn w:val="Norml"/>
    <w:next w:val="Norml"/>
    <w:link w:val="Cmsor3Char"/>
    <w:uiPriority w:val="9"/>
    <w:semiHidden/>
    <w:unhideWhenUsed/>
    <w:qFormat/>
    <w:rsid w:val="005521E3"/>
    <w:pPr>
      <w:keepNext/>
      <w:keepLines/>
      <w:spacing w:before="280" w:after="80" w:line="480" w:lineRule="auto"/>
      <w:outlineLvl w:val="2"/>
    </w:pPr>
    <w:rPr>
      <w:rFonts w:eastAsia="Cambria" w:cs="Cambria"/>
      <w:szCs w:val="28"/>
      <w:lang w:eastAsia="en-GB"/>
    </w:rPr>
  </w:style>
  <w:style w:type="paragraph" w:styleId="Cmsor4">
    <w:name w:val="heading 4"/>
    <w:basedOn w:val="Norml"/>
    <w:next w:val="Norml"/>
    <w:uiPriority w:val="9"/>
    <w:semiHidden/>
    <w:unhideWhenUsed/>
    <w:qFormat/>
    <w:pPr>
      <w:keepNext/>
      <w:keepLines/>
      <w:spacing w:before="240" w:after="40"/>
      <w:outlineLvl w:val="3"/>
    </w:pPr>
    <w:rPr>
      <w:b/>
    </w:rPr>
  </w:style>
  <w:style w:type="paragraph" w:styleId="Cmsor5">
    <w:name w:val="heading 5"/>
    <w:basedOn w:val="Norml"/>
    <w:next w:val="Norml"/>
    <w:uiPriority w:val="9"/>
    <w:semiHidden/>
    <w:unhideWhenUsed/>
    <w:qFormat/>
    <w:pPr>
      <w:keepNext/>
      <w:keepLines/>
      <w:spacing w:before="220" w:after="40"/>
      <w:outlineLvl w:val="4"/>
    </w:pPr>
    <w:rPr>
      <w:b/>
      <w:sz w:val="22"/>
      <w:szCs w:val="22"/>
    </w:rPr>
  </w:style>
  <w:style w:type="paragraph" w:styleId="Cmsor6">
    <w:name w:val="heading 6"/>
    <w:basedOn w:val="Norml"/>
    <w:next w:val="Norml"/>
    <w:uiPriority w:val="9"/>
    <w:semiHidden/>
    <w:unhideWhenUsed/>
    <w:qFormat/>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before="480" w:after="120"/>
    </w:pPr>
    <w:rPr>
      <w:b/>
      <w:sz w:val="72"/>
      <w:szCs w:val="72"/>
    </w:rPr>
  </w:style>
  <w:style w:type="character" w:customStyle="1" w:styleId="Cmsor1Char">
    <w:name w:val="Címsor 1 Char"/>
    <w:basedOn w:val="Bekezdsalapbettpusa"/>
    <w:link w:val="Cmsor1"/>
    <w:uiPriority w:val="9"/>
    <w:rsid w:val="000A429A"/>
    <w:rPr>
      <w:rFonts w:ascii="Times New Roman" w:eastAsiaTheme="majorEastAsia" w:hAnsi="Times New Roman" w:cs="Times New Roman"/>
      <w:b/>
      <w:sz w:val="24"/>
      <w:szCs w:val="24"/>
    </w:rPr>
  </w:style>
  <w:style w:type="character" w:customStyle="1" w:styleId="Cmsor2Char">
    <w:name w:val="Címsor 2 Char"/>
    <w:basedOn w:val="Bekezdsalapbettpusa"/>
    <w:link w:val="Cmsor2"/>
    <w:uiPriority w:val="9"/>
    <w:rsid w:val="00CB085D"/>
    <w:rPr>
      <w:rFonts w:ascii="Times New Roman" w:eastAsia="Liberation Serif" w:hAnsi="Times New Roman" w:cs="Liberation Serif"/>
      <w:b/>
      <w:bCs/>
      <w:sz w:val="24"/>
      <w:szCs w:val="24"/>
    </w:rPr>
  </w:style>
  <w:style w:type="character" w:customStyle="1" w:styleId="Cmsor3Char">
    <w:name w:val="Címsor 3 Char"/>
    <w:basedOn w:val="Bekezdsalapbettpusa"/>
    <w:link w:val="Cmsor3"/>
    <w:uiPriority w:val="9"/>
    <w:rsid w:val="005521E3"/>
    <w:rPr>
      <w:rFonts w:ascii="Times New Roman" w:eastAsia="Cambria" w:hAnsi="Times New Roman" w:cs="Cambria"/>
      <w:sz w:val="24"/>
      <w:szCs w:val="28"/>
      <w:lang w:val="en-GB" w:eastAsia="en-GB"/>
    </w:rPr>
  </w:style>
  <w:style w:type="paragraph" w:styleId="Nincstrkz">
    <w:name w:val="No Spacing"/>
    <w:autoRedefine/>
    <w:uiPriority w:val="1"/>
    <w:qFormat/>
    <w:rsid w:val="00492329"/>
    <w:pPr>
      <w:spacing w:after="0"/>
    </w:pPr>
    <w:rPr>
      <w:rFonts w:ascii="Times New Roman" w:eastAsia="Times New Roman" w:hAnsi="Times New Roman" w:cs="Times New Roman"/>
      <w:i/>
      <w:szCs w:val="20"/>
      <w:lang w:eastAsia="en-GB"/>
    </w:rPr>
  </w:style>
  <w:style w:type="paragraph" w:customStyle="1" w:styleId="Strong1">
    <w:name w:val="Strong1"/>
    <w:autoRedefine/>
    <w:qFormat/>
    <w:rsid w:val="00492329"/>
    <w:pPr>
      <w:spacing w:after="0"/>
      <w:jc w:val="both"/>
    </w:pPr>
    <w:rPr>
      <w:rFonts w:ascii="Times New Roman" w:eastAsia="Times New Roman" w:hAnsi="Times New Roman" w:cs="Times New Roman"/>
      <w:b/>
      <w:bCs/>
      <w:szCs w:val="20"/>
      <w:lang w:eastAsia="en-GB"/>
    </w:rPr>
  </w:style>
  <w:style w:type="table" w:styleId="Tblzatrcsosvilgos">
    <w:name w:val="Grid Table Light"/>
    <w:basedOn w:val="Normltblzat"/>
    <w:uiPriority w:val="40"/>
    <w:rsid w:val="004059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aszerbekezds">
    <w:name w:val="List Paragraph"/>
    <w:basedOn w:val="Norml"/>
    <w:uiPriority w:val="34"/>
    <w:qFormat/>
    <w:rsid w:val="002A0BA4"/>
    <w:pPr>
      <w:ind w:left="720"/>
      <w:contextualSpacing/>
    </w:pPr>
  </w:style>
  <w:style w:type="paragraph" w:styleId="lfej">
    <w:name w:val="header"/>
    <w:basedOn w:val="Norml"/>
    <w:link w:val="lfejChar"/>
    <w:uiPriority w:val="99"/>
    <w:unhideWhenUsed/>
    <w:rsid w:val="008452E6"/>
    <w:pPr>
      <w:tabs>
        <w:tab w:val="center" w:pos="4680"/>
        <w:tab w:val="right" w:pos="9360"/>
      </w:tabs>
      <w:spacing w:after="0" w:line="240" w:lineRule="auto"/>
    </w:pPr>
  </w:style>
  <w:style w:type="character" w:customStyle="1" w:styleId="lfejChar">
    <w:name w:val="Élőfej Char"/>
    <w:basedOn w:val="Bekezdsalapbettpusa"/>
    <w:link w:val="lfej"/>
    <w:uiPriority w:val="99"/>
    <w:rsid w:val="008452E6"/>
    <w:rPr>
      <w:sz w:val="24"/>
    </w:rPr>
  </w:style>
  <w:style w:type="paragraph" w:styleId="llb">
    <w:name w:val="footer"/>
    <w:basedOn w:val="Norml"/>
    <w:link w:val="llbChar"/>
    <w:uiPriority w:val="99"/>
    <w:unhideWhenUsed/>
    <w:rsid w:val="008452E6"/>
    <w:pPr>
      <w:tabs>
        <w:tab w:val="center" w:pos="4680"/>
        <w:tab w:val="right" w:pos="9360"/>
      </w:tabs>
      <w:spacing w:after="0" w:line="240" w:lineRule="auto"/>
    </w:pPr>
  </w:style>
  <w:style w:type="character" w:customStyle="1" w:styleId="llbChar">
    <w:name w:val="Élőláb Char"/>
    <w:basedOn w:val="Bekezdsalapbettpusa"/>
    <w:link w:val="llb"/>
    <w:uiPriority w:val="99"/>
    <w:rsid w:val="008452E6"/>
    <w:rPr>
      <w:sz w:val="24"/>
    </w:rPr>
  </w:style>
  <w:style w:type="paragraph" w:styleId="Tartalomjegyzkcmsora">
    <w:name w:val="TOC Heading"/>
    <w:basedOn w:val="Cmsor1"/>
    <w:next w:val="Norml"/>
    <w:uiPriority w:val="39"/>
    <w:unhideWhenUsed/>
    <w:qFormat/>
    <w:rsid w:val="009A0282"/>
    <w:pPr>
      <w:spacing w:line="259" w:lineRule="auto"/>
      <w:outlineLvl w:val="9"/>
    </w:pPr>
    <w:rPr>
      <w:rFonts w:asciiTheme="majorHAnsi" w:hAnsiTheme="majorHAnsi" w:cstheme="majorBidi"/>
      <w:b w:val="0"/>
      <w:color w:val="2F5496" w:themeColor="accent1" w:themeShade="BF"/>
      <w:sz w:val="32"/>
      <w:szCs w:val="32"/>
    </w:rPr>
  </w:style>
  <w:style w:type="paragraph" w:styleId="TJ1">
    <w:name w:val="toc 1"/>
    <w:basedOn w:val="Norml"/>
    <w:next w:val="Norml"/>
    <w:autoRedefine/>
    <w:uiPriority w:val="39"/>
    <w:unhideWhenUsed/>
    <w:rsid w:val="009A0282"/>
    <w:pPr>
      <w:spacing w:after="100"/>
    </w:pPr>
  </w:style>
  <w:style w:type="character" w:styleId="Hiperhivatkozs">
    <w:name w:val="Hyperlink"/>
    <w:basedOn w:val="Bekezdsalapbettpusa"/>
    <w:uiPriority w:val="99"/>
    <w:unhideWhenUsed/>
    <w:rsid w:val="009A0282"/>
    <w:rPr>
      <w:color w:val="0563C1" w:themeColor="hyperlink"/>
      <w:u w:val="single"/>
    </w:rPr>
  </w:style>
  <w:style w:type="paragraph" w:styleId="Alcm">
    <w:name w:val="Subtitle"/>
    <w:basedOn w:val="Norml"/>
    <w:next w:val="Norm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image" Target="media/image7.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i6hrqKoE7GZq6Bvhdoy96zF9PQ==">AMUW2mUQwd5eYQ772UiAdwMD6nv5tPSeS9Ju2yiHV3bXPOLj7izsU6ONUhX9d5bFDUccuwCCkJ7oPqXiXxLt80AxWTojCtyg3RzsAVpJOeMJ+3pCoSxqmbgqcBuqUgS5kg1GN382HDBMnUcNvetkt2LjYUcJ9XCzFCspAx6CK9VlR9G8wjPUFpTFEiX9P/7LXRhxo0faVgXzxLeDvGNz2RT5Efb0943KczUY2S1OKzGEjnnvyONG3r1QMisp/zmli0Du7YrLRflXvH4Ydk6rx5KeFWiiIb+l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1660</Words>
  <Characters>11457</Characters>
  <Application>Microsoft Office Word</Application>
  <DocSecurity>0</DocSecurity>
  <Lines>95</Lines>
  <Paragraphs>26</Paragraphs>
  <ScaleCrop>false</ScaleCrop>
  <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Daniyal Agha</dc:creator>
  <cp:lastModifiedBy>Aniko Judit Pongo</cp:lastModifiedBy>
  <cp:revision>8</cp:revision>
  <dcterms:created xsi:type="dcterms:W3CDTF">2022-05-02T20:06:00Z</dcterms:created>
  <dcterms:modified xsi:type="dcterms:W3CDTF">2022-05-03T10:38:00Z</dcterms:modified>
</cp:coreProperties>
</file>