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16CDE" w14:textId="77777777" w:rsidR="000C3B98" w:rsidRDefault="000C3B98" w:rsidP="2A082498">
      <w:pPr>
        <w:ind w:left="2160" w:firstLine="720"/>
      </w:pPr>
    </w:p>
    <w:p w14:paraId="5E5787A5" w14:textId="08166370" w:rsidR="002B1BAC" w:rsidRDefault="2FA445C7" w:rsidP="2A082498">
      <w:pPr>
        <w:ind w:left="2160" w:firstLine="720"/>
      </w:pPr>
      <w:r>
        <w:t>Presentation review</w:t>
      </w:r>
    </w:p>
    <w:p w14:paraId="2AAE848A" w14:textId="7A58D76B" w:rsidR="2FA445C7" w:rsidRDefault="2FA445C7" w:rsidP="2A082498">
      <w:pPr>
        <w:rPr>
          <w:rFonts w:ascii="Aptos" w:eastAsia="Aptos" w:hAnsi="Aptos" w:cs="Aptos"/>
          <w:color w:val="000000" w:themeColor="text1"/>
          <w:sz w:val="22"/>
          <w:szCs w:val="22"/>
        </w:rPr>
      </w:pPr>
      <w:r w:rsidRPr="2A082498">
        <w:rPr>
          <w:rFonts w:ascii="Aptos" w:eastAsia="Aptos" w:hAnsi="Aptos" w:cs="Aptos"/>
          <w:color w:val="000000" w:themeColor="text1"/>
          <w:sz w:val="22"/>
          <w:szCs w:val="22"/>
        </w:rPr>
        <w:t>This reflection evaluates my contribution to a group presentation that applied the design thinking framework to address the future issue of declining fan engagement in sport. This reflection discusses how the group collaborated during the project, the working practices we adopted, how challenges and conflicts were managed, and how decisions were reached. Relevant teamwork and management theories are used to underpin the evaluation of these processes.</w:t>
      </w:r>
    </w:p>
    <w:p w14:paraId="3B72EDEA" w14:textId="608737DD" w:rsidR="2FA445C7" w:rsidRDefault="2FA445C7" w:rsidP="2A082498">
      <w:pPr>
        <w:rPr>
          <w:rFonts w:ascii="Aptos" w:eastAsia="Aptos" w:hAnsi="Aptos" w:cs="Aptos"/>
          <w:color w:val="000000" w:themeColor="text1"/>
          <w:sz w:val="22"/>
          <w:szCs w:val="22"/>
        </w:rPr>
      </w:pPr>
      <w:r w:rsidRPr="2A082498">
        <w:rPr>
          <w:rFonts w:ascii="Aptos" w:eastAsia="Aptos" w:hAnsi="Aptos" w:cs="Aptos"/>
          <w:color w:val="000000" w:themeColor="text1"/>
          <w:sz w:val="22"/>
          <w:szCs w:val="22"/>
        </w:rPr>
        <w:t>Our group collaborated using a combination of shared digital tools and in-person communication. A shared PowerPoint document was created to allow all group members to contribute to the presentation simultaneously, edit content and monitor overall progress. Digital collaboration tools are widely recognised as effective tools for coordinating teamwork and ensuring transparency when multiple individuals are contributing to a single project (Leonardi, 2021). By working within a shared document, the group avoided issues associated with multiple file versions and ensured all members could access and update the work when necessary.</w:t>
      </w:r>
    </w:p>
    <w:p w14:paraId="35D3C7FD" w14:textId="68813EC7" w:rsidR="2FA445C7" w:rsidRDefault="2FA445C7" w:rsidP="2A082498">
      <w:pPr>
        <w:rPr>
          <w:rFonts w:ascii="Aptos" w:eastAsia="Aptos" w:hAnsi="Aptos" w:cs="Aptos"/>
          <w:color w:val="000000" w:themeColor="text1"/>
          <w:sz w:val="22"/>
          <w:szCs w:val="22"/>
        </w:rPr>
      </w:pPr>
      <w:r w:rsidRPr="2A082498">
        <w:rPr>
          <w:rFonts w:ascii="Aptos" w:eastAsia="Aptos" w:hAnsi="Aptos" w:cs="Aptos"/>
          <w:color w:val="000000" w:themeColor="text1"/>
          <w:sz w:val="22"/>
          <w:szCs w:val="22"/>
        </w:rPr>
        <w:t>Alongside digital collaboration, most discussions took place during scheduled class sessions where ideas were shared and developed collectively. Face-to-face communication proved particularly valuable for discussing complex ideas and resolving uncertainties quickly. Media richness theory suggests that communication channels which allow immediate feedback, such as in-person discussions, are more effective for collaborative problem-solving than text-based communication methods (Daft and Lengel, 1986). These discussions were useful during the early stages of the project, when the group explored potential solutions to declining fan engagement.</w:t>
      </w:r>
    </w:p>
    <w:p w14:paraId="18ED8553" w14:textId="20796762" w:rsidR="2FA445C7" w:rsidRDefault="2FA445C7" w:rsidP="2A082498">
      <w:pPr>
        <w:rPr>
          <w:rFonts w:ascii="Aptos" w:eastAsia="Aptos" w:hAnsi="Aptos" w:cs="Aptos"/>
          <w:color w:val="000000" w:themeColor="text1"/>
          <w:sz w:val="22"/>
          <w:szCs w:val="22"/>
        </w:rPr>
      </w:pPr>
      <w:r w:rsidRPr="2A082498">
        <w:rPr>
          <w:rFonts w:ascii="Aptos" w:eastAsia="Aptos" w:hAnsi="Aptos" w:cs="Aptos"/>
          <w:color w:val="000000" w:themeColor="text1"/>
          <w:sz w:val="22"/>
          <w:szCs w:val="22"/>
        </w:rPr>
        <w:t>However, while collaboration was relatively effective during the initial stages of idea generation, the distribution of work became less balanced as the project progressed towards the creation of the final presentation. Some members contributed less content than others, which required more active members of the group to undertake additional work to ensure the presentation was completed. This imbalance may have been partly influenced by limited communication outside of scheduled class sessions. This experience reflects the concept of social loafing, which occurs when individuals exert less effort when working collectively because responsibility is shared across the group (Latané, Williams and Harkins, 1979). In hindsight, establishing clearer expectations for individual contributions and arranging more structured collaboration outside class time could have improved overall team effectiveness.</w:t>
      </w:r>
    </w:p>
    <w:p w14:paraId="30AB49BE" w14:textId="776A91C4" w:rsidR="2FA445C7" w:rsidRDefault="2FA445C7" w:rsidP="2A082498">
      <w:pPr>
        <w:rPr>
          <w:rFonts w:ascii="Aptos" w:eastAsia="Aptos" w:hAnsi="Aptos" w:cs="Aptos"/>
          <w:color w:val="000000" w:themeColor="text1"/>
          <w:sz w:val="22"/>
          <w:szCs w:val="22"/>
        </w:rPr>
      </w:pPr>
      <w:r w:rsidRPr="2A082498">
        <w:rPr>
          <w:rFonts w:ascii="Aptos" w:eastAsia="Aptos" w:hAnsi="Aptos" w:cs="Aptos"/>
          <w:color w:val="000000" w:themeColor="text1"/>
          <w:sz w:val="22"/>
          <w:szCs w:val="22"/>
        </w:rPr>
        <w:t xml:space="preserve">Within the group, I adopted a leadership and coordination role to help organise the project and maintain progress. One of my first actions was to create the shared PowerPoint document and grant access to all members so the group had a single platform for developing the presentation. I also organised the overall structure of the assignment and coordinated how the design thinking model would be applied within our project. The design thinking process typically involves five stages: empathise, define, ideate, prototype and test (Brown, 2008). To distribute the workload efficiently, group members were allocated sections of the model. </w:t>
      </w:r>
    </w:p>
    <w:p w14:paraId="4DB1D3D8" w14:textId="51574780" w:rsidR="2A082498" w:rsidRDefault="2A082498" w:rsidP="2A082498">
      <w:pPr>
        <w:rPr>
          <w:rFonts w:ascii="Aptos" w:eastAsia="Aptos" w:hAnsi="Aptos" w:cs="Aptos"/>
          <w:color w:val="000000" w:themeColor="text1"/>
          <w:sz w:val="22"/>
          <w:szCs w:val="22"/>
        </w:rPr>
      </w:pPr>
    </w:p>
    <w:p w14:paraId="440792C5" w14:textId="24765E99" w:rsidR="2FA445C7" w:rsidRDefault="2FA445C7" w:rsidP="2A082498">
      <w:pPr>
        <w:rPr>
          <w:rFonts w:ascii="Aptos" w:eastAsia="Aptos" w:hAnsi="Aptos" w:cs="Aptos"/>
          <w:color w:val="000000" w:themeColor="text1"/>
          <w:sz w:val="22"/>
          <w:szCs w:val="22"/>
        </w:rPr>
      </w:pPr>
      <w:r w:rsidRPr="2A082498">
        <w:rPr>
          <w:rFonts w:ascii="Aptos" w:eastAsia="Aptos" w:hAnsi="Aptos" w:cs="Aptos"/>
          <w:color w:val="000000" w:themeColor="text1"/>
          <w:sz w:val="22"/>
          <w:szCs w:val="22"/>
        </w:rPr>
        <w:t xml:space="preserve">During the development process, it became apparent that not all members were contributing equally. One member did not attend meetings or provide any input to the project. To ensure that the presentation could still be completed to an appropriate standard, I took responsibility for completing the testing stage of the design thinking process in addition to my original sections. </w:t>
      </w:r>
    </w:p>
    <w:p w14:paraId="529B3219" w14:textId="357D0A8F" w:rsidR="2FA445C7" w:rsidRDefault="2FA445C7" w:rsidP="2A082498">
      <w:pPr>
        <w:rPr>
          <w:rFonts w:ascii="Aptos" w:eastAsia="Aptos" w:hAnsi="Aptos" w:cs="Aptos"/>
          <w:color w:val="000000" w:themeColor="text1"/>
          <w:sz w:val="22"/>
          <w:szCs w:val="22"/>
        </w:rPr>
      </w:pPr>
      <w:r w:rsidRPr="2A082498">
        <w:rPr>
          <w:rFonts w:ascii="Aptos" w:eastAsia="Aptos" w:hAnsi="Aptos" w:cs="Aptos"/>
          <w:color w:val="000000" w:themeColor="text1"/>
          <w:sz w:val="22"/>
          <w:szCs w:val="22"/>
        </w:rPr>
        <w:t>My contribution to organising tasks and ensuring the quality of the final presentation can be understood through Belbin’s Team Role Theory (1981). My key roles reflected aspects of both the Coordinator and Completer Finisher roles. The coordinator role involves organising team activities and ensuring the group understands its objectives, while the Completer Finisher role emphasises attention to detail and ensuring the final work is completed to a high standard. This was evident when I reviewed the presentation before submission to ensure consistency and coherence. During this process, I standardised fonts, improved slide design, removed unnecessary information and ensured that the presentation flowed logically as a unified piece of work rather than appearing as separate sections produced by different individuals.</w:t>
      </w:r>
    </w:p>
    <w:p w14:paraId="4226A9FB" w14:textId="5B46CCB1" w:rsidR="2FA445C7" w:rsidRDefault="2FA445C7" w:rsidP="2A082498">
      <w:pPr>
        <w:rPr>
          <w:rFonts w:ascii="Aptos" w:eastAsia="Aptos" w:hAnsi="Aptos" w:cs="Aptos"/>
          <w:color w:val="000000" w:themeColor="text1"/>
          <w:sz w:val="22"/>
          <w:szCs w:val="22"/>
        </w:rPr>
      </w:pPr>
      <w:r w:rsidRPr="2A082498">
        <w:rPr>
          <w:rFonts w:ascii="Aptos" w:eastAsia="Aptos" w:hAnsi="Aptos" w:cs="Aptos"/>
          <w:color w:val="000000" w:themeColor="text1"/>
          <w:sz w:val="22"/>
          <w:szCs w:val="22"/>
        </w:rPr>
        <w:t>Differences of opinion arose during the ideation stage when the group was selecting which solution to develop, as each member proposed different ideas. Rather than dismissing suggestions immediately, we discussed each proposal and evaluated its advantages and limitations in relation to our research and the assignment objectives. Through this process, less feasible ideas were gradually eliminated, and the group reached decisions through collective discussion and consensus. Major decisions were only finalised once all members agreed, including the final prototype presented in our work. This collaborative approach reflects the norming stage of Tuckman’s group development model (1965), where teams begin to resolve disagreements and work more cohesively towards shared goals.</w:t>
      </w:r>
    </w:p>
    <w:p w14:paraId="28ECE552" w14:textId="69EEDA99" w:rsidR="2FA445C7" w:rsidRDefault="2FA445C7" w:rsidP="2A082498">
      <w:pPr>
        <w:rPr>
          <w:rFonts w:ascii="Aptos" w:eastAsia="Aptos" w:hAnsi="Aptos" w:cs="Aptos"/>
          <w:color w:val="000000" w:themeColor="text1"/>
          <w:sz w:val="22"/>
          <w:szCs w:val="22"/>
        </w:rPr>
      </w:pPr>
      <w:r w:rsidRPr="2A082498">
        <w:rPr>
          <w:rFonts w:ascii="Aptos" w:eastAsia="Aptos" w:hAnsi="Aptos" w:cs="Aptos"/>
          <w:color w:val="000000" w:themeColor="text1"/>
          <w:sz w:val="22"/>
          <w:szCs w:val="22"/>
        </w:rPr>
        <w:t>Overall, the group project demonstrated several effective collaborative practices, including the use of shared digital tools, face-to-face communication and collective decision-making. My contribution focused primarily on organising the structure of the project, coordinating tasks and ensuring the final presentation met the required academic standard. However, the experience also highlighted common challenges associated with group work, particularly unequal participation and limited communication outside scheduled sessions. If the project were repeated, implementing clearer task allocation, establishing structured deadlines for individual contributions and arranging additional meetings outside of class would likely improve collaboration and ensure a more balanced workload across all group members.</w:t>
      </w:r>
    </w:p>
    <w:p w14:paraId="2E22B058" w14:textId="5A230B51" w:rsidR="2A082498" w:rsidRDefault="2A082498" w:rsidP="2A082498">
      <w:pPr>
        <w:rPr>
          <w:sz w:val="22"/>
          <w:szCs w:val="22"/>
        </w:rPr>
      </w:pPr>
    </w:p>
    <w:p w14:paraId="412E56E4" w14:textId="0C20C727" w:rsidR="2A082498" w:rsidRDefault="2A082498" w:rsidP="2A082498">
      <w:pPr>
        <w:rPr>
          <w:sz w:val="22"/>
          <w:szCs w:val="22"/>
        </w:rPr>
      </w:pPr>
    </w:p>
    <w:p w14:paraId="2AC9DCCC" w14:textId="345A80F4" w:rsidR="2A082498" w:rsidRDefault="2A082498" w:rsidP="2A082498">
      <w:pPr>
        <w:rPr>
          <w:sz w:val="22"/>
          <w:szCs w:val="22"/>
        </w:rPr>
      </w:pPr>
    </w:p>
    <w:p w14:paraId="5C0366DD" w14:textId="135F0BB8" w:rsidR="2A082498" w:rsidRDefault="2A082498" w:rsidP="2A082498">
      <w:pPr>
        <w:rPr>
          <w:sz w:val="22"/>
          <w:szCs w:val="22"/>
        </w:rPr>
      </w:pPr>
    </w:p>
    <w:p w14:paraId="4787D394" w14:textId="75D80DB4" w:rsidR="2A082498" w:rsidRDefault="2A082498" w:rsidP="2A082498">
      <w:pPr>
        <w:rPr>
          <w:sz w:val="22"/>
          <w:szCs w:val="22"/>
        </w:rPr>
      </w:pPr>
    </w:p>
    <w:p w14:paraId="17331AF8" w14:textId="241C85DF" w:rsidR="2A082498" w:rsidRDefault="2A082498" w:rsidP="2A082498">
      <w:pPr>
        <w:rPr>
          <w:sz w:val="22"/>
          <w:szCs w:val="22"/>
        </w:rPr>
      </w:pPr>
    </w:p>
    <w:p w14:paraId="4C8B412F" w14:textId="4BE23039" w:rsidR="2A082498" w:rsidRDefault="2A082498" w:rsidP="2A082498">
      <w:pPr>
        <w:rPr>
          <w:sz w:val="22"/>
          <w:szCs w:val="22"/>
        </w:rPr>
      </w:pPr>
    </w:p>
    <w:p w14:paraId="1B0062FB" w14:textId="56880664" w:rsidR="2FA445C7" w:rsidRDefault="2FA445C7" w:rsidP="2A082498">
      <w:pPr>
        <w:rPr>
          <w:sz w:val="22"/>
          <w:szCs w:val="22"/>
          <w:u w:val="single"/>
        </w:rPr>
      </w:pPr>
      <w:r w:rsidRPr="2A082498">
        <w:rPr>
          <w:sz w:val="22"/>
          <w:szCs w:val="22"/>
          <w:u w:val="single"/>
        </w:rPr>
        <w:t xml:space="preserve">References: </w:t>
      </w:r>
    </w:p>
    <w:p w14:paraId="7E5714CE" w14:textId="77777777" w:rsidR="00736FFB" w:rsidRDefault="00736FFB" w:rsidP="2A082498">
      <w:r w:rsidRPr="2A082498">
        <w:rPr>
          <w:sz w:val="22"/>
          <w:szCs w:val="22"/>
        </w:rPr>
        <w:t>Belbin, R.M. (1981). Management Teams: Why They Succeed or Fail. London: Heinemann.</w:t>
      </w:r>
    </w:p>
    <w:p w14:paraId="6DC6280E" w14:textId="77777777" w:rsidR="00736FFB" w:rsidRDefault="00736FFB" w:rsidP="2A082498">
      <w:r w:rsidRPr="2A082498">
        <w:rPr>
          <w:sz w:val="22"/>
          <w:szCs w:val="22"/>
        </w:rPr>
        <w:t xml:space="preserve">Brown, T. (2008). Design Thinking. [online] Harvard Business Review. Available at: https://hbr.org/2008/06/design-thinking. </w:t>
      </w:r>
    </w:p>
    <w:p w14:paraId="65FB9FCA" w14:textId="77777777" w:rsidR="00736FFB" w:rsidRDefault="00736FFB" w:rsidP="2A082498">
      <w:r w:rsidRPr="2A082498">
        <w:rPr>
          <w:sz w:val="22"/>
          <w:szCs w:val="22"/>
        </w:rPr>
        <w:t xml:space="preserve">Daft, R.L. and Lengel, R.H. (1986). Organizational Information Requirements, Media Richness and Structural Design. Management Science, [online] 32(5), pp.554–571. doi:https://doi.org/10.1287/mnsc.32.5.554. </w:t>
      </w:r>
    </w:p>
    <w:p w14:paraId="012DE838" w14:textId="77777777" w:rsidR="00736FFB" w:rsidRDefault="00736FFB" w:rsidP="2A082498">
      <w:r w:rsidRPr="2A082498">
        <w:rPr>
          <w:sz w:val="22"/>
          <w:szCs w:val="22"/>
        </w:rPr>
        <w:t xml:space="preserve">Latané, B., Williams, K. and Harkins, S. (1979). Many Hands Make Light the work: the Causes and Consequences of Social loafing. Journal of Personality and Social Psychology, [online] 37(6), pp.822–832. doi:https://doi.org/10.1037/0022-3514.37.6.822. </w:t>
      </w:r>
    </w:p>
    <w:p w14:paraId="59326C08" w14:textId="77777777" w:rsidR="00736FFB" w:rsidRDefault="00736FFB" w:rsidP="2A082498">
      <w:r w:rsidRPr="2A082498">
        <w:rPr>
          <w:sz w:val="22"/>
          <w:szCs w:val="22"/>
        </w:rPr>
        <w:t xml:space="preserve">Leonardi, P. (2021) “Picking the Right Approach to Digital Collaboration,” MIT Sloan management review, 62(3), pp. 73–80. </w:t>
      </w:r>
    </w:p>
    <w:p w14:paraId="3C40EDF9" w14:textId="2F7C9F8B" w:rsidR="2A082498" w:rsidRDefault="2A082498" w:rsidP="2A082498">
      <w:pPr>
        <w:rPr>
          <w:sz w:val="22"/>
          <w:szCs w:val="22"/>
        </w:rPr>
      </w:pPr>
    </w:p>
    <w:sectPr w:rsidR="2A08249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F4290B"/>
    <w:rsid w:val="000C3B98"/>
    <w:rsid w:val="002B1BAC"/>
    <w:rsid w:val="005B578E"/>
    <w:rsid w:val="00736FFB"/>
    <w:rsid w:val="00F75E34"/>
    <w:rsid w:val="1C8FC0B2"/>
    <w:rsid w:val="2A082498"/>
    <w:rsid w:val="2FA445C7"/>
    <w:rsid w:val="483B113E"/>
    <w:rsid w:val="5BF4290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BF4290B"/>
  <w15:chartTrackingRefBased/>
  <w15:docId w15:val="{D1BF4B56-245B-439A-94AE-9D7FFAD29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Marshall (2517487)</dc:creator>
  <cp:keywords/>
  <dc:description/>
  <cp:lastModifiedBy>Freya Marshall (2517487)</cp:lastModifiedBy>
  <cp:revision>2</cp:revision>
  <dcterms:created xsi:type="dcterms:W3CDTF">2026-04-03T20:48:00Z</dcterms:created>
  <dcterms:modified xsi:type="dcterms:W3CDTF">2026-04-03T20:52:00Z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30c94996-6245-4288-8bb3-3f540444945f</vt:lpwstr>
  </property>
</Properties>
</file>