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D6E2D" w14:textId="691C7D8C" w:rsidR="005C2B38" w:rsidRDefault="00251E61" w:rsidP="003A7F26">
      <w:pPr>
        <w:jc w:val="center"/>
      </w:pPr>
      <w:r>
        <w:t xml:space="preserve">Gwyneth </w:t>
      </w:r>
      <w:r w:rsidR="00CE3E0D">
        <w:t xml:space="preserve">Emily </w:t>
      </w:r>
      <w:bookmarkStart w:id="0" w:name="_GoBack"/>
      <w:bookmarkEnd w:id="0"/>
      <w:proofErr w:type="spellStart"/>
      <w:r>
        <w:t>Magor</w:t>
      </w:r>
      <w:proofErr w:type="spellEnd"/>
    </w:p>
    <w:p w14:paraId="4AC84547" w14:textId="625B9F8E" w:rsidR="00251E61" w:rsidRDefault="00251E61" w:rsidP="003A7F26">
      <w:pPr>
        <w:jc w:val="center"/>
      </w:pPr>
      <w:r>
        <w:t>Illustration</w:t>
      </w:r>
    </w:p>
    <w:p w14:paraId="566643A8" w14:textId="12CEAFA7" w:rsidR="00251E61" w:rsidRDefault="00251E61" w:rsidP="003A7F26">
      <w:pPr>
        <w:jc w:val="center"/>
      </w:pPr>
      <w:r>
        <w:t>P151316</w:t>
      </w:r>
    </w:p>
    <w:p w14:paraId="1E3567F8" w14:textId="4C45227B" w:rsidR="007F7C5B" w:rsidRDefault="007F7C5B" w:rsidP="003A7F26">
      <w:pPr>
        <w:jc w:val="center"/>
      </w:pPr>
      <w:r>
        <w:t xml:space="preserve">Tutor: Louise </w:t>
      </w:r>
      <w:proofErr w:type="spellStart"/>
      <w:r>
        <w:t>Burston</w:t>
      </w:r>
      <w:proofErr w:type="spellEnd"/>
    </w:p>
    <w:p w14:paraId="67DCDA54" w14:textId="2464EB3F" w:rsidR="007F7C5B" w:rsidRDefault="007F7C5B" w:rsidP="00800918">
      <w:pPr>
        <w:jc w:val="center"/>
        <w:rPr>
          <w:b/>
        </w:rPr>
      </w:pPr>
      <w:r>
        <w:rPr>
          <w:b/>
        </w:rPr>
        <w:t>HIGH AND LOW CULTURAL ARTEFACTS DURING THE PRE-RAPHAELITE ERA</w:t>
      </w:r>
    </w:p>
    <w:p w14:paraId="29978627" w14:textId="3921A846" w:rsidR="007B3179" w:rsidRDefault="007B3179" w:rsidP="003A7F26">
      <w:pPr>
        <w:jc w:val="center"/>
      </w:pPr>
      <w:r>
        <w:t>2. Within a given time period, select examples of what could be considered high and low cultural artefacts. Discuss these, taking into consideration the surrounding social, political and historical context.</w:t>
      </w:r>
    </w:p>
    <w:p w14:paraId="5B4158C0" w14:textId="06AF1A82" w:rsidR="00563248" w:rsidRDefault="00563248" w:rsidP="003A7F26">
      <w:pPr>
        <w:jc w:val="center"/>
      </w:pPr>
      <w:r>
        <w:t>Word count: 1,50</w:t>
      </w:r>
      <w:r w:rsidR="00CE3E0D">
        <w:t>4</w:t>
      </w:r>
    </w:p>
    <w:p w14:paraId="1599090E" w14:textId="77777777" w:rsidR="00251E61" w:rsidRDefault="00251E61" w:rsidP="003A7F26">
      <w:pPr>
        <w:jc w:val="center"/>
      </w:pPr>
    </w:p>
    <w:p w14:paraId="609D22D3" w14:textId="035DA12E" w:rsidR="005C2B38" w:rsidRDefault="005C2B38">
      <w:r>
        <w:br w:type="page"/>
      </w:r>
    </w:p>
    <w:p w14:paraId="551503BC" w14:textId="56C8637A" w:rsidR="00FC78A8" w:rsidRDefault="002F04CC" w:rsidP="003A7F26">
      <w:pPr>
        <w:jc w:val="center"/>
        <w:rPr>
          <w:b/>
        </w:rPr>
      </w:pPr>
      <w:r>
        <w:lastRenderedPageBreak/>
        <w:t xml:space="preserve">Q2: </w:t>
      </w:r>
      <w:r w:rsidR="00FC78A8">
        <w:rPr>
          <w:b/>
        </w:rPr>
        <w:t>HIGH AND LOW CULTURAL ARTEFACTS DURING THE PRE-RAPHAELITE ERA</w:t>
      </w:r>
    </w:p>
    <w:p w14:paraId="0501398F" w14:textId="77777777" w:rsidR="00300FE7" w:rsidRDefault="00300FE7" w:rsidP="003A7F26">
      <w:pPr>
        <w:jc w:val="center"/>
        <w:rPr>
          <w:b/>
        </w:rPr>
      </w:pPr>
    </w:p>
    <w:p w14:paraId="31C96EF4" w14:textId="2A655C70" w:rsidR="00300FE7" w:rsidRDefault="00433F73" w:rsidP="001A790F">
      <w:pPr>
        <w:bidi/>
      </w:pPr>
      <w:r>
        <w:rPr>
          <w:i/>
        </w:rPr>
        <w:t>“</w:t>
      </w:r>
      <w:r w:rsidR="00300FE7" w:rsidRPr="00252E7D">
        <w:rPr>
          <w:i/>
        </w:rPr>
        <w:t>Access to the arts is intrinsic to a high quality of life</w:t>
      </w:r>
      <w:r>
        <w:rPr>
          <w:i/>
        </w:rPr>
        <w:t>.</w:t>
      </w:r>
      <w:r w:rsidR="00300FE7" w:rsidRPr="00252E7D">
        <w:rPr>
          <w:i/>
        </w:rPr>
        <w:t>”</w:t>
      </w:r>
      <w:r w:rsidR="00300FE7">
        <w:t xml:space="preserve"> </w:t>
      </w:r>
    </w:p>
    <w:p w14:paraId="63CFE121" w14:textId="0C121839" w:rsidR="00300FE7" w:rsidRDefault="00300FE7" w:rsidP="001A790F">
      <w:pPr>
        <w:bidi/>
      </w:pPr>
      <w:r>
        <w:t>– Oxford University Press (201</w:t>
      </w:r>
      <w:r w:rsidR="00433F73">
        <w:t>7)</w:t>
      </w:r>
    </w:p>
    <w:p w14:paraId="17B25B9D" w14:textId="733A8DD4" w:rsidR="00300FE7" w:rsidRDefault="00300FE7" w:rsidP="00300FE7">
      <w:pPr>
        <w:bidi/>
      </w:pPr>
    </w:p>
    <w:p w14:paraId="6D3C92C4" w14:textId="3B91CE3F" w:rsidR="00927404" w:rsidRDefault="00A35A00" w:rsidP="005433CE">
      <w:r>
        <w:t xml:space="preserve">When discussing high and low culture, it is important to first understand what culture is. </w:t>
      </w:r>
      <w:proofErr w:type="spellStart"/>
      <w:r>
        <w:t>Cliffsnotes</w:t>
      </w:r>
      <w:proofErr w:type="spellEnd"/>
      <w:r>
        <w:t xml:space="preserve"> (2016) defines culture as the beliefs, behaviours, objects and characteristics</w:t>
      </w:r>
      <w:r w:rsidR="00F94888">
        <w:t xml:space="preserve"> which are</w:t>
      </w:r>
      <w:r>
        <w:t xml:space="preserve"> common to a group or society.</w:t>
      </w:r>
      <w:r w:rsidR="0048441E">
        <w:t xml:space="preserve"> These may include more specific components such as values, language, customs, and ‘institutions’ such as religion, family, work and education. </w:t>
      </w:r>
      <w:r w:rsidR="00AD20DD">
        <w:t xml:space="preserve">According to </w:t>
      </w:r>
      <w:r w:rsidR="00E274A3">
        <w:t>this</w:t>
      </w:r>
      <w:r w:rsidR="00AD20DD">
        <w:t xml:space="preserve"> definition</w:t>
      </w:r>
      <w:r w:rsidR="00E274A3">
        <w:t xml:space="preserve">, to be ‘cultured’ </w:t>
      </w:r>
      <w:r w:rsidR="00AD20DD">
        <w:t xml:space="preserve">would </w:t>
      </w:r>
      <w:r w:rsidR="00E274A3">
        <w:t>mean to have a</w:t>
      </w:r>
      <w:r w:rsidR="00783438">
        <w:t xml:space="preserve"> comprehensive understanding of these subjects. </w:t>
      </w:r>
      <w:r w:rsidR="00071620">
        <w:t>Someone of ‘high’ culture would be well-educated,</w:t>
      </w:r>
      <w:r w:rsidR="00C02C14">
        <w:t xml:space="preserve"> well-mannered,</w:t>
      </w:r>
      <w:r w:rsidR="00071620">
        <w:t xml:space="preserve"> knowledgeable of the arts, have a well-respected job and </w:t>
      </w:r>
      <w:r w:rsidR="00C90FC2">
        <w:t xml:space="preserve">show an </w:t>
      </w:r>
      <w:r w:rsidR="00FE067B">
        <w:t xml:space="preserve">informed </w:t>
      </w:r>
      <w:r w:rsidR="00C90FC2">
        <w:t>sense of style.</w:t>
      </w:r>
      <w:r w:rsidR="00CC1012">
        <w:t xml:space="preserve"> By contrast, a</w:t>
      </w:r>
      <w:r w:rsidR="00F12016">
        <w:t xml:space="preserve">n individual of ‘low culture’ would therefore be uncultured, uneducated and show little interest and/or understanding of the arts. </w:t>
      </w:r>
      <w:r w:rsidR="00282252">
        <w:t xml:space="preserve">According to these definitions, objects and interests of high culture would be sophisticated and pursued by the upper classes, and would most probably include classical music, theatre and the fine arts. Objects and interests of low culture would be </w:t>
      </w:r>
      <w:r w:rsidR="00A5461D">
        <w:t xml:space="preserve">easily accessible to the masses and </w:t>
      </w:r>
      <w:r w:rsidR="00282252">
        <w:t xml:space="preserve">sought after by middle and lower classes – more ‘mainstream’ society. </w:t>
      </w:r>
      <w:r w:rsidR="00652BC9">
        <w:t>These may include sports, popular music, magazines, and in modern times, movies and television shows.</w:t>
      </w:r>
      <w:r w:rsidR="0009077C">
        <w:t xml:space="preserve"> </w:t>
      </w:r>
      <w:r w:rsidR="004B2729">
        <w:t xml:space="preserve">During the Victorian era, there was art for both low and high culture. Due to the expansion of industry, specifically the printing industry, it was possible to mass-produce elaborate designs and illustrated booklets/magazines such as the penny </w:t>
      </w:r>
      <w:proofErr w:type="spellStart"/>
      <w:r w:rsidR="004B2729">
        <w:t>dreadfuls</w:t>
      </w:r>
      <w:proofErr w:type="spellEnd"/>
      <w:r w:rsidR="004B2729">
        <w:t>. These were weekly booklets with thrilling, illustrated stories in them, that could be purchased for just one penny.</w:t>
      </w:r>
      <w:r w:rsidR="00526905">
        <w:t xml:space="preserve"> </w:t>
      </w:r>
      <w:r w:rsidR="00B91FAE">
        <w:t xml:space="preserve">At the other extreme, there were art galleries and museums only accessible to the elite upper classes. </w:t>
      </w:r>
      <w:proofErr w:type="spellStart"/>
      <w:r w:rsidR="00181FA5">
        <w:t>Pleischer</w:t>
      </w:r>
      <w:proofErr w:type="spellEnd"/>
      <w:r w:rsidR="00181FA5">
        <w:t xml:space="preserve"> (2013) likens the experience of going to an art gallery to the feeling of being in a place of worship, because high art’s “beauty lift(s) us to a higher level of spirituality”. </w:t>
      </w:r>
      <w:proofErr w:type="spellStart"/>
      <w:r w:rsidR="00181FA5">
        <w:t>Pleischer</w:t>
      </w:r>
      <w:proofErr w:type="spellEnd"/>
      <w:r w:rsidR="00181FA5">
        <w:t xml:space="preserve"> goes on to explain </w:t>
      </w:r>
      <w:r w:rsidR="0031003C">
        <w:t xml:space="preserve">that high art </w:t>
      </w:r>
      <w:r w:rsidR="00576F95">
        <w:t xml:space="preserve">is </w:t>
      </w:r>
      <w:r w:rsidR="0031003C">
        <w:t>simply ‘limited audience art’ that had unique, complex meanings and was typically of single or limited production.</w:t>
      </w:r>
      <w:r w:rsidR="00576F95">
        <w:t xml:space="preserve"> Low art is essentially more popular, accessible art which </w:t>
      </w:r>
      <w:r w:rsidR="00B86F8A">
        <w:t xml:space="preserve">has simple meanings to be </w:t>
      </w:r>
      <w:r w:rsidR="00576F95">
        <w:t>understandable by the masses</w:t>
      </w:r>
      <w:r w:rsidR="00664FD3">
        <w:t xml:space="preserve">, and typically mass produced. </w:t>
      </w:r>
    </w:p>
    <w:p w14:paraId="23E6BA4B" w14:textId="6C8CCEA9" w:rsidR="00800A37" w:rsidRDefault="00B850C9" w:rsidP="005433CE">
      <w:r>
        <w:t>Robinson (2007</w:t>
      </w:r>
      <w:r w:rsidR="00ED47F1">
        <w:t>:64</w:t>
      </w:r>
      <w:r>
        <w:t>) stated that d</w:t>
      </w:r>
      <w:r w:rsidR="00927404">
        <w:t xml:space="preserve">uring the Victorian era, literature was regarded as a nobler art than painting. </w:t>
      </w:r>
      <w:r w:rsidR="00C333DB">
        <w:t>P</w:t>
      </w:r>
      <w:r w:rsidR="00470782">
        <w:t>hotography</w:t>
      </w:r>
      <w:r w:rsidR="00121EB9">
        <w:t xml:space="preserve"> was also invented in </w:t>
      </w:r>
      <w:r w:rsidR="0081127F">
        <w:t>1839, which changed the status of painting</w:t>
      </w:r>
      <w:r w:rsidR="00FE2359">
        <w:t>.</w:t>
      </w:r>
      <w:r w:rsidR="00F46399">
        <w:t xml:space="preserve"> Queen Victoria became the first monarch to have her photograph taken.</w:t>
      </w:r>
      <w:r w:rsidR="00190219">
        <w:t xml:space="preserve"> </w:t>
      </w:r>
      <w:r w:rsidR="000E16F3">
        <w:t>The pre-</w:t>
      </w:r>
      <w:r w:rsidR="0032108C">
        <w:t>Raphaelites’</w:t>
      </w:r>
      <w:r w:rsidR="00B021BF">
        <w:t xml:space="preserve"> feelings towards </w:t>
      </w:r>
      <w:r w:rsidR="000E16F3">
        <w:t>t</w:t>
      </w:r>
      <w:r w:rsidR="00190219">
        <w:t>he style of painting</w:t>
      </w:r>
      <w:r w:rsidR="008A5AFD">
        <w:t>s</w:t>
      </w:r>
      <w:r w:rsidR="00190219">
        <w:t xml:space="preserve"> </w:t>
      </w:r>
      <w:r w:rsidR="00BE1F06">
        <w:t xml:space="preserve">popular </w:t>
      </w:r>
      <w:r w:rsidR="00190219">
        <w:t>during the nineteenth century w</w:t>
      </w:r>
      <w:r w:rsidR="00BC1823">
        <w:t xml:space="preserve">ere unfavourable; they felt that </w:t>
      </w:r>
      <w:r w:rsidR="00A850DB">
        <w:t xml:space="preserve">the art produced by artist </w:t>
      </w:r>
      <w:r w:rsidR="00A850DB" w:rsidRPr="00845EBA">
        <w:rPr>
          <w:color w:val="000000" w:themeColor="text1"/>
        </w:rPr>
        <w:t xml:space="preserve">Raphael (1483-1520) </w:t>
      </w:r>
      <w:r w:rsidR="00A850DB">
        <w:t xml:space="preserve">and others like him was too staged and too decadent for the hardships of the Victorian time they were living in. </w:t>
      </w:r>
      <w:r w:rsidR="00845EBA">
        <w:t>The</w:t>
      </w:r>
      <w:r w:rsidR="00433659">
        <w:t xml:space="preserve"> pre-</w:t>
      </w:r>
      <w:r w:rsidR="00845EBA">
        <w:t>R</w:t>
      </w:r>
      <w:r w:rsidR="00433659">
        <w:t>aphaelite movement</w:t>
      </w:r>
      <w:r w:rsidR="00845EBA">
        <w:t xml:space="preserve"> preferred </w:t>
      </w:r>
      <w:r w:rsidR="00433659">
        <w:t xml:space="preserve">the work of </w:t>
      </w:r>
      <w:r w:rsidR="00845EBA">
        <w:t xml:space="preserve">artists that came before Raphael – such as </w:t>
      </w:r>
      <w:r w:rsidR="00845EBA" w:rsidRPr="00960542">
        <w:rPr>
          <w:color w:val="000000" w:themeColor="text1"/>
        </w:rPr>
        <w:t xml:space="preserve">Giotto di </w:t>
      </w:r>
      <w:proofErr w:type="spellStart"/>
      <w:r w:rsidR="00845EBA" w:rsidRPr="00960542">
        <w:rPr>
          <w:color w:val="000000" w:themeColor="text1"/>
        </w:rPr>
        <w:t>Bondone</w:t>
      </w:r>
      <w:proofErr w:type="spellEnd"/>
      <w:r w:rsidR="00845EBA" w:rsidRPr="00960542">
        <w:rPr>
          <w:color w:val="000000" w:themeColor="text1"/>
        </w:rPr>
        <w:t xml:space="preserve"> (1267-1337).</w:t>
      </w:r>
      <w:r w:rsidR="004C59E6">
        <w:rPr>
          <w:color w:val="000000" w:themeColor="text1"/>
        </w:rPr>
        <w:t xml:space="preserve"> </w:t>
      </w:r>
    </w:p>
    <w:p w14:paraId="325BC80E" w14:textId="45800601" w:rsidR="00955D13" w:rsidRPr="00BC43DF" w:rsidRDefault="00F35B5D" w:rsidP="00955D13">
      <w:r>
        <w:t>Countless themes of h</w:t>
      </w:r>
      <w:r w:rsidR="00195DCA">
        <w:t>igh culture</w:t>
      </w:r>
      <w:r>
        <w:t xml:space="preserve"> were portrayed in the pre-Raphaelites’ work. </w:t>
      </w:r>
      <w:proofErr w:type="spellStart"/>
      <w:r w:rsidR="00801AD0">
        <w:t>Treuherz</w:t>
      </w:r>
      <w:proofErr w:type="spellEnd"/>
      <w:r w:rsidR="00801AD0">
        <w:t xml:space="preserve"> (1993</w:t>
      </w:r>
      <w:r w:rsidR="00635D8F">
        <w:t>:76</w:t>
      </w:r>
      <w:r w:rsidR="00801AD0">
        <w:t xml:space="preserve">) points out how many pieces depicted scenes of great tragedy or moral crisis from the writings of Shakespeare or contemporary poets. </w:t>
      </w:r>
      <w:r w:rsidR="002B6E19">
        <w:t>An example of this is</w:t>
      </w:r>
      <w:r w:rsidR="002143D8">
        <w:t xml:space="preserve"> </w:t>
      </w:r>
      <w:r w:rsidR="002B6E19">
        <w:rPr>
          <w:i/>
        </w:rPr>
        <w:t xml:space="preserve">Valentine Rescuing Sylvia From Proteus </w:t>
      </w:r>
      <w:r w:rsidR="002143D8">
        <w:t xml:space="preserve">by William Holman Hunt </w:t>
      </w:r>
      <w:r w:rsidR="002B6E19">
        <w:t xml:space="preserve">(1859-1), which takes inspiration from Shakespeare’s </w:t>
      </w:r>
      <w:r w:rsidR="002B6E19">
        <w:rPr>
          <w:i/>
        </w:rPr>
        <w:t>Two Gentlemen of Verona.</w:t>
      </w:r>
      <w:r w:rsidR="00487923">
        <w:t xml:space="preserve"> His later painting</w:t>
      </w:r>
      <w:r w:rsidR="00754101">
        <w:rPr>
          <w:i/>
        </w:rPr>
        <w:t xml:space="preserve"> </w:t>
      </w:r>
      <w:proofErr w:type="spellStart"/>
      <w:r w:rsidR="00754101">
        <w:rPr>
          <w:i/>
        </w:rPr>
        <w:t>Isabella</w:t>
      </w:r>
      <w:proofErr w:type="spellEnd"/>
      <w:r w:rsidR="00754101">
        <w:rPr>
          <w:i/>
        </w:rPr>
        <w:t xml:space="preserve"> and the Pot of Basil</w:t>
      </w:r>
      <w:r w:rsidR="00CE485A">
        <w:rPr>
          <w:i/>
        </w:rPr>
        <w:t xml:space="preserve"> </w:t>
      </w:r>
      <w:r w:rsidR="00C455AF">
        <w:t>(</w:t>
      </w:r>
      <w:r w:rsidR="00CE485A">
        <w:t>186</w:t>
      </w:r>
      <w:r w:rsidR="00540E22">
        <w:t>6-68</w:t>
      </w:r>
      <w:r w:rsidR="00CE485A">
        <w:t>)</w:t>
      </w:r>
      <w:r w:rsidR="00955D13" w:rsidRPr="00955D13">
        <w:rPr>
          <w:i/>
        </w:rPr>
        <w:t xml:space="preserve"> </w:t>
      </w:r>
      <w:r w:rsidR="00CE485A">
        <w:t>was</w:t>
      </w:r>
      <w:r w:rsidR="00955D13">
        <w:t xml:space="preserve"> based on a poem by Keats </w:t>
      </w:r>
      <w:r w:rsidR="00CE485A">
        <w:t xml:space="preserve">which </w:t>
      </w:r>
      <w:r w:rsidR="00777FD5">
        <w:t xml:space="preserve">tells the story of an </w:t>
      </w:r>
      <w:r w:rsidR="00955D13">
        <w:t>unrequited love</w:t>
      </w:r>
      <w:r w:rsidR="00777FD5">
        <w:t>, passion, jealousy and murder</w:t>
      </w:r>
      <w:r w:rsidR="00955D13">
        <w:t xml:space="preserve">. Millais also painted an </w:t>
      </w:r>
      <w:r w:rsidR="00955D13" w:rsidRPr="00955D13">
        <w:rPr>
          <w:i/>
        </w:rPr>
        <w:t xml:space="preserve">Isabella </w:t>
      </w:r>
      <w:r w:rsidR="00955D13">
        <w:t xml:space="preserve">(1848-9) </w:t>
      </w:r>
      <w:r w:rsidR="002C03B6">
        <w:t xml:space="preserve">and </w:t>
      </w:r>
      <w:r w:rsidR="00955D13">
        <w:t xml:space="preserve">based his painting on </w:t>
      </w:r>
      <w:r w:rsidR="00955D13" w:rsidRPr="00955D13">
        <w:rPr>
          <w:i/>
        </w:rPr>
        <w:t>Adoring Saints</w:t>
      </w:r>
      <w:r w:rsidR="009E24DE">
        <w:rPr>
          <w:i/>
        </w:rPr>
        <w:t xml:space="preserve"> </w:t>
      </w:r>
      <w:r w:rsidR="009E24DE">
        <w:t>by Lorenzo Monaco</w:t>
      </w:r>
      <w:r w:rsidR="00B2590B">
        <w:rPr>
          <w:i/>
        </w:rPr>
        <w:t xml:space="preserve"> </w:t>
      </w:r>
      <w:r w:rsidR="00B2590B">
        <w:t>(1407-9)</w:t>
      </w:r>
      <w:r w:rsidR="00955D13" w:rsidRPr="00955D13">
        <w:rPr>
          <w:i/>
        </w:rPr>
        <w:t>.</w:t>
      </w:r>
      <w:r w:rsidR="00876D43">
        <w:rPr>
          <w:i/>
        </w:rPr>
        <w:t xml:space="preserve"> </w:t>
      </w:r>
      <w:r w:rsidR="00BC43DF">
        <w:t xml:space="preserve">Even </w:t>
      </w:r>
      <w:r w:rsidR="007A6A65">
        <w:rPr>
          <w:i/>
        </w:rPr>
        <w:t xml:space="preserve">Ophelia </w:t>
      </w:r>
      <w:r w:rsidR="007A6A65">
        <w:t>by Millais (1852), one of his</w:t>
      </w:r>
      <w:r w:rsidR="00BC43DF">
        <w:t xml:space="preserve"> most famous painting</w:t>
      </w:r>
      <w:r w:rsidR="007A6A65">
        <w:t>s</w:t>
      </w:r>
      <w:r w:rsidR="00BC43DF">
        <w:t xml:space="preserve">, was based on a scene from </w:t>
      </w:r>
      <w:r w:rsidR="00BC43DF">
        <w:rPr>
          <w:i/>
        </w:rPr>
        <w:t xml:space="preserve">Hamlet. </w:t>
      </w:r>
    </w:p>
    <w:p w14:paraId="0D29C636" w14:textId="778281D7" w:rsidR="00383EDF" w:rsidRDefault="0070003B" w:rsidP="00633242">
      <w:r>
        <w:lastRenderedPageBreak/>
        <w:t xml:space="preserve">Another </w:t>
      </w:r>
      <w:r w:rsidR="00473081">
        <w:t xml:space="preserve">high culture </w:t>
      </w:r>
      <w:r>
        <w:t>theme explored in</w:t>
      </w:r>
      <w:r w:rsidR="00847747">
        <w:t xml:space="preserve"> </w:t>
      </w:r>
      <w:r w:rsidRPr="00A61D13">
        <w:rPr>
          <w:i/>
        </w:rPr>
        <w:t>F</w:t>
      </w:r>
      <w:r w:rsidR="003C22E7" w:rsidRPr="00A61D13">
        <w:rPr>
          <w:i/>
        </w:rPr>
        <w:t xml:space="preserve">erdinand </w:t>
      </w:r>
      <w:r w:rsidRPr="00A61D13">
        <w:rPr>
          <w:i/>
        </w:rPr>
        <w:t>L</w:t>
      </w:r>
      <w:r w:rsidR="003C22E7" w:rsidRPr="00A61D13">
        <w:rPr>
          <w:i/>
        </w:rPr>
        <w:t xml:space="preserve">ured by </w:t>
      </w:r>
      <w:r w:rsidRPr="00A61D13">
        <w:rPr>
          <w:i/>
        </w:rPr>
        <w:t>Ar</w:t>
      </w:r>
      <w:r w:rsidR="003C22E7" w:rsidRPr="00A61D13">
        <w:rPr>
          <w:i/>
        </w:rPr>
        <w:t>iel</w:t>
      </w:r>
      <w:r w:rsidR="0030616F">
        <w:t xml:space="preserve"> </w:t>
      </w:r>
      <w:r w:rsidR="00847747">
        <w:t xml:space="preserve">by Millais </w:t>
      </w:r>
      <w:r w:rsidR="0030616F">
        <w:t>(1850) was mythical creatures. The painting, based on</w:t>
      </w:r>
      <w:r w:rsidR="00074C48">
        <w:t xml:space="preserve"> </w:t>
      </w:r>
      <w:r w:rsidR="0030616F">
        <w:t xml:space="preserve">a scene from Shakespeare’s </w:t>
      </w:r>
      <w:r w:rsidR="0030616F" w:rsidRPr="0030616F">
        <w:rPr>
          <w:i/>
        </w:rPr>
        <w:t>T</w:t>
      </w:r>
      <w:r w:rsidR="003C22E7" w:rsidRPr="0030616F">
        <w:rPr>
          <w:i/>
        </w:rPr>
        <w:t xml:space="preserve">he </w:t>
      </w:r>
      <w:r w:rsidR="0030616F" w:rsidRPr="0030616F">
        <w:rPr>
          <w:i/>
        </w:rPr>
        <w:t>T</w:t>
      </w:r>
      <w:r w:rsidR="003C22E7" w:rsidRPr="0030616F">
        <w:rPr>
          <w:i/>
        </w:rPr>
        <w:t>empest</w:t>
      </w:r>
      <w:r w:rsidR="003C22E7">
        <w:t xml:space="preserve">, </w:t>
      </w:r>
      <w:r w:rsidR="00252F0E">
        <w:t>portrays Ariel, a magic sprite, being carried by spirits.</w:t>
      </w:r>
      <w:r w:rsidR="00BA4043">
        <w:t xml:space="preserve"> Robinson (2007</w:t>
      </w:r>
      <w:r w:rsidR="00635D8F">
        <w:t>:32</w:t>
      </w:r>
      <w:r w:rsidR="00BA4043">
        <w:t xml:space="preserve">) shares his opinion that this painting bode well with the public </w:t>
      </w:r>
      <w:r w:rsidR="00727156">
        <w:t xml:space="preserve">as it catered </w:t>
      </w:r>
      <w:r w:rsidR="00BA4043">
        <w:t>to the</w:t>
      </w:r>
      <w:r w:rsidR="001D4838">
        <w:t xml:space="preserve"> Victorians’ </w:t>
      </w:r>
      <w:r w:rsidR="00BA4043">
        <w:t>later obsession with</w:t>
      </w:r>
      <w:r w:rsidR="00252F0E">
        <w:t xml:space="preserve"> </w:t>
      </w:r>
      <w:r w:rsidR="003C22E7">
        <w:t>goblins and fairies</w:t>
      </w:r>
      <w:r w:rsidR="001D4838">
        <w:t>.</w:t>
      </w:r>
    </w:p>
    <w:p w14:paraId="7B737D7D" w14:textId="4D629985" w:rsidR="00F33FC4" w:rsidRDefault="00F36DDD" w:rsidP="005433CE">
      <w:r>
        <w:t>Pa</w:t>
      </w:r>
      <w:r w:rsidR="008361E3">
        <w:t>inters</w:t>
      </w:r>
      <w:r>
        <w:t xml:space="preserve"> of the pre-Raphaelite movement</w:t>
      </w:r>
      <w:r w:rsidR="008361E3">
        <w:t xml:space="preserve"> also very often chose to paint biblical scenes, but in a way that almost normalised the holy family and made them appear extremely ordinary.</w:t>
      </w:r>
      <w:r w:rsidR="00ED0C94">
        <w:t xml:space="preserve"> </w:t>
      </w:r>
      <w:r w:rsidR="00073467">
        <w:t>The most well known example of this i</w:t>
      </w:r>
      <w:r w:rsidR="00CE3333">
        <w:t>s</w:t>
      </w:r>
      <w:r w:rsidR="00073467">
        <w:t xml:space="preserve"> </w:t>
      </w:r>
      <w:r w:rsidR="00073467" w:rsidRPr="00633242">
        <w:rPr>
          <w:i/>
        </w:rPr>
        <w:t>Christ in the House of his Parents</w:t>
      </w:r>
      <w:r w:rsidR="00073467">
        <w:t xml:space="preserve"> </w:t>
      </w:r>
      <w:r w:rsidR="00CE3333">
        <w:t xml:space="preserve">by Millais </w:t>
      </w:r>
      <w:r w:rsidR="00073467">
        <w:t>(1849-50)</w:t>
      </w:r>
      <w:r w:rsidR="00A7342D">
        <w:t>. In this painting, t</w:t>
      </w:r>
      <w:r w:rsidR="00DF1872">
        <w:t xml:space="preserve">he holy family </w:t>
      </w:r>
      <w:r w:rsidR="00A7342D">
        <w:t>are l</w:t>
      </w:r>
      <w:r w:rsidR="00DF1872">
        <w:t xml:space="preserve">acking halos and the work </w:t>
      </w:r>
      <w:r w:rsidR="00A7342D">
        <w:t xml:space="preserve">is </w:t>
      </w:r>
      <w:r w:rsidR="00DF1872">
        <w:t>devoid of any religious iconography at all.</w:t>
      </w:r>
      <w:r w:rsidR="002D14ED">
        <w:t xml:space="preserve"> If anything, the religious commentary </w:t>
      </w:r>
      <w:r w:rsidR="00EB4345">
        <w:t xml:space="preserve">for pieces such as these </w:t>
      </w:r>
      <w:r w:rsidR="002D14ED">
        <w:t>would be hidden within the symbolism of the pie</w:t>
      </w:r>
      <w:r w:rsidR="00672BE5">
        <w:t>ce, indecipherable to many.</w:t>
      </w:r>
      <w:r w:rsidR="00DF1872">
        <w:t xml:space="preserve"> </w:t>
      </w:r>
      <w:r w:rsidR="00ED0C94">
        <w:t>The elite critics who viewed these artworks were shocked greatly, and in many cases disgusted, dubbing the technique blasphemous and derogatory. One greatly noted</w:t>
      </w:r>
      <w:r w:rsidR="00B74992">
        <w:t xml:space="preserve"> </w:t>
      </w:r>
      <w:r w:rsidR="0018707F">
        <w:t xml:space="preserve">and avid </w:t>
      </w:r>
      <w:r w:rsidR="00ED0C94">
        <w:t xml:space="preserve">critic </w:t>
      </w:r>
      <w:r w:rsidR="0018707F">
        <w:t xml:space="preserve">of the pre-Raphaelite movement is </w:t>
      </w:r>
      <w:r w:rsidR="00ED0C94">
        <w:t>Charles D</w:t>
      </w:r>
      <w:r w:rsidR="0018707F">
        <w:t>ickens</w:t>
      </w:r>
      <w:r w:rsidR="00ED0C94">
        <w:t xml:space="preserve">, who when stating his opinion on </w:t>
      </w:r>
      <w:r w:rsidR="00ED0C94" w:rsidRPr="00633242">
        <w:rPr>
          <w:i/>
        </w:rPr>
        <w:t xml:space="preserve">Christ in the House of his Parents </w:t>
      </w:r>
      <w:r w:rsidR="007E1D14">
        <w:t>said</w:t>
      </w:r>
      <w:r w:rsidR="00C0283B">
        <w:t xml:space="preserve"> that Millais had portrayed Christ as a “hideous, wry-necked blubbering boy” and Mary “horrible in her ugliness”(Robinson, 2007</w:t>
      </w:r>
      <w:r w:rsidR="007E1D14">
        <w:t>:302</w:t>
      </w:r>
      <w:r w:rsidR="00C0283B">
        <w:t>)</w:t>
      </w:r>
      <w:r w:rsidR="00287439">
        <w:t>.</w:t>
      </w:r>
      <w:r w:rsidR="008C598C">
        <w:t xml:space="preserve"> </w:t>
      </w:r>
      <w:r w:rsidR="0047013E">
        <w:t xml:space="preserve">The majority of critics </w:t>
      </w:r>
      <w:r w:rsidR="008C598C">
        <w:t>claim</w:t>
      </w:r>
      <w:r w:rsidR="0047013E">
        <w:t>ed</w:t>
      </w:r>
      <w:r w:rsidR="008C598C">
        <w:t xml:space="preserve"> there was a lack of respect and reverence towards the subject of the painting, and a democratization of the holy family. The use of themes like these in art was seen by critics as ‘non-progressive’ and ‘primitive’. It was often regarded as sacreligous and blasphemous.</w:t>
      </w:r>
      <w:r w:rsidR="00123E02">
        <w:t xml:space="preserve"> Other paintings with religious themes which recieved criticism were </w:t>
      </w:r>
      <w:r w:rsidR="00123E02">
        <w:rPr>
          <w:i/>
        </w:rPr>
        <w:t xml:space="preserve">The Girlhood of Mary Virgin </w:t>
      </w:r>
      <w:r w:rsidR="00CE3333">
        <w:t xml:space="preserve">by Rossetti </w:t>
      </w:r>
      <w:r w:rsidR="00123E02">
        <w:t xml:space="preserve">(1848-9) and </w:t>
      </w:r>
      <w:r w:rsidR="00C6518F">
        <w:rPr>
          <w:i/>
        </w:rPr>
        <w:t xml:space="preserve">Jesus Washing Peter’s Feet </w:t>
      </w:r>
      <w:r w:rsidR="00CE3333">
        <w:t xml:space="preserve">by Brown </w:t>
      </w:r>
      <w:r w:rsidR="00C6518F">
        <w:t xml:space="preserve">(1851-56). </w:t>
      </w:r>
      <w:r w:rsidR="008C598C">
        <w:t xml:space="preserve">The controversy </w:t>
      </w:r>
      <w:r w:rsidR="00C672C6">
        <w:t xml:space="preserve">surrounding </w:t>
      </w:r>
      <w:r w:rsidR="00355AFC">
        <w:t xml:space="preserve">the pre-Raphaelites’ paintings of </w:t>
      </w:r>
      <w:r w:rsidR="00C672C6">
        <w:t>r</w:t>
      </w:r>
      <w:r w:rsidR="008C598C">
        <w:t>eligious subjects was also shown to be evident when early member of the P</w:t>
      </w:r>
      <w:r w:rsidR="00C672C6">
        <w:t xml:space="preserve">re-Raphaelite </w:t>
      </w:r>
      <w:r w:rsidR="008C598C">
        <w:t>B</w:t>
      </w:r>
      <w:r w:rsidR="00C672C6">
        <w:t>rotherhood</w:t>
      </w:r>
      <w:r w:rsidR="008C598C">
        <w:t xml:space="preserve">, James Collinson, left the brotherhood as he believed its aims were contradictory to his Catholicism. </w:t>
      </w:r>
    </w:p>
    <w:p w14:paraId="727956F9" w14:textId="4B0DF3C1" w:rsidR="00263D53" w:rsidRDefault="00EA61D0" w:rsidP="005433CE">
      <w:r>
        <w:t xml:space="preserve">The Pre-Raphaelites’ work was considered high culture, but many of its members chose to paint subjects aimed at the masses, and include themes of low culture such as </w:t>
      </w:r>
      <w:r w:rsidR="006237E2">
        <w:t xml:space="preserve">the pastoral lifestyle </w:t>
      </w:r>
      <w:r w:rsidR="00CB4056">
        <w:t xml:space="preserve">- </w:t>
      </w:r>
      <w:r w:rsidR="00CB4056">
        <w:rPr>
          <w:i/>
        </w:rPr>
        <w:t>The Blind Girl</w:t>
      </w:r>
      <w:r w:rsidR="00CE3333">
        <w:rPr>
          <w:i/>
        </w:rPr>
        <w:t xml:space="preserve"> </w:t>
      </w:r>
      <w:r w:rsidR="00CE3333">
        <w:t>by Millais</w:t>
      </w:r>
      <w:r w:rsidR="00CB4056">
        <w:rPr>
          <w:i/>
        </w:rPr>
        <w:t xml:space="preserve"> </w:t>
      </w:r>
      <w:r w:rsidR="00CB4056">
        <w:t xml:space="preserve">(1854-56) - </w:t>
      </w:r>
      <w:r>
        <w:t>and industry</w:t>
      </w:r>
      <w:r w:rsidR="00FD1CC0">
        <w:t xml:space="preserve"> –</w:t>
      </w:r>
      <w:r w:rsidR="00946B2A">
        <w:t xml:space="preserve"> </w:t>
      </w:r>
      <w:r w:rsidR="00946B2A">
        <w:rPr>
          <w:i/>
        </w:rPr>
        <w:t>Work</w:t>
      </w:r>
      <w:r w:rsidR="00CE3333">
        <w:rPr>
          <w:i/>
        </w:rPr>
        <w:t xml:space="preserve"> </w:t>
      </w:r>
      <w:r w:rsidR="00CE3333">
        <w:t>by Brown</w:t>
      </w:r>
      <w:r w:rsidR="00946B2A">
        <w:rPr>
          <w:i/>
        </w:rPr>
        <w:t xml:space="preserve"> </w:t>
      </w:r>
      <w:r w:rsidR="00946B2A">
        <w:t>(1852-65)</w:t>
      </w:r>
      <w:r>
        <w:t xml:space="preserve">. </w:t>
      </w:r>
      <w:r w:rsidR="006237E2">
        <w:t xml:space="preserve">They </w:t>
      </w:r>
      <w:r w:rsidR="00702D39">
        <w:t xml:space="preserve">took </w:t>
      </w:r>
      <w:r w:rsidR="006237E2">
        <w:t>a great interest in contemporary problems within Victorian society, boldly exploring themes other artists would not, such as emigration, poverty, and prostitution.</w:t>
      </w:r>
      <w:r w:rsidR="00702D39">
        <w:t xml:space="preserve"> </w:t>
      </w:r>
      <w:r w:rsidR="00702D39">
        <w:rPr>
          <w:i/>
        </w:rPr>
        <w:t xml:space="preserve">The Order of Release, 1746 </w:t>
      </w:r>
      <w:r w:rsidR="00CE3333">
        <w:t xml:space="preserve">by Millais </w:t>
      </w:r>
      <w:r w:rsidR="00702D39">
        <w:t xml:space="preserve">(1853) was an artwork that expressed his thoughts about social issues at that time. </w:t>
      </w:r>
      <w:r w:rsidR="003C5349">
        <w:t xml:space="preserve">Meant to capture the feelings of society at the time of the Jacobite Rebellion, </w:t>
      </w:r>
      <w:r w:rsidR="003C5349">
        <w:rPr>
          <w:i/>
        </w:rPr>
        <w:t xml:space="preserve">The Order of Release, 1746 </w:t>
      </w:r>
      <w:r w:rsidR="001F175A">
        <w:t>s</w:t>
      </w:r>
      <w:r w:rsidR="00BA233B">
        <w:t>uggested the pointlessness of revolution, and the importance of family</w:t>
      </w:r>
      <w:r w:rsidR="006C265C">
        <w:t>. The positive reception this painting recieved encourage</w:t>
      </w:r>
      <w:r w:rsidR="00B959B6">
        <w:t xml:space="preserve">d </w:t>
      </w:r>
      <w:r w:rsidR="006C265C">
        <w:t>Millais to create more artworks with a social conscience</w:t>
      </w:r>
      <w:r w:rsidR="00442290">
        <w:t xml:space="preserve">. </w:t>
      </w:r>
    </w:p>
    <w:p w14:paraId="7104764E" w14:textId="0F923BC5" w:rsidR="00A96046" w:rsidRDefault="00F33FC4" w:rsidP="005433CE">
      <w:r w:rsidRPr="00741A28">
        <w:rPr>
          <w:i/>
        </w:rPr>
        <w:t>Found</w:t>
      </w:r>
      <w:r w:rsidR="00741A28" w:rsidRPr="00741A28">
        <w:t xml:space="preserve"> </w:t>
      </w:r>
      <w:r w:rsidR="00263D53">
        <w:t xml:space="preserve">by Rossetti </w:t>
      </w:r>
      <w:r w:rsidR="00741A28" w:rsidRPr="00741A28">
        <w:t>(1854)</w:t>
      </w:r>
      <w:r w:rsidR="00741A28">
        <w:rPr>
          <w:i/>
        </w:rPr>
        <w:t xml:space="preserve"> </w:t>
      </w:r>
      <w:r w:rsidR="00741A28">
        <w:t xml:space="preserve">gives a narrative on the social issue of prostitution at the time. The painting shows a young man arriving in London only to find his former lover having resorted to prostitution in order to live. </w:t>
      </w:r>
      <w:r w:rsidR="0023736F">
        <w:t xml:space="preserve">During the time he spent painting this work, several important laws were passed concerning the protection of women. Hunt incorporated the theme of </w:t>
      </w:r>
      <w:r w:rsidR="0068136B">
        <w:t>‘the kept</w:t>
      </w:r>
      <w:r w:rsidR="00C1785C">
        <w:t xml:space="preserve"> mistress</w:t>
      </w:r>
      <w:r w:rsidR="0023736F">
        <w:t xml:space="preserve">’ into his </w:t>
      </w:r>
      <w:r w:rsidR="008A6F9B">
        <w:t xml:space="preserve">1853 </w:t>
      </w:r>
      <w:r w:rsidR="0023736F">
        <w:t>painting</w:t>
      </w:r>
      <w:r w:rsidR="008A6F9B">
        <w:t xml:space="preserve">, </w:t>
      </w:r>
      <w:r w:rsidR="008A6F9B" w:rsidRPr="00401336">
        <w:rPr>
          <w:i/>
        </w:rPr>
        <w:t>The Awakening Conscience.</w:t>
      </w:r>
      <w:r w:rsidR="0023736F">
        <w:t xml:space="preserve"> </w:t>
      </w:r>
      <w:r w:rsidR="001E5C69">
        <w:t>Robinson (2007:118) explains how this is one of the most talked about artworks of its time due to its risky subject matter and impact on society.</w:t>
      </w:r>
      <w:r w:rsidR="00090474">
        <w:t xml:space="preserve"> The fact that it is the woman who realises her sin as she looks out to the light of the garden, whilst the man looks to remain unbothered, marks the clear difference in gender roles in Victorian culture, highlighting the double standards which would result in women being punished for sexual freedom, whilst men could a</w:t>
      </w:r>
      <w:r w:rsidR="00DE35CE">
        <w:t>fford to keep mistresses without being frowned upon.</w:t>
      </w:r>
      <w:r w:rsidR="001E5C69">
        <w:t xml:space="preserve"> </w:t>
      </w:r>
      <w:r w:rsidR="00AD20DD">
        <w:t xml:space="preserve">Inequality and </w:t>
      </w:r>
      <w:r w:rsidR="006C0067">
        <w:t>t</w:t>
      </w:r>
      <w:r w:rsidR="00DF6BDF">
        <w:t xml:space="preserve">he morality of illicit sexual relationships was a subject not often talked about in Victorian society, and </w:t>
      </w:r>
      <w:proofErr w:type="spellStart"/>
      <w:r w:rsidR="00AC5533">
        <w:t>Treuherz</w:t>
      </w:r>
      <w:proofErr w:type="spellEnd"/>
      <w:r w:rsidR="00AC5533">
        <w:t xml:space="preserve"> (1993:86) informs us that not many Victorians outside of the </w:t>
      </w:r>
      <w:r w:rsidR="00DE35CE">
        <w:t>pre-Raphaelite</w:t>
      </w:r>
      <w:r w:rsidR="00AC5533">
        <w:t xml:space="preserve"> movement used such private experiences </w:t>
      </w:r>
      <w:r w:rsidR="008B30AD">
        <w:t xml:space="preserve">as a basis </w:t>
      </w:r>
      <w:r w:rsidR="00AC5533">
        <w:t xml:space="preserve">for their art. </w:t>
      </w:r>
    </w:p>
    <w:p w14:paraId="34193CC3" w14:textId="72A6D56F" w:rsidR="00B959B6" w:rsidRDefault="00B959B6" w:rsidP="005433CE">
      <w:r>
        <w:t xml:space="preserve">It can also be argued that the later work of the pre-Raphaelite movement leaned more towards low culture, as their aims changed to produce art that was more geared towards aesthetics, moved focus </w:t>
      </w:r>
      <w:r>
        <w:lastRenderedPageBreak/>
        <w:t xml:space="preserve">from realism to idealism and dismissed worldly concerns for more ethereal, mythological subjects. This could be seen as a move to become more appealing to the general public, and less controversial. Paintings with these revised themes would be easier for the masses to comprehend, which according to previous definitions, would make them low art. </w:t>
      </w:r>
    </w:p>
    <w:p w14:paraId="2F900D9B" w14:textId="76E361C4" w:rsidR="00A96046" w:rsidRDefault="000E3429" w:rsidP="005433CE">
      <w:r>
        <w:t xml:space="preserve">The pre-Raphaelites’ initial aims were to revolutionise the style of art and to reflect the </w:t>
      </w:r>
      <w:r w:rsidR="00D0751F">
        <w:t xml:space="preserve">values of the </w:t>
      </w:r>
      <w:r>
        <w:t xml:space="preserve">period of time they were living in accurately and honestly. </w:t>
      </w:r>
      <w:proofErr w:type="spellStart"/>
      <w:r>
        <w:t>Landow</w:t>
      </w:r>
      <w:proofErr w:type="spellEnd"/>
      <w:r>
        <w:t xml:space="preserve"> (1982) tells us how John Ruskin “encouraged the pre-Raphaelites to test artistic </w:t>
      </w:r>
      <w:r w:rsidR="008E6A54">
        <w:t>convention and explore the boundaries of painterly realism”. It is clear that they achieved this,</w:t>
      </w:r>
      <w:r w:rsidR="001D0EF0">
        <w:t xml:space="preserve"> with their work having a considerable </w:t>
      </w:r>
      <w:r w:rsidR="00C61650">
        <w:t>impact on later artists and society e</w:t>
      </w:r>
      <w:r w:rsidR="008E6A54">
        <w:t xml:space="preserve">ven </w:t>
      </w:r>
      <w:r w:rsidR="00434378">
        <w:t>up to</w:t>
      </w:r>
      <w:r w:rsidR="008E6A54">
        <w:t xml:space="preserve"> present day.</w:t>
      </w:r>
      <w:r w:rsidR="001D0EF0">
        <w:t xml:space="preserve"> </w:t>
      </w:r>
      <w:proofErr w:type="spellStart"/>
      <w:r w:rsidR="00A4533C">
        <w:t>Beaven</w:t>
      </w:r>
      <w:proofErr w:type="spellEnd"/>
      <w:r w:rsidR="00A4533C">
        <w:t xml:space="preserve"> (2014) </w:t>
      </w:r>
      <w:r w:rsidR="00086EE6">
        <w:t>gives us this information:</w:t>
      </w:r>
    </w:p>
    <w:p w14:paraId="0C2A9584" w14:textId="40E8204F" w:rsidR="00086EE6" w:rsidRPr="00C4568A" w:rsidRDefault="00C4568A" w:rsidP="006476FF">
      <w:pPr>
        <w:ind w:left="720"/>
        <w:jc w:val="both"/>
        <w:rPr>
          <w:i/>
        </w:rPr>
      </w:pPr>
      <w:r w:rsidRPr="00916605">
        <w:rPr>
          <w:i/>
        </w:rPr>
        <w:t xml:space="preserve">John </w:t>
      </w:r>
      <w:r w:rsidR="0041028D" w:rsidRPr="00916605">
        <w:rPr>
          <w:rFonts w:eastAsia="Times New Roman" w:cs="Arial"/>
          <w:i/>
          <w:color w:val="000000" w:themeColor="text1"/>
          <w:shd w:val="clear" w:color="auto" w:fill="FFFFFF"/>
        </w:rPr>
        <w:t>Everett Millais’ </w:t>
      </w:r>
      <w:hyperlink r:id="rId5" w:history="1">
        <w:r w:rsidR="0041028D" w:rsidRPr="00916605">
          <w:rPr>
            <w:rStyle w:val="Hyperlink"/>
            <w:rFonts w:eastAsia="Times New Roman" w:cs="Arial"/>
            <w:i/>
            <w:color w:val="000000" w:themeColor="text1"/>
            <w:u w:val="none"/>
            <w:shd w:val="clear" w:color="auto" w:fill="FFFFFF"/>
          </w:rPr>
          <w:t>Ophelia</w:t>
        </w:r>
      </w:hyperlink>
      <w:r w:rsidR="0041028D" w:rsidRPr="00916605">
        <w:rPr>
          <w:rFonts w:eastAsia="Times New Roman" w:cs="Arial"/>
          <w:i/>
          <w:color w:val="000000" w:themeColor="text1"/>
          <w:shd w:val="clear" w:color="auto" w:fill="FFFFFF"/>
        </w:rPr>
        <w:t> 1851-2 and Dante Gabriel Rossetti’s </w:t>
      </w:r>
      <w:hyperlink r:id="rId6" w:history="1">
        <w:r w:rsidR="0041028D" w:rsidRPr="00916605">
          <w:rPr>
            <w:rStyle w:val="Hyperlink"/>
            <w:rFonts w:eastAsia="Times New Roman" w:cs="Arial"/>
            <w:i/>
            <w:color w:val="000000" w:themeColor="text1"/>
            <w:u w:val="none"/>
            <w:shd w:val="clear" w:color="auto" w:fill="FFFFFF"/>
          </w:rPr>
          <w:t>The Beloved</w:t>
        </w:r>
      </w:hyperlink>
      <w:r w:rsidR="0041028D" w:rsidRPr="00916605">
        <w:rPr>
          <w:rFonts w:eastAsia="Times New Roman" w:cs="Arial"/>
          <w:i/>
          <w:color w:val="000000" w:themeColor="text1"/>
          <w:shd w:val="clear" w:color="auto" w:fill="FFFFFF"/>
        </w:rPr>
        <w:t> 1865-6 have been on an international tour over the last year, to the </w:t>
      </w:r>
      <w:r w:rsidR="0041028D" w:rsidRPr="00916605">
        <w:rPr>
          <w:rStyle w:val="caps"/>
          <w:rFonts w:eastAsia="Times New Roman" w:cs="Arial"/>
          <w:i/>
          <w:color w:val="000000" w:themeColor="text1"/>
          <w:shd w:val="clear" w:color="auto" w:fill="FFFFFF"/>
        </w:rPr>
        <w:t>US</w:t>
      </w:r>
      <w:r w:rsidR="0041028D" w:rsidRPr="00916605">
        <w:rPr>
          <w:rFonts w:eastAsia="Times New Roman" w:cs="Arial"/>
          <w:i/>
          <w:color w:val="000000" w:themeColor="text1"/>
          <w:shd w:val="clear" w:color="auto" w:fill="FFFFFF"/>
        </w:rPr>
        <w:t>, Russia, Japan and Italy where they were collectively seen by over 1.1 million people. Ophelia consistently tops the bill as the most looked at art work on the Tate website and the most popular postcard in the shop.</w:t>
      </w:r>
    </w:p>
    <w:p w14:paraId="282B0512" w14:textId="05E86967" w:rsidR="0016246A" w:rsidRDefault="001342B2" w:rsidP="001342B2">
      <w:pPr>
        <w:jc w:val="both"/>
      </w:pPr>
      <w:r>
        <w:t>These statistics tell us that pre-Raphaelite paintings are now an important part of popular culture, and suggests they have broken the barriers between high and low cultur</w:t>
      </w:r>
      <w:r w:rsidR="00464BCB">
        <w:t>e over time.</w:t>
      </w:r>
    </w:p>
    <w:p w14:paraId="671FA86B" w14:textId="77777777" w:rsidR="0016246A" w:rsidRPr="00C0283B" w:rsidRDefault="0016246A" w:rsidP="005433CE"/>
    <w:p w14:paraId="18AB789B" w14:textId="053E9C7E" w:rsidR="008361E3" w:rsidRDefault="008361E3" w:rsidP="005433CE"/>
    <w:p w14:paraId="3AD7BF8E" w14:textId="77777777" w:rsidR="00767377" w:rsidRDefault="00767377" w:rsidP="00AD7FC9">
      <w:r>
        <w:t>REFERENCES</w:t>
      </w:r>
    </w:p>
    <w:p w14:paraId="01DC8EB2" w14:textId="77777777" w:rsidR="00767377" w:rsidRDefault="00767377" w:rsidP="00AD7FC9">
      <w:pPr>
        <w:rPr>
          <w:b/>
        </w:rPr>
      </w:pPr>
      <w:r>
        <w:rPr>
          <w:b/>
        </w:rPr>
        <w:t>Books</w:t>
      </w:r>
    </w:p>
    <w:p w14:paraId="716FF0F4" w14:textId="4396E861" w:rsidR="00D75AAC" w:rsidRDefault="00D75AAC" w:rsidP="00AD7FC9">
      <w:pPr>
        <w:pStyle w:val="ListParagraph"/>
        <w:numPr>
          <w:ilvl w:val="0"/>
          <w:numId w:val="2"/>
        </w:numPr>
      </w:pPr>
      <w:r>
        <w:t xml:space="preserve">Hobson, A. </w:t>
      </w:r>
      <w:r w:rsidR="00F50F62">
        <w:t xml:space="preserve">(1989) </w:t>
      </w:r>
      <w:r w:rsidR="00F50F62">
        <w:rPr>
          <w:i/>
        </w:rPr>
        <w:t xml:space="preserve">J. W. Waterhouse. </w:t>
      </w:r>
      <w:r w:rsidR="00F76424">
        <w:t xml:space="preserve">Oxford: </w:t>
      </w:r>
      <w:proofErr w:type="spellStart"/>
      <w:r w:rsidR="000B2EF9">
        <w:t>Phaidon</w:t>
      </w:r>
      <w:proofErr w:type="spellEnd"/>
      <w:r w:rsidR="000B2EF9">
        <w:t xml:space="preserve"> Christie's</w:t>
      </w:r>
    </w:p>
    <w:p w14:paraId="737A7B63" w14:textId="4EA37FF0" w:rsidR="000E07CF" w:rsidRDefault="000E07CF" w:rsidP="00AD7FC9">
      <w:pPr>
        <w:pStyle w:val="ListParagraph"/>
        <w:numPr>
          <w:ilvl w:val="0"/>
          <w:numId w:val="2"/>
        </w:numPr>
      </w:pPr>
      <w:proofErr w:type="spellStart"/>
      <w:r>
        <w:t>Landow</w:t>
      </w:r>
      <w:proofErr w:type="spellEnd"/>
      <w:r>
        <w:t>, G. P. (</w:t>
      </w:r>
      <w:r w:rsidR="003738D7">
        <w:t xml:space="preserve">1982) </w:t>
      </w:r>
      <w:r w:rsidR="003738D7">
        <w:rPr>
          <w:i/>
        </w:rPr>
        <w:t xml:space="preserve">Ruskin. </w:t>
      </w:r>
      <w:r w:rsidR="00C0388D">
        <w:t>Oxford: Oxford University Press</w:t>
      </w:r>
    </w:p>
    <w:p w14:paraId="055AE98E" w14:textId="6281B31C" w:rsidR="00767377" w:rsidRDefault="00767377" w:rsidP="00AD7FC9">
      <w:pPr>
        <w:pStyle w:val="ListParagraph"/>
        <w:numPr>
          <w:ilvl w:val="0"/>
          <w:numId w:val="2"/>
        </w:numPr>
      </w:pPr>
      <w:r>
        <w:t xml:space="preserve">Levey, M. (1962) </w:t>
      </w:r>
      <w:r>
        <w:rPr>
          <w:i/>
        </w:rPr>
        <w:t xml:space="preserve">From Giotto to Cezanne: A Concise History of Painting. </w:t>
      </w:r>
      <w:r>
        <w:t>London: Thames and Hudson</w:t>
      </w:r>
      <w:r w:rsidR="00CD64AE">
        <w:t xml:space="preserve"> </w:t>
      </w:r>
      <w:r>
        <w:t>Ltd</w:t>
      </w:r>
    </w:p>
    <w:p w14:paraId="06C74AAB" w14:textId="16F1ADE6" w:rsidR="00154103" w:rsidRDefault="00380A1B" w:rsidP="00AD7FC9">
      <w:pPr>
        <w:pStyle w:val="ListParagraph"/>
        <w:numPr>
          <w:ilvl w:val="0"/>
          <w:numId w:val="2"/>
        </w:numPr>
      </w:pPr>
      <w:proofErr w:type="spellStart"/>
      <w:r>
        <w:t>Facos</w:t>
      </w:r>
      <w:proofErr w:type="spellEnd"/>
      <w:r>
        <w:t>, M. (</w:t>
      </w:r>
      <w:r w:rsidR="00154103">
        <w:t xml:space="preserve">2011) </w:t>
      </w:r>
      <w:r w:rsidR="00154103">
        <w:rPr>
          <w:i/>
        </w:rPr>
        <w:t xml:space="preserve">An Introduction to Nineteenth-Century Art. </w:t>
      </w:r>
      <w:r w:rsidR="0045229E">
        <w:t xml:space="preserve">London: </w:t>
      </w:r>
      <w:r w:rsidR="00CC1ECD">
        <w:t>Routledge</w:t>
      </w:r>
    </w:p>
    <w:p w14:paraId="0BBEAA7C" w14:textId="55746FCB" w:rsidR="00767377" w:rsidRDefault="00767377" w:rsidP="00AD7FC9">
      <w:pPr>
        <w:pStyle w:val="ListParagraph"/>
        <w:numPr>
          <w:ilvl w:val="0"/>
          <w:numId w:val="2"/>
        </w:numPr>
      </w:pPr>
      <w:r>
        <w:t xml:space="preserve">Robinson, M. (2007) </w:t>
      </w:r>
      <w:r w:rsidRPr="00154103">
        <w:rPr>
          <w:i/>
        </w:rPr>
        <w:t xml:space="preserve">Millais &amp; the Pre-Raphaelites. </w:t>
      </w:r>
      <w:r>
        <w:t>London: Flame Tree Publishing</w:t>
      </w:r>
    </w:p>
    <w:p w14:paraId="6EF1A339" w14:textId="317DDE0F" w:rsidR="001F3328" w:rsidRDefault="001F3328" w:rsidP="00AD7FC9">
      <w:pPr>
        <w:pStyle w:val="ListParagraph"/>
        <w:numPr>
          <w:ilvl w:val="0"/>
          <w:numId w:val="2"/>
        </w:numPr>
      </w:pPr>
      <w:r>
        <w:t>Royal Academy of Arts (</w:t>
      </w:r>
      <w:r w:rsidR="00660DA7">
        <w:t xml:space="preserve">2003) </w:t>
      </w:r>
      <w:r w:rsidR="00660DA7">
        <w:rPr>
          <w:i/>
        </w:rPr>
        <w:t xml:space="preserve">Pre-Raphaelite and Other Masters: The Andrew Lloyd Webber </w:t>
      </w:r>
      <w:r w:rsidR="00070609">
        <w:rPr>
          <w:i/>
        </w:rPr>
        <w:t xml:space="preserve">Collection. </w:t>
      </w:r>
      <w:r w:rsidR="007B5E48">
        <w:t xml:space="preserve">London: Thames and Hudson Ltd </w:t>
      </w:r>
    </w:p>
    <w:p w14:paraId="3AB04888" w14:textId="37C86927" w:rsidR="00520715" w:rsidRDefault="000A2CF4" w:rsidP="00AD7FC9">
      <w:pPr>
        <w:pStyle w:val="ListParagraph"/>
        <w:numPr>
          <w:ilvl w:val="0"/>
          <w:numId w:val="2"/>
        </w:numPr>
      </w:pPr>
      <w:proofErr w:type="spellStart"/>
      <w:r>
        <w:t>Treuherz</w:t>
      </w:r>
      <w:proofErr w:type="spellEnd"/>
      <w:r>
        <w:t>, J. (</w:t>
      </w:r>
      <w:r w:rsidR="00275167">
        <w:t xml:space="preserve">1993) </w:t>
      </w:r>
      <w:r w:rsidR="00275167">
        <w:rPr>
          <w:i/>
        </w:rPr>
        <w:t xml:space="preserve">Victorian Painting. </w:t>
      </w:r>
      <w:r w:rsidR="00CD64AE">
        <w:t>London: Thames and Hudson Ltd</w:t>
      </w:r>
    </w:p>
    <w:p w14:paraId="2C9EFC81" w14:textId="77777777" w:rsidR="00767377" w:rsidRDefault="00767377" w:rsidP="00AD7FC9">
      <w:pPr>
        <w:rPr>
          <w:b/>
        </w:rPr>
      </w:pPr>
      <w:proofErr w:type="spellStart"/>
      <w:r>
        <w:rPr>
          <w:b/>
        </w:rPr>
        <w:t>Ebooks</w:t>
      </w:r>
      <w:proofErr w:type="spellEnd"/>
    </w:p>
    <w:p w14:paraId="6A49A48D" w14:textId="75829A44" w:rsidR="00767377" w:rsidRPr="00BC621C" w:rsidRDefault="00767377" w:rsidP="00AD7FC9">
      <w:pPr>
        <w:pStyle w:val="ListParagraph"/>
        <w:numPr>
          <w:ilvl w:val="0"/>
          <w:numId w:val="3"/>
        </w:numPr>
        <w:rPr>
          <w:rStyle w:val="fn"/>
          <w:b/>
        </w:rPr>
      </w:pPr>
      <w:r w:rsidRPr="00040440">
        <w:rPr>
          <w:color w:val="000000" w:themeColor="text1"/>
        </w:rPr>
        <w:t xml:space="preserve">Ashley, M. </w:t>
      </w:r>
      <w:r w:rsidR="0020277E">
        <w:rPr>
          <w:color w:val="000000" w:themeColor="text1"/>
        </w:rPr>
        <w:t>(ed.) (</w:t>
      </w:r>
      <w:r w:rsidRPr="00040440">
        <w:rPr>
          <w:color w:val="000000" w:themeColor="text1"/>
        </w:rPr>
        <w:t xml:space="preserve">2012) </w:t>
      </w:r>
      <w:r w:rsidRPr="00040440">
        <w:rPr>
          <w:rStyle w:val="fn"/>
          <w:rFonts w:eastAsia="Times New Roman" w:cs="Arial"/>
          <w:i/>
          <w:color w:val="000000" w:themeColor="text1"/>
        </w:rPr>
        <w:t xml:space="preserve">Improving Teaching and Learning in the Humanities. </w:t>
      </w:r>
      <w:r w:rsidRPr="00040440">
        <w:rPr>
          <w:rStyle w:val="fn"/>
          <w:rFonts w:eastAsia="Times New Roman" w:cs="Arial"/>
          <w:color w:val="000000" w:themeColor="text1"/>
        </w:rPr>
        <w:t xml:space="preserve">[Online] Available at: </w:t>
      </w:r>
      <w:hyperlink r:id="rId7" w:history="1">
        <w:r w:rsidRPr="00040440">
          <w:rPr>
            <w:rStyle w:val="Hyperlink"/>
            <w:rFonts w:eastAsia="Times New Roman" w:cs="Arial"/>
          </w:rPr>
          <w:t>https://books.google.co.uk</w:t>
        </w:r>
      </w:hyperlink>
      <w:r w:rsidRPr="00040440">
        <w:rPr>
          <w:rStyle w:val="fn"/>
          <w:rFonts w:eastAsia="Times New Roman" w:cs="Arial"/>
          <w:color w:val="000000" w:themeColor="text1"/>
        </w:rPr>
        <w:t xml:space="preserve"> (Accessed: 6</w:t>
      </w:r>
      <w:r w:rsidRPr="00040440">
        <w:rPr>
          <w:rStyle w:val="fn"/>
          <w:rFonts w:eastAsia="Times New Roman" w:cs="Arial"/>
          <w:color w:val="000000" w:themeColor="text1"/>
          <w:vertAlign w:val="superscript"/>
        </w:rPr>
        <w:t>th</w:t>
      </w:r>
      <w:r w:rsidRPr="00040440">
        <w:rPr>
          <w:rStyle w:val="fn"/>
          <w:rFonts w:eastAsia="Times New Roman" w:cs="Arial"/>
          <w:color w:val="000000" w:themeColor="text1"/>
        </w:rPr>
        <w:t xml:space="preserve"> December 2017)</w:t>
      </w:r>
    </w:p>
    <w:p w14:paraId="2E651EA3" w14:textId="35D79A0B" w:rsidR="00BC621C" w:rsidRDefault="0080115F" w:rsidP="005C00A4">
      <w:pPr>
        <w:rPr>
          <w:b/>
        </w:rPr>
      </w:pPr>
      <w:r>
        <w:rPr>
          <w:b/>
        </w:rPr>
        <w:t>Paintings and Drawings</w:t>
      </w:r>
    </w:p>
    <w:p w14:paraId="19EAAE28" w14:textId="2B0423F7" w:rsidR="0099353A" w:rsidRPr="00BB182A" w:rsidRDefault="0099353A" w:rsidP="0099353A">
      <w:pPr>
        <w:pStyle w:val="ListParagraph"/>
        <w:numPr>
          <w:ilvl w:val="0"/>
          <w:numId w:val="3"/>
        </w:numPr>
        <w:rPr>
          <w:b/>
        </w:rPr>
      </w:pPr>
      <w:r>
        <w:t xml:space="preserve">Brown, F. M. (1851-56) </w:t>
      </w:r>
      <w:r>
        <w:rPr>
          <w:i/>
        </w:rPr>
        <w:t xml:space="preserve">Jesus Washing Peter’s Feet </w:t>
      </w:r>
      <w:r>
        <w:t>[Oil on canvas].</w:t>
      </w:r>
      <w:r w:rsidR="00BB182A">
        <w:t xml:space="preserve"> Manchester Art Gallery, Manchester.</w:t>
      </w:r>
    </w:p>
    <w:p w14:paraId="58E49684" w14:textId="7F8C3E1D" w:rsidR="00BB182A" w:rsidRPr="0099353A" w:rsidRDefault="00BB182A" w:rsidP="0099353A">
      <w:pPr>
        <w:pStyle w:val="ListParagraph"/>
        <w:numPr>
          <w:ilvl w:val="0"/>
          <w:numId w:val="3"/>
        </w:numPr>
        <w:rPr>
          <w:b/>
        </w:rPr>
      </w:pPr>
      <w:r>
        <w:t xml:space="preserve">Brown, F. M. (1852-65) </w:t>
      </w:r>
      <w:r>
        <w:rPr>
          <w:i/>
        </w:rPr>
        <w:t xml:space="preserve">Work </w:t>
      </w:r>
      <w:r>
        <w:t xml:space="preserve">[Oil on canvas]. </w:t>
      </w:r>
      <w:r w:rsidR="00B0356D">
        <w:t>Private collection.</w:t>
      </w:r>
    </w:p>
    <w:p w14:paraId="3EA98F86" w14:textId="05C0535B" w:rsidR="0099353A" w:rsidRPr="00B0356D" w:rsidRDefault="0099353A" w:rsidP="0099353A">
      <w:pPr>
        <w:pStyle w:val="ListParagraph"/>
        <w:numPr>
          <w:ilvl w:val="0"/>
          <w:numId w:val="3"/>
        </w:numPr>
        <w:rPr>
          <w:b/>
        </w:rPr>
      </w:pPr>
      <w:r>
        <w:t xml:space="preserve">Hunt, W. H. (1853) </w:t>
      </w:r>
      <w:r>
        <w:rPr>
          <w:i/>
        </w:rPr>
        <w:t xml:space="preserve">The Awakening Conscience </w:t>
      </w:r>
      <w:r>
        <w:t>[Oil on canvas].</w:t>
      </w:r>
      <w:r w:rsidR="00B0356D">
        <w:t xml:space="preserve"> Private collection.</w:t>
      </w:r>
    </w:p>
    <w:p w14:paraId="38B46AD4" w14:textId="1090DAC6" w:rsidR="00B0356D" w:rsidRPr="0099353A" w:rsidRDefault="00B0356D" w:rsidP="0099353A">
      <w:pPr>
        <w:pStyle w:val="ListParagraph"/>
        <w:numPr>
          <w:ilvl w:val="0"/>
          <w:numId w:val="3"/>
        </w:numPr>
        <w:rPr>
          <w:b/>
        </w:rPr>
      </w:pPr>
      <w:r>
        <w:t xml:space="preserve">Hunt, W. H. (1866-68) </w:t>
      </w:r>
      <w:r>
        <w:rPr>
          <w:i/>
        </w:rPr>
        <w:t xml:space="preserve">Isabella and the Pot of Basil </w:t>
      </w:r>
      <w:r>
        <w:t xml:space="preserve">[Oil on canvas]. Delaware Art Museum, Wilmington. </w:t>
      </w:r>
    </w:p>
    <w:p w14:paraId="1CDC94CA" w14:textId="20259381" w:rsidR="00DB699B" w:rsidRPr="00B0356D" w:rsidRDefault="00DB699B" w:rsidP="0080115F">
      <w:pPr>
        <w:pStyle w:val="ListParagraph"/>
        <w:numPr>
          <w:ilvl w:val="0"/>
          <w:numId w:val="3"/>
        </w:numPr>
        <w:rPr>
          <w:b/>
        </w:rPr>
      </w:pPr>
      <w:r>
        <w:t xml:space="preserve">Millais, J. E. (1854-6) </w:t>
      </w:r>
      <w:r w:rsidR="00783CF5">
        <w:rPr>
          <w:i/>
        </w:rPr>
        <w:t xml:space="preserve">The Blind Girl </w:t>
      </w:r>
      <w:r w:rsidR="00783CF5">
        <w:t xml:space="preserve">[Oil on canvas]. Birmingham Museums and Art Gallery, </w:t>
      </w:r>
      <w:proofErr w:type="spellStart"/>
      <w:r w:rsidR="00783CF5">
        <w:t>Birmngham</w:t>
      </w:r>
      <w:proofErr w:type="spellEnd"/>
    </w:p>
    <w:p w14:paraId="5C9890D5" w14:textId="5E21806B" w:rsidR="00B0356D" w:rsidRPr="00DB699B" w:rsidRDefault="00B0356D" w:rsidP="0080115F">
      <w:pPr>
        <w:pStyle w:val="ListParagraph"/>
        <w:numPr>
          <w:ilvl w:val="0"/>
          <w:numId w:val="3"/>
        </w:numPr>
        <w:rPr>
          <w:b/>
        </w:rPr>
      </w:pPr>
      <w:r>
        <w:t xml:space="preserve">Millais, J. E. (1849) </w:t>
      </w:r>
      <w:r>
        <w:rPr>
          <w:i/>
        </w:rPr>
        <w:t xml:space="preserve">Christ in the House of His Parents </w:t>
      </w:r>
      <w:r>
        <w:t>[Oil on canvas]. Private collection.</w:t>
      </w:r>
    </w:p>
    <w:p w14:paraId="1E04E7BB" w14:textId="0B642B44" w:rsidR="00C413F2" w:rsidRPr="00C413F2" w:rsidRDefault="00C413F2" w:rsidP="0080115F">
      <w:pPr>
        <w:pStyle w:val="ListParagraph"/>
        <w:numPr>
          <w:ilvl w:val="0"/>
          <w:numId w:val="3"/>
        </w:numPr>
        <w:rPr>
          <w:b/>
        </w:rPr>
      </w:pPr>
      <w:r>
        <w:lastRenderedPageBreak/>
        <w:t>Millais, J.</w:t>
      </w:r>
      <w:r w:rsidR="000F264B">
        <w:t xml:space="preserve"> </w:t>
      </w:r>
      <w:r>
        <w:t xml:space="preserve">E. (1849) </w:t>
      </w:r>
      <w:r>
        <w:rPr>
          <w:i/>
        </w:rPr>
        <w:t xml:space="preserve">Ferdinand Lured by Ariel </w:t>
      </w:r>
      <w:r>
        <w:t>[Oil on panel]. Private collection.</w:t>
      </w:r>
    </w:p>
    <w:p w14:paraId="0FF86651" w14:textId="77777777" w:rsidR="00FD5FAA" w:rsidRPr="0023267C" w:rsidRDefault="00FD5FAA" w:rsidP="0057480D">
      <w:pPr>
        <w:pStyle w:val="ListParagraph"/>
        <w:numPr>
          <w:ilvl w:val="0"/>
          <w:numId w:val="3"/>
        </w:numPr>
        <w:rPr>
          <w:b/>
        </w:rPr>
      </w:pPr>
      <w:r>
        <w:t xml:space="preserve">Millais, J. E. (1849) </w:t>
      </w:r>
      <w:r>
        <w:rPr>
          <w:i/>
        </w:rPr>
        <w:t xml:space="preserve">Isabella </w:t>
      </w:r>
      <w:r>
        <w:t>[Oil on canvas]. Walker Art Gallery, Liverpool.</w:t>
      </w:r>
    </w:p>
    <w:p w14:paraId="52FE96A1" w14:textId="5AFC94D9" w:rsidR="000F264B" w:rsidRPr="000F264B" w:rsidRDefault="000F264B" w:rsidP="0080115F">
      <w:pPr>
        <w:pStyle w:val="ListParagraph"/>
        <w:numPr>
          <w:ilvl w:val="0"/>
          <w:numId w:val="3"/>
        </w:numPr>
        <w:rPr>
          <w:b/>
        </w:rPr>
      </w:pPr>
      <w:r>
        <w:t xml:space="preserve">Millais, J. E. (1851-2) </w:t>
      </w:r>
      <w:r w:rsidR="00FD5FAA">
        <w:rPr>
          <w:i/>
        </w:rPr>
        <w:t xml:space="preserve">Ophelia </w:t>
      </w:r>
      <w:r w:rsidR="00FD5FAA">
        <w:t>[Oil on canvas]. Tate, London.</w:t>
      </w:r>
    </w:p>
    <w:p w14:paraId="265DF652" w14:textId="094D190E" w:rsidR="00773B1F" w:rsidRPr="007F6C3C" w:rsidRDefault="00773B1F" w:rsidP="0080115F">
      <w:pPr>
        <w:pStyle w:val="ListParagraph"/>
        <w:numPr>
          <w:ilvl w:val="0"/>
          <w:numId w:val="3"/>
        </w:numPr>
        <w:rPr>
          <w:b/>
        </w:rPr>
      </w:pPr>
      <w:r>
        <w:t xml:space="preserve">Millais, J. E. (1853) </w:t>
      </w:r>
      <w:r>
        <w:rPr>
          <w:i/>
        </w:rPr>
        <w:t>The Order of Release</w:t>
      </w:r>
      <w:r w:rsidR="001158EC">
        <w:rPr>
          <w:i/>
        </w:rPr>
        <w:t xml:space="preserve">, 1746 </w:t>
      </w:r>
      <w:r>
        <w:rPr>
          <w:i/>
        </w:rPr>
        <w:t xml:space="preserve"> </w:t>
      </w:r>
      <w:r>
        <w:t>[Oil on canvas].</w:t>
      </w:r>
      <w:r w:rsidR="00DB699B">
        <w:t xml:space="preserve"> </w:t>
      </w:r>
      <w:r w:rsidR="00B0356D">
        <w:t>Private collection.</w:t>
      </w:r>
    </w:p>
    <w:p w14:paraId="3973EE25" w14:textId="43220701" w:rsidR="007F6C3C" w:rsidRPr="00773B1F" w:rsidRDefault="007F6C3C" w:rsidP="0080115F">
      <w:pPr>
        <w:pStyle w:val="ListParagraph"/>
        <w:numPr>
          <w:ilvl w:val="0"/>
          <w:numId w:val="3"/>
        </w:numPr>
        <w:rPr>
          <w:b/>
        </w:rPr>
      </w:pPr>
      <w:r>
        <w:t xml:space="preserve">Monaco, L. </w:t>
      </w:r>
      <w:r w:rsidR="00FD1009">
        <w:t>(1407-9)</w:t>
      </w:r>
      <w:r w:rsidR="00FD1009">
        <w:t xml:space="preserve"> </w:t>
      </w:r>
      <w:r w:rsidR="00FD1009">
        <w:rPr>
          <w:i/>
        </w:rPr>
        <w:t xml:space="preserve">Adoring Saints </w:t>
      </w:r>
      <w:r w:rsidR="001158EC">
        <w:t>[Egg tempera on wood]. The National Gallery, London.</w:t>
      </w:r>
    </w:p>
    <w:p w14:paraId="2B3D700A" w14:textId="54679F7A" w:rsidR="0080115F" w:rsidRPr="0023267C" w:rsidRDefault="005B690A" w:rsidP="0080115F">
      <w:pPr>
        <w:pStyle w:val="ListParagraph"/>
        <w:numPr>
          <w:ilvl w:val="0"/>
          <w:numId w:val="3"/>
        </w:numPr>
        <w:rPr>
          <w:b/>
        </w:rPr>
      </w:pPr>
      <w:r>
        <w:t xml:space="preserve">Rossetti, D. G. </w:t>
      </w:r>
      <w:r w:rsidR="00032A14">
        <w:t xml:space="preserve">(1854) </w:t>
      </w:r>
      <w:r w:rsidR="00032A14">
        <w:rPr>
          <w:i/>
        </w:rPr>
        <w:t>Found</w:t>
      </w:r>
      <w:r w:rsidR="005308D5">
        <w:rPr>
          <w:i/>
        </w:rPr>
        <w:t xml:space="preserve"> </w:t>
      </w:r>
      <w:r w:rsidR="005308D5">
        <w:t>[</w:t>
      </w:r>
      <w:r w:rsidR="0023267C">
        <w:t>O</w:t>
      </w:r>
      <w:r w:rsidR="005308D5">
        <w:t>il on canvas]</w:t>
      </w:r>
      <w:r w:rsidR="0023267C">
        <w:t xml:space="preserve">. </w:t>
      </w:r>
      <w:r w:rsidR="005308D5">
        <w:t>Delaware Art Museum, Wilmington</w:t>
      </w:r>
      <w:r w:rsidR="0023267C">
        <w:t>.</w:t>
      </w:r>
    </w:p>
    <w:p w14:paraId="4D5B3C29" w14:textId="0078224F" w:rsidR="00C413F2" w:rsidRPr="00776201" w:rsidRDefault="00C413F2" w:rsidP="00B0356D">
      <w:pPr>
        <w:pStyle w:val="ListParagraph"/>
        <w:numPr>
          <w:ilvl w:val="0"/>
          <w:numId w:val="3"/>
        </w:numPr>
        <w:rPr>
          <w:b/>
        </w:rPr>
      </w:pPr>
      <w:r>
        <w:t xml:space="preserve">Rossetti, D. G. (1848-9) </w:t>
      </w:r>
      <w:r>
        <w:rPr>
          <w:i/>
        </w:rPr>
        <w:t xml:space="preserve">The Girlhood of Mary Virgin </w:t>
      </w:r>
      <w:r>
        <w:t xml:space="preserve">[Oil on canvas]. Tate, London. </w:t>
      </w:r>
    </w:p>
    <w:p w14:paraId="263A974E" w14:textId="77777777" w:rsidR="00767377" w:rsidRPr="00905383" w:rsidRDefault="00767377" w:rsidP="00AD7FC9">
      <w:pPr>
        <w:rPr>
          <w:b/>
        </w:rPr>
      </w:pPr>
      <w:r>
        <w:rPr>
          <w:b/>
        </w:rPr>
        <w:t>Websites</w:t>
      </w:r>
    </w:p>
    <w:p w14:paraId="30CB5C42" w14:textId="77777777" w:rsidR="00767377" w:rsidRDefault="00767377" w:rsidP="00AD7FC9">
      <w:pPr>
        <w:pStyle w:val="ListParagraph"/>
        <w:numPr>
          <w:ilvl w:val="0"/>
          <w:numId w:val="1"/>
        </w:numPr>
      </w:pPr>
      <w:proofErr w:type="spellStart"/>
      <w:r>
        <w:t>Beaven</w:t>
      </w:r>
      <w:proofErr w:type="spellEnd"/>
      <w:r>
        <w:t xml:space="preserve">, K. (2014) </w:t>
      </w:r>
      <w:r>
        <w:rPr>
          <w:i/>
        </w:rPr>
        <w:t xml:space="preserve">Think you know the Pre-Raphaelites? </w:t>
      </w:r>
      <w:r>
        <w:t>Available at:</w:t>
      </w:r>
      <w:r w:rsidRPr="00D85AB2">
        <w:t xml:space="preserve"> </w:t>
      </w:r>
      <w:hyperlink r:id="rId8" w:history="1">
        <w:r w:rsidRPr="003E19C2">
          <w:rPr>
            <w:rStyle w:val="Hyperlink"/>
          </w:rPr>
          <w:t>http://www.tate.org.uk/context-comment/articles/think-you-know-pre-raphaelites</w:t>
        </w:r>
      </w:hyperlink>
      <w:r>
        <w:t xml:space="preserve"> (Accessed: 6th December 2017)</w:t>
      </w:r>
    </w:p>
    <w:p w14:paraId="049F306A" w14:textId="77777777" w:rsidR="00767377" w:rsidRDefault="00767377" w:rsidP="00AD7FC9">
      <w:pPr>
        <w:pStyle w:val="ListParagraph"/>
        <w:numPr>
          <w:ilvl w:val="0"/>
          <w:numId w:val="1"/>
        </w:numPr>
      </w:pPr>
      <w:proofErr w:type="spellStart"/>
      <w:r>
        <w:t>Cliffsnotes</w:t>
      </w:r>
      <w:proofErr w:type="spellEnd"/>
      <w:r>
        <w:t xml:space="preserve"> (2016) </w:t>
      </w:r>
      <w:r>
        <w:rPr>
          <w:i/>
        </w:rPr>
        <w:t>Culture And Society Defined</w:t>
      </w:r>
      <w:r>
        <w:t xml:space="preserve">. Available at: </w:t>
      </w:r>
      <w:hyperlink r:id="rId9" w:history="1">
        <w:r w:rsidRPr="00C12E18">
          <w:rPr>
            <w:rStyle w:val="Hyperlink"/>
          </w:rPr>
          <w:t>https://www.cliffsnotes.com/study-guides/sociology/culture-and-societies/culture-and-society-defined</w:t>
        </w:r>
      </w:hyperlink>
      <w:r>
        <w:t xml:space="preserve"> (Accessed: 5</w:t>
      </w:r>
      <w:r w:rsidRPr="00905383">
        <w:rPr>
          <w:vertAlign w:val="superscript"/>
        </w:rPr>
        <w:t>th</w:t>
      </w:r>
      <w:r>
        <w:t xml:space="preserve"> December 2017)</w:t>
      </w:r>
    </w:p>
    <w:p w14:paraId="6A10FD37" w14:textId="77777777" w:rsidR="00767377" w:rsidRDefault="00767377" w:rsidP="00AD7FC9">
      <w:pPr>
        <w:pStyle w:val="ListParagraph"/>
        <w:numPr>
          <w:ilvl w:val="0"/>
          <w:numId w:val="1"/>
        </w:numPr>
      </w:pPr>
      <w:r>
        <w:t xml:space="preserve">Oxford University Press (2017) </w:t>
      </w:r>
      <w:r>
        <w:rPr>
          <w:i/>
        </w:rPr>
        <w:t xml:space="preserve">Definition of intrinsic in English by Oxford Dictionaries. </w:t>
      </w:r>
      <w:r>
        <w:t>Available at:</w:t>
      </w:r>
      <w:r w:rsidRPr="00200D35">
        <w:t xml:space="preserve"> https://en.oxforddictionaries.com/definition/intrinsic</w:t>
      </w:r>
      <w:r>
        <w:t xml:space="preserve"> (Accessed 13</w:t>
      </w:r>
      <w:r w:rsidRPr="003C0171">
        <w:rPr>
          <w:vertAlign w:val="superscript"/>
        </w:rPr>
        <w:t>th</w:t>
      </w:r>
      <w:r>
        <w:t xml:space="preserve"> December 2017)</w:t>
      </w:r>
    </w:p>
    <w:p w14:paraId="28CF155A" w14:textId="77777777" w:rsidR="00767377" w:rsidRDefault="00767377" w:rsidP="00AD7FC9">
      <w:pPr>
        <w:pStyle w:val="ListParagraph"/>
        <w:numPr>
          <w:ilvl w:val="0"/>
          <w:numId w:val="1"/>
        </w:numPr>
      </w:pPr>
      <w:proofErr w:type="spellStart"/>
      <w:r>
        <w:t>Plescher</w:t>
      </w:r>
      <w:proofErr w:type="spellEnd"/>
      <w:r>
        <w:t xml:space="preserve">, M. (2013) </w:t>
      </w:r>
      <w:r>
        <w:rPr>
          <w:i/>
        </w:rPr>
        <w:t>High and low art</w:t>
      </w:r>
      <w:r>
        <w:t xml:space="preserve">. Available at: </w:t>
      </w:r>
      <w:hyperlink r:id="rId10" w:history="1">
        <w:r w:rsidRPr="003E19C2">
          <w:rPr>
            <w:rStyle w:val="Hyperlink"/>
          </w:rPr>
          <w:t>http://www.therapidian.org/high-and-low-art</w:t>
        </w:r>
      </w:hyperlink>
      <w:r>
        <w:t xml:space="preserve"> (Accessed: 6</w:t>
      </w:r>
      <w:r w:rsidRPr="0070217A">
        <w:rPr>
          <w:vertAlign w:val="superscript"/>
        </w:rPr>
        <w:t>th</w:t>
      </w:r>
      <w:r>
        <w:t xml:space="preserve"> December 2017)</w:t>
      </w:r>
    </w:p>
    <w:p w14:paraId="2B72E687" w14:textId="107E735D" w:rsidR="00767377" w:rsidRDefault="00767377" w:rsidP="00AD7FC9">
      <w:pPr>
        <w:pStyle w:val="ListParagraph"/>
        <w:numPr>
          <w:ilvl w:val="0"/>
          <w:numId w:val="1"/>
        </w:numPr>
      </w:pPr>
      <w:r>
        <w:t xml:space="preserve">Smith, A. (2012) </w:t>
      </w:r>
      <w:r>
        <w:rPr>
          <w:i/>
        </w:rPr>
        <w:t xml:space="preserve">Why were the Pre-Raphaelites so shocking? </w:t>
      </w:r>
      <w:r>
        <w:t xml:space="preserve">Available at: </w:t>
      </w:r>
      <w:hyperlink r:id="rId11" w:history="1">
        <w:r w:rsidRPr="003E19C2">
          <w:rPr>
            <w:rStyle w:val="Hyperlink"/>
          </w:rPr>
          <w:t>http://www.tate.org.uk/context-comment/blogs/why-were-pre-raphaelites-so-shocking</w:t>
        </w:r>
      </w:hyperlink>
      <w:r>
        <w:t xml:space="preserve"> (Accessed: 6th December 2017)</w:t>
      </w:r>
    </w:p>
    <w:p w14:paraId="5E1C8190" w14:textId="1AAE15F9" w:rsidR="009734F3" w:rsidRPr="00211F6D" w:rsidRDefault="009734F3" w:rsidP="009734F3">
      <w:pPr>
        <w:pStyle w:val="ListParagraph"/>
        <w:numPr>
          <w:ilvl w:val="0"/>
          <w:numId w:val="1"/>
        </w:numPr>
      </w:pPr>
      <w:r w:rsidRPr="009734F3">
        <w:t>http://www.visual-arts-cork.com/history-of-art/victorian.htm</w:t>
      </w:r>
    </w:p>
    <w:p w14:paraId="4D3026B9" w14:textId="41CCB098" w:rsidR="00D85C45" w:rsidRDefault="00D85C45" w:rsidP="00AA28BA">
      <w:pPr>
        <w:bidi/>
      </w:pPr>
    </w:p>
    <w:p w14:paraId="343FE521" w14:textId="0775CC6D" w:rsidR="005433CE" w:rsidRPr="00A35A00" w:rsidRDefault="00AC6948" w:rsidP="00D85C45">
      <w:r>
        <w:t xml:space="preserve"> </w:t>
      </w:r>
    </w:p>
    <w:sectPr w:rsidR="005433CE" w:rsidRPr="00A35A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92D67"/>
    <w:multiLevelType w:val="hybridMultilevel"/>
    <w:tmpl w:val="1986A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F135C"/>
    <w:multiLevelType w:val="hybridMultilevel"/>
    <w:tmpl w:val="B0A8A8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8135D"/>
    <w:multiLevelType w:val="hybridMultilevel"/>
    <w:tmpl w:val="0812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7F08C3"/>
    <w:multiLevelType w:val="hybridMultilevel"/>
    <w:tmpl w:val="98E8A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670725"/>
    <w:multiLevelType w:val="hybridMultilevel"/>
    <w:tmpl w:val="771279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8A8"/>
    <w:rsid w:val="000124C8"/>
    <w:rsid w:val="00015A7A"/>
    <w:rsid w:val="00032A14"/>
    <w:rsid w:val="00070609"/>
    <w:rsid w:val="00071620"/>
    <w:rsid w:val="00073467"/>
    <w:rsid w:val="00074C48"/>
    <w:rsid w:val="00086EE6"/>
    <w:rsid w:val="00090474"/>
    <w:rsid w:val="0009077C"/>
    <w:rsid w:val="000A2CF4"/>
    <w:rsid w:val="000B2903"/>
    <w:rsid w:val="000B2EF9"/>
    <w:rsid w:val="000E07CF"/>
    <w:rsid w:val="000E16F3"/>
    <w:rsid w:val="000E3429"/>
    <w:rsid w:val="000F264B"/>
    <w:rsid w:val="000F5F42"/>
    <w:rsid w:val="001158EC"/>
    <w:rsid w:val="00121EB9"/>
    <w:rsid w:val="00123E02"/>
    <w:rsid w:val="001342B2"/>
    <w:rsid w:val="00154103"/>
    <w:rsid w:val="0016246A"/>
    <w:rsid w:val="00181FA5"/>
    <w:rsid w:val="0018707F"/>
    <w:rsid w:val="00190219"/>
    <w:rsid w:val="00195DCA"/>
    <w:rsid w:val="001D0EF0"/>
    <w:rsid w:val="001D4838"/>
    <w:rsid w:val="001D6FA0"/>
    <w:rsid w:val="001E5C69"/>
    <w:rsid w:val="001F175A"/>
    <w:rsid w:val="001F3328"/>
    <w:rsid w:val="0020277E"/>
    <w:rsid w:val="002143D8"/>
    <w:rsid w:val="0023267C"/>
    <w:rsid w:val="00234FB3"/>
    <w:rsid w:val="0023736F"/>
    <w:rsid w:val="00251E61"/>
    <w:rsid w:val="002529EA"/>
    <w:rsid w:val="00252E7D"/>
    <w:rsid w:val="00252F0E"/>
    <w:rsid w:val="00263D53"/>
    <w:rsid w:val="00275167"/>
    <w:rsid w:val="00282252"/>
    <w:rsid w:val="00287439"/>
    <w:rsid w:val="002B6E19"/>
    <w:rsid w:val="002C03B6"/>
    <w:rsid w:val="002D14ED"/>
    <w:rsid w:val="002F04CC"/>
    <w:rsid w:val="00300FE7"/>
    <w:rsid w:val="0030616F"/>
    <w:rsid w:val="0031003C"/>
    <w:rsid w:val="0032108C"/>
    <w:rsid w:val="00352F7F"/>
    <w:rsid w:val="00355AFC"/>
    <w:rsid w:val="003738D7"/>
    <w:rsid w:val="00380A1B"/>
    <w:rsid w:val="00383EDF"/>
    <w:rsid w:val="003A7881"/>
    <w:rsid w:val="003A7F26"/>
    <w:rsid w:val="003C22E7"/>
    <w:rsid w:val="003C5349"/>
    <w:rsid w:val="00401336"/>
    <w:rsid w:val="0041028D"/>
    <w:rsid w:val="00433659"/>
    <w:rsid w:val="00433F73"/>
    <w:rsid w:val="00434378"/>
    <w:rsid w:val="00442290"/>
    <w:rsid w:val="0045229E"/>
    <w:rsid w:val="00464BCB"/>
    <w:rsid w:val="0047013E"/>
    <w:rsid w:val="00470782"/>
    <w:rsid w:val="00473081"/>
    <w:rsid w:val="0048441E"/>
    <w:rsid w:val="00487923"/>
    <w:rsid w:val="004B2729"/>
    <w:rsid w:val="004C093F"/>
    <w:rsid w:val="004C59E6"/>
    <w:rsid w:val="00504BCA"/>
    <w:rsid w:val="00520715"/>
    <w:rsid w:val="00526905"/>
    <w:rsid w:val="005308D5"/>
    <w:rsid w:val="00540E22"/>
    <w:rsid w:val="005433CE"/>
    <w:rsid w:val="00563248"/>
    <w:rsid w:val="00576F95"/>
    <w:rsid w:val="005A419B"/>
    <w:rsid w:val="005B690A"/>
    <w:rsid w:val="005C00A4"/>
    <w:rsid w:val="005C2B38"/>
    <w:rsid w:val="005E1F8E"/>
    <w:rsid w:val="00607C10"/>
    <w:rsid w:val="006237E2"/>
    <w:rsid w:val="00633242"/>
    <w:rsid w:val="00635D8F"/>
    <w:rsid w:val="006476FF"/>
    <w:rsid w:val="00652BC9"/>
    <w:rsid w:val="00652C65"/>
    <w:rsid w:val="00660DA7"/>
    <w:rsid w:val="00664FD3"/>
    <w:rsid w:val="00672BE5"/>
    <w:rsid w:val="0068136B"/>
    <w:rsid w:val="00683ADB"/>
    <w:rsid w:val="00686F91"/>
    <w:rsid w:val="006C0067"/>
    <w:rsid w:val="006C265C"/>
    <w:rsid w:val="006F0298"/>
    <w:rsid w:val="0070003B"/>
    <w:rsid w:val="00702D39"/>
    <w:rsid w:val="00727156"/>
    <w:rsid w:val="00740380"/>
    <w:rsid w:val="00741A28"/>
    <w:rsid w:val="00754101"/>
    <w:rsid w:val="00767377"/>
    <w:rsid w:val="00773B1F"/>
    <w:rsid w:val="00776201"/>
    <w:rsid w:val="00777FD5"/>
    <w:rsid w:val="00783438"/>
    <w:rsid w:val="00783CF5"/>
    <w:rsid w:val="007A6A65"/>
    <w:rsid w:val="007B3179"/>
    <w:rsid w:val="007B5E48"/>
    <w:rsid w:val="007C07A8"/>
    <w:rsid w:val="007E1D14"/>
    <w:rsid w:val="007F6C3C"/>
    <w:rsid w:val="007F7C5B"/>
    <w:rsid w:val="00800A37"/>
    <w:rsid w:val="0080115F"/>
    <w:rsid w:val="00801AD0"/>
    <w:rsid w:val="0081127F"/>
    <w:rsid w:val="008361E3"/>
    <w:rsid w:val="00845EBA"/>
    <w:rsid w:val="00847747"/>
    <w:rsid w:val="00876D43"/>
    <w:rsid w:val="008A5AFD"/>
    <w:rsid w:val="008A6F9B"/>
    <w:rsid w:val="008B30AD"/>
    <w:rsid w:val="008C598C"/>
    <w:rsid w:val="008D39DF"/>
    <w:rsid w:val="008E6A54"/>
    <w:rsid w:val="008F4681"/>
    <w:rsid w:val="00916605"/>
    <w:rsid w:val="00927404"/>
    <w:rsid w:val="00946B2A"/>
    <w:rsid w:val="00955D13"/>
    <w:rsid w:val="00960542"/>
    <w:rsid w:val="00967316"/>
    <w:rsid w:val="009734F3"/>
    <w:rsid w:val="0099353A"/>
    <w:rsid w:val="009E24DE"/>
    <w:rsid w:val="00A26D55"/>
    <w:rsid w:val="00A35A00"/>
    <w:rsid w:val="00A4533C"/>
    <w:rsid w:val="00A5461D"/>
    <w:rsid w:val="00A609C7"/>
    <w:rsid w:val="00A61D13"/>
    <w:rsid w:val="00A7342D"/>
    <w:rsid w:val="00A75D30"/>
    <w:rsid w:val="00A850DB"/>
    <w:rsid w:val="00A96046"/>
    <w:rsid w:val="00AA28BA"/>
    <w:rsid w:val="00AC5533"/>
    <w:rsid w:val="00AC6948"/>
    <w:rsid w:val="00AD20DD"/>
    <w:rsid w:val="00B021BF"/>
    <w:rsid w:val="00B0356D"/>
    <w:rsid w:val="00B0380C"/>
    <w:rsid w:val="00B2590B"/>
    <w:rsid w:val="00B74992"/>
    <w:rsid w:val="00B850C9"/>
    <w:rsid w:val="00B86F8A"/>
    <w:rsid w:val="00B91FAE"/>
    <w:rsid w:val="00B959B6"/>
    <w:rsid w:val="00BA233B"/>
    <w:rsid w:val="00BA4043"/>
    <w:rsid w:val="00BB182A"/>
    <w:rsid w:val="00BC1823"/>
    <w:rsid w:val="00BC43DF"/>
    <w:rsid w:val="00BC621C"/>
    <w:rsid w:val="00BE1F06"/>
    <w:rsid w:val="00BF4DDD"/>
    <w:rsid w:val="00C0283B"/>
    <w:rsid w:val="00C02C14"/>
    <w:rsid w:val="00C0388D"/>
    <w:rsid w:val="00C1785C"/>
    <w:rsid w:val="00C333DB"/>
    <w:rsid w:val="00C413F2"/>
    <w:rsid w:val="00C455AF"/>
    <w:rsid w:val="00C4568A"/>
    <w:rsid w:val="00C57A19"/>
    <w:rsid w:val="00C61650"/>
    <w:rsid w:val="00C6518F"/>
    <w:rsid w:val="00C672C6"/>
    <w:rsid w:val="00C90FC2"/>
    <w:rsid w:val="00CB4056"/>
    <w:rsid w:val="00CC1012"/>
    <w:rsid w:val="00CC1ECD"/>
    <w:rsid w:val="00CD64AE"/>
    <w:rsid w:val="00CE04A5"/>
    <w:rsid w:val="00CE3333"/>
    <w:rsid w:val="00CE3E0D"/>
    <w:rsid w:val="00CE485A"/>
    <w:rsid w:val="00D0751F"/>
    <w:rsid w:val="00D75AAC"/>
    <w:rsid w:val="00D85C45"/>
    <w:rsid w:val="00DB699B"/>
    <w:rsid w:val="00DC16CD"/>
    <w:rsid w:val="00DE35CE"/>
    <w:rsid w:val="00DF1872"/>
    <w:rsid w:val="00DF6BDF"/>
    <w:rsid w:val="00E01286"/>
    <w:rsid w:val="00E0495D"/>
    <w:rsid w:val="00E274A3"/>
    <w:rsid w:val="00E77ADB"/>
    <w:rsid w:val="00EA61D0"/>
    <w:rsid w:val="00EB4345"/>
    <w:rsid w:val="00ED0C94"/>
    <w:rsid w:val="00ED47F1"/>
    <w:rsid w:val="00F12016"/>
    <w:rsid w:val="00F33FC4"/>
    <w:rsid w:val="00F35B5D"/>
    <w:rsid w:val="00F36DDD"/>
    <w:rsid w:val="00F46399"/>
    <w:rsid w:val="00F50F62"/>
    <w:rsid w:val="00F76424"/>
    <w:rsid w:val="00F94888"/>
    <w:rsid w:val="00FA4302"/>
    <w:rsid w:val="00FC78A8"/>
    <w:rsid w:val="00FD1009"/>
    <w:rsid w:val="00FD1CC0"/>
    <w:rsid w:val="00FD5FAA"/>
    <w:rsid w:val="00FE067B"/>
    <w:rsid w:val="00FE2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95E05"/>
  <w15:chartTrackingRefBased/>
  <w15:docId w15:val="{A5CFC9E1-CC18-EF49-A058-17E10FA9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77"/>
    <w:pPr>
      <w:ind w:left="720"/>
      <w:contextualSpacing/>
    </w:pPr>
  </w:style>
  <w:style w:type="character" w:styleId="Hyperlink">
    <w:name w:val="Hyperlink"/>
    <w:basedOn w:val="DefaultParagraphFont"/>
    <w:uiPriority w:val="99"/>
    <w:unhideWhenUsed/>
    <w:rsid w:val="00767377"/>
    <w:rPr>
      <w:color w:val="0563C1" w:themeColor="hyperlink"/>
      <w:u w:val="single"/>
    </w:rPr>
  </w:style>
  <w:style w:type="character" w:customStyle="1" w:styleId="fn">
    <w:name w:val="fn"/>
    <w:basedOn w:val="DefaultParagraphFont"/>
    <w:rsid w:val="00767377"/>
  </w:style>
  <w:style w:type="character" w:customStyle="1" w:styleId="caps">
    <w:name w:val="caps"/>
    <w:basedOn w:val="DefaultParagraphFont"/>
    <w:rsid w:val="00410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te.org.uk/context-comment/articles/think-you-know-pre-raphaelites"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books.google.co.uk"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tate.org.uk/art/artworks/beloved-bride-n03053" TargetMode="External" /><Relationship Id="rId11" Type="http://schemas.openxmlformats.org/officeDocument/2006/relationships/hyperlink" Target="http://www.tate.org.uk/context-comment/blogs/why-were-pre-raphaelites-so-shocking" TargetMode="External" /><Relationship Id="rId5" Type="http://schemas.openxmlformats.org/officeDocument/2006/relationships/hyperlink" Target="http://www.tate.org.uk/art/artworks/ophelia-t00262" TargetMode="External" /><Relationship Id="rId10" Type="http://schemas.openxmlformats.org/officeDocument/2006/relationships/hyperlink" Target="http://www.therapidian.org/high-and-low-art" TargetMode="External" /><Relationship Id="rId4" Type="http://schemas.openxmlformats.org/officeDocument/2006/relationships/webSettings" Target="webSettings.xml" /><Relationship Id="rId9" Type="http://schemas.openxmlformats.org/officeDocument/2006/relationships/hyperlink" Target="https://www.cliffsnotes.com/study-guides/sociology/culture-and-societies/culture-and-society-define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1987</Words>
  <Characters>11330</Characters>
  <Application>Microsoft Office Word</Application>
  <DocSecurity>0</DocSecurity>
  <Lines>94</Lines>
  <Paragraphs>26</Paragraphs>
  <ScaleCrop>false</ScaleCrop>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Magor</dc:creator>
  <cp:keywords/>
  <dc:description/>
  <cp:lastModifiedBy>Gee Magor</cp:lastModifiedBy>
  <cp:revision>27</cp:revision>
  <dcterms:created xsi:type="dcterms:W3CDTF">2017-12-14T01:27:00Z</dcterms:created>
  <dcterms:modified xsi:type="dcterms:W3CDTF">2017-12-14T02:23:00Z</dcterms:modified>
</cp:coreProperties>
</file>