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bidi w:val="0"/>
      </w:pPr>
      <w:r>
        <w:tab/>
        <w:tab/>
        <w:tab/>
      </w:r>
    </w:p>
    <w:p>
      <w:pPr>
        <w:pStyle w:val="Body"/>
        <w:rPr>
          <w:b w:val="1"/>
          <w:bCs w:val="1"/>
          <w:sz w:val="26"/>
          <w:szCs w:val="26"/>
          <w:u w:val="single"/>
        </w:rPr>
      </w:pPr>
      <w:r>
        <w:rPr>
          <w:b w:val="1"/>
          <w:bCs w:val="1"/>
          <w:sz w:val="26"/>
          <w:szCs w:val="26"/>
          <w:u w:val="single"/>
          <w:rtl w:val="0"/>
          <w:lang w:val="en-US"/>
        </w:rPr>
        <w:t xml:space="preserve">A report into the effectiveness of the current structure of NHS Wales </w:t>
      </w: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lang w:val="en-US"/>
        </w:rPr>
        <w:t xml:space="preserve">Name: Holly Griffiths </w:t>
      </w:r>
    </w:p>
    <w:p>
      <w:pPr>
        <w:pStyle w:val="Body"/>
        <w:bidi w:val="0"/>
      </w:pPr>
    </w:p>
    <w:p>
      <w:pPr>
        <w:pStyle w:val="Body"/>
        <w:bidi w:val="0"/>
      </w:pPr>
      <w:r>
        <w:rPr>
          <w:rtl w:val="0"/>
          <w:lang w:val="en-US"/>
        </w:rPr>
        <w:t xml:space="preserve">Student ID: 1808572 </w:t>
      </w:r>
    </w:p>
    <w:p>
      <w:pPr>
        <w:pStyle w:val="Body"/>
        <w:bidi w:val="0"/>
      </w:pPr>
    </w:p>
    <w:p>
      <w:pPr>
        <w:pStyle w:val="Body"/>
        <w:bidi w:val="0"/>
      </w:pPr>
      <w:r>
        <w:rPr>
          <w:rtl w:val="0"/>
          <w:lang w:val="en-US"/>
        </w:rPr>
        <w:t xml:space="preserve">Lecture name: Tania Davies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tab/>
        <w:tab/>
        <w:tab/>
        <w:tab/>
        <w:tab/>
      </w:r>
      <w:r>
        <w:rPr>
          <w:b w:val="1"/>
          <w:bCs w:val="1"/>
          <w:sz w:val="30"/>
          <w:szCs w:val="30"/>
          <w:u w:val="single"/>
          <w:rtl w:val="0"/>
          <w:lang w:val="en-US"/>
        </w:rPr>
        <w:t xml:space="preserve">Abstract </w:t>
      </w:r>
    </w:p>
    <w:p>
      <w:pPr>
        <w:pStyle w:val="Body"/>
        <w:bidi w:val="0"/>
      </w:pPr>
    </w:p>
    <w:p>
      <w:pPr>
        <w:pStyle w:val="Body"/>
        <w:bidi w:val="0"/>
      </w:pPr>
    </w:p>
    <w:p>
      <w:pPr>
        <w:pStyle w:val="Body"/>
        <w:bidi w:val="0"/>
      </w:pPr>
      <w:r>
        <w:rPr>
          <w:rtl w:val="0"/>
          <w:lang w:val="en-US"/>
        </w:rPr>
        <w:tab/>
        <w:t xml:space="preserve">Within this report it will be looking at the history and the creation of the NHS, the seven </w:t>
      </w:r>
    </w:p>
    <w:p>
      <w:pPr>
        <w:pStyle w:val="Body"/>
        <w:bidi w:val="0"/>
      </w:pPr>
    </w:p>
    <w:p>
      <w:pPr>
        <w:pStyle w:val="Body"/>
        <w:bidi w:val="0"/>
      </w:pPr>
      <w:r>
        <w:rPr>
          <w:rtl w:val="0"/>
          <w:lang w:val="en-US"/>
        </w:rPr>
        <w:t xml:space="preserve">local health boards in Wales and what areas they cover.  Also to be discussed will be what funds </w:t>
      </w:r>
    </w:p>
    <w:p>
      <w:pPr>
        <w:pStyle w:val="Body"/>
        <w:bidi w:val="0"/>
      </w:pPr>
    </w:p>
    <w:p>
      <w:pPr>
        <w:pStyle w:val="Body"/>
        <w:bidi w:val="0"/>
      </w:pPr>
      <w:r>
        <w:rPr>
          <w:rtl w:val="0"/>
          <w:lang w:val="en-US"/>
        </w:rPr>
        <w:t xml:space="preserve">the local health boards and their services and how much the NHS is budgeted by the Welsh </w:t>
      </w:r>
    </w:p>
    <w:p>
      <w:pPr>
        <w:pStyle w:val="Body"/>
        <w:bidi w:val="0"/>
      </w:pPr>
    </w:p>
    <w:p>
      <w:pPr>
        <w:pStyle w:val="Body"/>
        <w:bidi w:val="0"/>
      </w:pPr>
      <w:r>
        <w:rPr>
          <w:rtl w:val="0"/>
          <w:lang w:val="en-US"/>
        </w:rPr>
        <w:t xml:space="preserve">Government.  Again to be included will be information and statistics about the NHS and the </w:t>
      </w:r>
    </w:p>
    <w:p>
      <w:pPr>
        <w:pStyle w:val="Body"/>
        <w:bidi w:val="0"/>
      </w:pPr>
    </w:p>
    <w:p>
      <w:pPr>
        <w:pStyle w:val="Body"/>
        <w:bidi w:val="0"/>
      </w:pPr>
      <w:r>
        <w:rPr>
          <w:rtl w:val="0"/>
          <w:lang w:val="en-US"/>
        </w:rPr>
        <w:t xml:space="preserve">services that the NHS provides.  Graphs regarding certain statistics and images of where local </w:t>
      </w:r>
    </w:p>
    <w:p>
      <w:pPr>
        <w:pStyle w:val="Body"/>
        <w:bidi w:val="0"/>
      </w:pPr>
    </w:p>
    <w:p>
      <w:pPr>
        <w:pStyle w:val="Body"/>
        <w:bidi w:val="0"/>
      </w:pPr>
      <w:r>
        <w:rPr>
          <w:rtl w:val="0"/>
          <w:lang w:val="en-US"/>
        </w:rPr>
        <w:t xml:space="preserve">health boards are located will be used in the report.  To be discussed within the report will be how </w:t>
      </w:r>
    </w:p>
    <w:p>
      <w:pPr>
        <w:pStyle w:val="Body"/>
        <w:bidi w:val="0"/>
      </w:pPr>
    </w:p>
    <w:p>
      <w:pPr>
        <w:pStyle w:val="Body"/>
        <w:bidi w:val="0"/>
      </w:pPr>
      <w:r>
        <w:rPr>
          <w:rtl w:val="0"/>
          <w:lang w:val="en-US"/>
        </w:rPr>
        <w:t>many services, hospitals, major and minor A&amp;E</w:t>
      </w:r>
      <w:r>
        <w:rPr>
          <w:rtl w:val="0"/>
          <w:lang w:val="en-US"/>
        </w:rPr>
        <w:t>’</w:t>
      </w:r>
      <w:r>
        <w:rPr>
          <w:rtl w:val="0"/>
          <w:lang w:val="en-US"/>
        </w:rPr>
        <w:t xml:space="preserve">s are available within each LHB.  An evaluation </w:t>
      </w:r>
    </w:p>
    <w:p>
      <w:pPr>
        <w:pStyle w:val="Body"/>
        <w:bidi w:val="0"/>
      </w:pPr>
    </w:p>
    <w:p>
      <w:pPr>
        <w:pStyle w:val="Body"/>
        <w:bidi w:val="0"/>
      </w:pPr>
      <w:r>
        <w:rPr>
          <w:rtl w:val="0"/>
          <w:lang w:val="en-US"/>
        </w:rPr>
        <w:t>regarding the NHS</w:t>
      </w:r>
      <w:r>
        <w:rPr>
          <w:rtl w:val="0"/>
          <w:lang w:val="en-US"/>
        </w:rPr>
        <w:t>’</w:t>
      </w:r>
      <w:r>
        <w:rPr>
          <w:rtl w:val="0"/>
          <w:lang w:val="en-US"/>
        </w:rPr>
        <w:t xml:space="preserve">s current structure will be included and discussed and strengths and </w:t>
      </w:r>
    </w:p>
    <w:p>
      <w:pPr>
        <w:pStyle w:val="Body"/>
        <w:bidi w:val="0"/>
      </w:pPr>
    </w:p>
    <w:p>
      <w:pPr>
        <w:pStyle w:val="Body"/>
        <w:bidi w:val="0"/>
      </w:pPr>
      <w:r>
        <w:rPr>
          <w:rtl w:val="0"/>
          <w:lang w:val="en-US"/>
        </w:rPr>
        <w:t xml:space="preserve">weaknesses will be reviewed.  Then will be a conclusion which will include an </w:t>
      </w:r>
    </w:p>
    <w:p>
      <w:pPr>
        <w:pStyle w:val="Body"/>
        <w:bidi w:val="0"/>
      </w:pPr>
    </w:p>
    <w:p>
      <w:pPr>
        <w:pStyle w:val="Body"/>
        <w:bidi w:val="0"/>
      </w:pPr>
      <w:r>
        <w:rPr>
          <w:rtl w:val="0"/>
          <w:lang w:val="en-US"/>
        </w:rPr>
        <w:t xml:space="preserve">overall review and opinion of the report and its findings.  To finish the report will be a </w:t>
      </w:r>
    </w:p>
    <w:p>
      <w:pPr>
        <w:pStyle w:val="Body"/>
        <w:bidi w:val="0"/>
      </w:pPr>
    </w:p>
    <w:p>
      <w:pPr>
        <w:pStyle w:val="Body"/>
        <w:bidi w:val="0"/>
      </w:pPr>
      <w:r>
        <w:rPr>
          <w:rtl w:val="0"/>
          <w:lang w:val="en-US"/>
        </w:rPr>
        <w:t xml:space="preserve">recommendations page, on where could the NHS potentially change certain areas and improve </w:t>
      </w:r>
    </w:p>
    <w:p>
      <w:pPr>
        <w:pStyle w:val="Body"/>
        <w:bidi w:val="0"/>
      </w:pPr>
    </w:p>
    <w:p>
      <w:pPr>
        <w:pStyle w:val="Body"/>
        <w:bidi w:val="0"/>
      </w:pPr>
      <w:r>
        <w:rPr>
          <w:rtl w:val="0"/>
          <w:lang w:val="en-US"/>
        </w:rPr>
        <w:t xml:space="preserve">for the future.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rPr>
          <w:sz w:val="30"/>
          <w:szCs w:val="30"/>
        </w:rPr>
      </w:pPr>
      <w:r>
        <w:tab/>
        <w:tab/>
        <w:tab/>
        <w:tab/>
        <w:tab/>
        <w:tab/>
      </w:r>
      <w:r>
        <w:rPr>
          <w:b w:val="1"/>
          <w:bCs w:val="1"/>
          <w:sz w:val="30"/>
          <w:szCs w:val="30"/>
          <w:u w:val="single"/>
          <w:rtl w:val="0"/>
          <w:lang w:val="en-US"/>
        </w:rPr>
        <w:t>Contents</w:t>
      </w:r>
    </w:p>
    <w:p>
      <w:pPr>
        <w:pStyle w:val="Body"/>
        <w:rPr>
          <w:b w:val="1"/>
          <w:bCs w:val="1"/>
          <w:sz w:val="30"/>
          <w:szCs w:val="30"/>
          <w:u w:val="single"/>
        </w:rPr>
      </w:pPr>
    </w:p>
    <w:p>
      <w:pPr>
        <w:pStyle w:val="Body"/>
        <w:rPr>
          <w:b w:val="1"/>
          <w:bCs w:val="1"/>
          <w:sz w:val="30"/>
          <w:szCs w:val="30"/>
        </w:rPr>
      </w:pPr>
    </w:p>
    <w:p>
      <w:pPr>
        <w:pStyle w:val="Body"/>
        <w:rPr>
          <w:b w:val="1"/>
          <w:bCs w:val="1"/>
          <w:sz w:val="30"/>
          <w:szCs w:val="30"/>
        </w:rPr>
      </w:pPr>
    </w:p>
    <w:p>
      <w:pPr>
        <w:pStyle w:val="Body"/>
        <w:rPr>
          <w:b w:val="1"/>
          <w:bCs w:val="1"/>
          <w:sz w:val="30"/>
          <w:szCs w:val="30"/>
        </w:rPr>
      </w:pPr>
    </w:p>
    <w:p>
      <w:pPr>
        <w:pStyle w:val="Body"/>
        <w:rPr>
          <w:b w:val="1"/>
          <w:bCs w:val="1"/>
          <w:sz w:val="30"/>
          <w:szCs w:val="30"/>
        </w:rPr>
      </w:pPr>
    </w:p>
    <w:p>
      <w:pPr>
        <w:pStyle w:val="Body"/>
        <w:rPr>
          <w:b w:val="1"/>
          <w:bCs w:val="1"/>
        </w:rPr>
      </w:pPr>
      <w:r>
        <w:rPr>
          <w:b w:val="1"/>
          <w:bCs w:val="1"/>
          <w:sz w:val="30"/>
          <w:szCs w:val="30"/>
          <w:rtl w:val="0"/>
          <w:lang w:val="en-US"/>
        </w:rPr>
        <w:t xml:space="preserve">1. </w:t>
      </w:r>
      <w:r>
        <w:rPr>
          <w:b w:val="1"/>
          <w:bCs w:val="1"/>
          <w:rtl w:val="0"/>
          <w:lang w:val="en-US"/>
        </w:rPr>
        <w:t>Ttile Page</w:t>
      </w:r>
      <w:r>
        <w:rPr>
          <w:b w:val="1"/>
          <w:bCs w:val="1"/>
          <w:rtl w:val="0"/>
          <w:lang w:val="en-US"/>
        </w:rPr>
        <w: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2.  Abstract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3.  Contents</w:t>
      </w:r>
      <w:r>
        <w:rPr>
          <w:b w:val="1"/>
          <w:bCs w:val="1"/>
          <w:rtl w:val="0"/>
          <w:lang w:val="en-US"/>
        </w:rPr>
        <w: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4.  Introduction to Report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5.  Information/statistics/guides</w:t>
      </w:r>
      <w:r>
        <w:rPr>
          <w:b w:val="1"/>
          <w:bCs w:val="1"/>
          <w:rtl w:val="0"/>
          <w:lang w:val="en-US"/>
        </w:rPr>
        <w: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6.  Evaluation of current structure</w:t>
      </w:r>
      <w:r>
        <w:rPr>
          <w:b w:val="1"/>
          <w:bCs w:val="1"/>
          <w:rtl w:val="0"/>
          <w:lang w:val="en-US"/>
        </w:rPr>
        <w: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7.  Conclusion</w:t>
      </w:r>
      <w:r>
        <w:rPr>
          <w:b w:val="1"/>
          <w:bCs w:val="1"/>
          <w:rtl w:val="0"/>
          <w:lang w:val="en-US"/>
        </w:rPr>
        <w: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8.  Recommendations</w:t>
      </w:r>
      <w:r>
        <w:rPr>
          <w:b w:val="1"/>
          <w:bCs w:val="1"/>
          <w:rtl w:val="0"/>
          <w:lang w:val="en-US"/>
        </w:rPr>
        <w:t>……………………………………</w:t>
      </w:r>
      <w:r>
        <w:rPr>
          <w:b w:val="1"/>
          <w:bCs w:val="1"/>
          <w:rtl w:val="0"/>
          <w:lang w:val="en-US"/>
        </w:rPr>
        <w:t>.</w:t>
      </w:r>
    </w:p>
    <w:p>
      <w:pPr>
        <w:pStyle w:val="Body"/>
        <w:rPr>
          <w:b w:val="1"/>
          <w:bCs w:val="1"/>
        </w:rPr>
      </w:pPr>
    </w:p>
    <w:p>
      <w:pPr>
        <w:pStyle w:val="Body"/>
        <w:rPr>
          <w:b w:val="1"/>
          <w:bCs w:val="1"/>
        </w:rPr>
      </w:pPr>
    </w:p>
    <w:p>
      <w:pPr>
        <w:pStyle w:val="Body"/>
        <w:rPr>
          <w:b w:val="1"/>
          <w:bCs w:val="1"/>
        </w:rPr>
      </w:pPr>
      <w:r>
        <w:rPr>
          <w:b w:val="1"/>
          <w:bCs w:val="1"/>
          <w:rtl w:val="0"/>
          <w:lang w:val="en-US"/>
        </w:rPr>
        <w:t>9.  Reference List</w:t>
      </w:r>
      <w:r>
        <w:rPr>
          <w:b w:val="1"/>
          <w:bCs w:val="1"/>
          <w:rtl w:val="0"/>
          <w:lang w:val="en-US"/>
        </w:rPr>
        <w:t>…………………………………………</w:t>
      </w:r>
      <w:r>
        <w:rPr>
          <w:b w:val="1"/>
          <w:bCs w:val="1"/>
          <w:rtl w:val="0"/>
          <w:lang w:val="en-US"/>
        </w:rPr>
        <w:t>..</w:t>
      </w:r>
    </w:p>
    <w:p>
      <w:pPr>
        <w:pStyle w:val="Body"/>
        <w:rPr>
          <w:b w:val="1"/>
          <w:bCs w:val="1"/>
          <w:u w:val="single"/>
        </w:rPr>
      </w:pPr>
    </w:p>
    <w:p>
      <w:pPr>
        <w:pStyle w:val="Body"/>
      </w:pPr>
      <w:r>
        <w:rPr>
          <w:rFonts w:ascii="Arial Unicode MS" w:cs="Arial Unicode MS" w:hAnsi="Arial Unicode MS" w:eastAsia="Arial Unicode MS"/>
          <w:b w:val="0"/>
          <w:bCs w:val="0"/>
          <w:i w:val="0"/>
          <w:iCs w:val="0"/>
        </w:rPr>
        <w:br w:type="page"/>
      </w:r>
    </w:p>
    <w:p>
      <w:pPr>
        <w:pStyle w:val="Body"/>
        <w:rPr>
          <w:b w:val="1"/>
          <w:bCs w:val="1"/>
          <w:sz w:val="28"/>
          <w:szCs w:val="28"/>
        </w:rPr>
      </w:pPr>
      <w:r>
        <w:rPr>
          <w:b w:val="1"/>
          <w:bCs w:val="1"/>
          <w:sz w:val="28"/>
          <w:szCs w:val="28"/>
        </w:rPr>
        <w:tab/>
        <w:tab/>
        <w:tab/>
        <w:tab/>
        <w:tab/>
      </w:r>
      <w:r>
        <w:rPr>
          <w:b w:val="1"/>
          <w:bCs w:val="1"/>
          <w:sz w:val="28"/>
          <w:szCs w:val="28"/>
          <w:u w:val="single"/>
          <w:rtl w:val="0"/>
          <w:lang w:val="en-US"/>
        </w:rPr>
        <w:t>Introduction</w:t>
      </w:r>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6"/>
          <w:szCs w:val="26"/>
        </w:rPr>
      </w:pPr>
      <w:r>
        <w:rPr>
          <w:rFonts w:ascii="Times New Roman" w:hAnsi="Times New Roman"/>
          <w:sz w:val="26"/>
          <w:szCs w:val="26"/>
          <w:rtl w:val="0"/>
          <w:lang w:val="en-US"/>
        </w:rPr>
        <w:t>The National Health Service (NHS) is a service that provides medical care for a persons physical and/or mental health, free of charge, regardless of their wealth.  It was founded by a welshman, Aneurin Bevan on the 5th of July 1948 and was based on these main areas:  Equity, Equality, Comprehensive and free at the point of delivery (Micahel, Thompson, 2012).   The NHS has recently celebrated it</w:t>
      </w:r>
      <w:r>
        <w:rPr>
          <w:rFonts w:ascii="Times New Roman" w:hAnsi="Times New Roman" w:hint="default"/>
          <w:sz w:val="26"/>
          <w:szCs w:val="26"/>
          <w:rtl w:val="0"/>
          <w:lang w:val="en-US"/>
        </w:rPr>
        <w:t>’</w:t>
      </w:r>
      <w:r>
        <w:rPr>
          <w:rFonts w:ascii="Times New Roman" w:hAnsi="Times New Roman"/>
          <w:sz w:val="26"/>
          <w:szCs w:val="26"/>
          <w:rtl w:val="0"/>
          <w:lang w:val="en-US"/>
        </w:rPr>
        <w:t>s 70th birthday on the 5th of July 2018 (Health in Wales, 2019)</w:t>
      </w:r>
    </w:p>
    <w:p>
      <w:pPr>
        <w:pStyle w:val="Body"/>
        <w:rPr>
          <w:rFonts w:ascii="Times New Roman" w:cs="Times New Roman" w:hAnsi="Times New Roman" w:eastAsia="Times New Roman"/>
          <w:sz w:val="26"/>
          <w:szCs w:val="26"/>
          <w:u w:val="single"/>
        </w:rPr>
      </w:pPr>
      <w:r>
        <w:rPr>
          <w:rFonts w:ascii="Times New Roman" w:hAnsi="Times New Roman"/>
          <w:sz w:val="26"/>
          <w:szCs w:val="26"/>
          <w:u w:val="single"/>
          <w:rtl w:val="0"/>
          <w:lang w:val="en-US"/>
        </w:rPr>
        <w:t>There are seven local health boards in Wales, (LHB):</w:t>
      </w:r>
    </w:p>
    <w:p>
      <w:pPr>
        <w:pStyle w:val="Body"/>
        <w:numPr>
          <w:ilvl w:val="1"/>
          <w:numId w:val="1"/>
        </w:numPr>
        <w:rPr>
          <w:rFonts w:ascii="Times New Roman" w:hAnsi="Times New Roman"/>
          <w:sz w:val="26"/>
          <w:szCs w:val="26"/>
          <w:lang w:val="en-US"/>
        </w:rPr>
      </w:pPr>
      <w:r>
        <w:rPr>
          <w:rFonts w:ascii="Times New Roman" w:hAnsi="Times New Roman"/>
          <w:sz w:val="26"/>
          <w:szCs w:val="26"/>
          <w:u w:val="single"/>
          <w:rtl w:val="0"/>
          <w:lang w:val="en-US"/>
        </w:rPr>
        <w:t>Aneurin Bevan Health Board</w:t>
      </w:r>
      <w:r>
        <w:rPr>
          <w:rFonts w:ascii="Times New Roman" w:hAnsi="Times New Roman"/>
          <w:sz w:val="26"/>
          <w:szCs w:val="26"/>
          <w:rtl w:val="0"/>
          <w:lang w:val="en-US"/>
        </w:rPr>
        <w:t xml:space="preserve"> (South East Wales) Which covers Blaenau Gwent, Monmouthshire, Newport, Caerphilly, Torfaen and South Powys.  This was formed in 2009 (Aneurin Bevan University Health Board, 2018).</w:t>
      </w:r>
    </w:p>
    <w:p>
      <w:pPr>
        <w:pStyle w:val="Body"/>
        <w:numPr>
          <w:ilvl w:val="1"/>
          <w:numId w:val="1"/>
        </w:numPr>
        <w:rPr>
          <w:rFonts w:ascii="Times New Roman" w:hAnsi="Times New Roman"/>
          <w:sz w:val="26"/>
          <w:szCs w:val="26"/>
          <w:lang w:val="en-US"/>
        </w:rPr>
      </w:pPr>
      <w:r>
        <w:rPr>
          <w:rFonts w:ascii="Times New Roman" w:hAnsi="Times New Roman"/>
          <w:sz w:val="26"/>
          <w:szCs w:val="26"/>
          <w:u w:val="single"/>
          <w:rtl w:val="0"/>
          <w:lang w:val="en-US"/>
        </w:rPr>
        <w:t xml:space="preserve">Abertawe Bro Morgannwg University Health Board </w:t>
      </w:r>
      <w:r>
        <w:rPr>
          <w:rFonts w:ascii="Times New Roman" w:hAnsi="Times New Roman"/>
          <w:sz w:val="26"/>
          <w:szCs w:val="26"/>
          <w:rtl w:val="0"/>
          <w:lang w:val="en-US"/>
        </w:rPr>
        <w:t xml:space="preserve">(South West Wales) Was also formed in 2009 and covers the areas such as Swansea, Neath Port Talbot (Abertawe Bro Morgannwg University Health Board, 2019). </w:t>
      </w:r>
    </w:p>
    <w:p>
      <w:pPr>
        <w:pStyle w:val="Body"/>
        <w:numPr>
          <w:ilvl w:val="1"/>
          <w:numId w:val="1"/>
        </w:numPr>
        <w:rPr>
          <w:rFonts w:ascii="Times New Roman" w:hAnsi="Times New Roman"/>
          <w:sz w:val="26"/>
          <w:szCs w:val="26"/>
          <w:lang w:val="en-US"/>
        </w:rPr>
      </w:pPr>
      <w:r>
        <w:rPr>
          <w:rFonts w:ascii="Times New Roman" w:hAnsi="Times New Roman"/>
          <w:sz w:val="26"/>
          <w:szCs w:val="26"/>
          <w:u w:val="single"/>
          <w:rtl w:val="0"/>
          <w:lang w:val="en-US"/>
        </w:rPr>
        <w:t>Cardiff &amp; Vale University Health Board</w:t>
      </w:r>
      <w:r>
        <w:rPr>
          <w:rFonts w:ascii="Times New Roman" w:hAnsi="Times New Roman"/>
          <w:sz w:val="26"/>
          <w:szCs w:val="26"/>
          <w:rtl w:val="0"/>
          <w:lang w:val="en-US"/>
        </w:rPr>
        <w:t xml:space="preserve"> (South Wales) provides care for those living in the Cardiff and the Vale of Glamorgan area (Cardiff and Vale University Health Board, 2019)</w:t>
      </w:r>
    </w:p>
    <w:p>
      <w:pPr>
        <w:pStyle w:val="Body"/>
        <w:numPr>
          <w:ilvl w:val="1"/>
          <w:numId w:val="1"/>
        </w:numPr>
        <w:rPr>
          <w:rFonts w:ascii="Times New Roman" w:hAnsi="Times New Roman"/>
          <w:sz w:val="26"/>
          <w:szCs w:val="26"/>
          <w:lang w:val="en-US"/>
        </w:rPr>
      </w:pPr>
      <w:r>
        <w:rPr>
          <w:rFonts w:ascii="Times New Roman" w:hAnsi="Times New Roman"/>
          <w:sz w:val="26"/>
          <w:szCs w:val="26"/>
          <w:rtl w:val="0"/>
          <w:lang w:val="en-US"/>
        </w:rPr>
        <w:t xml:space="preserve">Hywel Dda Health Board (West Wales) covers the areas of Ceredigion, Carmarthenshire and Pembrokeshire (Hywel dda University Health Board, 2018). </w:t>
      </w:r>
    </w:p>
    <w:p>
      <w:pPr>
        <w:pStyle w:val="Body"/>
        <w:numPr>
          <w:ilvl w:val="1"/>
          <w:numId w:val="1"/>
        </w:numPr>
        <w:rPr>
          <w:rFonts w:ascii="Times New Roman" w:hAnsi="Times New Roman"/>
          <w:sz w:val="26"/>
          <w:szCs w:val="26"/>
          <w:lang w:val="en-US"/>
        </w:rPr>
      </w:pPr>
      <w:r>
        <w:rPr>
          <w:rFonts w:ascii="Times New Roman" w:hAnsi="Times New Roman"/>
          <w:sz w:val="26"/>
          <w:szCs w:val="26"/>
          <w:rtl w:val="0"/>
          <w:lang w:val="en-US"/>
        </w:rPr>
        <w:t xml:space="preserve">Cwm Taf Health Board (South Wales) Provides healthcare for </w:t>
      </w:r>
      <w:r>
        <w:rPr>
          <w:rFonts w:ascii="Times New Roman" w:hAnsi="Times New Roman"/>
          <w:sz w:val="26"/>
          <w:szCs w:val="26"/>
          <w:rtl w:val="0"/>
          <w:lang w:val="en-US"/>
        </w:rPr>
        <w:t>Merthyr</w:t>
      </w:r>
      <w:r>
        <w:rPr>
          <w:rFonts w:ascii="Times New Roman" w:hAnsi="Times New Roman"/>
          <w:sz w:val="26"/>
          <w:szCs w:val="26"/>
          <w:rtl w:val="0"/>
          <w:lang w:val="en-US"/>
        </w:rPr>
        <w:t xml:space="preserve"> </w:t>
      </w:r>
      <w:r>
        <w:rPr>
          <w:rFonts w:ascii="Times New Roman" w:hAnsi="Times New Roman"/>
          <w:sz w:val="26"/>
          <w:szCs w:val="26"/>
          <w:rtl w:val="0"/>
          <w:lang w:val="da-DK"/>
        </w:rPr>
        <w:t>Tydfil</w:t>
      </w:r>
      <w:r>
        <w:rPr>
          <w:rFonts w:ascii="Times New Roman" w:hAnsi="Times New Roman"/>
          <w:sz w:val="26"/>
          <w:szCs w:val="26"/>
          <w:rtl w:val="0"/>
          <w:lang w:val="en-US"/>
        </w:rPr>
        <w:t xml:space="preserve">, </w:t>
      </w:r>
      <w:r>
        <w:rPr>
          <w:rFonts w:ascii="Times New Roman" w:hAnsi="Times New Roman"/>
          <w:sz w:val="26"/>
          <w:szCs w:val="26"/>
          <w:rtl w:val="0"/>
          <w:lang w:val="nl-NL"/>
        </w:rPr>
        <w:t>Rhondda Cynon Ta</w:t>
      </w:r>
      <w:r>
        <w:rPr>
          <w:rFonts w:ascii="Times New Roman" w:hAnsi="Times New Roman"/>
          <w:sz w:val="26"/>
          <w:szCs w:val="26"/>
          <w:rtl w:val="0"/>
          <w:lang w:val="en-US"/>
        </w:rPr>
        <w:t xml:space="preserve">f and </w:t>
      </w:r>
      <w:r>
        <w:rPr>
          <w:rFonts w:ascii="Times New Roman" w:hAnsi="Times New Roman"/>
          <w:sz w:val="26"/>
          <w:szCs w:val="26"/>
          <w:rtl w:val="0"/>
          <w:lang w:val="nl-NL"/>
        </w:rPr>
        <w:t>Bridgend</w:t>
      </w:r>
      <w:r>
        <w:rPr>
          <w:rFonts w:ascii="Times New Roman" w:hAnsi="Times New Roman"/>
          <w:sz w:val="26"/>
          <w:szCs w:val="26"/>
          <w:rtl w:val="0"/>
          <w:lang w:val="en-US"/>
        </w:rPr>
        <w:t xml:space="preserve"> (Cwm Taf Morgannwg University Health Board, 2019).  </w:t>
      </w:r>
    </w:p>
    <w:p>
      <w:pPr>
        <w:pStyle w:val="Body"/>
        <w:numPr>
          <w:ilvl w:val="1"/>
          <w:numId w:val="1"/>
        </w:numPr>
        <w:rPr>
          <w:rFonts w:ascii="Times New Roman" w:hAnsi="Times New Roman"/>
          <w:sz w:val="26"/>
          <w:szCs w:val="26"/>
          <w:lang w:val="en-US"/>
        </w:rPr>
      </w:pPr>
      <w:r>
        <w:rPr>
          <w:rFonts w:ascii="Times New Roman" w:hAnsi="Times New Roman"/>
          <w:sz w:val="26"/>
          <w:szCs w:val="26"/>
          <w:rtl w:val="0"/>
          <w:lang w:val="en-US"/>
        </w:rPr>
        <w:t xml:space="preserve">Betsi Cadwaladr University Health Board (North Wales) Covers the areas in North Wales such as Wreham </w:t>
      </w:r>
      <w:r>
        <w:rPr>
          <w:rFonts w:ascii="Times New Roman" w:hAnsi="Times New Roman"/>
          <w:sz w:val="26"/>
          <w:szCs w:val="26"/>
          <w:rtl w:val="0"/>
        </w:rPr>
        <w:t>Anglesey, Gwynedd, Conwy, Denbighshire</w:t>
      </w:r>
      <w:r>
        <w:rPr>
          <w:rFonts w:ascii="Times New Roman" w:hAnsi="Times New Roman"/>
          <w:sz w:val="26"/>
          <w:szCs w:val="26"/>
          <w:rtl w:val="0"/>
          <w:lang w:val="en-US"/>
        </w:rPr>
        <w:t xml:space="preserve"> and </w:t>
      </w:r>
      <w:r>
        <w:rPr>
          <w:rFonts w:ascii="Times New Roman" w:hAnsi="Times New Roman"/>
          <w:sz w:val="26"/>
          <w:szCs w:val="26"/>
          <w:rtl w:val="0"/>
          <w:lang w:val="en-US"/>
        </w:rPr>
        <w:t>Flintshir</w:t>
      </w:r>
      <w:r>
        <w:rPr>
          <w:rFonts w:ascii="Times New Roman" w:hAnsi="Times New Roman"/>
          <w:sz w:val="26"/>
          <w:szCs w:val="26"/>
          <w:rtl w:val="0"/>
          <w:lang w:val="en-US"/>
        </w:rPr>
        <w:t>e (</w:t>
      </w:r>
      <w:r>
        <w:rPr>
          <w:rFonts w:ascii="Times New Roman" w:hAnsi="Times New Roman"/>
          <w:sz w:val="26"/>
          <w:szCs w:val="26"/>
          <w:rtl w:val="0"/>
          <w:lang w:val="en-US"/>
        </w:rPr>
        <w:t>Betsi Cadwaladr University Health Board</w:t>
      </w:r>
      <w:r>
        <w:rPr>
          <w:rFonts w:ascii="Times New Roman" w:hAnsi="Times New Roman"/>
          <w:sz w:val="26"/>
          <w:szCs w:val="26"/>
          <w:rtl w:val="0"/>
          <w:lang w:val="en-US"/>
        </w:rPr>
        <w:t xml:space="preserve">, 2019).  </w:t>
      </w:r>
    </w:p>
    <w:p>
      <w:pPr>
        <w:pStyle w:val="Body"/>
        <w:numPr>
          <w:ilvl w:val="1"/>
          <w:numId w:val="1"/>
        </w:numPr>
        <w:rPr>
          <w:rFonts w:ascii="Times New Roman" w:hAnsi="Times New Roman"/>
          <w:sz w:val="26"/>
          <w:szCs w:val="26"/>
          <w:lang w:val="en-US"/>
        </w:rPr>
      </w:pPr>
      <w:r>
        <w:rPr>
          <w:rFonts w:ascii="Times New Roman" w:hAnsi="Times New Roman"/>
          <w:sz w:val="26"/>
          <w:szCs w:val="26"/>
          <w:u w:val="single"/>
          <w:rtl w:val="0"/>
          <w:lang w:val="en-US"/>
        </w:rPr>
        <w:t>Powys Teaching Health Board</w:t>
      </w:r>
      <w:r>
        <w:rPr>
          <w:rFonts w:ascii="Times New Roman" w:hAnsi="Times New Roman"/>
          <w:sz w:val="26"/>
          <w:szCs w:val="26"/>
          <w:rtl w:val="0"/>
          <w:lang w:val="en-US"/>
        </w:rPr>
        <w:t xml:space="preserve"> (East Wales) </w:t>
      </w:r>
    </w:p>
    <w:p>
      <w:pPr>
        <w:pStyle w:val="Body"/>
        <w:rPr>
          <w:rFonts w:ascii="Times New Roman" w:cs="Times New Roman" w:hAnsi="Times New Roman" w:eastAsia="Times New Roman"/>
          <w:sz w:val="26"/>
          <w:szCs w:val="26"/>
        </w:rPr>
      </w:pPr>
      <w:r>
        <w:rPr>
          <w:rFonts w:ascii="Times New Roman" w:hAnsi="Times New Roman"/>
          <w:sz w:val="26"/>
          <w:szCs w:val="26"/>
          <w:rtl w:val="0"/>
          <w:lang w:val="en-US"/>
        </w:rPr>
        <w:t xml:space="preserve">Health Boards are what pays for their local hospitals, nursing homes, communities etc and provides healthcare for roughly three million members of the public across Wales.  The NHS provides many services such as advice, minor injuries to surgery, medical treatment, accident and emergency departments and end of life care </w:t>
      </w:r>
      <w:r>
        <w:rPr>
          <w:rFonts w:ascii="Times New Roman" w:hAnsi="Times New Roman"/>
          <w:sz w:val="26"/>
          <w:szCs w:val="26"/>
          <w:rtl w:val="0"/>
          <w:lang w:val="en-US"/>
        </w:rPr>
        <w:t>(Health in Wales, 2019).</w:t>
      </w:r>
      <w:r>
        <w:rPr>
          <w:rFonts w:ascii="Times New Roman" w:hAnsi="Times New Roman"/>
          <w:sz w:val="26"/>
          <w:szCs w:val="26"/>
          <w:rtl w:val="0"/>
          <w:lang w:val="en-US"/>
        </w:rPr>
        <w:t xml:space="preserve">  </w:t>
      </w:r>
      <w:r>
        <w:rPr>
          <w:rFonts w:ascii="Times New Roman" w:hAnsi="Times New Roman"/>
          <w:sz w:val="26"/>
          <w:szCs w:val="26"/>
          <w:rtl w:val="0"/>
          <w:lang w:val="en-US"/>
        </w:rPr>
        <w:t>The NHS is funded mainly from taxation and is also raised through national insurance, which is a small proportion (GP one, 2019).</w:t>
      </w:r>
    </w:p>
    <w:p>
      <w:pPr>
        <w:pStyle w:val="Default"/>
        <w:bidi w:val="0"/>
        <w:ind w:left="0" w:right="0" w:firstLine="0"/>
        <w:jc w:val="left"/>
        <w:rPr>
          <w:rFonts w:ascii="Times New Roman" w:cs="Times New Roman" w:hAnsi="Times New Roman" w:eastAsia="Times New Roman"/>
          <w:sz w:val="26"/>
          <w:szCs w:val="26"/>
          <w:shd w:val="clear" w:color="auto" w:fill="ffffff"/>
          <w:rtl w:val="0"/>
        </w:rPr>
      </w:pPr>
      <w:r>
        <w:rPr>
          <w:rFonts w:ascii="Times New Roman" w:hAnsi="Times New Roman" w:hint="default"/>
          <w:sz w:val="26"/>
          <w:szCs w:val="26"/>
          <w:shd w:val="clear" w:color="auto" w:fill="ffffff"/>
          <w:rtl w:val="0"/>
          <w:lang w:val="en-US"/>
        </w:rPr>
        <w:t>‘</w:t>
      </w:r>
      <w:r>
        <w:rPr>
          <w:rFonts w:ascii="Times New Roman" w:hAnsi="Times New Roman"/>
          <w:sz w:val="26"/>
          <w:szCs w:val="26"/>
          <w:shd w:val="clear" w:color="auto" w:fill="ffffff"/>
          <w:rtl w:val="0"/>
          <w:lang w:val="en-US"/>
        </w:rPr>
        <w:t>The NHS delivers services through seven Health</w:t>
      </w:r>
      <w:r>
        <w:rPr>
          <w:rFonts w:ascii="Times New Roman" w:cs="Times New Roman" w:hAnsi="Times New Roman" w:eastAsia="Times New Roman"/>
          <w:sz w:val="26"/>
          <w:szCs w:val="26"/>
          <w:shd w:val="clear" w:color="auto" w:fill="ffffff"/>
          <w:rtl w:val="0"/>
        </w:rPr>
        <w:drawing>
          <wp:anchor distT="152400" distB="152400" distL="152400" distR="152400" simplePos="0" relativeHeight="251659264" behindDoc="0" locked="0" layoutInCell="1" allowOverlap="1">
            <wp:simplePos x="0" y="0"/>
            <wp:positionH relativeFrom="margin">
              <wp:posOffset>4476446</wp:posOffset>
            </wp:positionH>
            <wp:positionV relativeFrom="line">
              <wp:posOffset>250004</wp:posOffset>
            </wp:positionV>
            <wp:extent cx="1991041" cy="2436797"/>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1991041" cy="2436797"/>
                    </a:xfrm>
                    <a:prstGeom prst="rect">
                      <a:avLst/>
                    </a:prstGeom>
                    <a:ln w="12700" cap="flat">
                      <a:noFill/>
                      <a:miter lim="400000"/>
                    </a:ln>
                    <a:effectLst/>
                  </pic:spPr>
                </pic:pic>
              </a:graphicData>
            </a:graphic>
          </wp:anchor>
        </w:drawing>
      </w:r>
      <w:r>
        <w:rPr>
          <w:rFonts w:ascii="Times New Roman" w:hAnsi="Times New Roman"/>
          <w:sz w:val="26"/>
          <w:szCs w:val="26"/>
          <w:shd w:val="clear" w:color="auto" w:fill="ffffff"/>
          <w:rtl w:val="0"/>
        </w:rPr>
        <w:t xml:space="preserve"> </w:t>
      </w:r>
      <w:r>
        <w:rPr>
          <w:rFonts w:ascii="Times New Roman" w:cs="Times New Roman" w:hAnsi="Times New Roman" w:eastAsia="Times New Roman"/>
          <w:sz w:val="26"/>
          <w:szCs w:val="26"/>
          <w:shd w:val="clear" w:color="auto" w:fill="ffffff"/>
          <w:rtl w:val="0"/>
        </w:rPr>
        <w:tab/>
        <w:tab/>
        <w:tab/>
        <w:tab/>
        <w:tab/>
        <w:t xml:space="preserve"> </w:t>
        <w:tab/>
        <w:tab/>
      </w:r>
      <w:r>
        <w:rPr>
          <w:rFonts w:ascii="Times New Roman" w:hAnsi="Times New Roman"/>
          <w:sz w:val="26"/>
          <w:szCs w:val="26"/>
          <w:shd w:val="clear" w:color="auto" w:fill="ffffff"/>
          <w:rtl w:val="0"/>
          <w:lang w:val="en-US"/>
        </w:rPr>
        <w:t>Boards and three NHS Trusts in Wale</w:t>
      </w:r>
      <w:r>
        <w:rPr>
          <w:rFonts w:ascii="Times New Roman" w:hAnsi="Times New Roman"/>
          <w:sz w:val="26"/>
          <w:szCs w:val="26"/>
          <w:shd w:val="clear" w:color="auto" w:fill="ffffff"/>
          <w:rtl w:val="0"/>
          <w:lang w:val="en-US"/>
        </w:rPr>
        <w:t>s.</w:t>
      </w:r>
      <w:r>
        <w:rPr>
          <w:rFonts w:ascii="Times New Roman" w:hAnsi="Times New Roman" w:hint="default"/>
          <w:sz w:val="26"/>
          <w:szCs w:val="26"/>
          <w:shd w:val="clear" w:color="auto" w:fill="ffffff"/>
          <w:rtl w:val="0"/>
          <w:lang w:val="en-US"/>
        </w:rPr>
        <w:t xml:space="preserve">’ </w:t>
      </w:r>
      <w:r>
        <w:rPr>
          <w:rFonts w:ascii="Times New Roman" w:hAnsi="Times New Roman"/>
          <w:sz w:val="26"/>
          <w:szCs w:val="26"/>
          <w:shd w:val="clear" w:color="auto" w:fill="ffffff"/>
          <w:rtl w:val="0"/>
          <w:lang w:val="en-US"/>
        </w:rPr>
        <w:t>(GP one, 2019).</w:t>
      </w:r>
    </w:p>
    <w:p>
      <w:pPr>
        <w:pStyle w:val="Body"/>
        <w:rPr>
          <w:rFonts w:ascii="Times New Roman" w:cs="Times New Roman" w:hAnsi="Times New Roman" w:eastAsia="Times New Roman"/>
          <w:sz w:val="26"/>
          <w:szCs w:val="26"/>
        </w:rPr>
      </w:pPr>
    </w:p>
    <w:p>
      <w:pPr>
        <w:pStyle w:val="Default"/>
        <w:bidi w:val="0"/>
        <w:ind w:left="0" w:right="0" w:firstLine="0"/>
        <w:jc w:val="left"/>
        <w:rPr>
          <w:rFonts w:ascii="Times New Roman" w:cs="Times New Roman" w:hAnsi="Times New Roman" w:eastAsia="Times New Roman"/>
          <w:sz w:val="26"/>
          <w:szCs w:val="26"/>
          <w:shd w:val="clear" w:color="auto" w:fill="ffffff"/>
          <w:rtl w:val="0"/>
        </w:rPr>
      </w:pPr>
      <w:r>
        <w:rPr>
          <w:rFonts w:ascii="Times New Roman" w:hAnsi="Times New Roman"/>
          <w:sz w:val="26"/>
          <w:szCs w:val="26"/>
          <w:shd w:val="clear" w:color="auto" w:fill="ffffff"/>
          <w:rtl w:val="0"/>
          <w:lang w:val="en-US"/>
        </w:rPr>
        <w:t>In wales, in 2007, prescriptions became free of charge (Health in Wales, 2019).</w:t>
      </w:r>
    </w:p>
    <w:p>
      <w:pPr>
        <w:pStyle w:val="Default"/>
        <w:bidi w:val="0"/>
        <w:ind w:left="0" w:right="0" w:firstLine="0"/>
        <w:jc w:val="left"/>
        <w:rPr>
          <w:rFonts w:ascii="Verdana" w:cs="Verdana" w:hAnsi="Verdana" w:eastAsia="Verdana"/>
          <w:color w:val="666666"/>
          <w:sz w:val="24"/>
          <w:szCs w:val="24"/>
          <w:shd w:val="clear" w:color="auto" w:fill="ffffff"/>
          <w:rtl w:val="0"/>
        </w:rPr>
      </w:pPr>
    </w:p>
    <w:p>
      <w:pPr>
        <w:pStyle w:val="Default"/>
        <w:bidi w:val="0"/>
        <w:ind w:left="0" w:right="0" w:firstLine="0"/>
        <w:jc w:val="left"/>
        <w:rPr>
          <w:rFonts w:ascii="Verdana" w:cs="Verdana" w:hAnsi="Verdana" w:eastAsia="Verdana"/>
          <w:color w:val="666666"/>
          <w:sz w:val="24"/>
          <w:szCs w:val="24"/>
          <w:shd w:val="clear" w:color="auto" w:fill="ffffff"/>
          <w:rtl w:val="0"/>
        </w:rPr>
      </w:pPr>
    </w:p>
    <w:p>
      <w:pPr>
        <w:pStyle w:val="Default"/>
        <w:bidi w:val="0"/>
        <w:ind w:left="0" w:right="0" w:firstLine="0"/>
        <w:jc w:val="left"/>
        <w:rPr>
          <w:rFonts w:ascii="Verdana" w:cs="Verdana" w:hAnsi="Verdana" w:eastAsia="Verdana"/>
          <w:color w:val="666666"/>
          <w:sz w:val="24"/>
          <w:szCs w:val="24"/>
          <w:shd w:val="clear" w:color="auto" w:fill="ffffff"/>
          <w:rtl w:val="0"/>
        </w:rPr>
      </w:pPr>
    </w:p>
    <w:p>
      <w:pPr>
        <w:pStyle w:val="Default"/>
        <w:bidi w:val="0"/>
        <w:ind w:left="0" w:right="0" w:firstLine="0"/>
        <w:jc w:val="left"/>
        <w:rPr>
          <w:rFonts w:ascii="Verdana" w:cs="Verdana" w:hAnsi="Verdana" w:eastAsia="Verdana"/>
          <w:color w:val="666666"/>
          <w:sz w:val="24"/>
          <w:szCs w:val="24"/>
          <w:shd w:val="clear" w:color="auto" w:fill="ffffff"/>
          <w:rtl w:val="0"/>
        </w:rPr>
      </w:pPr>
    </w:p>
    <w:p>
      <w:pPr>
        <w:pStyle w:val="Default"/>
        <w:bidi w:val="0"/>
        <w:ind w:left="0" w:right="0" w:firstLine="0"/>
        <w:jc w:val="left"/>
        <w:rPr>
          <w:rFonts w:ascii="Verdana" w:cs="Verdana" w:hAnsi="Verdana" w:eastAsia="Verdana"/>
          <w:color w:val="666666"/>
          <w:sz w:val="24"/>
          <w:szCs w:val="24"/>
          <w:shd w:val="clear" w:color="auto" w:fill="ffffff"/>
          <w:rtl w:val="0"/>
        </w:rPr>
      </w:pPr>
    </w:p>
    <w:p>
      <w:pPr>
        <w:pStyle w:val="Body"/>
        <w:bidi w:val="0"/>
      </w:pPr>
      <w:r>
        <w:tab/>
        <w:tab/>
      </w:r>
    </w:p>
    <w:p>
      <w:pPr>
        <w:pStyle w:val="Body"/>
        <w:bidi w:val="0"/>
      </w:pPr>
    </w:p>
    <w:p>
      <w:pPr>
        <w:pStyle w:val="Body"/>
        <w:bidi w:val="0"/>
        <w:rPr>
          <w:b w:val="1"/>
          <w:bCs w:val="1"/>
          <w:sz w:val="30"/>
          <w:szCs w:val="30"/>
          <w:u w:val="single"/>
        </w:rPr>
      </w:pPr>
      <w:r>
        <w:rPr>
          <w:rtl w:val="0"/>
          <w:lang w:val="en-US"/>
        </w:rPr>
        <w:tab/>
        <w:tab/>
        <w:tab/>
        <w:t xml:space="preserve">     </w:t>
      </w:r>
      <w:r>
        <w:rPr>
          <w:b w:val="1"/>
          <w:bCs w:val="1"/>
          <w:sz w:val="30"/>
          <w:szCs w:val="30"/>
          <w:u w:val="single"/>
          <w:rtl w:val="0"/>
          <w:lang w:val="en-US"/>
        </w:rPr>
        <w:t>Information/Statistics/Guides</w:t>
      </w:r>
    </w:p>
    <w:p>
      <w:pPr>
        <w:pStyle w:val="Body"/>
        <w:bidi w:val="0"/>
        <w:rPr>
          <w:b w:val="1"/>
          <w:bCs w:val="1"/>
          <w:u w:val="single"/>
        </w:rPr>
      </w:pPr>
    </w:p>
    <w:p>
      <w:pPr>
        <w:pStyle w:val="Body"/>
        <w:rPr>
          <w:rFonts w:ascii="Times New Roman" w:cs="Times New Roman" w:hAnsi="Times New Roman" w:eastAsia="Times New Roman"/>
        </w:rPr>
      </w:pPr>
      <w:r>
        <w:rPr>
          <w:rFonts w:ascii="Times New Roman" w:hAnsi="Times New Roman"/>
          <w:rtl w:val="0"/>
          <w:lang w:val="en-US"/>
        </w:rPr>
        <w:t xml:space="preserve">Each year, more than 20 million patients, in Wales, come into contact with the NHS.  Around 80%  require help from their primary team such as the GP or community health services.  Within A&amp;E more than 1 million people are seen (GP one, 2019).  Within Wales, there are more than 1900 family doctors, around 600 opticians and roughly more than 1000 dentists (GP one, 2019).  The NHS in Wales undertakes over 700,000 out-patient appointments and over 600,000 inpatients every year (GP one, 2019).  Within the NHS in Wales, over 70,000 people are employed, which makes it the largest employer (GP one, 2019).  According to The Guardian (2014) in Wales, around 42% of patients have to wait about six weeks to be seen for diagnostic tests, whereas, in England, around 1.8% of patients have to wait to be seen.  In Scotland, it is around 3.8%.  Again, the ambulance service is failing to meet targets, repeatedly.  Therefore, </w:t>
      </w:r>
      <w:r>
        <w:rPr>
          <w:rFonts w:ascii="Times New Roman" w:hAnsi="Times New Roman" w:hint="default"/>
          <w:rtl w:val="0"/>
          <w:lang w:val="en-US"/>
        </w:rPr>
        <w:t>‘</w:t>
      </w:r>
      <w:r>
        <w:rPr>
          <w:rFonts w:ascii="Times New Roman" w:hAnsi="Times New Roman"/>
          <w:rtl w:val="0"/>
          <w:lang w:val="en-US"/>
        </w:rPr>
        <w:t>calls have been made for a public enquiry into death rates at Welsh hospitals</w:t>
      </w:r>
      <w:r>
        <w:rPr>
          <w:rFonts w:ascii="Times New Roman" w:hAnsi="Times New Roman" w:hint="default"/>
          <w:rtl w:val="0"/>
          <w:lang w:val="en-US"/>
        </w:rPr>
        <w:t xml:space="preserve">’ </w:t>
      </w:r>
      <w:r>
        <w:rPr>
          <w:rFonts w:ascii="Times New Roman" w:hAnsi="Times New Roman"/>
          <w:rtl w:val="0"/>
          <w:lang w:val="en-US"/>
        </w:rPr>
        <w:t xml:space="preserve">(The Guardian, 2014).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Aneruin Bevan - This health board has employed staff, over the number of 13, 000.  There are more than 1000 hospitals and doctor surgery practices and as many as 6,000 midwives and nurses (Aneruin Bevan University Health Board, 2018). </w:t>
      </w:r>
    </w:p>
    <w:p>
      <w:pPr>
        <w:pStyle w:val="Body"/>
        <w:rPr>
          <w:rFonts w:ascii="Times New Roman" w:cs="Times New Roman" w:hAnsi="Times New Roman" w:eastAsia="Times New Roman"/>
        </w:rPr>
      </w:pPr>
      <w:r>
        <w:rPr>
          <w:rFonts w:ascii="Times New Roman" w:hAnsi="Times New Roman"/>
          <w:rtl w:val="0"/>
          <w:lang w:val="en-US"/>
        </w:rPr>
        <w:t xml:space="preserve">ABMU - The ABMU has a budget of </w:t>
      </w:r>
      <w:r>
        <w:rPr>
          <w:rFonts w:ascii="Times New Roman" w:hAnsi="Times New Roman" w:hint="default"/>
          <w:rtl w:val="0"/>
          <w:lang w:val="en-US"/>
        </w:rPr>
        <w:t>£</w:t>
      </w:r>
      <w:r>
        <w:rPr>
          <w:rFonts w:ascii="Times New Roman" w:hAnsi="Times New Roman"/>
          <w:rtl w:val="0"/>
          <w:lang w:val="en-US"/>
        </w:rPr>
        <w:t xml:space="preserve">1.3 billion and employs staff, as many as roughly 16,000.  They cover areas with a population up to 500,000 (ABMU, 2019).  The health board receives funding from the Welsh Government of a certain amount/budget for the NHS every year.  The NHS needs and demands more funding, however, money must be prioritised (Abertawe Bro Morgannwg University Health Board, 2018).  They cover hospitals such as Singleton, Port Talbot and Morriston and also provide care for primary and mental health services (ABMU, 2019). </w:t>
      </w:r>
    </w:p>
    <w:p>
      <w:pPr>
        <w:pStyle w:val="Body"/>
        <w:rPr>
          <w:rFonts w:ascii="Times New Roman" w:cs="Times New Roman" w:hAnsi="Times New Roman" w:eastAsia="Times New Roman"/>
        </w:rPr>
      </w:pPr>
      <w:r>
        <w:rPr>
          <w:rFonts w:ascii="Times New Roman" w:hAnsi="Times New Roman"/>
          <w:rtl w:val="0"/>
          <w:lang w:val="en-US"/>
        </w:rPr>
        <w:t xml:space="preserve">Cardiff and Vale - Employ roughly 14,500 members of staff and yearly hey spend roughly </w:t>
      </w:r>
      <w:r>
        <w:rPr>
          <w:rFonts w:ascii="Times New Roman" w:hAnsi="Times New Roman" w:hint="default"/>
          <w:rtl w:val="0"/>
          <w:lang w:val="en-US"/>
        </w:rPr>
        <w:t>£</w:t>
      </w:r>
      <w:r>
        <w:rPr>
          <w:rFonts w:ascii="Times New Roman" w:hAnsi="Times New Roman"/>
          <w:rtl w:val="0"/>
          <w:lang w:val="en-US"/>
        </w:rPr>
        <w:t xml:space="preserve">1.4 billion on service in that area and have a population approximately 472, 4000 people (Cardiff and Vale University Health board, 2019).  </w:t>
      </w:r>
    </w:p>
    <w:p>
      <w:pPr>
        <w:pStyle w:val="Body"/>
        <w:rPr>
          <w:rFonts w:ascii="Times New Roman" w:cs="Times New Roman" w:hAnsi="Times New Roman" w:eastAsia="Times New Roman"/>
        </w:rPr>
      </w:pPr>
      <w:r>
        <w:rPr>
          <w:rFonts w:ascii="Times New Roman" w:hAnsi="Times New Roman"/>
          <w:rtl w:val="0"/>
          <w:lang w:val="en-US"/>
        </w:rPr>
        <w:t>Hywel Dda - Provides healthcare services to areas of a population of approximately 384,000 and provides many services such as primary healthcare, acute, learning disabilities and mental health services, hospitals, pharmacies GP</w:t>
      </w:r>
      <w:r>
        <w:rPr>
          <w:rFonts w:ascii="Times New Roman" w:hAnsi="Times New Roman" w:hint="default"/>
          <w:rtl w:val="0"/>
          <w:lang w:val="en-US"/>
        </w:rPr>
        <w:t>’</w:t>
      </w:r>
      <w:r>
        <w:rPr>
          <w:rFonts w:ascii="Times New Roman" w:hAnsi="Times New Roman"/>
          <w:rtl w:val="0"/>
          <w:lang w:val="en-US"/>
        </w:rPr>
        <w:t xml:space="preserve">s and more (Hywel Dda University Health Board, 2018). </w:t>
      </w:r>
    </w:p>
    <w:p>
      <w:pPr>
        <w:pStyle w:val="Body"/>
        <w:rPr>
          <w:rFonts w:ascii="Times New Roman" w:cs="Times New Roman" w:hAnsi="Times New Roman" w:eastAsia="Times New Roman"/>
        </w:rPr>
      </w:pPr>
      <w:r>
        <w:rPr>
          <w:rFonts w:ascii="Times New Roman" w:hAnsi="Times New Roman"/>
          <w:rtl w:val="0"/>
          <w:lang w:val="en-US"/>
        </w:rPr>
        <w:t xml:space="preserve">Cwm Taf - Provides primary healthcare, mental health services, hospitals and has a population of roughly 450,000 living in that area.  Recently </w:t>
      </w:r>
      <w:r>
        <w:rPr>
          <w:rFonts w:ascii="Times New Roman" w:hAnsi="Times New Roman" w:hint="default"/>
          <w:rtl w:val="0"/>
          <w:lang w:val="en-US"/>
        </w:rPr>
        <w:t>‘</w:t>
      </w:r>
      <w:r>
        <w:rPr>
          <w:rFonts w:ascii="Times New Roman" w:hAnsi="Times New Roman"/>
          <w:rtl w:val="0"/>
          <w:lang w:val="en-US"/>
        </w:rPr>
        <w:t xml:space="preserve">Cwm Taf University Health Board changed its name to Cwm Taf Morgannwg University Health board because it now provides healthcare for those living in the Bridgend County Borough area (Cwm Taf Morgannwg University Health Board, 2019).  </w:t>
      </w:r>
    </w:p>
    <w:p>
      <w:pPr>
        <w:pStyle w:val="Body"/>
        <w:rPr>
          <w:rFonts w:ascii="Times New Roman" w:cs="Times New Roman" w:hAnsi="Times New Roman" w:eastAsia="Times New Roman"/>
        </w:rPr>
      </w:pPr>
      <w:r>
        <w:rPr>
          <w:rFonts w:ascii="Times New Roman" w:hAnsi="Times New Roman"/>
          <w:rtl w:val="0"/>
          <w:lang w:val="en-US"/>
        </w:rPr>
        <w:t xml:space="preserve">Betsi Cadwaladr - Provides care for approximately 678,000 people across North Wales and is the largest local health board in Wales.  Mental health services, community services, acute and GP practices is what is funded by this health board.  </w:t>
      </w:r>
      <w:r>
        <w:rPr>
          <w:rFonts w:ascii="Times New Roman" w:hAnsi="Times New Roman" w:hint="default"/>
          <w:rtl w:val="0"/>
          <w:lang w:val="en-US"/>
        </w:rPr>
        <w:t>£</w:t>
      </w:r>
      <w:r>
        <w:rPr>
          <w:rFonts w:ascii="Times New Roman" w:hAnsi="Times New Roman"/>
          <w:rtl w:val="0"/>
          <w:lang w:val="en-US"/>
        </w:rPr>
        <w:t xml:space="preserve">1.3 billion is the budget and has employees of roughly 16,000 (Betsi Cadwaladr University Health Board, 2019).  </w:t>
      </w:r>
    </w:p>
    <w:p>
      <w:pPr>
        <w:pStyle w:val="Body"/>
        <w:rPr>
          <w:rFonts w:ascii="Times New Roman" w:cs="Times New Roman" w:hAnsi="Times New Roman" w:eastAsia="Times New Roman"/>
        </w:rPr>
      </w:pPr>
      <w:r>
        <w:rPr>
          <w:rFonts w:ascii="Times New Roman" w:hAnsi="Times New Roman"/>
          <w:rtl w:val="0"/>
          <w:lang w:val="en-US"/>
        </w:rPr>
        <w:t>Powys - Provides healthcare for those of the mid wales area and has approximately 133,000 people living in that area.  It funds GP</w:t>
      </w:r>
      <w:r>
        <w:rPr>
          <w:rFonts w:ascii="Times New Roman" w:hAnsi="Times New Roman" w:hint="default"/>
          <w:rtl w:val="0"/>
          <w:lang w:val="en-US"/>
        </w:rPr>
        <w:t>’</w:t>
      </w:r>
      <w:r>
        <w:rPr>
          <w:rFonts w:ascii="Times New Roman" w:hAnsi="Times New Roman"/>
          <w:rtl w:val="0"/>
          <w:lang w:val="en-US"/>
        </w:rPr>
        <w:t>s, hospitals and primary care services (Powys teaching health board, 2019)</w:t>
      </w:r>
      <w:r>
        <w:rPr>
          <w:rFonts w:ascii="Times New Roman" w:cs="Times New Roman" w:hAnsi="Times New Roman" w:eastAsia="Times New Roman"/>
        </w:rPr>
        <w:drawing>
          <wp:anchor distT="152400" distB="152400" distL="152400" distR="152400" simplePos="0" relativeHeight="251660288" behindDoc="0" locked="0" layoutInCell="1" allowOverlap="1">
            <wp:simplePos x="0" y="0"/>
            <wp:positionH relativeFrom="margin">
              <wp:posOffset>-278286</wp:posOffset>
            </wp:positionH>
            <wp:positionV relativeFrom="line">
              <wp:posOffset>195912</wp:posOffset>
            </wp:positionV>
            <wp:extent cx="2311409" cy="3115780"/>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2311409" cy="3115780"/>
                    </a:xfrm>
                    <a:prstGeom prst="rect">
                      <a:avLst/>
                    </a:prstGeom>
                    <a:ln w="12700" cap="flat">
                      <a:noFill/>
                      <a:miter lim="400000"/>
                    </a:ln>
                    <a:effectLst/>
                  </pic:spPr>
                </pic:pic>
              </a:graphicData>
            </a:graphic>
          </wp:anchor>
        </w:drawing>
      </w:r>
    </w:p>
    <w:p>
      <w:pPr>
        <w:pStyle w:val="Body"/>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w:t>
      </w:r>
      <w:r>
        <w:rPr>
          <w:rFonts w:ascii="Times New Roman" w:hAnsi="Times New Roman"/>
          <w:shd w:val="clear" w:color="auto" w:fill="ffffff"/>
          <w:rtl w:val="0"/>
          <w:lang w:val="en-US"/>
        </w:rPr>
        <w:t>Waiting lists are reported by Local Health Boards in Wales to the Welsh Government and detail all those people resident in Wales who are waiting for NHS-funded hospital treatment and how long they have been waiting</w:t>
      </w:r>
      <w:r>
        <w:rPr>
          <w:rFonts w:ascii="Times New Roman" w:hAnsi="Times New Roman" w:hint="default"/>
          <w:shd w:val="clear" w:color="auto" w:fill="ffffff"/>
          <w:rtl w:val="0"/>
        </w:rPr>
        <w:t xml:space="preserve">’ </w:t>
      </w:r>
      <w:r>
        <w:rPr>
          <w:rFonts w:ascii="Times New Roman" w:hAnsi="Times New Roman"/>
          <w:shd w:val="clear" w:color="auto" w:fill="ffffff"/>
          <w:rtl w:val="0"/>
          <w:lang w:val="en-US"/>
        </w:rPr>
        <w:t xml:space="preserve">(Health in Wales, 2019).  </w:t>
      </w:r>
    </w:p>
    <w:p>
      <w:pPr>
        <w:pStyle w:val="Body"/>
        <w:rPr>
          <w:rFonts w:ascii="Times New Roman" w:cs="Times New Roman" w:hAnsi="Times New Roman" w:eastAsia="Times New Roman"/>
        </w:rPr>
      </w:pPr>
    </w:p>
    <w:p>
      <w:pPr>
        <w:pStyle w:val="Default"/>
        <w:bidi w:val="0"/>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There are out of hours services also available when GP services are closed (Health in Wales, 2019). </w:t>
      </w:r>
    </w:p>
    <w:p>
      <w:pPr>
        <w:pStyle w:val="Body"/>
        <w:bidi w:val="0"/>
      </w:pPr>
    </w:p>
    <w:p>
      <w:pPr>
        <w:pStyle w:val="Body"/>
        <w:bidi w:val="0"/>
      </w:pPr>
      <w:r>
        <w:rPr>
          <w:rtl w:val="0"/>
          <w:lang w:val="en-US"/>
        </w:rPr>
        <w:t>The NHS is funded by the publics taxes and is influenced by the Welsh Government as they determine the budget (Health in Wales, 2019)</w:t>
      </w:r>
    </w:p>
    <w:p>
      <w:pPr>
        <w:pStyle w:val="Default"/>
        <w:bidi w:val="0"/>
        <w:ind w:left="0" w:right="0" w:firstLine="0"/>
        <w:jc w:val="left"/>
        <w:rPr>
          <w:rFonts w:ascii="Tahoma" w:cs="Tahoma" w:hAnsi="Tahoma" w:eastAsia="Tahoma"/>
          <w:color w:val="666666"/>
          <w:shd w:val="clear" w:color="auto" w:fill="ffffff"/>
          <w:rtl w:val="0"/>
        </w:rPr>
      </w:pPr>
    </w:p>
    <w:p>
      <w:pPr>
        <w:pStyle w:val="Default"/>
        <w:bidi w:val="0"/>
        <w:ind w:left="0" w:right="0" w:firstLine="0"/>
        <w:jc w:val="left"/>
        <w:rPr>
          <w:rFonts w:ascii="Tahoma" w:cs="Tahoma" w:hAnsi="Tahoma" w:eastAsia="Tahoma"/>
          <w:shd w:val="clear" w:color="auto" w:fill="ffffff"/>
          <w:rtl w:val="0"/>
        </w:rPr>
      </w:pPr>
      <w:r>
        <w:rPr>
          <w:rFonts w:ascii="Tahoma" w:hAnsi="Tahoma"/>
          <w:shd w:val="clear" w:color="auto" w:fill="ffffff"/>
          <w:rtl w:val="0"/>
          <w:lang w:val="en-US"/>
        </w:rPr>
        <w:t>In Wales there is a population of 3m people and 19m GP and primary care appointments.  There are 4m outpatients a year and 1m patients report to A&amp;E services.  There are as many as 750,000 hospital admission and roughly 700,00 people who visit the opticians.  78m prescriptions are also issued in Wales (BBC, 2016).</w:t>
      </w:r>
    </w:p>
    <w:p>
      <w:pPr>
        <w:pStyle w:val="Body"/>
        <w:bidi w:val="0"/>
      </w:pPr>
    </w:p>
    <w:p>
      <w:pPr>
        <w:pStyle w:val="Body"/>
        <w:bidi w:val="0"/>
      </w:pPr>
    </w:p>
    <w:p>
      <w:pPr>
        <w:pStyle w:val="Body"/>
        <w:bidi w:val="0"/>
      </w:pPr>
      <w:r>
        <w:rPr>
          <w:rtl w:val="0"/>
          <w:lang w:val="en-US"/>
        </w:rPr>
        <w:tab/>
        <w:t xml:space="preserve">The Aneurin Bevan LHB has two major A&amp;E units that are available 24/7.  No minor A&amp;E units and two minor injuries units, one that is 24/7 and one that is not.  It also has one acute hospital, three community hospitals, one learning disability service and five mental health services (Health in Wales, 2019).  ABMU LHB has two major A&amp;E units which are 24/7, no minor A&amp;E units and two minor injuries units which are not 24/7.  There are four community hospitals, one learning disability unit and five mental health hospitals (Health in Wales, 2019).  The Betsi LHB has three major A&amp;E units that are all open 24/7 and no minor A&amp;E units.  There are nine minor injuries units and none of them are a 27/7 service.  There are nineteen clinics available, ten community hospitals and two day hospitals.  Mental health services, there are eight available (Health in Wales, 2019).  Within the Cardiff and Vale LHB </w:t>
      </w:r>
      <w:r>
        <w:drawing>
          <wp:anchor distT="152400" distB="152400" distL="152400" distR="152400" simplePos="0" relativeHeight="251661312" behindDoc="0" locked="0" layoutInCell="1" allowOverlap="1">
            <wp:simplePos x="0" y="0"/>
            <wp:positionH relativeFrom="page">
              <wp:posOffset>688941</wp:posOffset>
            </wp:positionH>
            <wp:positionV relativeFrom="page">
              <wp:posOffset>4572487</wp:posOffset>
            </wp:positionV>
            <wp:extent cx="6120057" cy="4459039"/>
            <wp:effectExtent l="0" t="0" r="0" b="0"/>
            <wp:wrapTopAndBottom distT="152400" distB="152400"/>
            <wp:docPr id="1073741827" name="officeArt object"/>
            <wp:cNvGraphicFramePr/>
            <a:graphic xmlns:a="http://schemas.openxmlformats.org/drawingml/2006/main">
              <a:graphicData uri="http://schemas.openxmlformats.org/drawingml/2006/chart">
                <c:chart xmlns:c="http://schemas.openxmlformats.org/drawingml/2006/chart" r:id="rId6"/>
              </a:graphicData>
            </a:graphic>
          </wp:anchor>
        </w:drawing>
      </w:r>
      <w:r>
        <mc:AlternateContent>
          <mc:Choice Requires="wps">
            <w:drawing>
              <wp:anchor distT="152400" distB="152400" distL="152400" distR="152400" simplePos="0" relativeHeight="251662336" behindDoc="0" locked="0" layoutInCell="1" allowOverlap="1">
                <wp:simplePos x="0" y="0"/>
                <wp:positionH relativeFrom="page">
                  <wp:posOffset>-561208</wp:posOffset>
                </wp:positionH>
                <wp:positionV relativeFrom="page">
                  <wp:posOffset>3067893</wp:posOffset>
                </wp:positionV>
                <wp:extent cx="1046799" cy="345580"/>
                <wp:effectExtent l="0" t="0" r="0" b="0"/>
                <wp:wrapThrough wrapText="bothSides" distL="152400" distR="152400">
                  <wp:wrapPolygon edited="1">
                    <wp:start x="0" y="0"/>
                    <wp:lineTo x="21600" y="0"/>
                    <wp:lineTo x="21600" y="21600"/>
                    <wp:lineTo x="0" y="21600"/>
                    <wp:lineTo x="0" y="0"/>
                  </wp:wrapPolygon>
                </wp:wrapThrough>
                <wp:docPr id="1073741828" name="officeArt object" descr="TextBox 1"/>
                <wp:cNvGraphicFramePr/>
                <a:graphic xmlns:a="http://schemas.openxmlformats.org/drawingml/2006/main">
                  <a:graphicData uri="http://schemas.microsoft.com/office/word/2010/wordprocessingShape">
                    <wps:wsp>
                      <wps:cNvSpPr txBox="1"/>
                      <wps:spPr>
                        <a:xfrm>
                          <a:off x="0" y="0"/>
                          <a:ext cx="1046799" cy="345580"/>
                        </a:xfrm>
                        <a:prstGeom prst="rect">
                          <a:avLst/>
                        </a:prstGeom>
                        <a:noFill/>
                        <a:ln w="12700" cap="flat">
                          <a:noFill/>
                          <a:miter lim="400000"/>
                        </a:ln>
                        <a:effectLst/>
                      </wps:spPr>
                      <wps:txbx>
                        <w:txbxContent>
                          <w:p>
                            <w:pPr>
                              <w:pStyle w:val="Caption"/>
                              <w:tabs>
                                <w:tab w:val="left" w:pos="1440"/>
                                <w:tab w:val="clear" w:pos="1150"/>
                              </w:tabs>
                              <w:suppressAutoHyphens w:val="1"/>
                              <w:jc w:val="left"/>
                              <w:outlineLvl w:val="0"/>
                            </w:pPr>
                            <w:r>
                              <w:rPr>
                                <w:rFonts w:ascii="Calibri" w:cs="Calibri" w:hAnsi="Calibri" w:eastAsia="Calibri"/>
                                <w:b w:val="0"/>
                                <w:bCs w:val="0"/>
                                <w:caps w:val="0"/>
                                <w:smallCaps w:val="0"/>
                                <w:sz w:val="24"/>
                                <w:szCs w:val="24"/>
                                <w:rtl w:val="0"/>
                                <w:lang w:val="en-US"/>
                              </w:rPr>
                              <w:t>Wales</w:t>
                            </w:r>
                          </w:p>
                        </w:txbxContent>
                      </wps:txbx>
                      <wps:bodyPr wrap="square" lIns="45719" tIns="45719" rIns="45719" bIns="45719" numCol="1" anchor="t">
                        <a:noAutofit/>
                      </wps:bodyPr>
                    </wps:wsp>
                  </a:graphicData>
                </a:graphic>
              </wp:anchor>
            </w:drawing>
          </mc:Choice>
          <mc:Fallback>
            <w:pict>
              <v:shape id="_x0000_s1026" type="#_x0000_t202" style="visibility:visible;position:absolute;margin-left:-44.2pt;margin-top:241.6pt;width:82.4pt;height:27.2pt;z-index:25166233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clear" w:pos="1150"/>
                        </w:tabs>
                        <w:suppressAutoHyphens w:val="1"/>
                        <w:jc w:val="left"/>
                        <w:outlineLvl w:val="0"/>
                      </w:pPr>
                      <w:r>
                        <w:rPr>
                          <w:rFonts w:ascii="Calibri" w:cs="Calibri" w:hAnsi="Calibri" w:eastAsia="Calibri"/>
                          <w:b w:val="0"/>
                          <w:bCs w:val="0"/>
                          <w:caps w:val="0"/>
                          <w:smallCaps w:val="0"/>
                          <w:sz w:val="24"/>
                          <w:szCs w:val="24"/>
                          <w:rtl w:val="0"/>
                          <w:lang w:val="en-US"/>
                        </w:rPr>
                        <w:t>Wales</w:t>
                      </w:r>
                    </w:p>
                  </w:txbxContent>
                </v:textbox>
                <w10:wrap type="through" side="bothSides" anchorx="page" anchory="page"/>
              </v:shape>
            </w:pict>
          </mc:Fallback>
        </mc:AlternateContent>
      </w:r>
      <w:r>
        <w:rPr>
          <w:rtl w:val="0"/>
          <w:lang w:val="en-US"/>
        </w:rPr>
        <w:t xml:space="preserve">there is one major A&amp;E unit, which is 24/7 and no minor A&amp;E units.  There is one minor injuries unit which is not 24/7 and three community hospitals, one mental health hospital, one major acute and two specialist acute hospitals (Health in Wales, 2019).  The Cwm Taf LHB has two major A&amp;E units, both 24/7, no minor A&amp;E units and two minor injuries units, neither 24/7.  There are two community hospitals and one acute hospital (Health in Wales, 2019).  The Hywel Dda LHB has three major A&amp;E units and all three are 24/7, no minor A&amp;E units and one minor injuries unit.  Also available is nine community hospitals, one mental health hospital and one learning disability service (Health in Wales, 2019).  Within the Powys teaching LHB there is no major nor minor A&amp;E units, however there are four minor injuries units and six community hospitals.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lang w:val="en-US"/>
        </w:rPr>
        <w:t>(Betsi Cadwaladr University Health Board, 2019).</w:t>
      </w:r>
    </w:p>
    <w:p>
      <w:pPr>
        <w:pStyle w:val="Body"/>
        <w:bidi w:val="0"/>
      </w:pPr>
      <w:r>
        <w:tab/>
        <w:tab/>
        <w:tab/>
      </w:r>
    </w:p>
    <w:p>
      <w:pPr>
        <w:pStyle w:val="Body"/>
        <w:bidi w:val="0"/>
      </w:pPr>
    </w:p>
    <w:p>
      <w:pPr>
        <w:pStyle w:val="Body"/>
        <w:bidi w:val="0"/>
        <w:rPr>
          <w:b w:val="1"/>
          <w:bCs w:val="1"/>
          <w:sz w:val="30"/>
          <w:szCs w:val="30"/>
          <w:u w:val="single"/>
        </w:rPr>
      </w:pPr>
      <w:r>
        <w:rPr>
          <w:b w:val="1"/>
          <w:bCs w:val="1"/>
          <w:sz w:val="30"/>
          <w:szCs w:val="30"/>
          <w:u w:val="single"/>
          <w:rtl w:val="0"/>
          <w:lang w:val="en-US"/>
        </w:rPr>
        <w:t xml:space="preserve">Evaluation of current structure </w:t>
      </w:r>
    </w:p>
    <w:p>
      <w:pPr>
        <w:pStyle w:val="Body"/>
        <w:bidi w:val="0"/>
        <w:rPr>
          <w:b w:val="1"/>
          <w:bCs w:val="1"/>
          <w:sz w:val="30"/>
          <w:szCs w:val="30"/>
          <w:u w:val="single"/>
        </w:rPr>
      </w:pPr>
    </w:p>
    <w:p>
      <w:pPr>
        <w:pStyle w:val="Body"/>
        <w:bidi w:val="0"/>
        <w:rPr>
          <w:sz w:val="30"/>
          <w:szCs w:val="30"/>
        </w:rPr>
      </w:pPr>
      <w:r>
        <w:rPr>
          <w:sz w:val="30"/>
          <w:szCs w:val="30"/>
          <w:rtl w:val="0"/>
          <w:lang w:val="en-US"/>
        </w:rPr>
        <w:t>One weakness is in the NHS, in Wales, is smoking, drinking alcohol and obesity have a higher rate than any other nation, apart from Northern Ireland (BBC, 2016).  This means more people are needing treatment and/or help and more money/funding is being spent on these.</w:t>
      </w:r>
    </w:p>
    <w:p>
      <w:pPr>
        <w:pStyle w:val="Body"/>
        <w:bidi w:val="0"/>
        <w:rPr>
          <w:sz w:val="30"/>
          <w:szCs w:val="30"/>
        </w:rPr>
      </w:pPr>
      <w:r>
        <w:rPr>
          <w:sz w:val="30"/>
          <w:szCs w:val="30"/>
          <w:rtl w:val="0"/>
          <w:lang w:val="en-US"/>
        </w:rPr>
        <w:t xml:space="preserve">Again, diabetes and kidney disease is even higher in Wales than it is in the whole of the UK (BBC, 2016).  However, according to Fund our NHS  (2019) </w:t>
      </w:r>
      <w:r>
        <w:rPr>
          <w:sz w:val="30"/>
          <w:szCs w:val="30"/>
          <w:rtl w:val="0"/>
          <w:lang w:val="en-US"/>
        </w:rPr>
        <w:t>‘</w:t>
      </w:r>
      <w:r>
        <w:rPr>
          <w:sz w:val="30"/>
          <w:szCs w:val="30"/>
          <w:rtl w:val="0"/>
          <w:lang w:val="en-US"/>
        </w:rPr>
        <w:t>The NHS was better value for money than the healthcare systems of the US, France, Germany, Sweden, Canada, The Netherlands, Australia, Switzerland and Norway.</w:t>
      </w:r>
      <w:r>
        <w:rPr>
          <w:sz w:val="30"/>
          <w:szCs w:val="30"/>
          <w:rtl w:val="0"/>
          <w:lang w:val="en-US"/>
        </w:rPr>
        <w:t xml:space="preserve">’  </w:t>
      </w:r>
      <w:r>
        <w:rPr>
          <w:sz w:val="30"/>
          <w:szCs w:val="30"/>
          <w:rtl w:val="0"/>
          <w:lang w:val="en-US"/>
        </w:rPr>
        <w:t>Again, the NHS has expanded and adapted enormously as it</w:t>
      </w:r>
      <w:r>
        <w:rPr>
          <w:sz w:val="30"/>
          <w:szCs w:val="30"/>
          <w:rtl w:val="0"/>
          <w:lang w:val="en-US"/>
        </w:rPr>
        <w:t>’</w:t>
      </w:r>
      <w:r>
        <w:rPr>
          <w:sz w:val="30"/>
          <w:szCs w:val="30"/>
          <w:rtl w:val="0"/>
          <w:lang w:val="en-US"/>
        </w:rPr>
        <w:t xml:space="preserve">s medical fields has change and grown (Fund our NHS, 2019).  According to Fund our NHS (2019) Another strength about the NHS is that it does not make any profit, which is maybe one of the most important areas of a organisation that it funded by the public.  According to The Guardian (2001) although the NHS has helped and treated millions of patents and does good work, as the new meningitis vaccination shows this, </w:t>
      </w:r>
      <w:r>
        <w:rPr>
          <w:sz w:val="30"/>
          <w:szCs w:val="30"/>
          <w:rtl w:val="0"/>
          <w:lang w:val="en-US"/>
        </w:rPr>
        <w:t>‘</w:t>
      </w:r>
      <w:r>
        <w:rPr>
          <w:sz w:val="30"/>
          <w:szCs w:val="30"/>
          <w:rtl w:val="0"/>
          <w:lang w:val="en-US"/>
        </w:rPr>
        <w:t>it also causes misery on a scale seldom seen outside the developing world.</w:t>
      </w:r>
      <w:r>
        <w:rPr>
          <w:sz w:val="30"/>
          <w:szCs w:val="30"/>
          <w:rtl w:val="0"/>
          <w:lang w:val="en-US"/>
        </w:rPr>
        <w:t xml:space="preserve">’  </w:t>
      </w:r>
      <w:r>
        <w:rPr>
          <w:sz w:val="30"/>
          <w:szCs w:val="30"/>
          <w:rtl w:val="0"/>
          <w:lang w:val="en-US"/>
        </w:rPr>
        <w:t>On the other hand, a negative is '1 in 60 of the British population is on a waiting list</w:t>
      </w:r>
      <w:r>
        <w:rPr>
          <w:sz w:val="30"/>
          <w:szCs w:val="30"/>
          <w:rtl w:val="0"/>
          <w:lang w:val="en-US"/>
        </w:rPr>
        <w:t xml:space="preserve">’ </w:t>
      </w:r>
      <w:r>
        <w:rPr>
          <w:sz w:val="30"/>
          <w:szCs w:val="30"/>
          <w:rtl w:val="0"/>
          <w:lang w:val="en-US"/>
        </w:rPr>
        <w:t>therefore if you require treatment, you could be waiting a while (The Guardian, 2001).  According to ITV (2018) The waiting times is still too high for some treatments in Wales.  This can be seen as a negative.</w:t>
      </w:r>
    </w:p>
    <w:p>
      <w:pPr>
        <w:pStyle w:val="Body"/>
        <w:bidi w:val="0"/>
        <w:rPr>
          <w:b w:val="1"/>
          <w:bCs w:val="1"/>
          <w:sz w:val="30"/>
          <w:szCs w:val="30"/>
          <w:u w:val="single"/>
        </w:rPr>
      </w:pPr>
      <w:r>
        <w:rPr>
          <w:sz w:val="30"/>
          <w:szCs w:val="30"/>
          <w:rtl w:val="0"/>
          <w:lang w:val="en-US"/>
        </w:rPr>
        <w:t>A positive about the NHS in Wales is that it provides and encourages healthy eating and living by promoting how to quit smoking and how to include more exercise in someones lifestyle.  They also promote much more such as mental health services and other clinics (Health in Wales, 2019).  According to the BBC (2016) there were shortages of staff and a high level of patents in critical care units.  This can be seen as a negative.</w:t>
      </w:r>
    </w:p>
    <w:p>
      <w:pPr>
        <w:pStyle w:val="Body"/>
        <w:bidi w:val="0"/>
        <w:rPr>
          <w:b w:val="1"/>
          <w:bCs w:val="1"/>
          <w:sz w:val="30"/>
          <w:szCs w:val="30"/>
          <w:u w:val="single"/>
        </w:rPr>
      </w:pPr>
    </w:p>
    <w:p>
      <w:pPr>
        <w:pStyle w:val="Body"/>
        <w:bidi w:val="0"/>
        <w:rPr>
          <w:b w:val="1"/>
          <w:bCs w:val="1"/>
          <w:sz w:val="30"/>
          <w:szCs w:val="30"/>
          <w:u w:val="single"/>
        </w:rPr>
      </w:pPr>
    </w:p>
    <w:p>
      <w:pPr>
        <w:pStyle w:val="Body"/>
        <w:bidi w:val="0"/>
        <w:rPr>
          <w:b w:val="1"/>
          <w:bCs w:val="1"/>
          <w:sz w:val="30"/>
          <w:szCs w:val="30"/>
          <w:u w:val="single"/>
        </w:rPr>
      </w:pPr>
    </w:p>
    <w:p>
      <w:pPr>
        <w:pStyle w:val="Default"/>
        <w:bidi w:val="0"/>
        <w:ind w:left="0" w:right="0" w:firstLine="0"/>
        <w:jc w:val="left"/>
        <w:rPr>
          <w:rFonts w:ascii="Helvetica" w:cs="Helvetica" w:hAnsi="Helvetica" w:eastAsia="Helvetica"/>
          <w:b w:val="1"/>
          <w:bCs w:val="1"/>
          <w:color w:val="262626"/>
          <w:sz w:val="30"/>
          <w:szCs w:val="30"/>
          <w:u w:val="single"/>
          <w:shd w:val="clear" w:color="auto" w:fill="ffffff"/>
          <w:rtl w:val="0"/>
        </w:rPr>
      </w:pPr>
    </w:p>
    <w:p>
      <w:pPr>
        <w:pStyle w:val="Body"/>
        <w:bidi w:val="0"/>
        <w:rPr>
          <w:b w:val="1"/>
          <w:bCs w:val="1"/>
          <w:sz w:val="30"/>
          <w:szCs w:val="30"/>
          <w:u w:val="single"/>
        </w:rPr>
      </w:pPr>
    </w:p>
    <w:p>
      <w:pPr>
        <w:pStyle w:val="Body"/>
        <w:bidi w:val="0"/>
        <w:rPr>
          <w:b w:val="1"/>
          <w:bCs w:val="1"/>
          <w:sz w:val="30"/>
          <w:szCs w:val="30"/>
          <w:u w:val="single"/>
        </w:rPr>
      </w:pPr>
    </w:p>
    <w:p>
      <w:pPr>
        <w:pStyle w:val="Body"/>
        <w:bidi w:val="0"/>
        <w:rPr>
          <w:b w:val="1"/>
          <w:bCs w:val="1"/>
          <w:sz w:val="30"/>
          <w:szCs w:val="30"/>
          <w:u w:val="single"/>
        </w:rPr>
      </w:pPr>
    </w:p>
    <w:p>
      <w:pPr>
        <w:pStyle w:val="Body"/>
        <w:bidi w:val="0"/>
        <w:rPr>
          <w:b w:val="1"/>
          <w:bCs w:val="1"/>
          <w:sz w:val="30"/>
          <w:szCs w:val="30"/>
          <w:u w:val="single"/>
        </w:rPr>
      </w:pPr>
    </w:p>
    <w:p>
      <w:pPr>
        <w:pStyle w:val="Body"/>
        <w:bidi w:val="0"/>
        <w:rPr>
          <w:b w:val="1"/>
          <w:bCs w:val="1"/>
          <w:sz w:val="30"/>
          <w:szCs w:val="30"/>
          <w:u w:val="single"/>
        </w:rPr>
      </w:pPr>
    </w:p>
    <w:p>
      <w:pPr>
        <w:pStyle w:val="Body"/>
        <w:bidi w:val="0"/>
        <w:rPr>
          <w:b w:val="1"/>
          <w:bCs w:val="1"/>
          <w:sz w:val="30"/>
          <w:szCs w:val="30"/>
          <w:u w:val="single"/>
        </w:rPr>
      </w:pPr>
    </w:p>
    <w:p>
      <w:pPr>
        <w:pStyle w:val="Body"/>
        <w:bidi w:val="0"/>
        <w:rPr>
          <w:b w:val="1"/>
          <w:bCs w:val="1"/>
          <w:sz w:val="30"/>
          <w:szCs w:val="30"/>
          <w:u w:val="single"/>
        </w:rPr>
      </w:pPr>
    </w:p>
    <w:p>
      <w:pPr>
        <w:pStyle w:val="Body"/>
        <w:rPr>
          <w:b w:val="1"/>
          <w:bCs w:val="1"/>
          <w:sz w:val="30"/>
          <w:szCs w:val="30"/>
          <w:u w:val="single"/>
        </w:rPr>
      </w:pPr>
    </w:p>
    <w:p>
      <w:pPr>
        <w:pStyle w:val="Body"/>
        <w:rPr>
          <w:b w:val="1"/>
          <w:bCs w:val="1"/>
          <w:sz w:val="30"/>
          <w:szCs w:val="30"/>
          <w:u w:val="single"/>
        </w:rPr>
      </w:pPr>
      <w:r>
        <w:rPr>
          <w:b w:val="1"/>
          <w:bCs w:val="1"/>
          <w:sz w:val="30"/>
          <w:szCs w:val="30"/>
          <w:u w:val="none"/>
        </w:rPr>
        <w:tab/>
        <w:tab/>
        <w:tab/>
        <w:tab/>
      </w:r>
      <w:r>
        <w:rPr>
          <w:b w:val="1"/>
          <w:bCs w:val="1"/>
          <w:sz w:val="30"/>
          <w:szCs w:val="30"/>
          <w:u w:val="single"/>
          <w:rtl w:val="0"/>
          <w:lang w:val="en-US"/>
        </w:rPr>
        <w:t>Conclusion</w:t>
      </w:r>
    </w:p>
    <w:p>
      <w:pPr>
        <w:pStyle w:val="Body"/>
        <w:rPr>
          <w:b w:val="1"/>
          <w:bCs w:val="1"/>
          <w:sz w:val="30"/>
          <w:szCs w:val="30"/>
          <w:u w:val="single"/>
        </w:rPr>
      </w:pPr>
    </w:p>
    <w:p>
      <w:pPr>
        <w:pStyle w:val="Body"/>
        <w:bidi w:val="0"/>
      </w:pPr>
      <w:r>
        <w:rPr>
          <w:sz w:val="30"/>
          <w:szCs w:val="30"/>
          <w:rtl w:val="0"/>
          <w:lang w:val="en-US"/>
        </w:rPr>
        <w:tab/>
        <w:t xml:space="preserve">In conclusion, the NHS has grown and developed drastically over the years and is likely to continue to do so.  There are many areas where the NHS can improve on, however, that would be the local health boards and the Welsh Governments say.  The NHS and its staff work extremely hard to provide the healthcare and/or treatment that people require while working with understaffed levels.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single"/>
        </w:rPr>
      </w:pPr>
    </w:p>
    <w:p>
      <w:pPr>
        <w:pStyle w:val="Body"/>
        <w:rPr>
          <w:b w:val="1"/>
          <w:bCs w:val="1"/>
          <w:u w:val="none"/>
        </w:rPr>
      </w:pPr>
      <w:r>
        <w:rPr>
          <w:b w:val="1"/>
          <w:bCs w:val="1"/>
          <w:u w:val="none"/>
        </w:rPr>
        <w:tab/>
        <w:tab/>
        <w:tab/>
      </w: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r>
        <w:rPr>
          <w:b w:val="1"/>
          <w:bCs w:val="1"/>
          <w:u w:val="none"/>
        </w:rPr>
        <w:tab/>
        <w:tab/>
        <w:tab/>
        <w:tab/>
      </w: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single"/>
        </w:rPr>
      </w:pPr>
      <w:r>
        <w:rPr>
          <w:b w:val="1"/>
          <w:bCs w:val="1"/>
          <w:u w:val="none"/>
        </w:rPr>
        <w:tab/>
        <w:tab/>
        <w:tab/>
      </w:r>
      <w:r>
        <w:rPr>
          <w:b w:val="1"/>
          <w:bCs w:val="1"/>
          <w:sz w:val="32"/>
          <w:szCs w:val="32"/>
          <w:u w:val="none"/>
        </w:rPr>
        <w:tab/>
      </w:r>
      <w:r>
        <w:rPr>
          <w:b w:val="1"/>
          <w:bCs w:val="1"/>
          <w:sz w:val="32"/>
          <w:szCs w:val="32"/>
          <w:u w:val="single"/>
          <w:rtl w:val="0"/>
          <w:lang w:val="en-US"/>
        </w:rPr>
        <w:t xml:space="preserve">Recommendations </w:t>
      </w:r>
    </w:p>
    <w:p>
      <w:pPr>
        <w:pStyle w:val="Body"/>
        <w:rPr>
          <w:b w:val="1"/>
          <w:bCs w:val="1"/>
          <w:u w:val="single"/>
        </w:rPr>
      </w:pPr>
    </w:p>
    <w:p>
      <w:pPr>
        <w:pStyle w:val="Body"/>
        <w:bidi w:val="0"/>
      </w:pPr>
      <w:r>
        <w:rPr>
          <w:rtl w:val="0"/>
          <w:lang w:val="en-US"/>
        </w:rPr>
        <w:tab/>
        <w:t xml:space="preserve">There are many areas that the NHS could improve on, however, a recommendation could </w:t>
      </w:r>
    </w:p>
    <w:p>
      <w:pPr>
        <w:pStyle w:val="Body"/>
        <w:bidi w:val="0"/>
      </w:pPr>
    </w:p>
    <w:p>
      <w:pPr>
        <w:pStyle w:val="Body"/>
        <w:bidi w:val="0"/>
      </w:pPr>
      <w:r>
        <w:rPr>
          <w:rtl w:val="0"/>
          <w:lang w:val="en-US"/>
        </w:rPr>
        <w:t xml:space="preserve">be to begin to put a charge on minor injuries/concerns because all treatment and advise is free </w:t>
      </w:r>
    </w:p>
    <w:p>
      <w:pPr>
        <w:pStyle w:val="Body"/>
        <w:bidi w:val="0"/>
      </w:pPr>
    </w:p>
    <w:p>
      <w:pPr>
        <w:pStyle w:val="Body"/>
        <w:bidi w:val="0"/>
      </w:pPr>
      <w:r>
        <w:rPr>
          <w:rtl w:val="0"/>
          <w:lang w:val="en-US"/>
        </w:rPr>
        <w:t xml:space="preserve">and can be taken advantage of.  Another recommendation would be to dismiss sick pay for staff </w:t>
      </w:r>
    </w:p>
    <w:p>
      <w:pPr>
        <w:pStyle w:val="Body"/>
        <w:bidi w:val="0"/>
      </w:pPr>
    </w:p>
    <w:p>
      <w:pPr>
        <w:pStyle w:val="Body"/>
        <w:bidi w:val="0"/>
      </w:pPr>
      <w:r>
        <w:rPr>
          <w:rtl w:val="0"/>
          <w:lang w:val="en-US"/>
        </w:rPr>
        <w:t xml:space="preserve">as this can be a waste of money and to be more mindful when prescribing medication such as </w:t>
      </w:r>
    </w:p>
    <w:p>
      <w:pPr>
        <w:pStyle w:val="Body"/>
        <w:bidi w:val="0"/>
      </w:pPr>
    </w:p>
    <w:p>
      <w:pPr>
        <w:pStyle w:val="Body"/>
        <w:bidi w:val="0"/>
        <w:rPr>
          <w:u w:val="none"/>
        </w:rPr>
      </w:pPr>
      <w:r>
        <w:rPr>
          <w:rtl w:val="0"/>
          <w:lang w:val="en-US"/>
        </w:rPr>
        <w:t xml:space="preserve">paracetamol as this can be bought from a local store for much cheaper.    </w:t>
      </w: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u w:val="none"/>
        </w:rPr>
      </w:pPr>
    </w:p>
    <w:p>
      <w:pPr>
        <w:pStyle w:val="Body"/>
        <w:rPr>
          <w:b w:val="1"/>
          <w:bCs w:val="1"/>
          <w:sz w:val="30"/>
          <w:szCs w:val="30"/>
          <w:u w:val="single"/>
        </w:rPr>
      </w:pPr>
      <w:r>
        <w:rPr>
          <w:b w:val="1"/>
          <w:bCs w:val="1"/>
          <w:u w:val="none"/>
        </w:rPr>
        <w:tab/>
      </w:r>
      <w:r>
        <w:rPr>
          <w:b w:val="1"/>
          <w:bCs w:val="1"/>
          <w:sz w:val="30"/>
          <w:szCs w:val="30"/>
          <w:u w:val="single"/>
          <w:rtl w:val="0"/>
          <w:lang w:val="en-US"/>
        </w:rPr>
        <w:t>Reference List</w:t>
      </w:r>
    </w:p>
    <w:p>
      <w:pPr>
        <w:pStyle w:val="Body"/>
        <w:bidi w:val="0"/>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Abertawe Bro Morgannwg University Health Board (2019) </w:t>
      </w:r>
      <w:r>
        <w:rPr>
          <w:rFonts w:ascii="Times New Roman" w:hAnsi="Times New Roman"/>
          <w:i w:val="1"/>
          <w:iCs w:val="1"/>
          <w:sz w:val="24"/>
          <w:szCs w:val="24"/>
          <w:rtl w:val="0"/>
          <w:lang w:val="en-US"/>
        </w:rPr>
        <w:t xml:space="preserve">About us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"http://www.wales.nhs.uk/sitesplus/863/page/41169"</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http://www.wales.nhs.uk/sitesplus/863/page/41169</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Abertawe Bro Morgannwg University Health Board (2018) </w:t>
      </w:r>
      <w:r>
        <w:rPr>
          <w:rFonts w:ascii="Times New Roman" w:hAnsi="Times New Roman"/>
          <w:i w:val="1"/>
          <w:iCs w:val="1"/>
          <w:sz w:val="24"/>
          <w:szCs w:val="24"/>
          <w:rtl w:val="0"/>
          <w:lang w:val="en-US"/>
        </w:rPr>
        <w:t>Individual Patient Funding Requests</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"http://www.wales.nhs.uk/sitesplus/863/page/55331"</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http://www.wales.nhs.uk/sitesplus/863/page/55331</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Aneurin Bevan University Health Board (2018) </w:t>
      </w:r>
      <w:r>
        <w:rPr>
          <w:rFonts w:ascii="Times New Roman" w:hAnsi="Times New Roman"/>
          <w:i w:val="1"/>
          <w:iCs w:val="1"/>
          <w:sz w:val="24"/>
          <w:szCs w:val="24"/>
          <w:rtl w:val="0"/>
          <w:lang w:val="en-US"/>
        </w:rPr>
        <w:t xml:space="preserve">About our organisation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"http://www.wales.nhs.uk/sitesplus/866/page/40762"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http://www.wales.nhs.uk/sitesplus/866/page/40762</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30/04/2019]</w:t>
      </w:r>
    </w:p>
    <w:p>
      <w:pPr>
        <w:pStyle w:val="Body"/>
        <w:rPr>
          <w:rFonts w:ascii="Times New Roman" w:cs="Times New Roman" w:hAnsi="Times New Roman" w:eastAsia="Times New Roman"/>
          <w:sz w:val="24"/>
          <w:szCs w:val="24"/>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BBC (2016) </w:t>
      </w:r>
      <w:r>
        <w:rPr>
          <w:rFonts w:ascii="Times New Roman" w:hAnsi="Times New Roman"/>
          <w:i w:val="1"/>
          <w:iCs w:val="1"/>
          <w:sz w:val="24"/>
          <w:szCs w:val="24"/>
          <w:shd w:val="clear" w:color="auto" w:fill="ffffff"/>
          <w:rtl w:val="0"/>
          <w:lang w:val="en-US"/>
        </w:rPr>
        <w:t xml:space="preserve">OECD report: How does health in Wales compare with UK? </w:t>
      </w:r>
      <w:r>
        <w:rPr>
          <w:rStyle w:val="Hyperlink.0"/>
          <w:rFonts w:ascii="Times New Roman" w:cs="Times New Roman" w:hAnsi="Times New Roman" w:eastAsia="Times New Roman"/>
          <w:sz w:val="24"/>
          <w:szCs w:val="24"/>
          <w:shd w:val="clear" w:color="auto" w:fill="ffffff"/>
          <w:rtl w:val="0"/>
        </w:rPr>
        <w:fldChar w:fldCharType="begin" w:fldLock="0"/>
      </w:r>
      <w:r>
        <w:rPr>
          <w:rStyle w:val="Hyperlink.0"/>
          <w:rFonts w:ascii="Times New Roman" w:cs="Times New Roman" w:hAnsi="Times New Roman" w:eastAsia="Times New Roman"/>
          <w:sz w:val="24"/>
          <w:szCs w:val="24"/>
          <w:shd w:val="clear" w:color="auto" w:fill="ffffff"/>
          <w:rtl w:val="0"/>
        </w:rPr>
        <w:instrText xml:space="preserve"> HYPERLINK "https://www.bbc.co.uk/news/uk-wales-35533172"</w:instrText>
      </w:r>
      <w:r>
        <w:rPr>
          <w:rStyle w:val="Hyperlink.0"/>
          <w:rFonts w:ascii="Times New Roman" w:cs="Times New Roman" w:hAnsi="Times New Roman" w:eastAsia="Times New Roman"/>
          <w:sz w:val="24"/>
          <w:szCs w:val="24"/>
          <w:shd w:val="clear" w:color="auto" w:fill="ffffff"/>
          <w:rtl w:val="0"/>
        </w:rPr>
        <w:fldChar w:fldCharType="separate" w:fldLock="0"/>
      </w:r>
      <w:r>
        <w:rPr>
          <w:rStyle w:val="Hyperlink.0"/>
          <w:rFonts w:ascii="Times New Roman" w:hAnsi="Times New Roman"/>
          <w:sz w:val="24"/>
          <w:szCs w:val="24"/>
          <w:shd w:val="clear" w:color="auto" w:fill="ffffff"/>
          <w:rtl w:val="0"/>
        </w:rPr>
        <w:t>https://www.bbc.co.uk/news/uk-wales-35533172</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i w:val="1"/>
          <w:iCs w:val="1"/>
          <w:sz w:val="24"/>
          <w:szCs w:val="24"/>
          <w:shd w:val="clear" w:color="auto" w:fill="ffffff"/>
          <w:rtl w:val="0"/>
          <w:lang w:val="en-US"/>
        </w:rPr>
        <w:t xml:space="preserve"> </w:t>
      </w:r>
      <w:r>
        <w:rPr>
          <w:rFonts w:ascii="Times New Roman" w:hAnsi="Times New Roman"/>
          <w:sz w:val="24"/>
          <w:szCs w:val="24"/>
          <w:shd w:val="clear" w:color="auto" w:fill="ffffff"/>
          <w:rtl w:val="0"/>
          <w:lang w:val="en-US"/>
        </w:rPr>
        <w:t>[accessed on: 30/04/2019]</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Betsi Cadwaladr University Health Board</w:t>
      </w:r>
      <w:r>
        <w:rPr>
          <w:rFonts w:ascii="Times New Roman" w:hAnsi="Times New Roman"/>
          <w:sz w:val="24"/>
          <w:szCs w:val="24"/>
          <w:shd w:val="clear" w:color="auto" w:fill="ffffff"/>
          <w:rtl w:val="0"/>
          <w:lang w:val="en-US"/>
        </w:rPr>
        <w:t xml:space="preserve"> (2019) About us </w:t>
      </w:r>
      <w:r>
        <w:rPr>
          <w:rStyle w:val="Hyperlink.0"/>
          <w:rFonts w:ascii="Times New Roman" w:cs="Times New Roman" w:hAnsi="Times New Roman" w:eastAsia="Times New Roman"/>
          <w:sz w:val="24"/>
          <w:szCs w:val="24"/>
          <w:shd w:val="clear" w:color="auto" w:fill="ffffff"/>
          <w:rtl w:val="0"/>
        </w:rPr>
        <w:fldChar w:fldCharType="begin" w:fldLock="0"/>
      </w:r>
      <w:r>
        <w:rPr>
          <w:rStyle w:val="Hyperlink.0"/>
          <w:rFonts w:ascii="Times New Roman" w:cs="Times New Roman" w:hAnsi="Times New Roman" w:eastAsia="Times New Roman"/>
          <w:sz w:val="24"/>
          <w:szCs w:val="24"/>
          <w:shd w:val="clear" w:color="auto" w:fill="ffffff"/>
          <w:rtl w:val="0"/>
        </w:rPr>
        <w:instrText xml:space="preserve"> HYPERLINK "http://www.wales.nhs.uk/sitesplus/861/page/84723"</w:instrText>
      </w:r>
      <w:r>
        <w:rPr>
          <w:rStyle w:val="Hyperlink.0"/>
          <w:rFonts w:ascii="Times New Roman" w:cs="Times New Roman" w:hAnsi="Times New Roman" w:eastAsia="Times New Roman"/>
          <w:sz w:val="24"/>
          <w:szCs w:val="24"/>
          <w:shd w:val="clear" w:color="auto" w:fill="ffffff"/>
          <w:rtl w:val="0"/>
        </w:rPr>
        <w:fldChar w:fldCharType="separate" w:fldLock="0"/>
      </w:r>
      <w:r>
        <w:rPr>
          <w:rStyle w:val="Hyperlink.0"/>
          <w:rFonts w:ascii="Times New Roman" w:hAnsi="Times New Roman"/>
          <w:sz w:val="24"/>
          <w:szCs w:val="24"/>
          <w:shd w:val="clear" w:color="auto" w:fill="ffffff"/>
          <w:rtl w:val="0"/>
          <w:lang w:val="en-US"/>
        </w:rPr>
        <w:t>http://www.wales.nhs.uk/sitesplus/861/page/84723</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[accessed on: 30/04/2019] </w:t>
      </w:r>
    </w:p>
    <w:p>
      <w:pPr>
        <w:pStyle w:val="Body"/>
        <w:rPr>
          <w:rFonts w:ascii="Times New Roman" w:cs="Times New Roman" w:hAnsi="Times New Roman" w:eastAsia="Times New Roman"/>
          <w:sz w:val="24"/>
          <w:szCs w:val="24"/>
        </w:rPr>
      </w:pPr>
    </w:p>
    <w:p>
      <w:pPr>
        <w:pStyle w:val="Default"/>
        <w:bidi w:val="0"/>
        <w:ind w:left="0" w:right="0" w:firstLine="0"/>
        <w:jc w:val="left"/>
        <w:rPr>
          <w:rFonts w:ascii="Times New Roman" w:cs="Times New Roman" w:hAnsi="Times New Roman" w:eastAsia="Times New Roman"/>
          <w:i w:val="1"/>
          <w:iCs w:val="1"/>
          <w:sz w:val="24"/>
          <w:szCs w:val="24"/>
          <w:shd w:val="clear" w:color="auto" w:fill="ffffff"/>
          <w:rtl w:val="0"/>
        </w:rPr>
      </w:pPr>
      <w:r>
        <w:rPr>
          <w:rFonts w:ascii="Times New Roman" w:hAnsi="Times New Roman"/>
          <w:sz w:val="24"/>
          <w:szCs w:val="24"/>
          <w:shd w:val="clear" w:color="auto" w:fill="ffffff"/>
          <w:rtl w:val="0"/>
          <w:lang w:val="en-US"/>
        </w:rPr>
        <w:t xml:space="preserve">Betsi Cadwaladr University Health Board (2019) </w:t>
      </w:r>
      <w:r>
        <w:rPr>
          <w:rFonts w:ascii="Times New Roman" w:hAnsi="Times New Roman"/>
          <w:i w:val="1"/>
          <w:iCs w:val="1"/>
          <w:sz w:val="24"/>
          <w:szCs w:val="24"/>
          <w:shd w:val="clear" w:color="auto" w:fill="ffffff"/>
          <w:rtl w:val="0"/>
          <w:lang w:val="en-US"/>
        </w:rPr>
        <w:t>Using mortality data to improve the quality and safety of patient care</w:t>
      </w:r>
      <w:r>
        <w:rPr>
          <w:rFonts w:ascii="Times New Roman" w:hAnsi="Times New Roman"/>
          <w:i w:val="1"/>
          <w:iCs w:val="1"/>
          <w:sz w:val="24"/>
          <w:szCs w:val="24"/>
          <w:shd w:val="clear" w:color="auto" w:fill="ffffff"/>
          <w:rtl w:val="0"/>
          <w:lang w:val="en-US"/>
        </w:rPr>
        <w:t xml:space="preserve"> </w:t>
      </w:r>
      <w:r>
        <w:rPr>
          <w:rFonts w:ascii="Times New Roman" w:hAnsi="Times New Roman"/>
          <w:sz w:val="24"/>
          <w:szCs w:val="24"/>
          <w:shd w:val="clear" w:color="auto" w:fill="ffffff"/>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Cardiff and Vale University Health Board (2019) </w:t>
      </w:r>
      <w:r>
        <w:rPr>
          <w:rFonts w:ascii="Times New Roman" w:hAnsi="Times New Roman"/>
          <w:i w:val="1"/>
          <w:iCs w:val="1"/>
          <w:sz w:val="24"/>
          <w:szCs w:val="24"/>
          <w:rtl w:val="0"/>
          <w:lang w:val="en-US"/>
        </w:rPr>
        <w:t>Our Health Board Structure</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"http://www.cardiffandvaleuhb.wales.nhs.uk/our-health-board-structure"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http://www.cardiffandvaleuhb.wales.nhs.uk/our-health-board-structure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Cwm Taf Morgannwg (2019) </w:t>
      </w:r>
      <w:r>
        <w:rPr>
          <w:rFonts w:ascii="Times New Roman" w:hAnsi="Times New Roman"/>
          <w:i w:val="1"/>
          <w:iCs w:val="1"/>
          <w:sz w:val="24"/>
          <w:szCs w:val="24"/>
          <w:rtl w:val="0"/>
          <w:lang w:val="en-US"/>
        </w:rPr>
        <w:t>We are Cwm Taf Morgannwg</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"https://cwmtaf.wales/we-are-cwm-tafmorgannwg/"</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https://cwmtaf.wales/we-are-cwm-tafmorgannwg/</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30/04/2019]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Fund our NHS (2019) </w:t>
      </w:r>
      <w:r>
        <w:rPr>
          <w:rFonts w:ascii="Times New Roman" w:hAnsi="Times New Roman"/>
          <w:i w:val="1"/>
          <w:iCs w:val="1"/>
          <w:sz w:val="24"/>
          <w:szCs w:val="24"/>
          <w:rtl w:val="0"/>
          <w:lang w:val="en-US"/>
        </w:rPr>
        <w:t>What's so good about the NHS?</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"https://nhsfunding.info/cure/can-we-afford-the-nhs/"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https://nhsfunding.info/cure/can-we-afford-the-nhs/</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GP one (2019) </w:t>
      </w:r>
      <w:r>
        <w:rPr>
          <w:rFonts w:ascii="Times New Roman" w:hAnsi="Times New Roman"/>
          <w:i w:val="1"/>
          <w:iCs w:val="1"/>
          <w:sz w:val="24"/>
          <w:szCs w:val="24"/>
          <w:rtl w:val="0"/>
          <w:lang w:val="de-DE"/>
        </w:rPr>
        <w:t>Structure</w:t>
      </w:r>
      <w:r>
        <w:rPr>
          <w:rFonts w:ascii="Times New Roman" w:hAnsi="Times New Roman"/>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"http://www.gpone.wales.nhs.uk/nhs-wales-structure"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http://www.gpone.wales.nhs.uk/nhs-wales-structure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26/04/2019]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Aneurin Bevan University Health Board</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"http://www.wales.nhs.uk/ourservices/directory/aneurinbevanuniversityhealthboard/"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http://www.wales.nhs.uk/ourservices/directory/aneurinbevanuniversityhealthboard/</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Betsi Cadwaladr University health board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"http://www.wales.nhs.uk/ourservices/directory/betsicadwaladruniversityhealthboard/"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http://www.wales.nhs.uk/ourservices/directory/betsicadwaladruniversityhealthboard/</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budget and charges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"https://www.wales.nhs.uk/nhswalesaboutus/budgetcharges"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https://www.wales.nhs.uk/nhswalesaboutus/budgetcharges</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Cardiff &amp; Vale University Health Board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"http://www.wales.nhs.uk/ourservices/directory/cardiffvaleuniversityhealthboard/"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http://www.wales.nhs.uk/ourservices/directory/cardiffvaleuniversityhealthboard/</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Cwm Taf Morgannwg University Health Board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"http://www.wales.nhs.uk/ourservices/directory/cwmtafmorgannwguniversityhealthboard/"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http://www.wales.nhs.uk/ourservices/directory/cwmtafmorgannwguniversityhealthboard/</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GP out of course services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"http://www.wales.nhs.uk/ourservices/gpoutofhoursservices"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http://www.wales.nhs.uk/ourservices/gpoutofhoursservices</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History &amp; Context</w:t>
      </w:r>
      <w:r>
        <w:rPr>
          <w:rFonts w:ascii="Times New Roman" w:hAnsi="Times New Roman"/>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"https://www.wales.nhs.uk/nhswalesaboutus/historycontext"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https://www.wales.nhs.uk/nhswalesaboutus/historycontext</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19/04/2014]</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Hywel Dda University Health Board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"http://www.wales.nhs.uk/ourservices/directory/hywelddauniversityhealthboard/"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http://www.wales.nhs.uk/ourservices/directory/hywelddauniversityhealthboard/</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Swansea Bay University Health Board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"http://www.wales.nhs.uk/ourservices/directory/swanseabayuniversityhealthboard/"</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http://www.wales.nhs.uk/ourservices/directory/swanseabayuniversityhealthboard/</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Lifestyles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"http://www.wales.nhs.uk/healthtopics/lifestyles"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http://www.wales.nhs.uk/healthtopics/lifestyles</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The NHS is celebrating its 70th birthday on 5 July 2018</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"https://www.wales.nhs.uk"</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https://www.wales.nhs.uk</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19/04/2019]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NHS </w:t>
      </w:r>
      <w:r>
        <w:rPr>
          <w:rFonts w:ascii="Times New Roman" w:hAnsi="Times New Roman"/>
          <w:i w:val="1"/>
          <w:iCs w:val="1"/>
          <w:sz w:val="24"/>
          <w:szCs w:val="24"/>
          <w:rtl w:val="0"/>
          <w:lang w:val="en-US"/>
        </w:rPr>
        <w:t xml:space="preserve">waiting times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"http://www.wales.nhs.uk/nhswalesaboutus/nhswaitingtimes"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http://www.wales.nhs.uk/nhswalesaboutus/nhswaitingtimes</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 xml:space="preserve">NHS Wales - About us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"http://www.wales.nhs.uk/nhswalesaboutus"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http://www.wales.nhs.uk/nhswalesaboutus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19/04/2019]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Health in Wales (2019) </w:t>
      </w:r>
      <w:r>
        <w:rPr>
          <w:rFonts w:ascii="Times New Roman" w:hAnsi="Times New Roman"/>
          <w:i w:val="1"/>
          <w:iCs w:val="1"/>
          <w:sz w:val="24"/>
          <w:szCs w:val="24"/>
          <w:rtl w:val="0"/>
          <w:lang w:val="en-US"/>
        </w:rPr>
        <w:t>Structure</w:t>
      </w:r>
      <w:r>
        <w:rPr>
          <w:rFonts w:ascii="Times New Roman" w:hAnsi="Times New Roman"/>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"http://www.wales.nhs.uk/nhswalesaboutus/structure"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http://www.wales.nhs.uk/nhswalesaboutus/structure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Hywel Dda University Health Board (2018) </w:t>
      </w:r>
      <w:r>
        <w:rPr>
          <w:rFonts w:ascii="Times New Roman" w:hAnsi="Times New Roman"/>
          <w:i w:val="1"/>
          <w:iCs w:val="1"/>
          <w:sz w:val="24"/>
          <w:szCs w:val="24"/>
          <w:rtl w:val="0"/>
          <w:lang w:val="en-US"/>
        </w:rPr>
        <w:t>Overview of Hywel Dda University Health Board</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"http://www.wales.nhs.uk/sitesplus/862/page/40317"</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http://www.wales.nhs.uk/sitesplus/862/page/40317</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ITV (2018) </w:t>
      </w:r>
      <w:r>
        <w:rPr>
          <w:rFonts w:ascii="Times New Roman" w:hAnsi="Times New Roman"/>
          <w:i w:val="1"/>
          <w:iCs w:val="1"/>
          <w:sz w:val="24"/>
          <w:szCs w:val="24"/>
          <w:rtl w:val="0"/>
          <w:lang w:val="en-US"/>
        </w:rPr>
        <w:t>'What we need now is to speed up change' in NHS Wales</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"https://www.itv.com/news/wales/2018-06-11/what-we-need-now-is-to-speed-up-change-in-nhs-wales/"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https://www.itv.com/news/wales/2018-06-11/what-we-need-now-is-to-speed-up-change-in-nhs-wales/</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Michael, P. Thompson, S. (2012) </w:t>
      </w:r>
      <w:r>
        <w:rPr>
          <w:rFonts w:ascii="Times New Roman" w:hAnsi="Times New Roman"/>
          <w:i w:val="1"/>
          <w:iCs w:val="1"/>
          <w:sz w:val="24"/>
          <w:szCs w:val="24"/>
          <w:rtl w:val="0"/>
          <w:lang w:val="en-US"/>
        </w:rPr>
        <w:t xml:space="preserve">Public Health in Wales (.1800-2012) A brief history </w:t>
      </w:r>
    </w:p>
    <w:p>
      <w:pPr>
        <w:pStyle w:val="Body"/>
        <w:rPr>
          <w:rFonts w:ascii="Times New Roman" w:cs="Times New Roman" w:hAnsi="Times New Roman" w:eastAsia="Times New Roman"/>
          <w:i w:val="1"/>
          <w:iCs w:val="1"/>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Guardian (2014) </w:t>
      </w:r>
      <w:r>
        <w:rPr>
          <w:rFonts w:ascii="Times New Roman" w:hAnsi="Times New Roman"/>
          <w:i w:val="1"/>
          <w:iCs w:val="1"/>
          <w:sz w:val="24"/>
          <w:szCs w:val="24"/>
          <w:rtl w:val="0"/>
          <w:lang w:val="en-US"/>
        </w:rPr>
        <w:t>Welsh NHS has worst waiting times in UK for life-saving diagnostic tests</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"https://www.theguardian.com/society/2014/apr/10/welsh-nhs-waiting-times-uk-tests-patients-wales"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https://www.theguardian.com/society/2014/apr/10/welsh-nhs-waiting-times-uk-tests-patients-wales</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Guardian (2001) </w:t>
      </w:r>
      <w:r>
        <w:rPr>
          <w:rFonts w:ascii="Times New Roman" w:hAnsi="Times New Roman"/>
          <w:i w:val="1"/>
          <w:iCs w:val="1"/>
          <w:sz w:val="24"/>
          <w:szCs w:val="24"/>
          <w:rtl w:val="0"/>
          <w:lang w:val="en-US"/>
        </w:rPr>
        <w:t>Why the NHS is bad for us</w:t>
      </w:r>
      <w:r>
        <w:rPr>
          <w:rFonts w:ascii="Times New Roman" w:hAnsi="Times New Roman"/>
          <w:i w:val="1"/>
          <w:iCs w:val="1"/>
          <w:sz w:val="24"/>
          <w:szCs w:val="24"/>
          <w:rtl w:val="0"/>
          <w:lang w:val="en-US"/>
        </w:rPr>
        <w:t xml:space="preserve">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"https://www.theguardian.com/politics/2001/oct/07/comment.comment"</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https://www.theguardian.com/politics/2001/oct/07/comment.comment</w:t>
      </w:r>
      <w:r>
        <w:rPr>
          <w:rFonts w:ascii="Times New Roman" w:cs="Times New Roman" w:hAnsi="Times New Roman" w:eastAsia="Times New Roman"/>
          <w:sz w:val="24"/>
          <w:szCs w:val="24"/>
        </w:rPr>
        <w:fldChar w:fldCharType="end" w:fldLock="0"/>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[accessed on: 30/04/2019]</w:t>
      </w:r>
    </w:p>
    <w:p>
      <w:pPr>
        <w:pStyle w:val="Body"/>
      </w:pPr>
      <w:r>
        <w:rPr>
          <w:rFonts w:ascii="Times New Roman" w:cs="Times New Roman" w:hAnsi="Times New Roman" w:eastAsia="Times New Roman"/>
          <w:sz w:val="24"/>
          <w:szCs w:val="24"/>
        </w:rPr>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 w:name="Tahoma">
    <w:charset w:val="00"/>
    <w:family w:val="roman"/>
    <w:pitch w:val="default"/>
  </w:font>
  <w:font w:name="Calibr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34" w:hanging="334"/>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276"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93"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109"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4025"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942"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858"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6775"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691"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Caption">
    <w:name w:val="Caption"/>
    <w:next w:val="Caption"/>
    <w:pPr>
      <w:keepNext w:val="0"/>
      <w:keepLines w:val="0"/>
      <w:pageBreakBefore w:val="0"/>
      <w:widowControl w:val="1"/>
      <w:shd w:val="clear" w:color="auto" w:fill="auto"/>
      <w:tabs>
        <w:tab w:val="left" w:pos="1150"/>
      </w:tabs>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1"/>
      <w:strike w:val="0"/>
      <w:dstrike w:val="0"/>
      <w:outline w:val="0"/>
      <w:color w:val="000000"/>
      <w:spacing w:val="0"/>
      <w:kern w:val="0"/>
      <w:position w:val="0"/>
      <w:sz w:val="20"/>
      <w:szCs w:val="20"/>
      <w:u w:val="none"/>
      <w:vertAlign w:val="baseline"/>
      <w:lang w:val="en-US"/>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chart" Target="charts/chart1.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charts/_rels/chart1.xml.rels><?xml version="1.0" encoding="UTF-8"?>
<Relationships xmlns="http://schemas.openxmlformats.org/package/2006/relationships"><Relationship Id="rId1"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Deaths per 10,000 attendances
Emergency Department (Major Units) Crude Mortality Rates
(Rolling 12 months to Jan-19)</a:t>
            </a:r>
          </a:p>
        </c:rich>
      </c:tx>
      <c:layout>
        <c:manualLayout>
          <c:xMode val="edge"/>
          <c:yMode val="edge"/>
          <c:x val="0"/>
          <c:y val="0"/>
          <c:w val="1"/>
          <c:h val="0.270574"/>
        </c:manualLayout>
      </c:layout>
      <c:overlay val="1"/>
      <c:spPr>
        <a:noFill/>
        <a:effectLst/>
      </c:spPr>
    </c:title>
    <c:autoTitleDeleted val="1"/>
    <c:plotArea>
      <c:layout>
        <c:manualLayout>
          <c:layoutTarget val="inner"/>
          <c:xMode val="edge"/>
          <c:yMode val="edge"/>
          <c:x val="0.0524886"/>
          <c:y val="0.270574"/>
          <c:w val="0.905173"/>
          <c:h val="0.666213"/>
        </c:manualLayout>
      </c:layout>
      <c:barChart>
        <c:barDir val="col"/>
        <c:grouping val="clustered"/>
        <c:varyColors val="0"/>
        <c:ser>
          <c:idx val="0"/>
          <c:order val="0"/>
          <c:tx>
            <c:strRef>
              <c:f>Sheet1!$A$2</c:f>
              <c:strCache>
                <c:ptCount val="1"/>
                <c:pt idx="0">
                  <c:v>Series1</c:v>
                </c:pt>
              </c:strCache>
            </c:strRef>
          </c:tx>
          <c:spPr>
            <a:solidFill>
              <a:srgbClr val="4F81BD"/>
            </a:solidFill>
            <a:ln w="12700" cap="flat">
              <a:noFill/>
              <a:miter lim="400000"/>
            </a:ln>
            <a:effectLst/>
          </c:spPr>
          <c:invertIfNegative val="0"/>
          <c:dLbls>
            <c:numFmt formatCode="0.0" sourceLinked="0"/>
            <c:txPr>
              <a:bodyPr/>
              <a:lstStyle/>
              <a:p>
                <a:pPr>
                  <a:defRPr b="0" i="0" strike="noStrike" sz="1000" u="none">
                    <a:solidFill>
                      <a:srgbClr val="000000"/>
                    </a:solidFill>
                    <a:latin typeface="Calibri"/>
                  </a:defRPr>
                </a:pPr>
              </a:p>
            </c:txPr>
            <c:dLblPos val="outEnd"/>
            <c:showLegendKey val="0"/>
            <c:showVal val="0"/>
            <c:showCatName val="0"/>
            <c:showSerName val="0"/>
            <c:showPercent val="0"/>
            <c:showBubbleSize val="0"/>
            <c:showLeaderLines val="0"/>
          </c:dLbls>
          <c:cat>
            <c:strRef>
              <c:f>Sheet1!$B$1:$N$1</c:f>
              <c:strCache>
                <c:ptCount val="13"/>
                <c:pt idx="0">
                  <c:v>Bronglais</c:v>
                </c:pt>
                <c:pt idx="1">
                  <c:v>Glangwili</c:v>
                </c:pt>
                <c:pt idx="2">
                  <c:v>Morriston</c:v>
                </c:pt>
                <c:pt idx="3">
                  <c:v>Nevill Hall</c:v>
                </c:pt>
                <c:pt idx="4">
                  <c:v>Prince Charles</c:v>
                </c:pt>
                <c:pt idx="5">
                  <c:v>Princess Of Wales</c:v>
                </c:pt>
                <c:pt idx="6">
                  <c:v>Royal Gwent</c:v>
                </c:pt>
                <c:pt idx="7">
                  <c:v>Royal Glamorgan</c:v>
                </c:pt>
                <c:pt idx="8">
                  <c:v>UHW</c:v>
                </c:pt>
                <c:pt idx="9">
                  <c:v>Withybush</c:v>
                </c:pt>
                <c:pt idx="10">
                  <c:v>Wrexham Maelor</c:v>
                </c:pt>
                <c:pt idx="11">
                  <c:v>Ysbyty Glan Clwyd</c:v>
                </c:pt>
                <c:pt idx="12">
                  <c:v>Ysbyty Gwynedd</c:v>
                </c:pt>
              </c:strCache>
            </c:strRef>
          </c:cat>
          <c:val>
            <c:numRef>
              <c:f>Sheet1!$B$2:$N$2</c:f>
              <c:numCache>
                <c:ptCount val="13"/>
                <c:pt idx="0">
                  <c:v>9.943323</c:v>
                </c:pt>
                <c:pt idx="1">
                  <c:v>15.721600</c:v>
                </c:pt>
                <c:pt idx="2">
                  <c:v>25.830480</c:v>
                </c:pt>
                <c:pt idx="3">
                  <c:v>13.694632</c:v>
                </c:pt>
                <c:pt idx="4">
                  <c:v>20.588431</c:v>
                </c:pt>
                <c:pt idx="5">
                  <c:v>15.575773</c:v>
                </c:pt>
                <c:pt idx="6">
                  <c:v>21.695918</c:v>
                </c:pt>
                <c:pt idx="7">
                  <c:v>16.208486</c:v>
                </c:pt>
                <c:pt idx="8">
                  <c:v>16.040530</c:v>
                </c:pt>
                <c:pt idx="9">
                  <c:v>22.001125</c:v>
                </c:pt>
                <c:pt idx="10">
                  <c:v>21.947830</c:v>
                </c:pt>
                <c:pt idx="11">
                  <c:v>33.778517</c:v>
                </c:pt>
                <c:pt idx="12">
                  <c:v>17.679645</c:v>
                </c:pt>
              </c:numCache>
            </c:numRef>
          </c:val>
        </c:ser>
        <c:gapWidth val="150"/>
        <c:overlap val="0"/>
        <c:axId val="2094734552"/>
        <c:axId val="2094734553"/>
      </c:barChart>
      <c:lineChart>
        <c:grouping val="standard"/>
        <c:varyColors val="0"/>
        <c:ser>
          <c:idx val="1"/>
          <c:order val="1"/>
          <c:tx>
            <c:strRef>
              <c:f>Sheet1!$A$3</c:f>
              <c:strCache>
                <c:ptCount val="1"/>
                <c:pt idx="0">
                  <c:v>Series2</c:v>
                </c:pt>
              </c:strCache>
            </c:strRef>
          </c:tx>
          <c:spPr>
            <a:noFill/>
            <a:ln w="28575" cap="flat">
              <a:solidFill>
                <a:srgbClr val="BE4B48"/>
              </a:solidFill>
              <a:prstDash val="solid"/>
              <a:round/>
            </a:ln>
            <a:effectLst/>
          </c:spPr>
          <c:marker>
            <c:symbol val="none"/>
            <c:size val="4"/>
            <c:spPr>
              <a:solidFill>
                <a:srgbClr val="000000">
                  <a:alpha val="0"/>
                </a:srgbClr>
              </a:solidFill>
              <a:ln w="28575" cap="flat">
                <a:solidFill>
                  <a:srgbClr val="BE4B48"/>
                </a:solidFill>
                <a:prstDash val="solid"/>
                <a:round/>
              </a:ln>
              <a:effectLst/>
            </c:spPr>
          </c:marker>
          <c:dLbls>
            <c:numFmt formatCode="0.0" sourceLinked="0"/>
            <c:txPr>
              <a:bodyPr/>
              <a:lstStyle/>
              <a:p>
                <a:pPr>
                  <a:defRPr b="0" i="0" strike="noStrike" sz="1000" u="none">
                    <a:solidFill>
                      <a:srgbClr val="000000"/>
                    </a:solidFill>
                    <a:latin typeface="Calibri"/>
                  </a:defRPr>
                </a:pPr>
              </a:p>
            </c:txPr>
            <c:dLblPos val="t"/>
            <c:showLegendKey val="0"/>
            <c:showVal val="0"/>
            <c:showCatName val="0"/>
            <c:showSerName val="0"/>
            <c:showPercent val="0"/>
            <c:showBubbleSize val="0"/>
            <c:showLeaderLines val="0"/>
          </c:dLbls>
          <c:cat>
            <c:strRef>
              <c:f>Sheet1!$B$1:$N$1</c:f>
              <c:strCache>
                <c:ptCount val="13"/>
                <c:pt idx="0">
                  <c:v>Bronglais</c:v>
                </c:pt>
                <c:pt idx="1">
                  <c:v>Glangwili</c:v>
                </c:pt>
                <c:pt idx="2">
                  <c:v>Morriston</c:v>
                </c:pt>
                <c:pt idx="3">
                  <c:v>Nevill Hall</c:v>
                </c:pt>
                <c:pt idx="4">
                  <c:v>Prince Charles</c:v>
                </c:pt>
                <c:pt idx="5">
                  <c:v>Princess Of Wales</c:v>
                </c:pt>
                <c:pt idx="6">
                  <c:v>Royal Gwent</c:v>
                </c:pt>
                <c:pt idx="7">
                  <c:v>Royal Glamorgan</c:v>
                </c:pt>
                <c:pt idx="8">
                  <c:v>UHW</c:v>
                </c:pt>
                <c:pt idx="9">
                  <c:v>Withybush</c:v>
                </c:pt>
                <c:pt idx="10">
                  <c:v>Wrexham Maelor</c:v>
                </c:pt>
                <c:pt idx="11">
                  <c:v>Ysbyty Glan Clwyd</c:v>
                </c:pt>
                <c:pt idx="12">
                  <c:v>Ysbyty Gwynedd</c:v>
                </c:pt>
              </c:strCache>
            </c:strRef>
          </c:cat>
          <c:val>
            <c:numRef>
              <c:f>Sheet1!$B$3:$N$3</c:f>
              <c:numCache>
                <c:ptCount val="13"/>
                <c:pt idx="0">
                  <c:v>19.661836</c:v>
                </c:pt>
                <c:pt idx="1">
                  <c:v>19.661836</c:v>
                </c:pt>
                <c:pt idx="2">
                  <c:v>19.661836</c:v>
                </c:pt>
                <c:pt idx="3">
                  <c:v>19.661836</c:v>
                </c:pt>
                <c:pt idx="4">
                  <c:v>19.661836</c:v>
                </c:pt>
                <c:pt idx="5">
                  <c:v>19.661836</c:v>
                </c:pt>
                <c:pt idx="6">
                  <c:v>19.661836</c:v>
                </c:pt>
                <c:pt idx="7">
                  <c:v>19.661836</c:v>
                </c:pt>
                <c:pt idx="8">
                  <c:v>19.661836</c:v>
                </c:pt>
                <c:pt idx="9">
                  <c:v>19.661836</c:v>
                </c:pt>
                <c:pt idx="10">
                  <c:v>19.661836</c:v>
                </c:pt>
                <c:pt idx="11">
                  <c:v>19.661836</c:v>
                </c:pt>
                <c:pt idx="12">
                  <c:v>19.661836</c:v>
                </c:pt>
              </c:numCache>
            </c:numRef>
          </c:val>
          <c:smooth val="0"/>
        </c:ser>
        <c:marker val="1"/>
        <c:axId val="2094734552"/>
        <c:axId val="2094734553"/>
      </c:lineChart>
      <c:catAx>
        <c:axId val="2094734552"/>
        <c:scaling>
          <c:orientation val="minMax"/>
        </c:scaling>
        <c:delete val="0"/>
        <c:axPos val="b"/>
        <c:numFmt formatCode="0.0" sourceLinked="0"/>
        <c:majorTickMark val="out"/>
        <c:minorTickMark val="none"/>
        <c:tickLblPos val="low"/>
        <c:spPr>
          <a:ln w="12700" cap="flat">
            <a:solidFill>
              <a:srgbClr val="888888"/>
            </a:solidFill>
            <a:prstDash val="solid"/>
            <a:round/>
          </a:ln>
        </c:spPr>
        <c:txPr>
          <a:bodyPr rot="0"/>
          <a:lstStyle/>
          <a:p>
            <a:pPr>
              <a:defRPr b="0" i="0" strike="noStrike" sz="1000" u="none">
                <a:solidFill>
                  <a:srgbClr val="000000"/>
                </a:solidFill>
                <a:latin typeface="Calibri"/>
              </a:defRPr>
            </a:pPr>
          </a:p>
        </c:txPr>
        <c:crossAx val="2094734553"/>
        <c:crosses val="autoZero"/>
        <c:auto val="1"/>
        <c:lblAlgn val="ctr"/>
        <c:noMultiLvlLbl val="1"/>
      </c:catAx>
      <c:valAx>
        <c:axId val="2094734553"/>
        <c:scaling>
          <c:orientation val="minMax"/>
        </c:scaling>
        <c:delete val="0"/>
        <c:axPos val="l"/>
        <c:majorGridlines>
          <c:spPr>
            <a:ln w="12700" cap="flat">
              <a:solidFill>
                <a:srgbClr val="888888"/>
              </a:solidFill>
              <a:prstDash val="solid"/>
              <a:round/>
            </a:ln>
          </c:spPr>
        </c:majorGridlines>
        <c:numFmt formatCode="0" sourceLinked="0"/>
        <c:majorTickMark val="out"/>
        <c:minorTickMark val="none"/>
        <c:tickLblPos val="nextTo"/>
        <c:spPr>
          <a:ln w="12700" cap="flat">
            <a:solidFill>
              <a:srgbClr val="888888"/>
            </a:solidFill>
            <a:prstDash val="solid"/>
            <a:round/>
          </a:ln>
        </c:spPr>
        <c:txPr>
          <a:bodyPr rot="0"/>
          <a:lstStyle/>
          <a:p>
            <a:pPr>
              <a:defRPr b="0" i="0" strike="noStrike" sz="1000" u="none">
                <a:solidFill>
                  <a:srgbClr val="000000"/>
                </a:solidFill>
                <a:latin typeface="Calibri"/>
              </a:defRPr>
            </a:pPr>
          </a:p>
        </c:txPr>
        <c:crossAx val="2094734552"/>
        <c:crosses val="autoZero"/>
        <c:crossBetween val="between"/>
        <c:majorUnit val="10"/>
        <c:minorUnit val="5"/>
      </c:valAx>
      <c:spPr>
        <a:solidFill>
          <a:srgbClr val="FFFFFF"/>
        </a:solidFill>
        <a:ln w="12700" cap="flat">
          <a:noFill/>
          <a:miter lim="400000"/>
        </a:ln>
        <a:effectLst/>
      </c:spPr>
    </c:plotArea>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