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E973CA2" w14:textId="297D747B" w:rsidR="002D24DD" w:rsidRPr="002D24DD" w:rsidRDefault="002D24DD" w:rsidP="00C961FB">
      <w:pPr>
        <w:jc w:val="both"/>
        <w:rPr>
          <w:rFonts w:cstheme="minorHAnsi"/>
          <w:b/>
          <w:bCs/>
        </w:rPr>
      </w:pPr>
      <w:r w:rsidRPr="002D24DD">
        <w:rPr>
          <w:rFonts w:cstheme="minorHAnsi"/>
          <w:b/>
          <w:bCs/>
        </w:rPr>
        <w:t>Reflective Report</w:t>
      </w:r>
    </w:p>
    <w:p w14:paraId="55DF7E8B" w14:textId="13FDE30B" w:rsidR="002D24DD" w:rsidRPr="002D24DD" w:rsidRDefault="002D24DD" w:rsidP="00C961FB">
      <w:pPr>
        <w:jc w:val="both"/>
        <w:rPr>
          <w:rFonts w:cstheme="minorHAnsi"/>
          <w:i/>
          <w:iCs/>
          <w:sz w:val="21"/>
          <w:szCs w:val="21"/>
        </w:rPr>
      </w:pPr>
      <w:r w:rsidRPr="002D24DD">
        <w:rPr>
          <w:rFonts w:cstheme="minorHAnsi"/>
          <w:i/>
          <w:iCs/>
          <w:sz w:val="21"/>
          <w:szCs w:val="21"/>
        </w:rPr>
        <w:t>Matthew Youde</w:t>
      </w:r>
    </w:p>
    <w:p w14:paraId="3370B086" w14:textId="6E11091B" w:rsidR="0093163F" w:rsidRDefault="00D77EE5" w:rsidP="00C961FB">
      <w:pPr>
        <w:jc w:val="both"/>
        <w:rPr>
          <w:rFonts w:cstheme="minorHAnsi"/>
          <w:sz w:val="21"/>
          <w:szCs w:val="21"/>
        </w:rPr>
      </w:pPr>
      <w:r w:rsidRPr="009F49C3">
        <w:rPr>
          <w:rFonts w:cstheme="minorHAnsi"/>
          <w:sz w:val="21"/>
          <w:szCs w:val="21"/>
        </w:rPr>
        <w:t>It has been a difficult start to my project given the switch from part-time to full time, which resulted in submit</w:t>
      </w:r>
      <w:r w:rsidR="0093163F">
        <w:rPr>
          <w:rFonts w:cstheme="minorHAnsi"/>
          <w:sz w:val="21"/>
          <w:szCs w:val="21"/>
        </w:rPr>
        <w:t>ting</w:t>
      </w:r>
      <w:r w:rsidRPr="009F49C3">
        <w:rPr>
          <w:rFonts w:cstheme="minorHAnsi"/>
          <w:sz w:val="21"/>
          <w:szCs w:val="21"/>
        </w:rPr>
        <w:t xml:space="preserve"> my proposal </w:t>
      </w:r>
      <w:r w:rsidR="0093163F">
        <w:rPr>
          <w:rFonts w:cstheme="minorHAnsi"/>
          <w:sz w:val="21"/>
          <w:szCs w:val="21"/>
        </w:rPr>
        <w:t>in October</w:t>
      </w:r>
      <w:r w:rsidRPr="009F49C3">
        <w:rPr>
          <w:rFonts w:cstheme="minorHAnsi"/>
          <w:sz w:val="21"/>
          <w:szCs w:val="21"/>
        </w:rPr>
        <w:t xml:space="preserve"> rather than before the summer. I have also only recently secured a supervisor. However, I am happy with the discussions I have had with course directors and other staff</w:t>
      </w:r>
      <w:r w:rsidR="0093163F">
        <w:rPr>
          <w:rFonts w:cstheme="minorHAnsi"/>
          <w:sz w:val="21"/>
          <w:szCs w:val="21"/>
        </w:rPr>
        <w:t>, and have had my first meeting with my Supervisor, Jenny</w:t>
      </w:r>
      <w:r w:rsidRPr="009F49C3">
        <w:rPr>
          <w:rFonts w:cstheme="minorHAnsi"/>
          <w:sz w:val="21"/>
          <w:szCs w:val="21"/>
        </w:rPr>
        <w:t xml:space="preserve"> Day</w:t>
      </w:r>
      <w:r w:rsidR="0093163F">
        <w:rPr>
          <w:rFonts w:cstheme="minorHAnsi"/>
          <w:sz w:val="21"/>
          <w:szCs w:val="21"/>
        </w:rPr>
        <w:t>, whose</w:t>
      </w:r>
      <w:r w:rsidRPr="009F49C3">
        <w:rPr>
          <w:rFonts w:cstheme="minorHAnsi"/>
          <w:sz w:val="21"/>
          <w:szCs w:val="21"/>
        </w:rPr>
        <w:t xml:space="preserve"> interests and expertise will be of particular use </w:t>
      </w:r>
      <w:r w:rsidR="00C961FB" w:rsidRPr="009F49C3">
        <w:rPr>
          <w:rFonts w:cstheme="minorHAnsi"/>
          <w:sz w:val="21"/>
          <w:szCs w:val="21"/>
        </w:rPr>
        <w:t xml:space="preserve">to my project both in content and in ensuring any assumptions I have relating to my research question(s) is/are addressed comprehensively. </w:t>
      </w:r>
      <w:r w:rsidR="00BA1194" w:rsidRPr="009F49C3">
        <w:rPr>
          <w:rFonts w:cstheme="minorHAnsi"/>
          <w:sz w:val="21"/>
          <w:szCs w:val="21"/>
        </w:rPr>
        <w:t>Additionally, any disadvantages I face starting later than most are partially mitigated, in my view, by the fact that the key themes, questions and approaches to this Dissertation have been in my mind since very early on in this course.</w:t>
      </w:r>
    </w:p>
    <w:p w14:paraId="1CC014FD" w14:textId="39865700" w:rsidR="00E748F9" w:rsidRPr="009F49C3" w:rsidRDefault="00322387" w:rsidP="00F85CF7">
      <w:pPr>
        <w:jc w:val="both"/>
        <w:rPr>
          <w:rFonts w:cstheme="minorHAnsi"/>
          <w:sz w:val="21"/>
          <w:szCs w:val="21"/>
        </w:rPr>
      </w:pPr>
      <w:r>
        <w:rPr>
          <w:rFonts w:cstheme="minorHAnsi"/>
          <w:sz w:val="21"/>
          <w:szCs w:val="21"/>
        </w:rPr>
        <w:t xml:space="preserve">Initially </w:t>
      </w:r>
      <w:r w:rsidR="00051C21" w:rsidRPr="009F49C3">
        <w:rPr>
          <w:rFonts w:cstheme="minorHAnsi"/>
          <w:sz w:val="21"/>
          <w:szCs w:val="21"/>
        </w:rPr>
        <w:t>I ha</w:t>
      </w:r>
      <w:r>
        <w:rPr>
          <w:rFonts w:cstheme="minorHAnsi"/>
          <w:sz w:val="21"/>
          <w:szCs w:val="21"/>
        </w:rPr>
        <w:t>d</w:t>
      </w:r>
      <w:r w:rsidR="00051C21" w:rsidRPr="009F49C3">
        <w:rPr>
          <w:rFonts w:cstheme="minorHAnsi"/>
          <w:sz w:val="21"/>
          <w:szCs w:val="21"/>
        </w:rPr>
        <w:t xml:space="preserve"> determined that my research interest represent</w:t>
      </w:r>
      <w:r>
        <w:rPr>
          <w:rFonts w:cstheme="minorHAnsi"/>
          <w:sz w:val="21"/>
          <w:szCs w:val="21"/>
        </w:rPr>
        <w:t>ed</w:t>
      </w:r>
      <w:r w:rsidR="00051C21" w:rsidRPr="009F49C3">
        <w:rPr>
          <w:rFonts w:cstheme="minorHAnsi"/>
          <w:sz w:val="21"/>
          <w:szCs w:val="21"/>
        </w:rPr>
        <w:t xml:space="preserve"> a genuine gap: as far as I c</w:t>
      </w:r>
      <w:r>
        <w:rPr>
          <w:rFonts w:cstheme="minorHAnsi"/>
          <w:sz w:val="21"/>
          <w:szCs w:val="21"/>
        </w:rPr>
        <w:t>ould</w:t>
      </w:r>
      <w:r w:rsidR="00051C21" w:rsidRPr="009F49C3">
        <w:rPr>
          <w:rFonts w:cstheme="minorHAnsi"/>
          <w:sz w:val="21"/>
          <w:szCs w:val="21"/>
        </w:rPr>
        <w:t xml:space="preserve"> establish, no serious enquiry </w:t>
      </w:r>
      <w:r w:rsidR="0067241C" w:rsidRPr="009F49C3">
        <w:rPr>
          <w:rFonts w:cstheme="minorHAnsi"/>
          <w:sz w:val="21"/>
          <w:szCs w:val="21"/>
        </w:rPr>
        <w:t>in</w:t>
      </w:r>
      <w:r w:rsidR="00051C21" w:rsidRPr="009F49C3">
        <w:rPr>
          <w:rFonts w:cstheme="minorHAnsi"/>
          <w:sz w:val="21"/>
          <w:szCs w:val="21"/>
        </w:rPr>
        <w:t>to the continuity of the torc as a discrete material artefact with a specific socio-cultural association (IE with a warrior elite/band)</w:t>
      </w:r>
      <w:r w:rsidR="0067241C" w:rsidRPr="009F49C3">
        <w:rPr>
          <w:rFonts w:cstheme="minorHAnsi"/>
          <w:sz w:val="21"/>
          <w:szCs w:val="21"/>
        </w:rPr>
        <w:t xml:space="preserve"> beyond the Roman era ha</w:t>
      </w:r>
      <w:r>
        <w:rPr>
          <w:rFonts w:cstheme="minorHAnsi"/>
          <w:sz w:val="21"/>
          <w:szCs w:val="21"/>
        </w:rPr>
        <w:t>d</w:t>
      </w:r>
      <w:r w:rsidR="0067241C" w:rsidRPr="009F49C3">
        <w:rPr>
          <w:rFonts w:cstheme="minorHAnsi"/>
          <w:sz w:val="21"/>
          <w:szCs w:val="21"/>
        </w:rPr>
        <w:t xml:space="preserve"> been made.</w:t>
      </w:r>
      <w:r w:rsidR="00D17721" w:rsidRPr="009F49C3">
        <w:rPr>
          <w:rFonts w:cstheme="minorHAnsi"/>
          <w:sz w:val="21"/>
          <w:szCs w:val="21"/>
        </w:rPr>
        <w:t xml:space="preserve"> </w:t>
      </w:r>
      <w:r>
        <w:rPr>
          <w:rFonts w:cstheme="minorHAnsi"/>
          <w:sz w:val="21"/>
          <w:szCs w:val="21"/>
        </w:rPr>
        <w:t xml:space="preserve">My supervisor was able to point me towards vital scholarship which compelled me to correct this assumption, which is what I was hoping; nonetheless my interest remains an underexplored and underexamined one. </w:t>
      </w:r>
      <w:r w:rsidR="00E748F9">
        <w:rPr>
          <w:rFonts w:cstheme="minorHAnsi"/>
          <w:sz w:val="21"/>
          <w:szCs w:val="21"/>
        </w:rPr>
        <w:t>I have been able to expand my bibliography and in doing so enable my literature review</w:t>
      </w:r>
      <w:r w:rsidR="00E470C0">
        <w:rPr>
          <w:rFonts w:cstheme="minorHAnsi"/>
          <w:sz w:val="21"/>
          <w:szCs w:val="21"/>
        </w:rPr>
        <w:t xml:space="preserve"> – which</w:t>
      </w:r>
      <w:r w:rsidR="00E748F9">
        <w:rPr>
          <w:rFonts w:cstheme="minorHAnsi"/>
          <w:sz w:val="21"/>
          <w:szCs w:val="21"/>
        </w:rPr>
        <w:t xml:space="preserve"> I have </w:t>
      </w:r>
      <w:r w:rsidR="00E470C0">
        <w:rPr>
          <w:rFonts w:cstheme="minorHAnsi"/>
          <w:sz w:val="21"/>
          <w:szCs w:val="21"/>
        </w:rPr>
        <w:t>started – to</w:t>
      </w:r>
      <w:r w:rsidR="00E748F9">
        <w:rPr>
          <w:rFonts w:cstheme="minorHAnsi"/>
          <w:sz w:val="21"/>
          <w:szCs w:val="21"/>
        </w:rPr>
        <w:t xml:space="preserve"> engage with my central questions more specifically, rather than discern general context </w:t>
      </w:r>
      <w:r w:rsidR="002362E8">
        <w:rPr>
          <w:rFonts w:cstheme="minorHAnsi"/>
          <w:sz w:val="21"/>
          <w:szCs w:val="21"/>
        </w:rPr>
        <w:t>for</w:t>
      </w:r>
      <w:r w:rsidR="00E748F9">
        <w:rPr>
          <w:rFonts w:cstheme="minorHAnsi"/>
          <w:sz w:val="21"/>
          <w:szCs w:val="21"/>
        </w:rPr>
        <w:t xml:space="preserve"> them. I have considered how to approach the literature review itself, and have discussed this with both my Supervisor and one of the Course Directors. Though still undecided, and open to seeing what works best as I continue my first draft, I am leaning towards a more integrated treatment of the literature, weaving it through my chapters and arguments rather than having a discrete portion of the dissertation for it. I think this will help me utilise the word count more effectively!</w:t>
      </w:r>
    </w:p>
    <w:p w14:paraId="0EF7D2E7" w14:textId="52AF72E8" w:rsidR="00BD2AA9" w:rsidRPr="009F49C3" w:rsidRDefault="00BD2AA9" w:rsidP="00F85CF7">
      <w:pPr>
        <w:jc w:val="both"/>
        <w:rPr>
          <w:rFonts w:cstheme="minorHAnsi"/>
          <w:sz w:val="21"/>
          <w:szCs w:val="21"/>
        </w:rPr>
      </w:pPr>
      <w:r w:rsidRPr="009F49C3">
        <w:rPr>
          <w:rFonts w:cstheme="minorHAnsi"/>
          <w:sz w:val="21"/>
          <w:szCs w:val="21"/>
        </w:rPr>
        <w:t xml:space="preserve">I have begun to </w:t>
      </w:r>
      <w:r w:rsidR="00AF2C3B">
        <w:rPr>
          <w:rFonts w:cstheme="minorHAnsi"/>
          <w:sz w:val="21"/>
          <w:szCs w:val="21"/>
        </w:rPr>
        <w:t>draft</w:t>
      </w:r>
      <w:r w:rsidRPr="009F49C3">
        <w:rPr>
          <w:rFonts w:cstheme="minorHAnsi"/>
          <w:sz w:val="21"/>
          <w:szCs w:val="21"/>
        </w:rPr>
        <w:t xml:space="preserve"> the first </w:t>
      </w:r>
      <w:r w:rsidR="00C63807">
        <w:rPr>
          <w:rFonts w:cstheme="minorHAnsi"/>
          <w:sz w:val="21"/>
          <w:szCs w:val="21"/>
        </w:rPr>
        <w:t>chapter</w:t>
      </w:r>
      <w:r w:rsidRPr="009F49C3">
        <w:rPr>
          <w:rFonts w:cstheme="minorHAnsi"/>
          <w:sz w:val="21"/>
          <w:szCs w:val="21"/>
        </w:rPr>
        <w:t xml:space="preserve"> of my dissertation summaris</w:t>
      </w:r>
      <w:r w:rsidR="00AF2C3B">
        <w:rPr>
          <w:rFonts w:cstheme="minorHAnsi"/>
          <w:sz w:val="21"/>
          <w:szCs w:val="21"/>
        </w:rPr>
        <w:t>ing</w:t>
      </w:r>
      <w:r w:rsidR="00D066AA">
        <w:rPr>
          <w:rFonts w:cstheme="minorHAnsi"/>
          <w:sz w:val="21"/>
          <w:szCs w:val="21"/>
        </w:rPr>
        <w:t xml:space="preserve"> the</w:t>
      </w:r>
      <w:r w:rsidRPr="009F49C3">
        <w:rPr>
          <w:rFonts w:cstheme="minorHAnsi"/>
          <w:sz w:val="21"/>
          <w:szCs w:val="21"/>
        </w:rPr>
        <w:t xml:space="preserve"> archaeological and classical sources</w:t>
      </w:r>
      <w:r w:rsidR="00D066AA">
        <w:rPr>
          <w:rFonts w:cstheme="minorHAnsi"/>
          <w:sz w:val="21"/>
          <w:szCs w:val="21"/>
        </w:rPr>
        <w:t xml:space="preserve"> for the Torc in the ancient world</w:t>
      </w:r>
      <w:r w:rsidR="00482E0A">
        <w:rPr>
          <w:rFonts w:cstheme="minorHAnsi"/>
          <w:sz w:val="21"/>
          <w:szCs w:val="21"/>
        </w:rPr>
        <w:t xml:space="preserve"> (and scholarship about them)</w:t>
      </w:r>
      <w:r w:rsidRPr="009F49C3">
        <w:rPr>
          <w:rFonts w:cstheme="minorHAnsi"/>
          <w:sz w:val="21"/>
          <w:szCs w:val="21"/>
        </w:rPr>
        <w:t xml:space="preserve">. It also enquires as to the reasons for the Torc falling out of use (and stops to consider whether this question is </w:t>
      </w:r>
      <w:r w:rsidR="000D5954" w:rsidRPr="009F49C3">
        <w:rPr>
          <w:rFonts w:cstheme="minorHAnsi"/>
          <w:sz w:val="21"/>
          <w:szCs w:val="21"/>
        </w:rPr>
        <w:t>as rigorous as it could be, since it may be the case that Torcs were never particularly heavily used, and perhaps always more ceremonial)</w:t>
      </w:r>
      <w:r w:rsidRPr="009F49C3">
        <w:rPr>
          <w:rFonts w:cstheme="minorHAnsi"/>
          <w:sz w:val="21"/>
          <w:szCs w:val="21"/>
        </w:rPr>
        <w:t xml:space="preserve">. I </w:t>
      </w:r>
      <w:r w:rsidR="00D066AA">
        <w:rPr>
          <w:rFonts w:cstheme="minorHAnsi"/>
          <w:sz w:val="21"/>
          <w:szCs w:val="21"/>
        </w:rPr>
        <w:t>am</w:t>
      </w:r>
      <w:r w:rsidRPr="009F49C3">
        <w:rPr>
          <w:rFonts w:cstheme="minorHAnsi"/>
          <w:sz w:val="21"/>
          <w:szCs w:val="21"/>
        </w:rPr>
        <w:t xml:space="preserve"> examin</w:t>
      </w:r>
      <w:r w:rsidR="00D066AA">
        <w:rPr>
          <w:rFonts w:cstheme="minorHAnsi"/>
          <w:sz w:val="21"/>
          <w:szCs w:val="21"/>
        </w:rPr>
        <w:t>ing</w:t>
      </w:r>
      <w:r w:rsidRPr="009F49C3">
        <w:rPr>
          <w:rFonts w:cstheme="minorHAnsi"/>
          <w:sz w:val="21"/>
          <w:szCs w:val="21"/>
        </w:rPr>
        <w:t xml:space="preserve"> </w:t>
      </w:r>
      <w:r w:rsidR="000D5954" w:rsidRPr="009F49C3">
        <w:rPr>
          <w:rFonts w:cstheme="minorHAnsi"/>
          <w:sz w:val="21"/>
          <w:szCs w:val="21"/>
        </w:rPr>
        <w:t>several reasons, including the advent of Christianity and it</w:t>
      </w:r>
      <w:r w:rsidR="003C6629" w:rsidRPr="009F49C3">
        <w:rPr>
          <w:rFonts w:cstheme="minorHAnsi"/>
          <w:sz w:val="21"/>
          <w:szCs w:val="21"/>
        </w:rPr>
        <w:t>s</w:t>
      </w:r>
      <w:r w:rsidR="000D5954" w:rsidRPr="009F49C3">
        <w:rPr>
          <w:rFonts w:cstheme="minorHAnsi"/>
          <w:sz w:val="21"/>
          <w:szCs w:val="21"/>
        </w:rPr>
        <w:t xml:space="preserve"> potential impact on materialism in culture,</w:t>
      </w:r>
      <w:r w:rsidR="000D5954" w:rsidRPr="009F49C3">
        <w:rPr>
          <w:rStyle w:val="FootnoteReference"/>
          <w:rFonts w:cstheme="minorHAnsi"/>
          <w:sz w:val="21"/>
          <w:szCs w:val="21"/>
        </w:rPr>
        <w:footnoteReference w:id="1"/>
      </w:r>
      <w:r w:rsidR="000D5954" w:rsidRPr="009F49C3">
        <w:rPr>
          <w:rFonts w:cstheme="minorHAnsi"/>
          <w:sz w:val="21"/>
          <w:szCs w:val="21"/>
        </w:rPr>
        <w:t xml:space="preserve"> globalism within the Roman Empire and its effect on local culture and custom, and the standardisation of coinage as the unit of trade and store of value, rather than Torcs and other gold artefacts which could, by some theories, have been worn during transportation and then melted down and traded at destination</w:t>
      </w:r>
      <w:r w:rsidR="008222E1">
        <w:rPr>
          <w:rStyle w:val="FootnoteReference"/>
          <w:rFonts w:cstheme="minorHAnsi"/>
          <w:sz w:val="21"/>
          <w:szCs w:val="21"/>
        </w:rPr>
        <w:footnoteReference w:id="2"/>
      </w:r>
      <w:r w:rsidR="000D5954" w:rsidRPr="009F49C3">
        <w:rPr>
          <w:rFonts w:cstheme="minorHAnsi"/>
          <w:sz w:val="21"/>
          <w:szCs w:val="21"/>
        </w:rPr>
        <w:t>.</w:t>
      </w:r>
      <w:r w:rsidR="00811D65" w:rsidRPr="009F49C3">
        <w:rPr>
          <w:rFonts w:cstheme="minorHAnsi"/>
          <w:sz w:val="21"/>
          <w:szCs w:val="21"/>
        </w:rPr>
        <w:t xml:space="preserve"> The collapse of personal and ‘state’ wealth in the immediate post-Roman era is also being considered.</w:t>
      </w:r>
      <w:r w:rsidR="00712962" w:rsidRPr="009F49C3">
        <w:rPr>
          <w:rFonts w:cstheme="minorHAnsi"/>
          <w:sz w:val="21"/>
          <w:szCs w:val="21"/>
        </w:rPr>
        <w:t xml:space="preserve"> More reading, and the sourcing of relevant academic writing on early medieval British archaeology is needed.</w:t>
      </w:r>
    </w:p>
    <w:p w14:paraId="1E2A54C2" w14:textId="720E9C66" w:rsidR="00727B15" w:rsidRPr="00474B91" w:rsidRDefault="00474B91" w:rsidP="00051C21">
      <w:pPr>
        <w:jc w:val="both"/>
        <w:rPr>
          <w:rFonts w:cstheme="minorHAnsi"/>
          <w:sz w:val="21"/>
          <w:szCs w:val="21"/>
          <w:shd w:val="clear" w:color="auto" w:fill="FFFFFF"/>
        </w:rPr>
      </w:pPr>
      <w:r>
        <w:rPr>
          <w:rFonts w:cstheme="minorHAnsi"/>
          <w:sz w:val="21"/>
          <w:szCs w:val="21"/>
        </w:rPr>
        <w:t>My second section</w:t>
      </w:r>
      <w:r w:rsidR="00727B15" w:rsidRPr="009F49C3">
        <w:rPr>
          <w:rFonts w:cstheme="minorHAnsi"/>
          <w:sz w:val="21"/>
          <w:szCs w:val="21"/>
        </w:rPr>
        <w:t xml:space="preserve"> will analyse the Torc in medieval Welsh </w:t>
      </w:r>
      <w:r w:rsidR="00482E0A">
        <w:rPr>
          <w:rFonts w:cstheme="minorHAnsi"/>
          <w:sz w:val="21"/>
          <w:szCs w:val="21"/>
        </w:rPr>
        <w:t>(</w:t>
      </w:r>
      <w:r w:rsidR="00727B15" w:rsidRPr="009F49C3">
        <w:rPr>
          <w:rFonts w:cstheme="minorHAnsi"/>
          <w:sz w:val="21"/>
          <w:szCs w:val="21"/>
        </w:rPr>
        <w:t>and Irish</w:t>
      </w:r>
      <w:r w:rsidR="00482E0A">
        <w:rPr>
          <w:rFonts w:cstheme="minorHAnsi"/>
          <w:sz w:val="21"/>
          <w:szCs w:val="21"/>
        </w:rPr>
        <w:t>)</w:t>
      </w:r>
      <w:r w:rsidR="00727B15" w:rsidRPr="009F49C3">
        <w:rPr>
          <w:rFonts w:cstheme="minorHAnsi"/>
          <w:sz w:val="21"/>
          <w:szCs w:val="21"/>
        </w:rPr>
        <w:t xml:space="preserve"> Literature to determine whether it represents both/either evidence of a continued and contemporary existence of torcs as a discrete artefact and/or a </w:t>
      </w:r>
      <w:r w:rsidR="00482E0A">
        <w:rPr>
          <w:rFonts w:cstheme="minorHAnsi"/>
          <w:sz w:val="21"/>
          <w:szCs w:val="21"/>
        </w:rPr>
        <w:t>self-</w:t>
      </w:r>
      <w:r w:rsidR="00727B15" w:rsidRPr="009F49C3">
        <w:rPr>
          <w:rFonts w:cstheme="minorHAnsi"/>
          <w:sz w:val="21"/>
          <w:szCs w:val="21"/>
        </w:rPr>
        <w:t xml:space="preserve">conscious literary device that nonetheless demonstrates a continuity of meaning from the ancient world. </w:t>
      </w:r>
      <w:r>
        <w:rPr>
          <w:rFonts w:cstheme="minorHAnsi"/>
          <w:sz w:val="21"/>
          <w:szCs w:val="21"/>
        </w:rPr>
        <w:t>Looking at texts such as the</w:t>
      </w:r>
      <w:r w:rsidR="00727B15" w:rsidRPr="009F49C3">
        <w:rPr>
          <w:rFonts w:cstheme="minorHAnsi"/>
          <w:sz w:val="21"/>
          <w:szCs w:val="21"/>
        </w:rPr>
        <w:t xml:space="preserve"> </w:t>
      </w:r>
      <w:r w:rsidR="00727B15" w:rsidRPr="00482E0A">
        <w:rPr>
          <w:rFonts w:cstheme="minorHAnsi"/>
          <w:i/>
          <w:iCs/>
          <w:sz w:val="21"/>
          <w:szCs w:val="21"/>
        </w:rPr>
        <w:t>Gododdin</w:t>
      </w:r>
      <w:r>
        <w:rPr>
          <w:rFonts w:cstheme="minorHAnsi"/>
          <w:i/>
          <w:iCs/>
          <w:sz w:val="21"/>
          <w:szCs w:val="21"/>
        </w:rPr>
        <w:t xml:space="preserve">, </w:t>
      </w:r>
      <w:r>
        <w:rPr>
          <w:rFonts w:cstheme="minorHAnsi"/>
          <w:sz w:val="21"/>
          <w:szCs w:val="21"/>
        </w:rPr>
        <w:t xml:space="preserve">The </w:t>
      </w:r>
      <w:r>
        <w:rPr>
          <w:rFonts w:cstheme="minorHAnsi"/>
          <w:i/>
          <w:iCs/>
          <w:sz w:val="21"/>
          <w:szCs w:val="21"/>
        </w:rPr>
        <w:t xml:space="preserve">Mabinogion </w:t>
      </w:r>
      <w:r>
        <w:rPr>
          <w:rFonts w:cstheme="minorHAnsi"/>
          <w:sz w:val="21"/>
          <w:szCs w:val="21"/>
        </w:rPr>
        <w:t xml:space="preserve">and the Poetry of the Princes, I will examine whether </w:t>
      </w:r>
      <w:r>
        <w:rPr>
          <w:rFonts w:cstheme="minorHAnsi"/>
          <w:sz w:val="21"/>
          <w:szCs w:val="21"/>
          <w:shd w:val="clear" w:color="auto" w:fill="FFFFFF"/>
        </w:rPr>
        <w:t xml:space="preserve">representations of Torcs, or even simply uses of the word </w:t>
      </w:r>
      <w:r>
        <w:rPr>
          <w:rFonts w:cstheme="minorHAnsi"/>
          <w:i/>
          <w:iCs/>
          <w:sz w:val="21"/>
          <w:szCs w:val="21"/>
          <w:shd w:val="clear" w:color="auto" w:fill="FFFFFF"/>
        </w:rPr>
        <w:t>torch,</w:t>
      </w:r>
      <w:r w:rsidR="00727B15" w:rsidRPr="009F49C3">
        <w:rPr>
          <w:rFonts w:cstheme="minorHAnsi"/>
          <w:sz w:val="21"/>
          <w:szCs w:val="21"/>
          <w:shd w:val="clear" w:color="auto" w:fill="FFFFFF"/>
        </w:rPr>
        <w:t xml:space="preserve"> </w:t>
      </w:r>
      <w:r>
        <w:rPr>
          <w:rFonts w:cstheme="minorHAnsi"/>
          <w:sz w:val="21"/>
          <w:szCs w:val="21"/>
          <w:shd w:val="clear" w:color="auto" w:fill="FFFFFF"/>
        </w:rPr>
        <w:t>signify an</w:t>
      </w:r>
      <w:r w:rsidR="00727B15" w:rsidRPr="009F49C3">
        <w:rPr>
          <w:rFonts w:cstheme="minorHAnsi"/>
          <w:sz w:val="21"/>
          <w:szCs w:val="21"/>
          <w:shd w:val="clear" w:color="auto" w:fill="FFFFFF"/>
        </w:rPr>
        <w:t xml:space="preserve"> </w:t>
      </w:r>
      <w:r>
        <w:rPr>
          <w:rFonts w:cstheme="minorHAnsi"/>
          <w:sz w:val="21"/>
          <w:szCs w:val="21"/>
          <w:shd w:val="clear" w:color="auto" w:fill="FFFFFF"/>
        </w:rPr>
        <w:t xml:space="preserve">extant </w:t>
      </w:r>
      <w:r w:rsidR="004F262A" w:rsidRPr="009F49C3">
        <w:rPr>
          <w:rFonts w:cstheme="minorHAnsi"/>
          <w:sz w:val="21"/>
          <w:szCs w:val="21"/>
          <w:shd w:val="clear" w:color="auto" w:fill="FFFFFF"/>
        </w:rPr>
        <w:t>tradition</w:t>
      </w:r>
      <w:r>
        <w:rPr>
          <w:rFonts w:cstheme="minorHAnsi"/>
          <w:sz w:val="21"/>
          <w:szCs w:val="21"/>
          <w:shd w:val="clear" w:color="auto" w:fill="FFFFFF"/>
        </w:rPr>
        <w:t xml:space="preserve"> of Torc-wearing</w:t>
      </w:r>
      <w:r w:rsidR="002400EB">
        <w:rPr>
          <w:rFonts w:cstheme="minorHAnsi"/>
          <w:sz w:val="21"/>
          <w:szCs w:val="21"/>
          <w:shd w:val="clear" w:color="auto" w:fill="FFFFFF"/>
        </w:rPr>
        <w:t xml:space="preserve"> (both at the time to which general consensus dates the source texts, and at the time the extant manuscript sources were written)</w:t>
      </w:r>
      <w:r w:rsidR="00766927">
        <w:rPr>
          <w:rFonts w:cstheme="minorHAnsi"/>
          <w:sz w:val="21"/>
          <w:szCs w:val="21"/>
          <w:shd w:val="clear" w:color="auto" w:fill="FFFFFF"/>
        </w:rPr>
        <w:t xml:space="preserve"> </w:t>
      </w:r>
      <w:r w:rsidR="002400EB">
        <w:rPr>
          <w:rFonts w:cstheme="minorHAnsi"/>
          <w:sz w:val="21"/>
          <w:szCs w:val="21"/>
          <w:shd w:val="clear" w:color="auto" w:fill="FFFFFF"/>
        </w:rPr>
        <w:t xml:space="preserve">; </w:t>
      </w:r>
      <w:r>
        <w:rPr>
          <w:rFonts w:cstheme="minorHAnsi"/>
          <w:sz w:val="21"/>
          <w:szCs w:val="21"/>
          <w:shd w:val="clear" w:color="auto" w:fill="FFFFFF"/>
        </w:rPr>
        <w:t xml:space="preserve">whether they are a form of </w:t>
      </w:r>
      <w:r w:rsidR="00E0628A">
        <w:rPr>
          <w:rFonts w:cstheme="minorHAnsi"/>
          <w:sz w:val="21"/>
          <w:szCs w:val="21"/>
          <w:shd w:val="clear" w:color="auto" w:fill="FFFFFF"/>
        </w:rPr>
        <w:t xml:space="preserve">literary </w:t>
      </w:r>
      <w:r>
        <w:rPr>
          <w:rFonts w:cstheme="minorHAnsi"/>
          <w:sz w:val="21"/>
          <w:szCs w:val="21"/>
          <w:shd w:val="clear" w:color="auto" w:fill="FFFFFF"/>
        </w:rPr>
        <w:t>antiquarianism</w:t>
      </w:r>
      <w:r w:rsidR="005F5782">
        <w:rPr>
          <w:rFonts w:cstheme="minorHAnsi"/>
          <w:sz w:val="21"/>
          <w:szCs w:val="21"/>
          <w:shd w:val="clear" w:color="auto" w:fill="FFFFFF"/>
        </w:rPr>
        <w:t>, a heroic and mythical flourish</w:t>
      </w:r>
      <w:r>
        <w:rPr>
          <w:rFonts w:cstheme="minorHAnsi"/>
          <w:sz w:val="21"/>
          <w:szCs w:val="21"/>
          <w:shd w:val="clear" w:color="auto" w:fill="FFFFFF"/>
        </w:rPr>
        <w:t xml:space="preserve"> invoking archaic motifs in order to locate a text in time and space or establish legitimacy or continuity of a particular ruler, kingdom or even national consciousness (especially in light of Norman and Edwardian conquests); or whether the word </w:t>
      </w:r>
      <w:r>
        <w:rPr>
          <w:rFonts w:cstheme="minorHAnsi"/>
          <w:i/>
          <w:iCs/>
          <w:sz w:val="21"/>
          <w:szCs w:val="21"/>
          <w:shd w:val="clear" w:color="auto" w:fill="FFFFFF"/>
        </w:rPr>
        <w:t xml:space="preserve">torch </w:t>
      </w:r>
      <w:r>
        <w:rPr>
          <w:rFonts w:cstheme="minorHAnsi"/>
          <w:sz w:val="21"/>
          <w:szCs w:val="21"/>
          <w:shd w:val="clear" w:color="auto" w:fill="FFFFFF"/>
        </w:rPr>
        <w:t xml:space="preserve">has evolved to mean something more general. In </w:t>
      </w:r>
      <w:r>
        <w:rPr>
          <w:rFonts w:cstheme="minorHAnsi"/>
          <w:sz w:val="21"/>
          <w:szCs w:val="21"/>
          <w:shd w:val="clear" w:color="auto" w:fill="FFFFFF"/>
        </w:rPr>
        <w:lastRenderedPageBreak/>
        <w:t>each case, I will examine the implications.</w:t>
      </w:r>
      <w:r w:rsidR="00025A30">
        <w:rPr>
          <w:rFonts w:cstheme="minorHAnsi"/>
          <w:sz w:val="21"/>
          <w:szCs w:val="21"/>
          <w:shd w:val="clear" w:color="auto" w:fill="FFFFFF"/>
        </w:rPr>
        <w:t xml:space="preserve"> My meeting with my Supervisor has also focused me on considering a brief examination of culture-meeting; looking at other societies both in the ancient world on the continent and the medieval period in Britain (Saxons and Vikings) and their wearing of gold collars that might have some influence on medieval Welsh ‘torcs’ in reality and literature.</w:t>
      </w:r>
      <w:r w:rsidR="006E5E5D">
        <w:rPr>
          <w:rFonts w:cstheme="minorHAnsi"/>
          <w:sz w:val="21"/>
          <w:szCs w:val="21"/>
          <w:shd w:val="clear" w:color="auto" w:fill="FFFFFF"/>
        </w:rPr>
        <w:t xml:space="preserve"> I will also now examine whether the Torc might be an un-self-conscious survival via Roman appropriation, with later Welsh rulers looking more to establish their legitimacy and destiny in Roman roots rather than ‘Celtic’.</w:t>
      </w:r>
    </w:p>
    <w:p w14:paraId="7191A391" w14:textId="6445BFFE" w:rsidR="004F262A" w:rsidRPr="009F49C3" w:rsidRDefault="004F262A" w:rsidP="00051C21">
      <w:pPr>
        <w:jc w:val="both"/>
        <w:rPr>
          <w:rFonts w:cstheme="minorHAnsi"/>
          <w:sz w:val="21"/>
          <w:szCs w:val="21"/>
          <w:shd w:val="clear" w:color="auto" w:fill="FFFFFF"/>
        </w:rPr>
      </w:pPr>
      <w:r w:rsidRPr="009F49C3">
        <w:rPr>
          <w:rFonts w:cstheme="minorHAnsi"/>
          <w:sz w:val="21"/>
          <w:szCs w:val="21"/>
          <w:shd w:val="clear" w:color="auto" w:fill="FFFFFF"/>
        </w:rPr>
        <w:t xml:space="preserve">I suspect that literary survey and criticism will not yield conclusive evidence for the </w:t>
      </w:r>
      <w:r w:rsidR="00155B88" w:rsidRPr="009F49C3">
        <w:rPr>
          <w:rFonts w:cstheme="minorHAnsi"/>
          <w:sz w:val="21"/>
          <w:szCs w:val="21"/>
          <w:shd w:val="clear" w:color="auto" w:fill="FFFFFF"/>
        </w:rPr>
        <w:t>historicity</w:t>
      </w:r>
      <w:r w:rsidRPr="009F49C3">
        <w:rPr>
          <w:rFonts w:cstheme="minorHAnsi"/>
          <w:sz w:val="21"/>
          <w:szCs w:val="21"/>
          <w:shd w:val="clear" w:color="auto" w:fill="FFFFFF"/>
        </w:rPr>
        <w:t xml:space="preserve"> of Torcs</w:t>
      </w:r>
      <w:r w:rsidR="00155B88" w:rsidRPr="009F49C3">
        <w:rPr>
          <w:rFonts w:cstheme="minorHAnsi"/>
          <w:sz w:val="21"/>
          <w:szCs w:val="21"/>
          <w:shd w:val="clear" w:color="auto" w:fill="FFFFFF"/>
        </w:rPr>
        <w:t xml:space="preserve"> in the medieval period</w:t>
      </w:r>
      <w:r w:rsidRPr="009F49C3">
        <w:rPr>
          <w:rFonts w:cstheme="minorHAnsi"/>
          <w:sz w:val="21"/>
          <w:szCs w:val="21"/>
          <w:shd w:val="clear" w:color="auto" w:fill="FFFFFF"/>
        </w:rPr>
        <w:t xml:space="preserve">, but since my purpose as it stands is to examine the Torc as a symbol of some form of ‘celtic’ continuity, even if it is simply as a literary motif or early example of antiquarianism in Welsh writing, this would not feel like a dead end. </w:t>
      </w:r>
    </w:p>
    <w:p w14:paraId="0B46D815" w14:textId="71644F5D" w:rsidR="00B80134" w:rsidRDefault="002D0B03" w:rsidP="00051C21">
      <w:pPr>
        <w:jc w:val="both"/>
        <w:rPr>
          <w:rFonts w:cstheme="minorHAnsi"/>
          <w:sz w:val="21"/>
          <w:szCs w:val="21"/>
          <w:shd w:val="clear" w:color="auto" w:fill="FFFFFF"/>
        </w:rPr>
      </w:pPr>
      <w:r w:rsidRPr="009F49C3">
        <w:rPr>
          <w:rFonts w:cstheme="minorHAnsi"/>
          <w:sz w:val="21"/>
          <w:szCs w:val="21"/>
          <w:shd w:val="clear" w:color="auto" w:fill="FFFFFF"/>
        </w:rPr>
        <w:t>I have honed down my focus since submitting my proposal and will no longer examine the representations of and attitudes towards Torcs from the Romantic revival through to modern scholarship. It had been my initial intention to scrutinise the colloquially held view of the Torc in modern scholarship as the La T</w:t>
      </w:r>
      <w:r w:rsidR="00573BF6" w:rsidRPr="00573BF6">
        <w:rPr>
          <w:rFonts w:cstheme="minorHAnsi"/>
          <w:sz w:val="21"/>
          <w:szCs w:val="21"/>
          <w:shd w:val="clear" w:color="auto" w:fill="FFFFFF"/>
        </w:rPr>
        <w:t>è</w:t>
      </w:r>
      <w:r w:rsidRPr="009F49C3">
        <w:rPr>
          <w:rFonts w:cstheme="minorHAnsi"/>
          <w:sz w:val="21"/>
          <w:szCs w:val="21"/>
          <w:shd w:val="clear" w:color="auto" w:fill="FFFFFF"/>
        </w:rPr>
        <w:t>ne artefact par excellence and criticise this through the lens of Celticism. Instead of this forming a discrete section of my dissertation I will now try to incorporate this scepticism more generally, caveating other sections with this thought as I go.</w:t>
      </w:r>
      <w:r w:rsidR="007B6BCA">
        <w:rPr>
          <w:rFonts w:cstheme="minorHAnsi"/>
          <w:sz w:val="21"/>
          <w:szCs w:val="21"/>
          <w:shd w:val="clear" w:color="auto" w:fill="FFFFFF"/>
        </w:rPr>
        <w:t xml:space="preserve"> I have also agreed with my supervisor the spellings of </w:t>
      </w:r>
      <w:r w:rsidR="007B6BCA">
        <w:rPr>
          <w:rFonts w:cstheme="minorHAnsi"/>
          <w:i/>
          <w:iCs/>
          <w:sz w:val="21"/>
          <w:szCs w:val="21"/>
          <w:shd w:val="clear" w:color="auto" w:fill="FFFFFF"/>
        </w:rPr>
        <w:t xml:space="preserve">Torc </w:t>
      </w:r>
      <w:r w:rsidR="007B6BCA">
        <w:rPr>
          <w:rFonts w:cstheme="minorHAnsi"/>
          <w:sz w:val="21"/>
          <w:szCs w:val="21"/>
          <w:shd w:val="clear" w:color="auto" w:fill="FFFFFF"/>
        </w:rPr>
        <w:t xml:space="preserve">I will use throughout my work (Torc for English rather than </w:t>
      </w:r>
      <w:r w:rsidR="007B6BCA">
        <w:rPr>
          <w:rFonts w:cstheme="minorHAnsi"/>
          <w:i/>
          <w:iCs/>
          <w:sz w:val="21"/>
          <w:szCs w:val="21"/>
          <w:shd w:val="clear" w:color="auto" w:fill="FFFFFF"/>
        </w:rPr>
        <w:t xml:space="preserve">Torque, </w:t>
      </w:r>
      <w:r w:rsidR="007B6BCA">
        <w:rPr>
          <w:rFonts w:cstheme="minorHAnsi"/>
          <w:sz w:val="21"/>
          <w:szCs w:val="21"/>
          <w:shd w:val="clear" w:color="auto" w:fill="FFFFFF"/>
        </w:rPr>
        <w:t xml:space="preserve">and </w:t>
      </w:r>
      <w:r w:rsidR="007B6BCA">
        <w:rPr>
          <w:rFonts w:cstheme="minorHAnsi"/>
          <w:i/>
          <w:iCs/>
          <w:sz w:val="21"/>
          <w:szCs w:val="21"/>
          <w:shd w:val="clear" w:color="auto" w:fill="FFFFFF"/>
        </w:rPr>
        <w:t xml:space="preserve">torch </w:t>
      </w:r>
      <w:r w:rsidR="007B6BCA">
        <w:rPr>
          <w:rFonts w:cstheme="minorHAnsi"/>
          <w:sz w:val="21"/>
          <w:szCs w:val="21"/>
          <w:shd w:val="clear" w:color="auto" w:fill="FFFFFF"/>
        </w:rPr>
        <w:t>for Welsh of course). Quotations will retain original spelling.</w:t>
      </w:r>
      <w:r w:rsidR="004F4EEA">
        <w:rPr>
          <w:rFonts w:cstheme="minorHAnsi"/>
          <w:sz w:val="21"/>
          <w:szCs w:val="21"/>
          <w:shd w:val="clear" w:color="auto" w:fill="FFFFFF"/>
        </w:rPr>
        <w:t xml:space="preserve"> </w:t>
      </w:r>
      <w:r w:rsidR="007B6BCA">
        <w:rPr>
          <w:rFonts w:cstheme="minorHAnsi"/>
          <w:sz w:val="21"/>
          <w:szCs w:val="21"/>
          <w:shd w:val="clear" w:color="auto" w:fill="FFFFFF"/>
        </w:rPr>
        <w:t>Finally</w:t>
      </w:r>
      <w:r w:rsidR="004F4EEA">
        <w:rPr>
          <w:rFonts w:cstheme="minorHAnsi"/>
          <w:sz w:val="21"/>
          <w:szCs w:val="21"/>
          <w:shd w:val="clear" w:color="auto" w:fill="FFFFFF"/>
        </w:rPr>
        <w:t xml:space="preserve">, I have dropped my initial intention to seek to interview various academics, and thus the need for ethical approval, in light of the additional scholarship my Supervisor has </w:t>
      </w:r>
      <w:r w:rsidR="004A5AB1">
        <w:rPr>
          <w:rFonts w:cstheme="minorHAnsi"/>
          <w:sz w:val="21"/>
          <w:szCs w:val="21"/>
          <w:shd w:val="clear" w:color="auto" w:fill="FFFFFF"/>
        </w:rPr>
        <w:t>signposted,</w:t>
      </w:r>
      <w:r w:rsidR="004F4EEA">
        <w:rPr>
          <w:rFonts w:cstheme="minorHAnsi"/>
          <w:sz w:val="21"/>
          <w:szCs w:val="21"/>
          <w:shd w:val="clear" w:color="auto" w:fill="FFFFFF"/>
        </w:rPr>
        <w:t xml:space="preserve"> and which partly fills the research gap I that I want to explore.</w:t>
      </w:r>
      <w:r w:rsidR="007B6BCA">
        <w:rPr>
          <w:rFonts w:cstheme="minorHAnsi"/>
          <w:sz w:val="21"/>
          <w:szCs w:val="21"/>
          <w:shd w:val="clear" w:color="auto" w:fill="FFFFFF"/>
        </w:rPr>
        <w:t xml:space="preserve"> </w:t>
      </w:r>
    </w:p>
    <w:p w14:paraId="251467CA" w14:textId="77777777" w:rsidR="00403C48" w:rsidRPr="009F49C3" w:rsidRDefault="00403C48" w:rsidP="00051C21">
      <w:pPr>
        <w:jc w:val="both"/>
        <w:rPr>
          <w:rFonts w:cstheme="minorHAnsi"/>
          <w:sz w:val="21"/>
          <w:szCs w:val="21"/>
          <w:shd w:val="clear" w:color="auto" w:fill="FFFFFF"/>
        </w:rPr>
      </w:pPr>
    </w:p>
    <w:p w14:paraId="709BED33" w14:textId="56F5DF77" w:rsidR="00B80134" w:rsidRPr="009F49C3" w:rsidRDefault="00B80134" w:rsidP="00051C21">
      <w:pPr>
        <w:jc w:val="both"/>
        <w:rPr>
          <w:rFonts w:cstheme="minorHAnsi"/>
          <w:b/>
          <w:bCs/>
          <w:sz w:val="21"/>
          <w:szCs w:val="21"/>
          <w:shd w:val="clear" w:color="auto" w:fill="FFFFFF"/>
        </w:rPr>
      </w:pPr>
      <w:r w:rsidRPr="009F49C3">
        <w:rPr>
          <w:rFonts w:cstheme="minorHAnsi"/>
          <w:b/>
          <w:bCs/>
          <w:sz w:val="21"/>
          <w:szCs w:val="21"/>
          <w:shd w:val="clear" w:color="auto" w:fill="FFFFFF"/>
        </w:rPr>
        <w:t>Appendices</w:t>
      </w:r>
    </w:p>
    <w:p w14:paraId="3647CA59" w14:textId="55F35ABA" w:rsidR="00B80134" w:rsidRPr="009F49C3" w:rsidRDefault="00B80134" w:rsidP="00B80134">
      <w:pPr>
        <w:jc w:val="both"/>
        <w:rPr>
          <w:rFonts w:eastAsia="Calibri" w:cstheme="minorHAnsi"/>
          <w:kern w:val="0"/>
          <w:sz w:val="21"/>
          <w:szCs w:val="21"/>
          <w:u w:val="single"/>
          <w14:ligatures w14:val="none"/>
        </w:rPr>
      </w:pPr>
      <w:r w:rsidRPr="009F49C3">
        <w:rPr>
          <w:rFonts w:eastAsia="Calibri" w:cstheme="minorHAnsi"/>
          <w:kern w:val="0"/>
          <w:sz w:val="21"/>
          <w:szCs w:val="21"/>
          <w:u w:val="single"/>
          <w14:ligatures w14:val="none"/>
        </w:rPr>
        <w:t xml:space="preserve">i. Project Plan </w:t>
      </w:r>
    </w:p>
    <w:tbl>
      <w:tblPr>
        <w:tblStyle w:val="TableGrid"/>
        <w:tblW w:w="0" w:type="auto"/>
        <w:tblLook w:val="04A0" w:firstRow="1" w:lastRow="0" w:firstColumn="1" w:lastColumn="0" w:noHBand="0" w:noVBand="1"/>
      </w:tblPr>
      <w:tblGrid>
        <w:gridCol w:w="1182"/>
        <w:gridCol w:w="7834"/>
      </w:tblGrid>
      <w:tr w:rsidR="00403C48" w14:paraId="02F59FF7" w14:textId="77777777" w:rsidTr="00403C48">
        <w:tc>
          <w:tcPr>
            <w:tcW w:w="1129" w:type="dxa"/>
          </w:tcPr>
          <w:p w14:paraId="16EC793D" w14:textId="77777777" w:rsidR="00403C48" w:rsidRPr="009F49C3" w:rsidRDefault="00403C48" w:rsidP="00403C48">
            <w:pPr>
              <w:jc w:val="both"/>
              <w:rPr>
                <w:rFonts w:eastAsia="Calibri" w:cstheme="minorHAnsi"/>
                <w:kern w:val="0"/>
                <w:sz w:val="21"/>
                <w:szCs w:val="21"/>
                <w14:ligatures w14:val="none"/>
              </w:rPr>
            </w:pPr>
            <w:r w:rsidRPr="009F49C3">
              <w:rPr>
                <w:rFonts w:eastAsia="Calibri" w:cstheme="minorHAnsi"/>
                <w:kern w:val="0"/>
                <w:sz w:val="21"/>
                <w:szCs w:val="21"/>
                <w14:ligatures w14:val="none"/>
              </w:rPr>
              <w:t>October- November 2023</w:t>
            </w:r>
          </w:p>
          <w:p w14:paraId="1AD951FF" w14:textId="77777777" w:rsidR="00403C48" w:rsidRDefault="00403C48" w:rsidP="00B80134">
            <w:pPr>
              <w:jc w:val="both"/>
              <w:rPr>
                <w:rFonts w:eastAsia="Calibri" w:cstheme="minorHAnsi"/>
                <w:kern w:val="0"/>
                <w:sz w:val="21"/>
                <w:szCs w:val="21"/>
                <w14:ligatures w14:val="none"/>
              </w:rPr>
            </w:pPr>
          </w:p>
        </w:tc>
        <w:tc>
          <w:tcPr>
            <w:tcW w:w="7887" w:type="dxa"/>
          </w:tcPr>
          <w:p w14:paraId="06B1123B" w14:textId="77777777" w:rsidR="00403C48" w:rsidRPr="009F49C3" w:rsidRDefault="00403C48" w:rsidP="00403C48">
            <w:pPr>
              <w:pStyle w:val="ListParagraph"/>
              <w:numPr>
                <w:ilvl w:val="0"/>
                <w:numId w:val="7"/>
              </w:numPr>
              <w:jc w:val="both"/>
              <w:rPr>
                <w:rFonts w:eastAsia="Calibri" w:cstheme="minorHAnsi"/>
                <w:kern w:val="0"/>
                <w:sz w:val="21"/>
                <w:szCs w:val="21"/>
                <w14:ligatures w14:val="none"/>
              </w:rPr>
            </w:pPr>
            <w:r w:rsidRPr="009F49C3">
              <w:rPr>
                <w:rFonts w:eastAsia="Calibri" w:cstheme="minorHAnsi"/>
                <w:kern w:val="0"/>
                <w:sz w:val="21"/>
                <w:szCs w:val="21"/>
                <w14:ligatures w14:val="none"/>
              </w:rPr>
              <w:t>Compile reading list.</w:t>
            </w:r>
          </w:p>
          <w:p w14:paraId="521507B9" w14:textId="77777777" w:rsidR="00403C48" w:rsidRPr="00403C48" w:rsidRDefault="00403C48" w:rsidP="00403C48">
            <w:pPr>
              <w:pStyle w:val="ListParagraph"/>
              <w:numPr>
                <w:ilvl w:val="0"/>
                <w:numId w:val="7"/>
              </w:numPr>
              <w:jc w:val="both"/>
              <w:rPr>
                <w:rFonts w:eastAsia="Calibri" w:cstheme="minorHAnsi"/>
                <w:kern w:val="0"/>
                <w:sz w:val="21"/>
                <w:szCs w:val="21"/>
                <w14:ligatures w14:val="none"/>
              </w:rPr>
            </w:pPr>
            <w:r w:rsidRPr="00403C48">
              <w:rPr>
                <w:rFonts w:eastAsia="Calibri" w:cstheme="minorHAnsi"/>
                <w:kern w:val="0"/>
                <w:sz w:val="21"/>
                <w:szCs w:val="21"/>
                <w14:ligatures w14:val="none"/>
              </w:rPr>
              <w:t>Meet with Course Director to make sure I’m caught up on everything I need to be.</w:t>
            </w:r>
          </w:p>
          <w:p w14:paraId="0BD61715" w14:textId="77777777" w:rsidR="00403C48" w:rsidRPr="00403C48" w:rsidRDefault="00403C48" w:rsidP="00403C48">
            <w:pPr>
              <w:pStyle w:val="ListParagraph"/>
              <w:numPr>
                <w:ilvl w:val="0"/>
                <w:numId w:val="7"/>
              </w:numPr>
              <w:jc w:val="both"/>
              <w:rPr>
                <w:rFonts w:eastAsia="Calibri" w:cstheme="minorHAnsi"/>
                <w:kern w:val="0"/>
                <w:sz w:val="21"/>
                <w:szCs w:val="21"/>
                <w14:ligatures w14:val="none"/>
              </w:rPr>
            </w:pPr>
            <w:r w:rsidRPr="00403C48">
              <w:rPr>
                <w:rFonts w:eastAsia="Calibri" w:cstheme="minorHAnsi"/>
                <w:kern w:val="0"/>
                <w:sz w:val="21"/>
                <w:szCs w:val="21"/>
                <w14:ligatures w14:val="none"/>
              </w:rPr>
              <w:t>Meet with Supervisor</w:t>
            </w:r>
          </w:p>
          <w:p w14:paraId="2F40300F" w14:textId="77777777" w:rsidR="00403C48" w:rsidRPr="009F49C3" w:rsidRDefault="00403C48" w:rsidP="00416166">
            <w:pPr>
              <w:pStyle w:val="ListParagraph"/>
              <w:numPr>
                <w:ilvl w:val="0"/>
                <w:numId w:val="11"/>
              </w:numPr>
              <w:jc w:val="both"/>
              <w:rPr>
                <w:rFonts w:eastAsia="Calibri" w:cstheme="minorHAnsi"/>
                <w:kern w:val="0"/>
                <w:sz w:val="21"/>
                <w:szCs w:val="21"/>
                <w14:ligatures w14:val="none"/>
              </w:rPr>
            </w:pPr>
            <w:r w:rsidRPr="009F49C3">
              <w:rPr>
                <w:rFonts w:eastAsia="Calibri" w:cstheme="minorHAnsi"/>
                <w:kern w:val="0"/>
                <w:sz w:val="21"/>
                <w:szCs w:val="21"/>
                <w14:ligatures w14:val="none"/>
              </w:rPr>
              <w:t>First draft of introduction and first chapter: Summary of scholarship on (and some of own analysis of) archeological and historical record RE Torcs in the ancient world.</w:t>
            </w:r>
          </w:p>
          <w:p w14:paraId="4C808877" w14:textId="496D2949" w:rsidR="00403C48" w:rsidRPr="009F49C3" w:rsidRDefault="00403C48" w:rsidP="00403C48">
            <w:pPr>
              <w:pStyle w:val="ListParagraph"/>
              <w:numPr>
                <w:ilvl w:val="0"/>
                <w:numId w:val="6"/>
              </w:numPr>
              <w:jc w:val="both"/>
              <w:rPr>
                <w:rFonts w:eastAsia="Calibri" w:cstheme="minorHAnsi"/>
                <w:kern w:val="0"/>
                <w:sz w:val="21"/>
                <w:szCs w:val="21"/>
                <w14:ligatures w14:val="none"/>
              </w:rPr>
            </w:pPr>
            <w:r w:rsidRPr="009F49C3">
              <w:rPr>
                <w:rFonts w:eastAsia="Calibri" w:cstheme="minorHAnsi"/>
                <w:kern w:val="0"/>
                <w:sz w:val="21"/>
                <w:szCs w:val="21"/>
                <w14:ligatures w14:val="none"/>
              </w:rPr>
              <w:t>Research  immediate post-roman material culture/</w:t>
            </w:r>
            <w:r w:rsidRPr="009F49C3">
              <w:rPr>
                <w:rFonts w:eastAsia="Calibri" w:cstheme="minorHAnsi"/>
                <w:kern w:val="0"/>
                <w:sz w:val="21"/>
                <w:szCs w:val="21"/>
                <w14:ligatures w14:val="none"/>
              </w:rPr>
              <w:t>archa</w:t>
            </w:r>
            <w:r>
              <w:rPr>
                <w:rFonts w:eastAsia="Calibri" w:cstheme="minorHAnsi"/>
                <w:kern w:val="0"/>
                <w:sz w:val="21"/>
                <w:szCs w:val="21"/>
                <w14:ligatures w14:val="none"/>
              </w:rPr>
              <w:t>e</w:t>
            </w:r>
            <w:r w:rsidRPr="009F49C3">
              <w:rPr>
                <w:rFonts w:eastAsia="Calibri" w:cstheme="minorHAnsi"/>
                <w:kern w:val="0"/>
                <w:sz w:val="21"/>
                <w:szCs w:val="21"/>
                <w14:ligatures w14:val="none"/>
              </w:rPr>
              <w:t>ology</w:t>
            </w:r>
            <w:r w:rsidRPr="009F49C3">
              <w:rPr>
                <w:rFonts w:eastAsia="Calibri" w:cstheme="minorHAnsi"/>
                <w:kern w:val="0"/>
                <w:sz w:val="21"/>
                <w:szCs w:val="21"/>
                <w14:ligatures w14:val="none"/>
              </w:rPr>
              <w:t xml:space="preserve"> in Britain, any academic writing on same</w:t>
            </w:r>
          </w:p>
          <w:p w14:paraId="1E2B6CB2" w14:textId="77777777" w:rsidR="00403C48" w:rsidRDefault="00403C48" w:rsidP="00B80134">
            <w:pPr>
              <w:jc w:val="both"/>
              <w:rPr>
                <w:rFonts w:eastAsia="Calibri" w:cstheme="minorHAnsi"/>
                <w:kern w:val="0"/>
                <w:sz w:val="21"/>
                <w:szCs w:val="21"/>
                <w14:ligatures w14:val="none"/>
              </w:rPr>
            </w:pPr>
          </w:p>
        </w:tc>
      </w:tr>
      <w:tr w:rsidR="00403C48" w14:paraId="50D579A6" w14:textId="77777777" w:rsidTr="00403C48">
        <w:tc>
          <w:tcPr>
            <w:tcW w:w="1129" w:type="dxa"/>
          </w:tcPr>
          <w:p w14:paraId="51D079D4" w14:textId="77777777" w:rsidR="00403C48" w:rsidRPr="009F49C3" w:rsidRDefault="00403C48" w:rsidP="00403C48">
            <w:pPr>
              <w:jc w:val="both"/>
              <w:rPr>
                <w:rFonts w:eastAsia="Calibri" w:cstheme="minorHAnsi"/>
                <w:kern w:val="0"/>
                <w:sz w:val="21"/>
                <w:szCs w:val="21"/>
                <w14:ligatures w14:val="none"/>
              </w:rPr>
            </w:pPr>
            <w:r w:rsidRPr="009F49C3">
              <w:rPr>
                <w:rFonts w:eastAsia="Calibri" w:cstheme="minorHAnsi"/>
                <w:kern w:val="0"/>
                <w:sz w:val="21"/>
                <w:szCs w:val="21"/>
                <w14:ligatures w14:val="none"/>
              </w:rPr>
              <w:t>November-December 2023</w:t>
            </w:r>
          </w:p>
          <w:p w14:paraId="24067C28" w14:textId="77777777" w:rsidR="00403C48" w:rsidRDefault="00403C48" w:rsidP="00B80134">
            <w:pPr>
              <w:jc w:val="both"/>
              <w:rPr>
                <w:rFonts w:eastAsia="Calibri" w:cstheme="minorHAnsi"/>
                <w:kern w:val="0"/>
                <w:sz w:val="21"/>
                <w:szCs w:val="21"/>
                <w14:ligatures w14:val="none"/>
              </w:rPr>
            </w:pPr>
          </w:p>
        </w:tc>
        <w:tc>
          <w:tcPr>
            <w:tcW w:w="7887" w:type="dxa"/>
          </w:tcPr>
          <w:p w14:paraId="6D236730" w14:textId="7141B83A" w:rsidR="00403C48" w:rsidRPr="009F49C3" w:rsidRDefault="00403C48" w:rsidP="00D36569">
            <w:pPr>
              <w:pStyle w:val="ListParagraph"/>
              <w:numPr>
                <w:ilvl w:val="0"/>
                <w:numId w:val="8"/>
              </w:numPr>
              <w:jc w:val="both"/>
              <w:rPr>
                <w:rFonts w:eastAsia="Calibri" w:cstheme="minorHAnsi"/>
                <w:kern w:val="0"/>
                <w:sz w:val="21"/>
                <w:szCs w:val="21"/>
                <w14:ligatures w14:val="none"/>
              </w:rPr>
            </w:pPr>
            <w:r w:rsidRPr="009F49C3">
              <w:rPr>
                <w:rFonts w:eastAsia="Calibri" w:cstheme="minorHAnsi"/>
                <w:kern w:val="0"/>
                <w:sz w:val="21"/>
                <w:szCs w:val="21"/>
                <w14:ligatures w14:val="none"/>
              </w:rPr>
              <w:t>Conduct and type up literary survey [</w:t>
            </w:r>
            <w:r w:rsidR="00D36569">
              <w:rPr>
                <w:rFonts w:eastAsia="Calibri" w:cstheme="minorHAnsi"/>
                <w:kern w:val="0"/>
                <w:sz w:val="21"/>
                <w:szCs w:val="21"/>
                <w14:ligatures w14:val="none"/>
              </w:rPr>
              <w:t>My supervisor has advised me that these are concordances and has helped me identify where to find some</w:t>
            </w:r>
            <w:r w:rsidRPr="009F49C3">
              <w:rPr>
                <w:rFonts w:eastAsia="Calibri" w:cstheme="minorHAnsi"/>
                <w:kern w:val="0"/>
                <w:sz w:val="21"/>
                <w:szCs w:val="21"/>
                <w14:ligatures w14:val="none"/>
              </w:rPr>
              <w:t xml:space="preserve">] of appearances of </w:t>
            </w:r>
            <w:r w:rsidRPr="009F49C3">
              <w:rPr>
                <w:rFonts w:eastAsia="Calibri" w:cstheme="minorHAnsi"/>
                <w:i/>
                <w:iCs/>
                <w:kern w:val="0"/>
                <w:sz w:val="21"/>
                <w:szCs w:val="21"/>
                <w14:ligatures w14:val="none"/>
              </w:rPr>
              <w:t>Torch, Eurdorch</w:t>
            </w:r>
            <w:r w:rsidRPr="009F49C3">
              <w:rPr>
                <w:rFonts w:eastAsia="Calibri" w:cstheme="minorHAnsi"/>
                <w:kern w:val="0"/>
                <w:sz w:val="21"/>
                <w:szCs w:val="21"/>
                <w14:ligatures w14:val="none"/>
              </w:rPr>
              <w:t xml:space="preserve"> etc</w:t>
            </w:r>
            <w:r w:rsidR="00D36569">
              <w:rPr>
                <w:rFonts w:eastAsia="Calibri" w:cstheme="minorHAnsi"/>
                <w:kern w:val="0"/>
                <w:sz w:val="21"/>
                <w:szCs w:val="21"/>
                <w14:ligatures w14:val="none"/>
              </w:rPr>
              <w:t>.</w:t>
            </w:r>
            <w:r w:rsidRPr="009F49C3">
              <w:rPr>
                <w:rFonts w:eastAsia="Calibri" w:cstheme="minorHAnsi"/>
                <w:kern w:val="0"/>
                <w:sz w:val="21"/>
                <w:szCs w:val="21"/>
                <w14:ligatures w14:val="none"/>
              </w:rPr>
              <w:t xml:space="preserve"> across Welsh Lit.</w:t>
            </w:r>
          </w:p>
          <w:p w14:paraId="023A7F59" w14:textId="77777777" w:rsidR="00403C48" w:rsidRPr="009F49C3" w:rsidRDefault="00403C48" w:rsidP="00D36569">
            <w:pPr>
              <w:pStyle w:val="ListParagraph"/>
              <w:numPr>
                <w:ilvl w:val="0"/>
                <w:numId w:val="8"/>
              </w:numPr>
              <w:jc w:val="both"/>
              <w:rPr>
                <w:rFonts w:eastAsia="Calibri" w:cstheme="minorHAnsi"/>
                <w:kern w:val="0"/>
                <w:sz w:val="21"/>
                <w:szCs w:val="21"/>
                <w14:ligatures w14:val="none"/>
              </w:rPr>
            </w:pPr>
            <w:r w:rsidRPr="009F49C3">
              <w:rPr>
                <w:rFonts w:eastAsia="Calibri" w:cstheme="minorHAnsi"/>
                <w:kern w:val="0"/>
                <w:sz w:val="21"/>
                <w:szCs w:val="21"/>
                <w14:ligatures w14:val="none"/>
              </w:rPr>
              <w:t>Additional reading as directed by Supervisor.</w:t>
            </w:r>
          </w:p>
          <w:p w14:paraId="193423D2" w14:textId="77777777" w:rsidR="00403C48" w:rsidRPr="009F49C3" w:rsidRDefault="00403C48" w:rsidP="00D36569">
            <w:pPr>
              <w:pStyle w:val="ListParagraph"/>
              <w:numPr>
                <w:ilvl w:val="0"/>
                <w:numId w:val="8"/>
              </w:numPr>
              <w:jc w:val="both"/>
              <w:rPr>
                <w:rFonts w:eastAsia="Calibri" w:cstheme="minorHAnsi"/>
                <w:kern w:val="0"/>
                <w:sz w:val="21"/>
                <w:szCs w:val="21"/>
                <w14:ligatures w14:val="none"/>
              </w:rPr>
            </w:pPr>
            <w:r w:rsidRPr="009F49C3">
              <w:rPr>
                <w:rFonts w:eastAsia="Calibri" w:cstheme="minorHAnsi"/>
                <w:kern w:val="0"/>
                <w:sz w:val="21"/>
                <w:szCs w:val="21"/>
                <w14:ligatures w14:val="none"/>
              </w:rPr>
              <w:t>Initial literary criticism and comparison of key texts such as Y Gododdin, Y Mabinogi, selected Medieval Court Poetry, Gerald of Wales, selected Irish sources (Literary chapter)</w:t>
            </w:r>
          </w:p>
          <w:p w14:paraId="004EE266" w14:textId="77777777" w:rsidR="00403C48" w:rsidRPr="009F49C3" w:rsidRDefault="00403C48" w:rsidP="00D36569">
            <w:pPr>
              <w:pStyle w:val="ListParagraph"/>
              <w:numPr>
                <w:ilvl w:val="0"/>
                <w:numId w:val="8"/>
              </w:numPr>
              <w:jc w:val="both"/>
              <w:rPr>
                <w:rFonts w:eastAsia="Calibri" w:cstheme="minorHAnsi"/>
                <w:kern w:val="0"/>
                <w:sz w:val="21"/>
                <w:szCs w:val="21"/>
                <w14:ligatures w14:val="none"/>
              </w:rPr>
            </w:pPr>
            <w:r w:rsidRPr="009F49C3">
              <w:rPr>
                <w:rFonts w:eastAsia="Calibri" w:cstheme="minorHAnsi"/>
                <w:kern w:val="0"/>
                <w:sz w:val="21"/>
                <w:szCs w:val="21"/>
                <w14:ligatures w14:val="none"/>
              </w:rPr>
              <w:t>Prepare small literature review for seminar.</w:t>
            </w:r>
          </w:p>
          <w:p w14:paraId="27D5D191" w14:textId="77777777" w:rsidR="00403C48" w:rsidRDefault="00403C48" w:rsidP="00B80134">
            <w:pPr>
              <w:jc w:val="both"/>
              <w:rPr>
                <w:rFonts w:eastAsia="Calibri" w:cstheme="minorHAnsi"/>
                <w:kern w:val="0"/>
                <w:sz w:val="21"/>
                <w:szCs w:val="21"/>
                <w14:ligatures w14:val="none"/>
              </w:rPr>
            </w:pPr>
          </w:p>
        </w:tc>
      </w:tr>
      <w:tr w:rsidR="00403C48" w14:paraId="4D06FDE3" w14:textId="77777777" w:rsidTr="00403C48">
        <w:tc>
          <w:tcPr>
            <w:tcW w:w="1129" w:type="dxa"/>
          </w:tcPr>
          <w:p w14:paraId="3E60434F" w14:textId="77777777" w:rsidR="00403C48" w:rsidRPr="009F49C3" w:rsidRDefault="00403C48" w:rsidP="00403C48">
            <w:pPr>
              <w:jc w:val="both"/>
              <w:rPr>
                <w:rFonts w:eastAsia="Calibri" w:cstheme="minorHAnsi"/>
                <w:kern w:val="0"/>
                <w:sz w:val="21"/>
                <w:szCs w:val="21"/>
                <w14:ligatures w14:val="none"/>
              </w:rPr>
            </w:pPr>
            <w:r w:rsidRPr="009F49C3">
              <w:rPr>
                <w:rFonts w:eastAsia="Calibri" w:cstheme="minorHAnsi"/>
                <w:kern w:val="0"/>
                <w:sz w:val="21"/>
                <w:szCs w:val="21"/>
                <w14:ligatures w14:val="none"/>
              </w:rPr>
              <w:t>January-March 2024</w:t>
            </w:r>
          </w:p>
          <w:p w14:paraId="28A8A435" w14:textId="77777777" w:rsidR="00403C48" w:rsidRDefault="00403C48" w:rsidP="00B80134">
            <w:pPr>
              <w:jc w:val="both"/>
              <w:rPr>
                <w:rFonts w:eastAsia="Calibri" w:cstheme="minorHAnsi"/>
                <w:kern w:val="0"/>
                <w:sz w:val="21"/>
                <w:szCs w:val="21"/>
                <w14:ligatures w14:val="none"/>
              </w:rPr>
            </w:pPr>
          </w:p>
        </w:tc>
        <w:tc>
          <w:tcPr>
            <w:tcW w:w="7887" w:type="dxa"/>
          </w:tcPr>
          <w:p w14:paraId="2039B081" w14:textId="77777777" w:rsidR="00403C48" w:rsidRPr="009F49C3" w:rsidRDefault="00403C48" w:rsidP="00D36569">
            <w:pPr>
              <w:pStyle w:val="ListParagraph"/>
              <w:numPr>
                <w:ilvl w:val="0"/>
                <w:numId w:val="9"/>
              </w:numPr>
              <w:jc w:val="both"/>
              <w:rPr>
                <w:rFonts w:eastAsia="Calibri" w:cstheme="minorHAnsi"/>
                <w:kern w:val="0"/>
                <w:sz w:val="21"/>
                <w:szCs w:val="21"/>
                <w14:ligatures w14:val="none"/>
              </w:rPr>
            </w:pPr>
            <w:r w:rsidRPr="009F49C3">
              <w:rPr>
                <w:rFonts w:eastAsia="Calibri" w:cstheme="minorHAnsi"/>
                <w:kern w:val="0"/>
                <w:sz w:val="21"/>
                <w:szCs w:val="21"/>
                <w14:ligatures w14:val="none"/>
              </w:rPr>
              <w:t>Meet with supervisor, prepare for presentation.</w:t>
            </w:r>
          </w:p>
          <w:p w14:paraId="60351509" w14:textId="77777777" w:rsidR="00403C48" w:rsidRPr="009F49C3" w:rsidRDefault="00403C48" w:rsidP="00D36569">
            <w:pPr>
              <w:pStyle w:val="ListParagraph"/>
              <w:numPr>
                <w:ilvl w:val="0"/>
                <w:numId w:val="9"/>
              </w:numPr>
              <w:jc w:val="both"/>
              <w:rPr>
                <w:rFonts w:eastAsia="Calibri" w:cstheme="minorHAnsi"/>
                <w:kern w:val="0"/>
                <w:sz w:val="21"/>
                <w:szCs w:val="21"/>
                <w14:ligatures w14:val="none"/>
              </w:rPr>
            </w:pPr>
            <w:r w:rsidRPr="009F49C3">
              <w:rPr>
                <w:rFonts w:eastAsia="Calibri" w:cstheme="minorHAnsi"/>
                <w:kern w:val="0"/>
                <w:sz w:val="21"/>
                <w:szCs w:val="21"/>
                <w14:ligatures w14:val="none"/>
              </w:rPr>
              <w:t>Draft historicity section/chapter: analyse key text – Gerald of Wales’ description of the Tor</w:t>
            </w:r>
            <w:r>
              <w:rPr>
                <w:rFonts w:eastAsia="Calibri" w:cstheme="minorHAnsi"/>
                <w:kern w:val="0"/>
                <w:sz w:val="21"/>
                <w:szCs w:val="21"/>
                <w14:ligatures w14:val="none"/>
              </w:rPr>
              <w:t>c</w:t>
            </w:r>
            <w:r w:rsidRPr="009F49C3">
              <w:rPr>
                <w:rFonts w:eastAsia="Calibri" w:cstheme="minorHAnsi"/>
                <w:kern w:val="0"/>
                <w:sz w:val="21"/>
                <w:szCs w:val="21"/>
                <w14:ligatures w14:val="none"/>
              </w:rPr>
              <w:t xml:space="preserve"> of Saint Cynog. Review academic literature on dress and jewellery in Medieval Wales, consider the socio-cultural context of the evolution of the word </w:t>
            </w:r>
            <w:r w:rsidRPr="009F49C3">
              <w:rPr>
                <w:rFonts w:eastAsia="Calibri" w:cstheme="minorHAnsi"/>
                <w:i/>
                <w:iCs/>
                <w:kern w:val="0"/>
                <w:sz w:val="21"/>
                <w:szCs w:val="21"/>
                <w14:ligatures w14:val="none"/>
              </w:rPr>
              <w:t xml:space="preserve">torch </w:t>
            </w:r>
            <w:r w:rsidRPr="009F49C3">
              <w:rPr>
                <w:rFonts w:eastAsia="Calibri" w:cstheme="minorHAnsi"/>
                <w:kern w:val="0"/>
                <w:sz w:val="21"/>
                <w:szCs w:val="21"/>
                <w14:ligatures w14:val="none"/>
              </w:rPr>
              <w:t>in Welsh.</w:t>
            </w:r>
          </w:p>
          <w:p w14:paraId="6F74E1BE" w14:textId="77777777" w:rsidR="00403C48" w:rsidRPr="009F49C3" w:rsidRDefault="00403C48" w:rsidP="00D36569">
            <w:pPr>
              <w:pStyle w:val="ListParagraph"/>
              <w:numPr>
                <w:ilvl w:val="0"/>
                <w:numId w:val="9"/>
              </w:numPr>
              <w:jc w:val="both"/>
              <w:rPr>
                <w:rFonts w:eastAsia="Calibri" w:cstheme="minorHAnsi"/>
                <w:kern w:val="0"/>
                <w:sz w:val="21"/>
                <w:szCs w:val="21"/>
                <w14:ligatures w14:val="none"/>
              </w:rPr>
            </w:pPr>
            <w:r w:rsidRPr="009F49C3">
              <w:rPr>
                <w:rFonts w:eastAsia="Calibri" w:cstheme="minorHAnsi"/>
                <w:kern w:val="0"/>
                <w:sz w:val="21"/>
                <w:szCs w:val="21"/>
                <w14:ligatures w14:val="none"/>
              </w:rPr>
              <w:t>Plan presentation</w:t>
            </w:r>
          </w:p>
          <w:p w14:paraId="68B042FE" w14:textId="77777777" w:rsidR="00403C48" w:rsidRDefault="00403C48" w:rsidP="00B80134">
            <w:pPr>
              <w:jc w:val="both"/>
              <w:rPr>
                <w:rFonts w:eastAsia="Calibri" w:cstheme="minorHAnsi"/>
                <w:kern w:val="0"/>
                <w:sz w:val="21"/>
                <w:szCs w:val="21"/>
                <w14:ligatures w14:val="none"/>
              </w:rPr>
            </w:pPr>
          </w:p>
        </w:tc>
      </w:tr>
      <w:tr w:rsidR="00403C48" w14:paraId="07F91DEC" w14:textId="77777777" w:rsidTr="002C1782">
        <w:trPr>
          <w:trHeight w:val="1191"/>
        </w:trPr>
        <w:tc>
          <w:tcPr>
            <w:tcW w:w="1129" w:type="dxa"/>
          </w:tcPr>
          <w:p w14:paraId="44804520" w14:textId="77777777" w:rsidR="00403C48" w:rsidRPr="009F49C3" w:rsidRDefault="00403C48" w:rsidP="00403C48">
            <w:pPr>
              <w:jc w:val="both"/>
              <w:rPr>
                <w:rFonts w:eastAsia="Calibri" w:cstheme="minorHAnsi"/>
                <w:kern w:val="0"/>
                <w:sz w:val="21"/>
                <w:szCs w:val="21"/>
                <w14:ligatures w14:val="none"/>
              </w:rPr>
            </w:pPr>
            <w:r w:rsidRPr="009F49C3">
              <w:rPr>
                <w:rFonts w:eastAsia="Calibri" w:cstheme="minorHAnsi"/>
                <w:kern w:val="0"/>
                <w:sz w:val="21"/>
                <w:szCs w:val="21"/>
                <w14:ligatures w14:val="none"/>
              </w:rPr>
              <w:lastRenderedPageBreak/>
              <w:t>March-May 2024</w:t>
            </w:r>
          </w:p>
          <w:p w14:paraId="2046D1B9" w14:textId="77777777" w:rsidR="00403C48" w:rsidRDefault="00403C48" w:rsidP="00B80134">
            <w:pPr>
              <w:jc w:val="both"/>
              <w:rPr>
                <w:rFonts w:eastAsia="Calibri" w:cstheme="minorHAnsi"/>
                <w:kern w:val="0"/>
                <w:sz w:val="21"/>
                <w:szCs w:val="21"/>
                <w14:ligatures w14:val="none"/>
              </w:rPr>
            </w:pPr>
          </w:p>
        </w:tc>
        <w:tc>
          <w:tcPr>
            <w:tcW w:w="7887" w:type="dxa"/>
          </w:tcPr>
          <w:p w14:paraId="18D07E73" w14:textId="77777777" w:rsidR="00403C48" w:rsidRPr="009F49C3" w:rsidRDefault="00403C48" w:rsidP="00D36569">
            <w:pPr>
              <w:pStyle w:val="ListParagraph"/>
              <w:numPr>
                <w:ilvl w:val="0"/>
                <w:numId w:val="10"/>
              </w:numPr>
              <w:jc w:val="both"/>
              <w:rPr>
                <w:rFonts w:eastAsia="Calibri" w:cstheme="minorHAnsi"/>
                <w:kern w:val="0"/>
                <w:sz w:val="21"/>
                <w:szCs w:val="21"/>
                <w14:ligatures w14:val="none"/>
              </w:rPr>
            </w:pPr>
            <w:r w:rsidRPr="009F49C3">
              <w:rPr>
                <w:rFonts w:eastAsia="Calibri" w:cstheme="minorHAnsi"/>
                <w:kern w:val="0"/>
                <w:sz w:val="21"/>
                <w:szCs w:val="21"/>
                <w14:ligatures w14:val="none"/>
              </w:rPr>
              <w:t>Draft additional arguments/perspectives/analysis, further questions, and conclusion</w:t>
            </w:r>
          </w:p>
          <w:p w14:paraId="118FB81B" w14:textId="77777777" w:rsidR="00403C48" w:rsidRPr="009F49C3" w:rsidRDefault="00403C48" w:rsidP="00D36569">
            <w:pPr>
              <w:pStyle w:val="ListParagraph"/>
              <w:numPr>
                <w:ilvl w:val="0"/>
                <w:numId w:val="10"/>
              </w:numPr>
              <w:jc w:val="both"/>
              <w:rPr>
                <w:rFonts w:eastAsia="Calibri" w:cstheme="minorHAnsi"/>
                <w:kern w:val="0"/>
                <w:sz w:val="21"/>
                <w:szCs w:val="21"/>
                <w14:ligatures w14:val="none"/>
              </w:rPr>
            </w:pPr>
            <w:r w:rsidRPr="009F49C3">
              <w:rPr>
                <w:rFonts w:eastAsia="Calibri" w:cstheme="minorHAnsi"/>
                <w:kern w:val="0"/>
                <w:sz w:val="21"/>
                <w:szCs w:val="21"/>
                <w14:ligatures w14:val="none"/>
              </w:rPr>
              <w:t xml:space="preserve">Final draft </w:t>
            </w:r>
          </w:p>
          <w:p w14:paraId="57E85B08" w14:textId="64E4B088" w:rsidR="00403C48" w:rsidRPr="00D36569" w:rsidRDefault="00403C48" w:rsidP="00B80134">
            <w:pPr>
              <w:pStyle w:val="ListParagraph"/>
              <w:numPr>
                <w:ilvl w:val="0"/>
                <w:numId w:val="10"/>
              </w:numPr>
              <w:jc w:val="both"/>
              <w:rPr>
                <w:rFonts w:eastAsia="Calibri" w:cstheme="minorHAnsi"/>
                <w:kern w:val="0"/>
                <w:sz w:val="21"/>
                <w:szCs w:val="21"/>
                <w14:ligatures w14:val="none"/>
              </w:rPr>
            </w:pPr>
            <w:r w:rsidRPr="009F49C3">
              <w:rPr>
                <w:rFonts w:eastAsia="Calibri" w:cstheme="minorHAnsi"/>
                <w:kern w:val="0"/>
                <w:sz w:val="21"/>
                <w:szCs w:val="21"/>
                <w14:ligatures w14:val="none"/>
              </w:rPr>
              <w:t>Final proofreading and submissio</w:t>
            </w:r>
            <w:r w:rsidR="00D36569">
              <w:rPr>
                <w:rFonts w:eastAsia="Calibri" w:cstheme="minorHAnsi"/>
                <w:kern w:val="0"/>
                <w:sz w:val="21"/>
                <w:szCs w:val="21"/>
                <w14:ligatures w14:val="none"/>
              </w:rPr>
              <w:t>n</w:t>
            </w:r>
          </w:p>
        </w:tc>
      </w:tr>
    </w:tbl>
    <w:p w14:paraId="7B3E24FE" w14:textId="44E86C74" w:rsidR="00B80134" w:rsidRPr="009F49C3" w:rsidRDefault="00B80134" w:rsidP="00B80134">
      <w:pPr>
        <w:jc w:val="both"/>
        <w:rPr>
          <w:rFonts w:eastAsia="Calibri" w:cstheme="minorHAnsi"/>
          <w:kern w:val="0"/>
          <w:sz w:val="21"/>
          <w:szCs w:val="21"/>
          <w:u w:val="single"/>
          <w14:ligatures w14:val="none"/>
        </w:rPr>
      </w:pPr>
      <w:r w:rsidRPr="009F49C3">
        <w:rPr>
          <w:rFonts w:eastAsia="Calibri" w:cstheme="minorHAnsi"/>
          <w:kern w:val="0"/>
          <w:sz w:val="21"/>
          <w:szCs w:val="21"/>
          <w:u w:val="single"/>
          <w14:ligatures w14:val="none"/>
        </w:rPr>
        <w:t>ii. Bibliography</w:t>
      </w:r>
    </w:p>
    <w:p w14:paraId="7F0ACE83" w14:textId="36CE7754" w:rsidR="00ED79C1" w:rsidRDefault="00ED79C1" w:rsidP="00ED79C1">
      <w:pPr>
        <w:ind w:left="142" w:hanging="142"/>
        <w:jc w:val="both"/>
        <w:rPr>
          <w:rFonts w:cstheme="minorHAnsi"/>
          <w:sz w:val="21"/>
          <w:szCs w:val="21"/>
        </w:rPr>
      </w:pPr>
      <w:r w:rsidRPr="009F49C3">
        <w:rPr>
          <w:rFonts w:cstheme="minorHAnsi"/>
          <w:sz w:val="21"/>
          <w:szCs w:val="21"/>
        </w:rPr>
        <w:t xml:space="preserve">Alcock, Leslie, ‘Gwŷr y Gogledd: an Archaeological Appraisal’, </w:t>
      </w:r>
      <w:r w:rsidRPr="009F49C3">
        <w:rPr>
          <w:rFonts w:cstheme="minorHAnsi"/>
          <w:i/>
          <w:iCs/>
          <w:sz w:val="21"/>
          <w:szCs w:val="21"/>
        </w:rPr>
        <w:t>Archaeologia Cambrensis</w:t>
      </w:r>
      <w:r w:rsidRPr="009F49C3">
        <w:rPr>
          <w:rFonts w:cstheme="minorHAnsi"/>
          <w:sz w:val="21"/>
          <w:szCs w:val="21"/>
        </w:rPr>
        <w:t xml:space="preserve">, 132 (1983), </w:t>
      </w:r>
      <w:r>
        <w:rPr>
          <w:rFonts w:cstheme="minorHAnsi"/>
          <w:sz w:val="21"/>
          <w:szCs w:val="21"/>
        </w:rPr>
        <w:t xml:space="preserve">pp. </w:t>
      </w:r>
      <w:r w:rsidRPr="009F49C3">
        <w:rPr>
          <w:rFonts w:cstheme="minorHAnsi"/>
          <w:sz w:val="21"/>
          <w:szCs w:val="21"/>
        </w:rPr>
        <w:t>1-18</w:t>
      </w:r>
      <w:r>
        <w:rPr>
          <w:rFonts w:cstheme="minorHAnsi"/>
          <w:sz w:val="21"/>
          <w:szCs w:val="21"/>
        </w:rPr>
        <w:t>.</w:t>
      </w:r>
      <w:r w:rsidRPr="009F49C3">
        <w:rPr>
          <w:rFonts w:cstheme="minorHAnsi"/>
          <w:sz w:val="21"/>
          <w:szCs w:val="21"/>
        </w:rPr>
        <w:t xml:space="preserve"> </w:t>
      </w:r>
    </w:p>
    <w:p w14:paraId="42993678" w14:textId="77777777" w:rsidR="0067004A" w:rsidRPr="009F49C3" w:rsidRDefault="0067004A" w:rsidP="0067004A">
      <w:pPr>
        <w:jc w:val="both"/>
        <w:rPr>
          <w:rFonts w:cstheme="minorHAnsi"/>
          <w:sz w:val="21"/>
          <w:szCs w:val="21"/>
        </w:rPr>
      </w:pPr>
      <w:r w:rsidRPr="009F49C3">
        <w:rPr>
          <w:rFonts w:cstheme="minorHAnsi"/>
          <w:sz w:val="21"/>
          <w:szCs w:val="21"/>
        </w:rPr>
        <w:t xml:space="preserve">Cessford, Craig, ‘Jewellery and the Gododdin poem’, </w:t>
      </w:r>
      <w:r w:rsidRPr="009F49C3">
        <w:rPr>
          <w:rFonts w:cstheme="minorHAnsi"/>
          <w:i/>
          <w:iCs/>
          <w:sz w:val="21"/>
          <w:szCs w:val="21"/>
        </w:rPr>
        <w:t>Jewellery Studies</w:t>
      </w:r>
      <w:r w:rsidRPr="009F49C3">
        <w:rPr>
          <w:rFonts w:cstheme="minorHAnsi"/>
          <w:sz w:val="21"/>
          <w:szCs w:val="21"/>
        </w:rPr>
        <w:t xml:space="preserve">, 7 (1996), </w:t>
      </w:r>
      <w:r>
        <w:rPr>
          <w:rFonts w:cstheme="minorHAnsi"/>
          <w:sz w:val="21"/>
          <w:szCs w:val="21"/>
        </w:rPr>
        <w:t xml:space="preserve">pp. </w:t>
      </w:r>
      <w:r w:rsidRPr="009F49C3">
        <w:rPr>
          <w:rFonts w:cstheme="minorHAnsi"/>
          <w:sz w:val="21"/>
          <w:szCs w:val="21"/>
        </w:rPr>
        <w:t>57-62</w:t>
      </w:r>
      <w:r>
        <w:rPr>
          <w:rFonts w:cstheme="minorHAnsi"/>
          <w:sz w:val="21"/>
          <w:szCs w:val="21"/>
        </w:rPr>
        <w:t>.</w:t>
      </w:r>
    </w:p>
    <w:p w14:paraId="0ACB5F35" w14:textId="77777777" w:rsidR="0067004A" w:rsidRPr="009F49C3" w:rsidRDefault="0067004A" w:rsidP="0067004A">
      <w:pPr>
        <w:pStyle w:val="Default"/>
        <w:spacing w:after="120"/>
        <w:ind w:left="360" w:hanging="360"/>
        <w:rPr>
          <w:rFonts w:asciiTheme="minorHAnsi" w:hAnsiTheme="minorHAnsi" w:cstheme="minorHAnsi"/>
          <w:color w:val="auto"/>
          <w:sz w:val="21"/>
          <w:szCs w:val="21"/>
        </w:rPr>
      </w:pPr>
      <w:r w:rsidRPr="009F49C3">
        <w:rPr>
          <w:rFonts w:asciiTheme="minorHAnsi" w:hAnsiTheme="minorHAnsi" w:cstheme="minorHAnsi"/>
          <w:color w:val="auto"/>
          <w:sz w:val="21"/>
          <w:szCs w:val="21"/>
        </w:rPr>
        <w:t xml:space="preserve">Cessford, Craig, ‘Early Historic Chains of Power’, </w:t>
      </w:r>
      <w:r w:rsidRPr="009F49C3">
        <w:rPr>
          <w:rFonts w:asciiTheme="minorHAnsi" w:hAnsiTheme="minorHAnsi" w:cstheme="minorHAnsi"/>
          <w:i/>
          <w:iCs/>
          <w:color w:val="auto"/>
          <w:sz w:val="21"/>
          <w:szCs w:val="21"/>
        </w:rPr>
        <w:t>Pictish Arts Society Journal</w:t>
      </w:r>
      <w:r w:rsidRPr="009F49C3">
        <w:rPr>
          <w:rFonts w:asciiTheme="minorHAnsi" w:hAnsiTheme="minorHAnsi" w:cstheme="minorHAnsi"/>
          <w:color w:val="auto"/>
          <w:sz w:val="21"/>
          <w:szCs w:val="21"/>
        </w:rPr>
        <w:t xml:space="preserve">, 6 (1994), </w:t>
      </w:r>
      <w:r>
        <w:rPr>
          <w:rFonts w:asciiTheme="minorHAnsi" w:hAnsiTheme="minorHAnsi" w:cstheme="minorHAnsi"/>
          <w:color w:val="auto"/>
          <w:sz w:val="21"/>
          <w:szCs w:val="21"/>
        </w:rPr>
        <w:t xml:space="preserve">pp. </w:t>
      </w:r>
      <w:r w:rsidRPr="009F49C3">
        <w:rPr>
          <w:rFonts w:asciiTheme="minorHAnsi" w:hAnsiTheme="minorHAnsi" w:cstheme="minorHAnsi"/>
          <w:color w:val="auto"/>
          <w:sz w:val="21"/>
          <w:szCs w:val="21"/>
        </w:rPr>
        <w:t>19-26</w:t>
      </w:r>
      <w:r>
        <w:rPr>
          <w:rFonts w:asciiTheme="minorHAnsi" w:hAnsiTheme="minorHAnsi" w:cstheme="minorHAnsi"/>
          <w:color w:val="auto"/>
          <w:sz w:val="21"/>
          <w:szCs w:val="21"/>
        </w:rPr>
        <w:t>.</w:t>
      </w:r>
      <w:r w:rsidRPr="009F49C3">
        <w:rPr>
          <w:rFonts w:asciiTheme="minorHAnsi" w:hAnsiTheme="minorHAnsi" w:cstheme="minorHAnsi"/>
          <w:color w:val="auto"/>
          <w:sz w:val="21"/>
          <w:szCs w:val="21"/>
        </w:rPr>
        <w:t xml:space="preserve"> </w:t>
      </w:r>
    </w:p>
    <w:p w14:paraId="046C1CCA" w14:textId="0058738D" w:rsidR="0067004A" w:rsidRPr="00ED79C1" w:rsidRDefault="0067004A" w:rsidP="0067004A">
      <w:pPr>
        <w:jc w:val="both"/>
        <w:rPr>
          <w:rFonts w:cstheme="minorHAnsi"/>
          <w:sz w:val="21"/>
          <w:szCs w:val="21"/>
        </w:rPr>
      </w:pPr>
      <w:r w:rsidRPr="009F49C3">
        <w:rPr>
          <w:rFonts w:cstheme="minorHAnsi"/>
          <w:sz w:val="21"/>
          <w:szCs w:val="21"/>
        </w:rPr>
        <w:t>Cessford, C</w:t>
      </w:r>
      <w:r>
        <w:rPr>
          <w:rFonts w:cstheme="minorHAnsi"/>
          <w:sz w:val="21"/>
          <w:szCs w:val="21"/>
        </w:rPr>
        <w:t>raig</w:t>
      </w:r>
      <w:r w:rsidRPr="009F49C3">
        <w:rPr>
          <w:rFonts w:cstheme="minorHAnsi"/>
          <w:sz w:val="21"/>
          <w:szCs w:val="21"/>
        </w:rPr>
        <w:t xml:space="preserve">, ‘Torcs in Early Historic Scotland’, </w:t>
      </w:r>
      <w:r w:rsidRPr="009F49C3">
        <w:rPr>
          <w:rFonts w:cstheme="minorHAnsi"/>
          <w:i/>
          <w:iCs/>
          <w:sz w:val="21"/>
          <w:szCs w:val="21"/>
        </w:rPr>
        <w:t>Oxford Journal of Archaeology</w:t>
      </w:r>
      <w:r w:rsidRPr="009F49C3">
        <w:rPr>
          <w:rFonts w:cstheme="minorHAnsi"/>
          <w:sz w:val="21"/>
          <w:szCs w:val="21"/>
        </w:rPr>
        <w:t xml:space="preserve">, 14 (1995), </w:t>
      </w:r>
      <w:r>
        <w:rPr>
          <w:rFonts w:cstheme="minorHAnsi"/>
          <w:sz w:val="21"/>
          <w:szCs w:val="21"/>
        </w:rPr>
        <w:t xml:space="preserve">pp. </w:t>
      </w:r>
      <w:r w:rsidRPr="009F49C3">
        <w:rPr>
          <w:rFonts w:cstheme="minorHAnsi"/>
          <w:sz w:val="21"/>
          <w:szCs w:val="21"/>
        </w:rPr>
        <w:t>229-42</w:t>
      </w:r>
      <w:r>
        <w:rPr>
          <w:rFonts w:cstheme="minorHAnsi"/>
          <w:sz w:val="21"/>
          <w:szCs w:val="21"/>
        </w:rPr>
        <w:t>.</w:t>
      </w:r>
    </w:p>
    <w:p w14:paraId="2A8AAFAF" w14:textId="76C83590" w:rsidR="00B80134" w:rsidRPr="009F49C3" w:rsidRDefault="00B80134" w:rsidP="00B80134">
      <w:pPr>
        <w:jc w:val="both"/>
        <w:rPr>
          <w:rFonts w:eastAsia="Calibri" w:cstheme="minorHAnsi"/>
          <w:kern w:val="0"/>
          <w:sz w:val="21"/>
          <w:szCs w:val="21"/>
          <w14:ligatures w14:val="none"/>
        </w:rPr>
      </w:pPr>
      <w:r w:rsidRPr="009F49C3">
        <w:rPr>
          <w:rFonts w:eastAsia="Calibri" w:cstheme="minorHAnsi"/>
          <w:kern w:val="0"/>
          <w:sz w:val="21"/>
          <w:szCs w:val="21"/>
          <w14:ligatures w14:val="none"/>
        </w:rPr>
        <w:t xml:space="preserve">Day, Jenny, ‘Weapons and Fighting in Y Gododdin’, </w:t>
      </w:r>
      <w:r w:rsidRPr="009F49C3">
        <w:rPr>
          <w:rFonts w:eastAsia="Calibri" w:cstheme="minorHAnsi"/>
          <w:i/>
          <w:iCs/>
          <w:kern w:val="0"/>
          <w:sz w:val="21"/>
          <w:szCs w:val="21"/>
          <w14:ligatures w14:val="none"/>
        </w:rPr>
        <w:t>Studia Celtica</w:t>
      </w:r>
      <w:r w:rsidRPr="009F49C3">
        <w:rPr>
          <w:rFonts w:eastAsia="Calibri" w:cstheme="minorHAnsi"/>
          <w:kern w:val="0"/>
          <w:sz w:val="21"/>
          <w:szCs w:val="21"/>
          <w14:ligatures w14:val="none"/>
        </w:rPr>
        <w:t xml:space="preserve">, 49.1 (2015), </w:t>
      </w:r>
      <w:r w:rsidR="00DE6C76">
        <w:rPr>
          <w:rFonts w:eastAsia="Calibri" w:cstheme="minorHAnsi"/>
          <w:kern w:val="0"/>
          <w:sz w:val="21"/>
          <w:szCs w:val="21"/>
          <w14:ligatures w14:val="none"/>
        </w:rPr>
        <w:t xml:space="preserve">pp. </w:t>
      </w:r>
      <w:r w:rsidRPr="009F49C3">
        <w:rPr>
          <w:rFonts w:eastAsia="Calibri" w:cstheme="minorHAnsi"/>
          <w:kern w:val="0"/>
          <w:sz w:val="21"/>
          <w:szCs w:val="21"/>
          <w14:ligatures w14:val="none"/>
        </w:rPr>
        <w:t>121–47</w:t>
      </w:r>
      <w:r w:rsidR="00E57AF5">
        <w:rPr>
          <w:rFonts w:eastAsia="Calibri" w:cstheme="minorHAnsi"/>
          <w:kern w:val="0"/>
          <w:sz w:val="21"/>
          <w:szCs w:val="21"/>
          <w14:ligatures w14:val="none"/>
        </w:rPr>
        <w:t>.</w:t>
      </w:r>
    </w:p>
    <w:p w14:paraId="1F53EC66" w14:textId="263F7AE7" w:rsidR="00B80134" w:rsidRPr="009F49C3" w:rsidRDefault="00B80134" w:rsidP="00B80134">
      <w:pPr>
        <w:jc w:val="both"/>
        <w:rPr>
          <w:rFonts w:eastAsia="Calibri" w:cstheme="minorHAnsi"/>
          <w:kern w:val="0"/>
          <w:sz w:val="21"/>
          <w:szCs w:val="21"/>
          <w14:ligatures w14:val="none"/>
        </w:rPr>
      </w:pPr>
      <w:r w:rsidRPr="009F49C3">
        <w:rPr>
          <w:rFonts w:eastAsia="Calibri" w:cstheme="minorHAnsi"/>
          <w:kern w:val="0"/>
          <w:sz w:val="21"/>
          <w:szCs w:val="21"/>
          <w14:ligatures w14:val="none"/>
        </w:rPr>
        <w:t>Birch, Samuel</w:t>
      </w:r>
      <w:r w:rsidRPr="009F49C3">
        <w:rPr>
          <w:rFonts w:eastAsia="Calibri" w:cstheme="minorHAnsi"/>
          <w:i/>
          <w:iCs/>
          <w:kern w:val="0"/>
          <w:sz w:val="21"/>
          <w:szCs w:val="21"/>
          <w14:ligatures w14:val="none"/>
        </w:rPr>
        <w:t>, ‘On the Torc of the Celts’, Archaeological Journal (London),</w:t>
      </w:r>
      <w:r w:rsidRPr="009F49C3">
        <w:rPr>
          <w:rFonts w:eastAsia="Calibri" w:cstheme="minorHAnsi"/>
          <w:kern w:val="0"/>
          <w:sz w:val="21"/>
          <w:szCs w:val="21"/>
          <w14:ligatures w14:val="none"/>
        </w:rPr>
        <w:t xml:space="preserve"> 3.1 (1846), </w:t>
      </w:r>
      <w:r w:rsidR="00146BB4">
        <w:rPr>
          <w:rFonts w:eastAsia="Calibri" w:cstheme="minorHAnsi"/>
          <w:kern w:val="0"/>
          <w:sz w:val="21"/>
          <w:szCs w:val="21"/>
          <w14:ligatures w14:val="none"/>
        </w:rPr>
        <w:t xml:space="preserve">pp. </w:t>
      </w:r>
      <w:r w:rsidRPr="009F49C3">
        <w:rPr>
          <w:rFonts w:eastAsia="Calibri" w:cstheme="minorHAnsi"/>
          <w:kern w:val="0"/>
          <w:sz w:val="21"/>
          <w:szCs w:val="21"/>
          <w14:ligatures w14:val="none"/>
        </w:rPr>
        <w:t>27–38</w:t>
      </w:r>
    </w:p>
    <w:p w14:paraId="71A0CABC" w14:textId="0FA1C552" w:rsidR="00B80134" w:rsidRPr="009F49C3" w:rsidRDefault="00B80134" w:rsidP="00B80134">
      <w:pPr>
        <w:ind w:left="142" w:hanging="142"/>
        <w:jc w:val="both"/>
        <w:rPr>
          <w:rFonts w:eastAsia="Calibri" w:cstheme="minorHAnsi"/>
          <w:kern w:val="0"/>
          <w:sz w:val="21"/>
          <w:szCs w:val="21"/>
          <w14:ligatures w14:val="none"/>
        </w:rPr>
      </w:pPr>
      <w:r w:rsidRPr="009F49C3">
        <w:rPr>
          <w:rFonts w:eastAsia="Calibri" w:cstheme="minorHAnsi"/>
          <w:kern w:val="0"/>
          <w:sz w:val="21"/>
          <w:szCs w:val="21"/>
          <w14:ligatures w14:val="none"/>
        </w:rPr>
        <w:t xml:space="preserve">Chapman, Adam, ‘Rebels, Uchelwyr and Parvenus: Welsh Knights in the Fourteenth Century’, in </w:t>
      </w:r>
      <w:r w:rsidRPr="009F49C3">
        <w:rPr>
          <w:rFonts w:eastAsia="Calibri" w:cstheme="minorHAnsi"/>
          <w:i/>
          <w:iCs/>
          <w:kern w:val="0"/>
          <w:sz w:val="21"/>
          <w:szCs w:val="21"/>
          <w14:ligatures w14:val="none"/>
        </w:rPr>
        <w:t xml:space="preserve">The Soldier Experience in the Fourteenth Century </w:t>
      </w:r>
      <w:r w:rsidRPr="009F49C3">
        <w:rPr>
          <w:rFonts w:eastAsia="Calibri" w:cstheme="minorHAnsi"/>
          <w:kern w:val="0"/>
          <w:sz w:val="21"/>
          <w:szCs w:val="21"/>
          <w14:ligatures w14:val="none"/>
        </w:rPr>
        <w:t xml:space="preserve">(Woodbridge, UK: Boydell and Brewer Limited, 2011), xxxvi, </w:t>
      </w:r>
      <w:r w:rsidR="00DE6C76">
        <w:rPr>
          <w:rFonts w:eastAsia="Calibri" w:cstheme="minorHAnsi"/>
          <w:kern w:val="0"/>
          <w:sz w:val="21"/>
          <w:szCs w:val="21"/>
          <w14:ligatures w14:val="none"/>
        </w:rPr>
        <w:t xml:space="preserve">pp. </w:t>
      </w:r>
      <w:r w:rsidRPr="009F49C3">
        <w:rPr>
          <w:rFonts w:eastAsia="Calibri" w:cstheme="minorHAnsi"/>
          <w:kern w:val="0"/>
          <w:sz w:val="21"/>
          <w:szCs w:val="21"/>
          <w14:ligatures w14:val="none"/>
        </w:rPr>
        <w:t>145–56</w:t>
      </w:r>
      <w:r w:rsidR="00DE6C76">
        <w:rPr>
          <w:rFonts w:eastAsia="Calibri" w:cstheme="minorHAnsi"/>
          <w:kern w:val="0"/>
          <w:sz w:val="21"/>
          <w:szCs w:val="21"/>
          <w14:ligatures w14:val="none"/>
        </w:rPr>
        <w:t>.</w:t>
      </w:r>
    </w:p>
    <w:p w14:paraId="408E8BA7" w14:textId="672D92B2" w:rsidR="00B80134" w:rsidRPr="009F49C3" w:rsidRDefault="00B80134" w:rsidP="00B80134">
      <w:pPr>
        <w:ind w:left="142" w:hanging="142"/>
        <w:jc w:val="both"/>
        <w:rPr>
          <w:rFonts w:eastAsia="Calibri" w:cstheme="minorHAnsi"/>
          <w:i/>
          <w:iCs/>
          <w:kern w:val="0"/>
          <w:sz w:val="21"/>
          <w:szCs w:val="21"/>
          <w14:ligatures w14:val="none"/>
        </w:rPr>
      </w:pPr>
      <w:r w:rsidRPr="009F49C3">
        <w:rPr>
          <w:rFonts w:eastAsia="Calibri" w:cstheme="minorHAnsi"/>
          <w:kern w:val="0"/>
          <w:sz w:val="21"/>
          <w:szCs w:val="21"/>
          <w14:ligatures w14:val="none"/>
        </w:rPr>
        <w:t>Garrow, Duncan and Chris Gosden,</w:t>
      </w:r>
      <w:r w:rsidRPr="009F49C3">
        <w:rPr>
          <w:rFonts w:eastAsia="Calibri" w:cstheme="minorHAnsi"/>
          <w:i/>
          <w:iCs/>
          <w:kern w:val="0"/>
          <w:sz w:val="21"/>
          <w:szCs w:val="21"/>
          <w14:ligatures w14:val="none"/>
        </w:rPr>
        <w:t xml:space="preserve"> Technologies of Enchantment? Exploring Celtic Art: 400 BC to AD 100</w:t>
      </w:r>
      <w:r w:rsidRPr="009F49C3">
        <w:rPr>
          <w:rFonts w:eastAsia="Calibri" w:cstheme="minorHAnsi"/>
          <w:kern w:val="0"/>
          <w:sz w:val="21"/>
          <w:szCs w:val="21"/>
          <w14:ligatures w14:val="none"/>
        </w:rPr>
        <w:t xml:space="preserve"> (Oxford: Oxford University Press, 2012)</w:t>
      </w:r>
      <w:r w:rsidR="009535A7">
        <w:rPr>
          <w:rFonts w:eastAsia="Calibri" w:cstheme="minorHAnsi"/>
          <w:kern w:val="0"/>
          <w:sz w:val="21"/>
          <w:szCs w:val="21"/>
          <w14:ligatures w14:val="none"/>
        </w:rPr>
        <w:t>.</w:t>
      </w:r>
    </w:p>
    <w:p w14:paraId="37905B29" w14:textId="6C3D8909" w:rsidR="00B80134" w:rsidRPr="009F49C3" w:rsidRDefault="00B80134" w:rsidP="00B80134">
      <w:pPr>
        <w:ind w:left="142" w:hanging="142"/>
        <w:jc w:val="both"/>
        <w:rPr>
          <w:rFonts w:eastAsia="Calibri" w:cstheme="minorHAnsi"/>
          <w:kern w:val="0"/>
          <w:sz w:val="21"/>
          <w:szCs w:val="21"/>
          <w14:ligatures w14:val="none"/>
        </w:rPr>
      </w:pPr>
      <w:r w:rsidRPr="009F49C3">
        <w:rPr>
          <w:rFonts w:eastAsia="Calibri" w:cstheme="minorHAnsi"/>
          <w:kern w:val="0"/>
          <w:sz w:val="21"/>
          <w:szCs w:val="21"/>
          <w14:ligatures w14:val="none"/>
        </w:rPr>
        <w:t xml:space="preserve">Garrow, Duncan., Duncan Garrow, J. D Hill, and Chris Gosden, </w:t>
      </w:r>
      <w:r w:rsidRPr="009F49C3">
        <w:rPr>
          <w:rFonts w:eastAsia="Calibri" w:cstheme="minorHAnsi"/>
          <w:i/>
          <w:iCs/>
          <w:kern w:val="0"/>
          <w:sz w:val="21"/>
          <w:szCs w:val="21"/>
          <w14:ligatures w14:val="none"/>
        </w:rPr>
        <w:t>Rethinking Celtic Art</w:t>
      </w:r>
      <w:r w:rsidRPr="009F49C3">
        <w:rPr>
          <w:rFonts w:eastAsia="Calibri" w:cstheme="minorHAnsi"/>
          <w:kern w:val="0"/>
          <w:sz w:val="21"/>
          <w:szCs w:val="21"/>
          <w14:ligatures w14:val="none"/>
        </w:rPr>
        <w:t xml:space="preserve"> (Havertown: Oxbow Books, 2008)</w:t>
      </w:r>
      <w:r w:rsidR="00CB4543">
        <w:rPr>
          <w:rFonts w:eastAsia="Calibri" w:cstheme="minorHAnsi"/>
          <w:kern w:val="0"/>
          <w:sz w:val="21"/>
          <w:szCs w:val="21"/>
          <w14:ligatures w14:val="none"/>
        </w:rPr>
        <w:t>.</w:t>
      </w:r>
    </w:p>
    <w:p w14:paraId="38061766" w14:textId="0395AD76" w:rsidR="00B80134" w:rsidRPr="009F49C3" w:rsidRDefault="00B80134" w:rsidP="00B80134">
      <w:pPr>
        <w:ind w:left="142" w:hanging="142"/>
        <w:jc w:val="both"/>
        <w:rPr>
          <w:rFonts w:eastAsia="Calibri" w:cstheme="minorHAnsi"/>
          <w:kern w:val="0"/>
          <w:sz w:val="21"/>
          <w:szCs w:val="21"/>
          <w14:ligatures w14:val="none"/>
        </w:rPr>
      </w:pPr>
      <w:r w:rsidRPr="009F49C3">
        <w:rPr>
          <w:rFonts w:eastAsia="Calibri" w:cstheme="minorHAnsi"/>
          <w:kern w:val="0"/>
          <w:sz w:val="21"/>
          <w:szCs w:val="21"/>
          <w14:ligatures w14:val="none"/>
        </w:rPr>
        <w:t xml:space="preserve">Jacobsthal, P., </w:t>
      </w:r>
      <w:r w:rsidRPr="009F49C3">
        <w:rPr>
          <w:rFonts w:eastAsia="Calibri" w:cstheme="minorHAnsi"/>
          <w:i/>
          <w:iCs/>
          <w:kern w:val="0"/>
          <w:sz w:val="21"/>
          <w:szCs w:val="21"/>
          <w14:ligatures w14:val="none"/>
        </w:rPr>
        <w:t>‘Celtic Rock-Carvings in Northern Italy and Yorkshire’</w:t>
      </w:r>
      <w:r w:rsidRPr="009F49C3">
        <w:rPr>
          <w:rFonts w:eastAsia="Calibri" w:cstheme="minorHAnsi"/>
          <w:kern w:val="0"/>
          <w:sz w:val="21"/>
          <w:szCs w:val="21"/>
          <w14:ligatures w14:val="none"/>
        </w:rPr>
        <w:t xml:space="preserve">, The Journal of Roman Studies, 28.1 (1938), </w:t>
      </w:r>
      <w:r w:rsidR="00CB4543">
        <w:rPr>
          <w:rFonts w:eastAsia="Calibri" w:cstheme="minorHAnsi"/>
          <w:kern w:val="0"/>
          <w:sz w:val="21"/>
          <w:szCs w:val="21"/>
          <w14:ligatures w14:val="none"/>
        </w:rPr>
        <w:t xml:space="preserve">pp. </w:t>
      </w:r>
      <w:r w:rsidRPr="009F49C3">
        <w:rPr>
          <w:rFonts w:eastAsia="Calibri" w:cstheme="minorHAnsi"/>
          <w:kern w:val="0"/>
          <w:sz w:val="21"/>
          <w:szCs w:val="21"/>
          <w14:ligatures w14:val="none"/>
        </w:rPr>
        <w:t>65–69</w:t>
      </w:r>
      <w:r w:rsidR="00CB4543">
        <w:rPr>
          <w:rFonts w:eastAsia="Calibri" w:cstheme="minorHAnsi"/>
          <w:kern w:val="0"/>
          <w:sz w:val="21"/>
          <w:szCs w:val="21"/>
          <w14:ligatures w14:val="none"/>
        </w:rPr>
        <w:t>.</w:t>
      </w:r>
    </w:p>
    <w:p w14:paraId="5CBC8649" w14:textId="12192EF8" w:rsidR="00B80134" w:rsidRDefault="00327359" w:rsidP="00B80134">
      <w:pPr>
        <w:ind w:left="142" w:hanging="142"/>
        <w:jc w:val="both"/>
        <w:rPr>
          <w:rFonts w:eastAsia="Calibri" w:cstheme="minorHAnsi"/>
          <w:kern w:val="0"/>
          <w:sz w:val="21"/>
          <w:szCs w:val="21"/>
          <w14:ligatures w14:val="none"/>
        </w:rPr>
      </w:pPr>
      <w:r w:rsidRPr="009F49C3">
        <w:rPr>
          <w:rFonts w:eastAsia="Calibri" w:cstheme="minorHAnsi"/>
          <w:kern w:val="0"/>
          <w:sz w:val="21"/>
          <w:szCs w:val="21"/>
          <w14:ligatures w14:val="none"/>
        </w:rPr>
        <w:t>Jones</w:t>
      </w:r>
      <w:r>
        <w:rPr>
          <w:rFonts w:eastAsia="Calibri" w:cstheme="minorHAnsi"/>
          <w:kern w:val="0"/>
          <w:sz w:val="21"/>
          <w:szCs w:val="21"/>
          <w14:ligatures w14:val="none"/>
        </w:rPr>
        <w:t>,</w:t>
      </w:r>
      <w:r w:rsidRPr="009F49C3">
        <w:rPr>
          <w:rFonts w:eastAsia="Calibri" w:cstheme="minorHAnsi"/>
          <w:kern w:val="0"/>
          <w:sz w:val="21"/>
          <w:szCs w:val="21"/>
          <w14:ligatures w14:val="none"/>
        </w:rPr>
        <w:t xml:space="preserve"> </w:t>
      </w:r>
      <w:r w:rsidR="00B80134" w:rsidRPr="009F49C3">
        <w:rPr>
          <w:rFonts w:eastAsia="Calibri" w:cstheme="minorHAnsi"/>
          <w:kern w:val="0"/>
          <w:sz w:val="21"/>
          <w:szCs w:val="21"/>
          <w14:ligatures w14:val="none"/>
        </w:rPr>
        <w:t xml:space="preserve">Alaw Mai, </w:t>
      </w:r>
      <w:r w:rsidR="00B80134" w:rsidRPr="009F49C3">
        <w:rPr>
          <w:rFonts w:eastAsia="Calibri" w:cstheme="minorHAnsi"/>
          <w:i/>
          <w:iCs/>
          <w:kern w:val="0"/>
          <w:sz w:val="21"/>
          <w:szCs w:val="21"/>
          <w14:ligatures w14:val="none"/>
        </w:rPr>
        <w:t>Gwisgoedd ac Ategolion yn Llenyddiaeth yr Oesoedd Canol c. 700 ― c. 1600,</w:t>
      </w:r>
      <w:r w:rsidR="00B80134" w:rsidRPr="009F49C3">
        <w:rPr>
          <w:rFonts w:eastAsia="Calibri" w:cstheme="minorHAnsi"/>
          <w:kern w:val="0"/>
          <w:sz w:val="21"/>
          <w:szCs w:val="21"/>
          <w14:ligatures w14:val="none"/>
        </w:rPr>
        <w:t xml:space="preserve"> Department of Welsh and Celtic Studies, Student thesis: Doctoral Thesis › Doctor of Philosophy</w:t>
      </w:r>
      <w:r w:rsidR="0007764F">
        <w:rPr>
          <w:rFonts w:eastAsia="Calibri" w:cstheme="minorHAnsi"/>
          <w:kern w:val="0"/>
          <w:sz w:val="21"/>
          <w:szCs w:val="21"/>
          <w14:ligatures w14:val="none"/>
        </w:rPr>
        <w:t>.</w:t>
      </w:r>
    </w:p>
    <w:p w14:paraId="057DFA7D" w14:textId="664C08B2" w:rsidR="00BA68F5" w:rsidRPr="00BB4F38" w:rsidRDefault="00BB4F38" w:rsidP="00BA68F5">
      <w:pPr>
        <w:ind w:left="142" w:hanging="142"/>
        <w:jc w:val="both"/>
        <w:rPr>
          <w:rFonts w:cstheme="minorHAnsi"/>
          <w:sz w:val="21"/>
          <w:szCs w:val="21"/>
        </w:rPr>
      </w:pPr>
      <w:r w:rsidRPr="009F49C3">
        <w:rPr>
          <w:rFonts w:cstheme="minorHAnsi"/>
          <w:sz w:val="21"/>
          <w:szCs w:val="21"/>
        </w:rPr>
        <w:t>Koch, John T.</w:t>
      </w:r>
      <w:r>
        <w:rPr>
          <w:rFonts w:cstheme="minorHAnsi"/>
          <w:sz w:val="21"/>
          <w:szCs w:val="21"/>
        </w:rPr>
        <w:t>,</w:t>
      </w:r>
      <w:r w:rsidRPr="009F49C3">
        <w:rPr>
          <w:rFonts w:cstheme="minorHAnsi"/>
          <w:sz w:val="21"/>
          <w:szCs w:val="21"/>
        </w:rPr>
        <w:t xml:space="preserve"> ‘</w:t>
      </w:r>
      <w:r w:rsidRPr="009F49C3">
        <w:rPr>
          <w:rFonts w:cstheme="minorHAnsi"/>
          <w:i/>
          <w:iCs/>
          <w:sz w:val="21"/>
          <w:szCs w:val="21"/>
        </w:rPr>
        <w:t xml:space="preserve">llawr en asseδ </w:t>
      </w:r>
      <w:r w:rsidRPr="009F49C3">
        <w:rPr>
          <w:rFonts w:cstheme="minorHAnsi"/>
          <w:sz w:val="21"/>
          <w:szCs w:val="21"/>
        </w:rPr>
        <w:t>(C</w:t>
      </w:r>
      <w:r>
        <w:rPr>
          <w:rFonts w:cstheme="minorHAnsi"/>
          <w:sz w:val="21"/>
          <w:szCs w:val="21"/>
        </w:rPr>
        <w:t xml:space="preserve">[anu] </w:t>
      </w:r>
      <w:r w:rsidRPr="009F49C3">
        <w:rPr>
          <w:rFonts w:cstheme="minorHAnsi"/>
          <w:sz w:val="21"/>
          <w:szCs w:val="21"/>
        </w:rPr>
        <w:t>A</w:t>
      </w:r>
      <w:r>
        <w:rPr>
          <w:rFonts w:cstheme="minorHAnsi"/>
          <w:sz w:val="21"/>
          <w:szCs w:val="21"/>
        </w:rPr>
        <w:t>[neirin]</w:t>
      </w:r>
      <w:r w:rsidRPr="009F49C3">
        <w:rPr>
          <w:rFonts w:cstheme="minorHAnsi"/>
          <w:sz w:val="21"/>
          <w:szCs w:val="21"/>
        </w:rPr>
        <w:t xml:space="preserve"> 932)</w:t>
      </w:r>
      <w:r>
        <w:rPr>
          <w:rFonts w:cstheme="minorHAnsi"/>
          <w:sz w:val="21"/>
          <w:szCs w:val="21"/>
        </w:rPr>
        <w:t>:</w:t>
      </w:r>
      <w:r w:rsidRPr="009F49C3">
        <w:rPr>
          <w:rFonts w:cstheme="minorHAnsi"/>
          <w:sz w:val="21"/>
          <w:szCs w:val="21"/>
        </w:rPr>
        <w:t xml:space="preserve"> “The Laureate Hero in the War-Chariot”: some Recollections of the Iron Age in the Gododdin’</w:t>
      </w:r>
      <w:r>
        <w:rPr>
          <w:rFonts w:cstheme="minorHAnsi"/>
          <w:sz w:val="21"/>
          <w:szCs w:val="21"/>
        </w:rPr>
        <w:t xml:space="preserve"> in</w:t>
      </w:r>
      <w:r w:rsidRPr="009F49C3">
        <w:rPr>
          <w:rFonts w:cstheme="minorHAnsi"/>
          <w:sz w:val="21"/>
          <w:szCs w:val="21"/>
        </w:rPr>
        <w:t xml:space="preserve"> </w:t>
      </w:r>
      <w:r w:rsidRPr="001473DB">
        <w:rPr>
          <w:rFonts w:cstheme="minorHAnsi"/>
          <w:sz w:val="21"/>
          <w:szCs w:val="21"/>
        </w:rPr>
        <w:t xml:space="preserve">Études Celtiques 24 (1987), </w:t>
      </w:r>
      <w:r>
        <w:rPr>
          <w:rFonts w:cstheme="minorHAnsi"/>
          <w:sz w:val="21"/>
          <w:szCs w:val="21"/>
        </w:rPr>
        <w:t xml:space="preserve">pp. </w:t>
      </w:r>
      <w:r w:rsidRPr="001473DB">
        <w:rPr>
          <w:rFonts w:cstheme="minorHAnsi"/>
          <w:sz w:val="21"/>
          <w:szCs w:val="21"/>
        </w:rPr>
        <w:t>253–78</w:t>
      </w:r>
      <w:r>
        <w:rPr>
          <w:rFonts w:cstheme="minorHAnsi"/>
          <w:sz w:val="21"/>
          <w:szCs w:val="21"/>
        </w:rPr>
        <w:t>.</w:t>
      </w:r>
    </w:p>
    <w:p w14:paraId="47787D61" w14:textId="5D5F2A16" w:rsidR="00B80134" w:rsidRPr="009F49C3" w:rsidRDefault="00327359" w:rsidP="00B80134">
      <w:pPr>
        <w:ind w:left="142" w:hanging="142"/>
        <w:jc w:val="both"/>
        <w:rPr>
          <w:rFonts w:eastAsia="Calibri" w:cstheme="minorHAnsi"/>
          <w:kern w:val="0"/>
          <w:sz w:val="21"/>
          <w:szCs w:val="21"/>
          <w14:ligatures w14:val="none"/>
        </w:rPr>
      </w:pPr>
      <w:r w:rsidRPr="009F49C3">
        <w:rPr>
          <w:rFonts w:eastAsia="Calibri" w:cstheme="minorHAnsi"/>
          <w:kern w:val="0"/>
          <w:sz w:val="21"/>
          <w:szCs w:val="21"/>
          <w14:ligatures w14:val="none"/>
        </w:rPr>
        <w:t>Macdonald</w:t>
      </w:r>
      <w:r>
        <w:rPr>
          <w:rFonts w:eastAsia="Calibri" w:cstheme="minorHAnsi"/>
          <w:kern w:val="0"/>
          <w:sz w:val="21"/>
          <w:szCs w:val="21"/>
          <w14:ligatures w14:val="none"/>
        </w:rPr>
        <w:t xml:space="preserve">, </w:t>
      </w:r>
      <w:r w:rsidR="00B80134" w:rsidRPr="009F49C3">
        <w:rPr>
          <w:rFonts w:eastAsia="Calibri" w:cstheme="minorHAnsi"/>
          <w:kern w:val="0"/>
          <w:sz w:val="21"/>
          <w:szCs w:val="21"/>
          <w14:ligatures w14:val="none"/>
        </w:rPr>
        <w:t xml:space="preserve">Philip, ‘Perspectives on Insular La Tène Art’, in </w:t>
      </w:r>
      <w:r w:rsidR="00B80134" w:rsidRPr="009F49C3">
        <w:rPr>
          <w:rFonts w:eastAsia="Calibri" w:cstheme="minorHAnsi"/>
          <w:i/>
          <w:iCs/>
          <w:kern w:val="0"/>
          <w:sz w:val="21"/>
          <w:szCs w:val="21"/>
          <w14:ligatures w14:val="none"/>
        </w:rPr>
        <w:t>The Later Iron Age in Britain and Beyond</w:t>
      </w:r>
      <w:r w:rsidR="00B80134" w:rsidRPr="009F49C3">
        <w:rPr>
          <w:rFonts w:eastAsia="Calibri" w:cstheme="minorHAnsi"/>
          <w:kern w:val="0"/>
          <w:sz w:val="21"/>
          <w:szCs w:val="21"/>
          <w14:ligatures w14:val="none"/>
        </w:rPr>
        <w:t xml:space="preserve"> (Oxbow Books, 2006), </w:t>
      </w:r>
      <w:r w:rsidR="00B80134" w:rsidRPr="00B442D0">
        <w:rPr>
          <w:rFonts w:eastAsia="Calibri" w:cstheme="minorHAnsi"/>
          <w:kern w:val="0"/>
          <w:sz w:val="21"/>
          <w:szCs w:val="21"/>
          <w14:ligatures w14:val="none"/>
        </w:rPr>
        <w:t>p</w:t>
      </w:r>
      <w:r w:rsidR="00B442D0" w:rsidRPr="00B442D0">
        <w:rPr>
          <w:rFonts w:eastAsia="Calibri" w:cstheme="minorHAnsi"/>
          <w:kern w:val="0"/>
          <w:sz w:val="21"/>
          <w:szCs w:val="21"/>
          <w14:ligatures w14:val="none"/>
        </w:rPr>
        <w:t>p</w:t>
      </w:r>
      <w:r w:rsidR="00B80134" w:rsidRPr="00B442D0">
        <w:rPr>
          <w:rFonts w:eastAsia="Calibri" w:cstheme="minorHAnsi"/>
          <w:kern w:val="0"/>
          <w:sz w:val="21"/>
          <w:szCs w:val="21"/>
          <w14:ligatures w14:val="none"/>
        </w:rPr>
        <w:t>. 329–</w:t>
      </w:r>
      <w:r w:rsidR="00B442D0">
        <w:rPr>
          <w:rFonts w:eastAsia="Calibri" w:cstheme="minorHAnsi"/>
          <w:kern w:val="0"/>
          <w:sz w:val="21"/>
          <w:szCs w:val="21"/>
          <w14:ligatures w14:val="none"/>
        </w:rPr>
        <w:t>338.</w:t>
      </w:r>
    </w:p>
    <w:p w14:paraId="746ECA6D" w14:textId="6667C80F" w:rsidR="00B80134" w:rsidRDefault="00B80134" w:rsidP="00B80134">
      <w:pPr>
        <w:ind w:left="142" w:hanging="142"/>
        <w:jc w:val="both"/>
        <w:rPr>
          <w:rFonts w:eastAsia="Calibri" w:cstheme="minorHAnsi"/>
          <w:kern w:val="0"/>
          <w:sz w:val="21"/>
          <w:szCs w:val="21"/>
          <w14:ligatures w14:val="none"/>
        </w:rPr>
      </w:pPr>
      <w:r w:rsidRPr="00D60095">
        <w:rPr>
          <w:rFonts w:eastAsia="Calibri" w:cstheme="minorHAnsi"/>
          <w:kern w:val="0"/>
          <w:sz w:val="21"/>
          <w:szCs w:val="21"/>
          <w14:ligatures w14:val="none"/>
        </w:rPr>
        <w:t xml:space="preserve">Mackreth, D. F, ‘Late La Tène, Britain and the Continent’, in </w:t>
      </w:r>
      <w:r w:rsidRPr="00D60095">
        <w:rPr>
          <w:rFonts w:eastAsia="Calibri" w:cstheme="minorHAnsi"/>
          <w:i/>
          <w:iCs/>
          <w:kern w:val="0"/>
          <w:sz w:val="21"/>
          <w:szCs w:val="21"/>
          <w14:ligatures w14:val="none"/>
        </w:rPr>
        <w:t>Brooches in Late Iron Age and Roman Britain</w:t>
      </w:r>
      <w:r w:rsidRPr="00D60095">
        <w:rPr>
          <w:rFonts w:eastAsia="Calibri" w:cstheme="minorHAnsi"/>
          <w:kern w:val="0"/>
          <w:sz w:val="21"/>
          <w:szCs w:val="21"/>
          <w14:ligatures w14:val="none"/>
        </w:rPr>
        <w:t xml:space="preserve"> (United States: Oxbow Books, 2011),</w:t>
      </w:r>
      <w:r w:rsidRPr="009F49C3">
        <w:rPr>
          <w:rFonts w:eastAsia="Calibri" w:cstheme="minorHAnsi"/>
          <w:kern w:val="0"/>
          <w:sz w:val="21"/>
          <w:szCs w:val="21"/>
          <w14:ligatures w14:val="none"/>
        </w:rPr>
        <w:t xml:space="preserve"> </w:t>
      </w:r>
      <w:r w:rsidR="00D60095">
        <w:rPr>
          <w:rFonts w:eastAsia="Calibri" w:cstheme="minorHAnsi"/>
          <w:kern w:val="0"/>
          <w:sz w:val="21"/>
          <w:szCs w:val="21"/>
          <w14:ligatures w14:val="none"/>
        </w:rPr>
        <w:t>p</w:t>
      </w:r>
      <w:r w:rsidRPr="00D60095">
        <w:rPr>
          <w:rFonts w:eastAsia="Calibri" w:cstheme="minorHAnsi"/>
          <w:kern w:val="0"/>
          <w:sz w:val="21"/>
          <w:szCs w:val="21"/>
          <w14:ligatures w14:val="none"/>
        </w:rPr>
        <w:t>p. 8–</w:t>
      </w:r>
      <w:r w:rsidR="00D60095">
        <w:rPr>
          <w:rFonts w:eastAsia="Calibri" w:cstheme="minorHAnsi"/>
          <w:kern w:val="0"/>
          <w:sz w:val="21"/>
          <w:szCs w:val="21"/>
          <w14:ligatures w14:val="none"/>
        </w:rPr>
        <w:t>49.</w:t>
      </w:r>
    </w:p>
    <w:p w14:paraId="46864828" w14:textId="7A600E3D" w:rsidR="00BA68F5" w:rsidRPr="009F49C3" w:rsidRDefault="00BA68F5" w:rsidP="00BA68F5">
      <w:pPr>
        <w:jc w:val="both"/>
        <w:rPr>
          <w:rFonts w:eastAsia="Calibri" w:cstheme="minorHAnsi"/>
          <w:kern w:val="0"/>
          <w:sz w:val="21"/>
          <w:szCs w:val="21"/>
          <w14:ligatures w14:val="none"/>
        </w:rPr>
      </w:pPr>
      <w:r w:rsidRPr="009F49C3">
        <w:rPr>
          <w:rFonts w:eastAsia="Calibri" w:cstheme="minorHAnsi"/>
          <w:kern w:val="0"/>
          <w:sz w:val="21"/>
          <w:szCs w:val="21"/>
          <w14:ligatures w14:val="none"/>
        </w:rPr>
        <w:t>Maier</w:t>
      </w:r>
      <w:r>
        <w:rPr>
          <w:rFonts w:eastAsia="Calibri" w:cstheme="minorHAnsi"/>
          <w:kern w:val="0"/>
          <w:sz w:val="21"/>
          <w:szCs w:val="21"/>
          <w14:ligatures w14:val="none"/>
        </w:rPr>
        <w:t>,</w:t>
      </w:r>
      <w:r w:rsidRPr="009F49C3">
        <w:rPr>
          <w:rFonts w:eastAsia="Calibri" w:cstheme="minorHAnsi"/>
          <w:kern w:val="0"/>
          <w:sz w:val="21"/>
          <w:szCs w:val="21"/>
          <w14:ligatures w14:val="none"/>
        </w:rPr>
        <w:t xml:space="preserve"> Bernhard, ‘Gallo-Roman Culture’</w:t>
      </w:r>
      <w:r w:rsidRPr="009F49C3">
        <w:rPr>
          <w:rFonts w:eastAsia="Calibri" w:cstheme="minorHAnsi"/>
          <w:i/>
          <w:iCs/>
          <w:kern w:val="0"/>
          <w:sz w:val="21"/>
          <w:szCs w:val="21"/>
          <w14:ligatures w14:val="none"/>
        </w:rPr>
        <w:t>, in The Celts</w:t>
      </w:r>
      <w:r w:rsidRPr="009F49C3">
        <w:rPr>
          <w:rFonts w:eastAsia="Calibri" w:cstheme="minorHAnsi"/>
          <w:kern w:val="0"/>
          <w:sz w:val="21"/>
          <w:szCs w:val="21"/>
          <w14:ligatures w14:val="none"/>
        </w:rPr>
        <w:t xml:space="preserve"> (Edinburgh University Press, 2003), p</w:t>
      </w:r>
      <w:r>
        <w:rPr>
          <w:rFonts w:eastAsia="Calibri" w:cstheme="minorHAnsi"/>
          <w:kern w:val="0"/>
          <w:sz w:val="21"/>
          <w:szCs w:val="21"/>
          <w14:ligatures w14:val="none"/>
        </w:rPr>
        <w:t>p</w:t>
      </w:r>
      <w:r w:rsidRPr="00E57AF5">
        <w:rPr>
          <w:rFonts w:eastAsia="Calibri" w:cstheme="minorHAnsi"/>
          <w:kern w:val="0"/>
          <w:sz w:val="21"/>
          <w:szCs w:val="21"/>
          <w14:ligatures w14:val="none"/>
        </w:rPr>
        <w:t>. 97–</w:t>
      </w:r>
      <w:r>
        <w:rPr>
          <w:rFonts w:eastAsia="Calibri" w:cstheme="minorHAnsi"/>
          <w:kern w:val="0"/>
          <w:sz w:val="21"/>
          <w:szCs w:val="21"/>
          <w14:ligatures w14:val="none"/>
        </w:rPr>
        <w:t>112.</w:t>
      </w:r>
    </w:p>
    <w:p w14:paraId="33B56D7E" w14:textId="1A17B6A2" w:rsidR="00B80134" w:rsidRPr="00A13F81" w:rsidRDefault="00B80134" w:rsidP="00A13F81">
      <w:pPr>
        <w:ind w:left="142" w:hanging="142"/>
        <w:jc w:val="both"/>
        <w:rPr>
          <w:rFonts w:eastAsia="Calibri" w:cstheme="minorHAnsi"/>
          <w:kern w:val="0"/>
          <w:sz w:val="21"/>
          <w:szCs w:val="21"/>
          <w14:ligatures w14:val="none"/>
        </w:rPr>
      </w:pPr>
      <w:r w:rsidRPr="009F49C3">
        <w:rPr>
          <w:rFonts w:eastAsia="Calibri" w:cstheme="minorHAnsi"/>
          <w:kern w:val="0"/>
          <w:sz w:val="21"/>
          <w:szCs w:val="21"/>
          <w:shd w:val="clear" w:color="auto" w:fill="FFFFFF"/>
          <w14:ligatures w14:val="none"/>
        </w:rPr>
        <w:t>Williams, Patricia, ‘Dress and Dignity in the Mabinogion’, in </w:t>
      </w:r>
      <w:r w:rsidRPr="009F49C3">
        <w:rPr>
          <w:rFonts w:eastAsia="Calibri" w:cstheme="minorHAnsi"/>
          <w:i/>
          <w:iCs/>
          <w:kern w:val="0"/>
          <w:sz w:val="21"/>
          <w:szCs w:val="21"/>
          <w:shd w:val="clear" w:color="auto" w:fill="FFFFFF"/>
          <w14:ligatures w14:val="none"/>
        </w:rPr>
        <w:t>Medieval Clothing and Textiles 8</w:t>
      </w:r>
      <w:r w:rsidRPr="009F49C3">
        <w:rPr>
          <w:rFonts w:eastAsia="Calibri" w:cstheme="minorHAnsi"/>
          <w:kern w:val="0"/>
          <w:sz w:val="21"/>
          <w:szCs w:val="21"/>
          <w:shd w:val="clear" w:color="auto" w:fill="FFFFFF"/>
          <w14:ligatures w14:val="none"/>
        </w:rPr>
        <w:t> (Woodbridge, UK: Boydell and Brewer Limited, 2012), viii</w:t>
      </w:r>
      <w:r w:rsidR="00B37BA8">
        <w:rPr>
          <w:rFonts w:eastAsia="Calibri" w:cstheme="minorHAnsi"/>
          <w:kern w:val="0"/>
          <w:sz w:val="21"/>
          <w:szCs w:val="21"/>
          <w:shd w:val="clear" w:color="auto" w:fill="FFFFFF"/>
          <w14:ligatures w14:val="none"/>
        </w:rPr>
        <w:t xml:space="preserve"> </w:t>
      </w:r>
      <w:r w:rsidR="001E51EE">
        <w:rPr>
          <w:rFonts w:eastAsia="Calibri" w:cstheme="minorHAnsi"/>
          <w:kern w:val="0"/>
          <w:sz w:val="21"/>
          <w:szCs w:val="21"/>
          <w:shd w:val="clear" w:color="auto" w:fill="FFFFFF"/>
          <w14:ligatures w14:val="none"/>
        </w:rPr>
        <w:t xml:space="preserve">pp. </w:t>
      </w:r>
      <w:r w:rsidRPr="009F49C3">
        <w:rPr>
          <w:rFonts w:eastAsia="Calibri" w:cstheme="minorHAnsi"/>
          <w:kern w:val="0"/>
          <w:sz w:val="21"/>
          <w:szCs w:val="21"/>
          <w:shd w:val="clear" w:color="auto" w:fill="FFFFFF"/>
          <w14:ligatures w14:val="none"/>
        </w:rPr>
        <w:t>83–114</w:t>
      </w:r>
      <w:r w:rsidR="00B37BA8">
        <w:rPr>
          <w:rFonts w:eastAsia="Calibri" w:cstheme="minorHAnsi"/>
          <w:kern w:val="0"/>
          <w:sz w:val="21"/>
          <w:szCs w:val="21"/>
          <w:shd w:val="clear" w:color="auto" w:fill="FFFFFF"/>
          <w14:ligatures w14:val="none"/>
        </w:rPr>
        <w:t>.</w:t>
      </w:r>
    </w:p>
    <w:p w14:paraId="372C26DD" w14:textId="2E905877" w:rsidR="0004797F" w:rsidRPr="009F49C3" w:rsidRDefault="007064B2" w:rsidP="00ED79C1">
      <w:pPr>
        <w:ind w:left="142" w:hanging="142"/>
        <w:jc w:val="both"/>
        <w:rPr>
          <w:rFonts w:cstheme="minorHAnsi"/>
          <w:sz w:val="21"/>
          <w:szCs w:val="21"/>
        </w:rPr>
      </w:pPr>
      <w:r w:rsidRPr="009F49C3">
        <w:rPr>
          <w:rFonts w:cstheme="minorHAnsi"/>
          <w:sz w:val="21"/>
          <w:szCs w:val="21"/>
        </w:rPr>
        <w:t xml:space="preserve">Youngs, Susan, ‘Britain, Wales and Ireland: Holding Things Together’, </w:t>
      </w:r>
      <w:r w:rsidR="00B37BA8">
        <w:rPr>
          <w:rFonts w:cstheme="minorHAnsi"/>
          <w:sz w:val="21"/>
          <w:szCs w:val="21"/>
        </w:rPr>
        <w:t>in</w:t>
      </w:r>
      <w:r w:rsidRPr="009F49C3">
        <w:rPr>
          <w:rFonts w:cstheme="minorHAnsi"/>
          <w:sz w:val="21"/>
          <w:szCs w:val="21"/>
        </w:rPr>
        <w:t xml:space="preserve"> Jankulak and Wooding (eds.), </w:t>
      </w:r>
      <w:r w:rsidRPr="009F49C3">
        <w:rPr>
          <w:rFonts w:cstheme="minorHAnsi"/>
          <w:i/>
          <w:iCs/>
          <w:sz w:val="21"/>
          <w:szCs w:val="21"/>
        </w:rPr>
        <w:t>Ireland and Wales in the Middle Ages</w:t>
      </w:r>
      <w:r w:rsidRPr="009F49C3">
        <w:rPr>
          <w:rFonts w:cstheme="minorHAnsi"/>
          <w:sz w:val="21"/>
          <w:szCs w:val="21"/>
        </w:rPr>
        <w:t xml:space="preserve">, </w:t>
      </w:r>
      <w:r w:rsidR="00B37BA8">
        <w:rPr>
          <w:rFonts w:cstheme="minorHAnsi"/>
          <w:sz w:val="21"/>
          <w:szCs w:val="21"/>
        </w:rPr>
        <w:t>pp.</w:t>
      </w:r>
      <w:r w:rsidRPr="009F49C3">
        <w:rPr>
          <w:rFonts w:cstheme="minorHAnsi"/>
          <w:sz w:val="21"/>
          <w:szCs w:val="21"/>
        </w:rPr>
        <w:t xml:space="preserve"> 80-101</w:t>
      </w:r>
      <w:r w:rsidR="00B37BA8">
        <w:rPr>
          <w:rFonts w:cstheme="minorHAnsi"/>
          <w:sz w:val="21"/>
          <w:szCs w:val="21"/>
        </w:rPr>
        <w:t>.</w:t>
      </w:r>
      <w:r w:rsidRPr="009F49C3">
        <w:rPr>
          <w:rFonts w:cstheme="minorHAnsi"/>
          <w:sz w:val="21"/>
          <w:szCs w:val="21"/>
        </w:rPr>
        <w:t xml:space="preserve"> </w:t>
      </w:r>
    </w:p>
    <w:p w14:paraId="46D64DF8" w14:textId="57D91460" w:rsidR="007064B2" w:rsidRDefault="007064B2" w:rsidP="0004797F">
      <w:pPr>
        <w:jc w:val="both"/>
        <w:rPr>
          <w:rFonts w:cstheme="minorHAnsi"/>
          <w:sz w:val="21"/>
          <w:szCs w:val="21"/>
        </w:rPr>
      </w:pPr>
      <w:r w:rsidRPr="009F49C3">
        <w:rPr>
          <w:rFonts w:cstheme="minorHAnsi"/>
          <w:sz w:val="21"/>
          <w:szCs w:val="21"/>
        </w:rPr>
        <w:t xml:space="preserve">Youngs, Susan, </w:t>
      </w:r>
      <w:r w:rsidRPr="009F49C3">
        <w:rPr>
          <w:rFonts w:cstheme="minorHAnsi"/>
          <w:i/>
          <w:iCs/>
          <w:sz w:val="21"/>
          <w:szCs w:val="21"/>
        </w:rPr>
        <w:t xml:space="preserve">‘The Work of Angels’: Masterpieces of Celtic Metalwork 6th-9th Centuries AD </w:t>
      </w:r>
      <w:r w:rsidRPr="009F49C3">
        <w:rPr>
          <w:rFonts w:cstheme="minorHAnsi"/>
          <w:sz w:val="21"/>
          <w:szCs w:val="21"/>
        </w:rPr>
        <w:t>(London, 1989)</w:t>
      </w:r>
    </w:p>
    <w:p w14:paraId="0C40C830" w14:textId="77777777" w:rsidR="00327359" w:rsidRPr="009F49C3" w:rsidRDefault="00327359" w:rsidP="0004797F">
      <w:pPr>
        <w:jc w:val="both"/>
        <w:rPr>
          <w:rFonts w:cstheme="minorHAnsi"/>
          <w:sz w:val="21"/>
          <w:szCs w:val="21"/>
        </w:rPr>
      </w:pPr>
    </w:p>
    <w:p w14:paraId="0EF85B90" w14:textId="77777777" w:rsidR="007B381E" w:rsidRPr="009F49C3" w:rsidRDefault="007B381E" w:rsidP="0004797F">
      <w:pPr>
        <w:jc w:val="both"/>
        <w:rPr>
          <w:rFonts w:cstheme="minorHAnsi"/>
          <w:sz w:val="21"/>
          <w:szCs w:val="21"/>
        </w:rPr>
      </w:pPr>
    </w:p>
    <w:p w14:paraId="329DD5C4" w14:textId="77777777" w:rsidR="00BE6B2F" w:rsidRPr="009F49C3" w:rsidRDefault="00BE6B2F" w:rsidP="003C4183">
      <w:pPr>
        <w:jc w:val="both"/>
        <w:rPr>
          <w:rFonts w:cstheme="minorHAnsi"/>
          <w:sz w:val="21"/>
          <w:szCs w:val="21"/>
        </w:rPr>
      </w:pPr>
    </w:p>
    <w:sectPr w:rsidR="00BE6B2F" w:rsidRPr="009F49C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AC450DF" w14:textId="77777777" w:rsidR="009A652C" w:rsidRDefault="009A652C" w:rsidP="004F262A">
      <w:pPr>
        <w:spacing w:after="0" w:line="240" w:lineRule="auto"/>
      </w:pPr>
      <w:r>
        <w:separator/>
      </w:r>
    </w:p>
  </w:endnote>
  <w:endnote w:type="continuationSeparator" w:id="0">
    <w:p w14:paraId="78225096" w14:textId="77777777" w:rsidR="009A652C" w:rsidRDefault="009A652C" w:rsidP="004F262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647253F" w14:textId="77777777" w:rsidR="009A652C" w:rsidRDefault="009A652C" w:rsidP="004F262A">
      <w:pPr>
        <w:spacing w:after="0" w:line="240" w:lineRule="auto"/>
      </w:pPr>
      <w:r>
        <w:separator/>
      </w:r>
    </w:p>
  </w:footnote>
  <w:footnote w:type="continuationSeparator" w:id="0">
    <w:p w14:paraId="5BB076B0" w14:textId="77777777" w:rsidR="009A652C" w:rsidRDefault="009A652C" w:rsidP="004F262A">
      <w:pPr>
        <w:spacing w:after="0" w:line="240" w:lineRule="auto"/>
      </w:pPr>
      <w:r>
        <w:continuationSeparator/>
      </w:r>
    </w:p>
  </w:footnote>
  <w:footnote w:id="1">
    <w:p w14:paraId="76EB92F9" w14:textId="3BD859AA" w:rsidR="000D5954" w:rsidRDefault="000D5954">
      <w:pPr>
        <w:pStyle w:val="FootnoteText"/>
      </w:pPr>
      <w:r>
        <w:rPr>
          <w:rStyle w:val="FootnoteReference"/>
        </w:rPr>
        <w:footnoteRef/>
      </w:r>
      <w:r>
        <w:t xml:space="preserve"> </w:t>
      </w:r>
      <w:hyperlink r:id="rId1" w:history="1">
        <w:r w:rsidR="007B08C0" w:rsidRPr="00A550C7">
          <w:rPr>
            <w:rStyle w:val="Hyperlink"/>
          </w:rPr>
          <w:t>https://www.independent.co.uk/news/science/dark-age-britain-celtic-kings-tombs-b2037073.html</w:t>
        </w:r>
      </w:hyperlink>
      <w:r w:rsidR="007B08C0">
        <w:t xml:space="preserve"> [for reference only; signposting the need for sourcing further academic reading]</w:t>
      </w:r>
    </w:p>
  </w:footnote>
  <w:footnote w:id="2">
    <w:p w14:paraId="584AF39A" w14:textId="5AEF6025" w:rsidR="008222E1" w:rsidRDefault="008222E1">
      <w:pPr>
        <w:pStyle w:val="FootnoteText"/>
      </w:pPr>
      <w:r>
        <w:rPr>
          <w:rStyle w:val="FootnoteReference"/>
        </w:rPr>
        <w:footnoteRef/>
      </w:r>
      <w:r>
        <w:t xml:space="preserve"> I need to find the source for this. I believe it is a paper on Celtiberians but have not currently located it.</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E47349"/>
    <w:multiLevelType w:val="hybridMultilevel"/>
    <w:tmpl w:val="59B4A308"/>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 w15:restartNumberingAfterBreak="0">
    <w:nsid w:val="11035C71"/>
    <w:multiLevelType w:val="hybridMultilevel"/>
    <w:tmpl w:val="45EE20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C183EB2"/>
    <w:multiLevelType w:val="hybridMultilevel"/>
    <w:tmpl w:val="C8EA36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45C6EEA"/>
    <w:multiLevelType w:val="hybridMultilevel"/>
    <w:tmpl w:val="417230A6"/>
    <w:lvl w:ilvl="0" w:tplc="08090003">
      <w:start w:val="1"/>
      <w:numFmt w:val="bullet"/>
      <w:lvlText w:val="o"/>
      <w:lvlJc w:val="left"/>
      <w:pPr>
        <w:ind w:left="720" w:hanging="360"/>
      </w:pPr>
      <w:rPr>
        <w:rFonts w:ascii="Courier New" w:hAnsi="Courier New" w:cs="Courier New"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4" w15:restartNumberingAfterBreak="0">
    <w:nsid w:val="4B8B6172"/>
    <w:multiLevelType w:val="hybridMultilevel"/>
    <w:tmpl w:val="AC246DC6"/>
    <w:lvl w:ilvl="0" w:tplc="08090003">
      <w:start w:val="1"/>
      <w:numFmt w:val="bullet"/>
      <w:lvlText w:val="o"/>
      <w:lvlJc w:val="left"/>
      <w:pPr>
        <w:ind w:left="720" w:hanging="360"/>
      </w:pPr>
      <w:rPr>
        <w:rFonts w:ascii="Courier New" w:hAnsi="Courier New" w:cs="Courier New"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5" w15:restartNumberingAfterBreak="0">
    <w:nsid w:val="517652B0"/>
    <w:multiLevelType w:val="hybridMultilevel"/>
    <w:tmpl w:val="E9A4FDA0"/>
    <w:lvl w:ilvl="0" w:tplc="08090003">
      <w:start w:val="1"/>
      <w:numFmt w:val="bullet"/>
      <w:lvlText w:val="o"/>
      <w:lvlJc w:val="left"/>
      <w:pPr>
        <w:ind w:left="720" w:hanging="360"/>
      </w:pPr>
      <w:rPr>
        <w:rFonts w:ascii="Courier New" w:hAnsi="Courier New" w:cs="Courier New"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6" w15:restartNumberingAfterBreak="0">
    <w:nsid w:val="51CA6890"/>
    <w:multiLevelType w:val="multilevel"/>
    <w:tmpl w:val="3FEE069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5AEE334F"/>
    <w:multiLevelType w:val="hybridMultilevel"/>
    <w:tmpl w:val="25F0EC74"/>
    <w:lvl w:ilvl="0" w:tplc="0809000B">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8" w15:restartNumberingAfterBreak="0">
    <w:nsid w:val="602D68C2"/>
    <w:multiLevelType w:val="hybridMultilevel"/>
    <w:tmpl w:val="6C5684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B1E277C"/>
    <w:multiLevelType w:val="hybridMultilevel"/>
    <w:tmpl w:val="C4962E2A"/>
    <w:lvl w:ilvl="0" w:tplc="08090003">
      <w:start w:val="1"/>
      <w:numFmt w:val="bullet"/>
      <w:lvlText w:val="o"/>
      <w:lvlJc w:val="left"/>
      <w:pPr>
        <w:ind w:left="720" w:hanging="360"/>
      </w:pPr>
      <w:rPr>
        <w:rFonts w:ascii="Courier New" w:hAnsi="Courier New" w:cs="Courier New"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0" w15:restartNumberingAfterBreak="0">
    <w:nsid w:val="7F8573EF"/>
    <w:multiLevelType w:val="hybridMultilevel"/>
    <w:tmpl w:val="D59E88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4069017">
    <w:abstractNumId w:val="6"/>
  </w:num>
  <w:num w:numId="2" w16cid:durableId="298533311">
    <w:abstractNumId w:val="1"/>
  </w:num>
  <w:num w:numId="3" w16cid:durableId="422579430">
    <w:abstractNumId w:val="10"/>
  </w:num>
  <w:num w:numId="4" w16cid:durableId="305476251">
    <w:abstractNumId w:val="2"/>
  </w:num>
  <w:num w:numId="5" w16cid:durableId="448553899">
    <w:abstractNumId w:val="8"/>
  </w:num>
  <w:num w:numId="6" w16cid:durableId="334038572">
    <w:abstractNumId w:val="4"/>
  </w:num>
  <w:num w:numId="7" w16cid:durableId="189298477">
    <w:abstractNumId w:val="0"/>
  </w:num>
  <w:num w:numId="8" w16cid:durableId="1601527303">
    <w:abstractNumId w:val="5"/>
  </w:num>
  <w:num w:numId="9" w16cid:durableId="1646548714">
    <w:abstractNumId w:val="3"/>
  </w:num>
  <w:num w:numId="10" w16cid:durableId="2025202759">
    <w:abstractNumId w:val="9"/>
  </w:num>
  <w:num w:numId="11" w16cid:durableId="430013088">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val="bestFit" w:percent="148"/>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A3EE6"/>
    <w:rsid w:val="00025A30"/>
    <w:rsid w:val="0004797F"/>
    <w:rsid w:val="00051C21"/>
    <w:rsid w:val="0007764F"/>
    <w:rsid w:val="000A59A6"/>
    <w:rsid w:val="000D5954"/>
    <w:rsid w:val="00122B29"/>
    <w:rsid w:val="00143B2D"/>
    <w:rsid w:val="00146BB4"/>
    <w:rsid w:val="001473DB"/>
    <w:rsid w:val="00155B88"/>
    <w:rsid w:val="001E51EE"/>
    <w:rsid w:val="002001D8"/>
    <w:rsid w:val="002362E8"/>
    <w:rsid w:val="002400EB"/>
    <w:rsid w:val="00290250"/>
    <w:rsid w:val="002C1782"/>
    <w:rsid w:val="002D0B03"/>
    <w:rsid w:val="002D24DD"/>
    <w:rsid w:val="002D6A59"/>
    <w:rsid w:val="002F0702"/>
    <w:rsid w:val="00322387"/>
    <w:rsid w:val="00327359"/>
    <w:rsid w:val="003547C5"/>
    <w:rsid w:val="003636BE"/>
    <w:rsid w:val="0039610B"/>
    <w:rsid w:val="003B6769"/>
    <w:rsid w:val="003C15EB"/>
    <w:rsid w:val="003C4183"/>
    <w:rsid w:val="003C6629"/>
    <w:rsid w:val="003F2284"/>
    <w:rsid w:val="00403C48"/>
    <w:rsid w:val="00413DCF"/>
    <w:rsid w:val="00416166"/>
    <w:rsid w:val="00470A4C"/>
    <w:rsid w:val="00474B91"/>
    <w:rsid w:val="00482E0A"/>
    <w:rsid w:val="00487376"/>
    <w:rsid w:val="004A5AB1"/>
    <w:rsid w:val="004B325D"/>
    <w:rsid w:val="004E31B4"/>
    <w:rsid w:val="004F262A"/>
    <w:rsid w:val="004F4EEA"/>
    <w:rsid w:val="0050277D"/>
    <w:rsid w:val="0055674F"/>
    <w:rsid w:val="0056301A"/>
    <w:rsid w:val="00573BF6"/>
    <w:rsid w:val="00587381"/>
    <w:rsid w:val="00597181"/>
    <w:rsid w:val="005B06C3"/>
    <w:rsid w:val="005D1048"/>
    <w:rsid w:val="005F5782"/>
    <w:rsid w:val="00606ECC"/>
    <w:rsid w:val="00610B0C"/>
    <w:rsid w:val="0067004A"/>
    <w:rsid w:val="0067241C"/>
    <w:rsid w:val="0069462D"/>
    <w:rsid w:val="006C1EEA"/>
    <w:rsid w:val="006E5E5D"/>
    <w:rsid w:val="007064B2"/>
    <w:rsid w:val="00712962"/>
    <w:rsid w:val="00727B15"/>
    <w:rsid w:val="00766927"/>
    <w:rsid w:val="00766E64"/>
    <w:rsid w:val="00777FD7"/>
    <w:rsid w:val="007A432F"/>
    <w:rsid w:val="007B08C0"/>
    <w:rsid w:val="007B381E"/>
    <w:rsid w:val="007B6BCA"/>
    <w:rsid w:val="00801CB9"/>
    <w:rsid w:val="00811D65"/>
    <w:rsid w:val="008222E1"/>
    <w:rsid w:val="00893CF0"/>
    <w:rsid w:val="0089558C"/>
    <w:rsid w:val="00897622"/>
    <w:rsid w:val="008A740E"/>
    <w:rsid w:val="008B2D09"/>
    <w:rsid w:val="008D3DC0"/>
    <w:rsid w:val="00901311"/>
    <w:rsid w:val="0090790D"/>
    <w:rsid w:val="00913AEE"/>
    <w:rsid w:val="0093163F"/>
    <w:rsid w:val="009535A7"/>
    <w:rsid w:val="00953F7A"/>
    <w:rsid w:val="0098770B"/>
    <w:rsid w:val="009A652C"/>
    <w:rsid w:val="009F49C3"/>
    <w:rsid w:val="00A13F81"/>
    <w:rsid w:val="00AD4FCF"/>
    <w:rsid w:val="00AD5167"/>
    <w:rsid w:val="00AF2C3B"/>
    <w:rsid w:val="00B32FD3"/>
    <w:rsid w:val="00B37BA8"/>
    <w:rsid w:val="00B442D0"/>
    <w:rsid w:val="00B5274C"/>
    <w:rsid w:val="00B80134"/>
    <w:rsid w:val="00BA1194"/>
    <w:rsid w:val="00BA68F5"/>
    <w:rsid w:val="00BB4F38"/>
    <w:rsid w:val="00BD2AA9"/>
    <w:rsid w:val="00BE405A"/>
    <w:rsid w:val="00BE6B2F"/>
    <w:rsid w:val="00BF6857"/>
    <w:rsid w:val="00C0692C"/>
    <w:rsid w:val="00C62EBF"/>
    <w:rsid w:val="00C63807"/>
    <w:rsid w:val="00C8331F"/>
    <w:rsid w:val="00C961FB"/>
    <w:rsid w:val="00CB4543"/>
    <w:rsid w:val="00D05416"/>
    <w:rsid w:val="00D066AA"/>
    <w:rsid w:val="00D158C5"/>
    <w:rsid w:val="00D17721"/>
    <w:rsid w:val="00D36569"/>
    <w:rsid w:val="00D416B0"/>
    <w:rsid w:val="00D60095"/>
    <w:rsid w:val="00D77EE5"/>
    <w:rsid w:val="00D8138E"/>
    <w:rsid w:val="00DE6C76"/>
    <w:rsid w:val="00E0628A"/>
    <w:rsid w:val="00E429E0"/>
    <w:rsid w:val="00E470C0"/>
    <w:rsid w:val="00E57AF5"/>
    <w:rsid w:val="00E748F9"/>
    <w:rsid w:val="00E81EDF"/>
    <w:rsid w:val="00ED79C1"/>
    <w:rsid w:val="00EF384A"/>
    <w:rsid w:val="00F266B0"/>
    <w:rsid w:val="00F551C8"/>
    <w:rsid w:val="00F747A6"/>
    <w:rsid w:val="00F75587"/>
    <w:rsid w:val="00F85CF7"/>
    <w:rsid w:val="00FA3EE6"/>
    <w:rsid w:val="00FB7DB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698E13"/>
  <w15:chartTrackingRefBased/>
  <w15:docId w15:val="{A760EEE2-1D87-4975-8DD5-494F3D2560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4F262A"/>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4F262A"/>
    <w:rPr>
      <w:sz w:val="20"/>
      <w:szCs w:val="20"/>
    </w:rPr>
  </w:style>
  <w:style w:type="character" w:styleId="FootnoteReference">
    <w:name w:val="footnote reference"/>
    <w:basedOn w:val="DefaultParagraphFont"/>
    <w:uiPriority w:val="99"/>
    <w:semiHidden/>
    <w:unhideWhenUsed/>
    <w:rsid w:val="004F262A"/>
    <w:rPr>
      <w:vertAlign w:val="superscript"/>
    </w:rPr>
  </w:style>
  <w:style w:type="character" w:styleId="Hyperlink">
    <w:name w:val="Hyperlink"/>
    <w:basedOn w:val="DefaultParagraphFont"/>
    <w:uiPriority w:val="99"/>
    <w:unhideWhenUsed/>
    <w:rsid w:val="00051C21"/>
    <w:rPr>
      <w:color w:val="0563C1" w:themeColor="hyperlink"/>
      <w:u w:val="single"/>
    </w:rPr>
  </w:style>
  <w:style w:type="character" w:styleId="UnresolvedMention">
    <w:name w:val="Unresolved Mention"/>
    <w:basedOn w:val="DefaultParagraphFont"/>
    <w:uiPriority w:val="99"/>
    <w:semiHidden/>
    <w:unhideWhenUsed/>
    <w:rsid w:val="00051C21"/>
    <w:rPr>
      <w:color w:val="605E5C"/>
      <w:shd w:val="clear" w:color="auto" w:fill="E1DFDD"/>
    </w:rPr>
  </w:style>
  <w:style w:type="paragraph" w:styleId="ListParagraph">
    <w:name w:val="List Paragraph"/>
    <w:basedOn w:val="Normal"/>
    <w:uiPriority w:val="34"/>
    <w:qFormat/>
    <w:rsid w:val="00B80134"/>
    <w:pPr>
      <w:ind w:left="720"/>
      <w:contextualSpacing/>
    </w:pPr>
  </w:style>
  <w:style w:type="paragraph" w:customStyle="1" w:styleId="Default">
    <w:name w:val="Default"/>
    <w:rsid w:val="0004797F"/>
    <w:pPr>
      <w:autoSpaceDE w:val="0"/>
      <w:autoSpaceDN w:val="0"/>
      <w:adjustRightInd w:val="0"/>
      <w:spacing w:after="0" w:line="240" w:lineRule="auto"/>
    </w:pPr>
    <w:rPr>
      <w:rFonts w:ascii="Times New Roman" w:hAnsi="Times New Roman" w:cs="Times New Roman"/>
      <w:color w:val="000000"/>
      <w:kern w:val="0"/>
      <w:sz w:val="24"/>
      <w:szCs w:val="24"/>
    </w:rPr>
  </w:style>
  <w:style w:type="table" w:styleId="TableGrid">
    <w:name w:val="Table Grid"/>
    <w:basedOn w:val="TableNormal"/>
    <w:uiPriority w:val="39"/>
    <w:rsid w:val="00403C4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1950007">
      <w:bodyDiv w:val="1"/>
      <w:marLeft w:val="0"/>
      <w:marRight w:val="0"/>
      <w:marTop w:val="0"/>
      <w:marBottom w:val="0"/>
      <w:divBdr>
        <w:top w:val="none" w:sz="0" w:space="0" w:color="auto"/>
        <w:left w:val="none" w:sz="0" w:space="0" w:color="auto"/>
        <w:bottom w:val="none" w:sz="0" w:space="0" w:color="auto"/>
        <w:right w:val="none" w:sz="0" w:space="0" w:color="auto"/>
      </w:divBdr>
    </w:div>
    <w:div w:id="514225880">
      <w:bodyDiv w:val="1"/>
      <w:marLeft w:val="0"/>
      <w:marRight w:val="0"/>
      <w:marTop w:val="0"/>
      <w:marBottom w:val="0"/>
      <w:divBdr>
        <w:top w:val="none" w:sz="0" w:space="0" w:color="auto"/>
        <w:left w:val="none" w:sz="0" w:space="0" w:color="auto"/>
        <w:bottom w:val="none" w:sz="0" w:space="0" w:color="auto"/>
        <w:right w:val="none" w:sz="0" w:space="0" w:color="auto"/>
      </w:divBdr>
      <w:divsChild>
        <w:div w:id="373578749">
          <w:marLeft w:val="0"/>
          <w:marRight w:val="0"/>
          <w:marTop w:val="0"/>
          <w:marBottom w:val="0"/>
          <w:divBdr>
            <w:top w:val="none" w:sz="0" w:space="0" w:color="auto"/>
            <w:left w:val="none" w:sz="0" w:space="0" w:color="auto"/>
            <w:bottom w:val="none" w:sz="0" w:space="0" w:color="auto"/>
            <w:right w:val="none" w:sz="0" w:space="0" w:color="auto"/>
          </w:divBdr>
          <w:divsChild>
            <w:div w:id="170461705">
              <w:marLeft w:val="0"/>
              <w:marRight w:val="0"/>
              <w:marTop w:val="0"/>
              <w:marBottom w:val="0"/>
              <w:divBdr>
                <w:top w:val="none" w:sz="0" w:space="0" w:color="auto"/>
                <w:left w:val="none" w:sz="0" w:space="0" w:color="auto"/>
                <w:bottom w:val="none" w:sz="0" w:space="0" w:color="auto"/>
                <w:right w:val="none" w:sz="0" w:space="0" w:color="auto"/>
              </w:divBdr>
              <w:divsChild>
                <w:div w:id="1392728673">
                  <w:marLeft w:val="0"/>
                  <w:marRight w:val="0"/>
                  <w:marTop w:val="0"/>
                  <w:marBottom w:val="0"/>
                  <w:divBdr>
                    <w:top w:val="none" w:sz="0" w:space="0" w:color="auto"/>
                    <w:left w:val="none" w:sz="0" w:space="0" w:color="auto"/>
                    <w:bottom w:val="none" w:sz="0" w:space="0" w:color="auto"/>
                    <w:right w:val="none" w:sz="0" w:space="0" w:color="auto"/>
                  </w:divBdr>
                  <w:divsChild>
                    <w:div w:id="1865626957">
                      <w:marLeft w:val="0"/>
                      <w:marRight w:val="0"/>
                      <w:marTop w:val="0"/>
                      <w:marBottom w:val="0"/>
                      <w:divBdr>
                        <w:top w:val="none" w:sz="0" w:space="0" w:color="auto"/>
                        <w:left w:val="none" w:sz="0" w:space="0" w:color="auto"/>
                        <w:bottom w:val="none" w:sz="0" w:space="0" w:color="auto"/>
                        <w:right w:val="none" w:sz="0" w:space="0" w:color="auto"/>
                      </w:divBdr>
                      <w:divsChild>
                        <w:div w:id="898442298">
                          <w:marLeft w:val="0"/>
                          <w:marRight w:val="0"/>
                          <w:marTop w:val="240"/>
                          <w:marBottom w:val="0"/>
                          <w:divBdr>
                            <w:top w:val="none" w:sz="0" w:space="0" w:color="auto"/>
                            <w:left w:val="none" w:sz="0" w:space="0" w:color="auto"/>
                            <w:bottom w:val="none" w:sz="0" w:space="0" w:color="auto"/>
                            <w:right w:val="none" w:sz="0" w:space="0" w:color="auto"/>
                          </w:divBdr>
                          <w:divsChild>
                            <w:div w:id="2052460636">
                              <w:marLeft w:val="0"/>
                              <w:marRight w:val="0"/>
                              <w:marTop w:val="0"/>
                              <w:marBottom w:val="0"/>
                              <w:divBdr>
                                <w:top w:val="none" w:sz="0" w:space="0" w:color="auto"/>
                                <w:left w:val="none" w:sz="0" w:space="0" w:color="auto"/>
                                <w:bottom w:val="none" w:sz="0" w:space="0" w:color="auto"/>
                                <w:right w:val="none" w:sz="0" w:space="0" w:color="auto"/>
                              </w:divBdr>
                              <w:divsChild>
                                <w:div w:id="248391490">
                                  <w:blockQuote w:val="1"/>
                                  <w:marLeft w:val="0"/>
                                  <w:marRight w:val="0"/>
                                  <w:marTop w:val="240"/>
                                  <w:marBottom w:val="240"/>
                                  <w:divBdr>
                                    <w:top w:val="none" w:sz="0" w:space="0" w:color="auto"/>
                                    <w:left w:val="none" w:sz="0" w:space="0" w:color="auto"/>
                                    <w:bottom w:val="none" w:sz="0" w:space="0" w:color="auto"/>
                                    <w:right w:val="none" w:sz="0" w:space="0" w:color="auto"/>
                                  </w:divBdr>
                                </w:div>
                                <w:div w:id="662197572">
                                  <w:marLeft w:val="0"/>
                                  <w:marRight w:val="0"/>
                                  <w:marTop w:val="72"/>
                                  <w:marBottom w:val="120"/>
                                  <w:divBdr>
                                    <w:top w:val="none" w:sz="0" w:space="0" w:color="auto"/>
                                    <w:left w:val="none" w:sz="0" w:space="0" w:color="auto"/>
                                    <w:bottom w:val="none" w:sz="0" w:space="0" w:color="auto"/>
                                    <w:right w:val="none" w:sz="0" w:space="0" w:color="auto"/>
                                  </w:divBdr>
                                </w:div>
                              </w:divsChild>
                            </w:div>
                          </w:divsChild>
                        </w:div>
                        <w:div w:id="179051755">
                          <w:marLeft w:val="0"/>
                          <w:marRight w:val="0"/>
                          <w:marTop w:val="240"/>
                          <w:marBottom w:val="0"/>
                          <w:divBdr>
                            <w:top w:val="single" w:sz="6" w:space="4" w:color="A2A9B1"/>
                            <w:left w:val="single" w:sz="6" w:space="4" w:color="A2A9B1"/>
                            <w:bottom w:val="single" w:sz="6" w:space="4" w:color="A2A9B1"/>
                            <w:right w:val="single" w:sz="6" w:space="4" w:color="A2A9B1"/>
                          </w:divBdr>
                          <w:divsChild>
                            <w:div w:id="20938922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811658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19157575">
          <w:marLeft w:val="0"/>
          <w:marRight w:val="0"/>
          <w:marTop w:val="0"/>
          <w:marBottom w:val="0"/>
          <w:divBdr>
            <w:top w:val="none" w:sz="0" w:space="0" w:color="auto"/>
            <w:left w:val="none" w:sz="0" w:space="0" w:color="auto"/>
            <w:bottom w:val="none" w:sz="0" w:space="0" w:color="auto"/>
            <w:right w:val="none" w:sz="0" w:space="0" w:color="auto"/>
          </w:divBdr>
        </w:div>
        <w:div w:id="1687517774">
          <w:marLeft w:val="0"/>
          <w:marRight w:val="0"/>
          <w:marTop w:val="0"/>
          <w:marBottom w:val="0"/>
          <w:divBdr>
            <w:top w:val="single" w:sz="6" w:space="0" w:color="C8CCD1"/>
            <w:left w:val="single" w:sz="6" w:space="0" w:color="C8CCD1"/>
            <w:bottom w:val="single" w:sz="6" w:space="0" w:color="C8CCD1"/>
            <w:right w:val="single" w:sz="6" w:space="0" w:color="C8CCD1"/>
          </w:divBdr>
          <w:divsChild>
            <w:div w:id="17743988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446631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_rels/footnotes.xml.rels><?xml version="1.0" encoding="UTF-8" standalone="yes"?>
<Relationships xmlns="http://schemas.openxmlformats.org/package/2006/relationships"><Relationship Id="rId1" Type="http://schemas.openxmlformats.org/officeDocument/2006/relationships/hyperlink" Target="https://www.independent.co.uk/news/science/dark-age-britain-celtic-kings-tombs-b2037073.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11D302F-46F9-49D7-92EF-4698C398130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842</TotalTime>
  <Pages>3</Pages>
  <Words>1497</Words>
  <Characters>8536</Characters>
  <Application>Microsoft Office Word</Application>
  <DocSecurity>0</DocSecurity>
  <Lines>71</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10013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Matthew Youde</dc:creator>
  <cp:keywords/>
  <dc:description/>
  <cp:lastModifiedBy>Matthew Youde</cp:lastModifiedBy>
  <cp:revision>115</cp:revision>
  <dcterms:created xsi:type="dcterms:W3CDTF">2023-10-27T11:12:00Z</dcterms:created>
  <dcterms:modified xsi:type="dcterms:W3CDTF">2023-11-26T22:56:00Z</dcterms:modified>
</cp:coreProperties>
</file>