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E2486" w14:textId="60847C53" w:rsidR="00864546" w:rsidRDefault="00816F48" w:rsidP="00864546">
      <w:pPr>
        <w:spacing w:line="360" w:lineRule="auto"/>
        <w:jc w:val="center"/>
        <w:rPr>
          <w:rFonts w:ascii="Aptos" w:eastAsia="Aptos" w:hAnsi="Aptos" w:cs="Aptos"/>
          <w:b/>
          <w:sz w:val="28"/>
          <w:szCs w:val="28"/>
        </w:rPr>
      </w:pPr>
      <w:r>
        <w:rPr>
          <w:rFonts w:ascii="Aptos" w:eastAsia="Aptos" w:hAnsi="Aptos" w:cs="Aptos"/>
          <w:b/>
          <w:noProof/>
          <w:sz w:val="28"/>
          <w:szCs w:val="28"/>
        </w:rPr>
        <w:drawing>
          <wp:inline distT="0" distB="0" distL="0" distR="0" wp14:anchorId="3CBB0409" wp14:editId="04D7A93F">
            <wp:extent cx="5206365" cy="1420495"/>
            <wp:effectExtent l="0" t="0" r="0" b="8255"/>
            <wp:docPr id="300217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06365" cy="1420495"/>
                    </a:xfrm>
                    <a:prstGeom prst="rect">
                      <a:avLst/>
                    </a:prstGeom>
                    <a:noFill/>
                  </pic:spPr>
                </pic:pic>
              </a:graphicData>
            </a:graphic>
          </wp:inline>
        </w:drawing>
      </w:r>
    </w:p>
    <w:p w14:paraId="49042612" w14:textId="77777777" w:rsidR="00864546" w:rsidRDefault="00864546" w:rsidP="00864546">
      <w:pPr>
        <w:spacing w:line="360" w:lineRule="auto"/>
        <w:jc w:val="center"/>
        <w:rPr>
          <w:rFonts w:ascii="Aptos" w:eastAsia="Aptos" w:hAnsi="Aptos" w:cs="Aptos"/>
          <w:b/>
          <w:sz w:val="28"/>
          <w:szCs w:val="28"/>
        </w:rPr>
      </w:pPr>
    </w:p>
    <w:p w14:paraId="7F686F6C" w14:textId="77777777" w:rsidR="00864546" w:rsidRDefault="00864546" w:rsidP="00864546">
      <w:pPr>
        <w:spacing w:line="360" w:lineRule="auto"/>
        <w:jc w:val="center"/>
        <w:rPr>
          <w:rFonts w:ascii="Aptos" w:eastAsia="Aptos" w:hAnsi="Aptos" w:cs="Aptos"/>
          <w:b/>
          <w:sz w:val="28"/>
          <w:szCs w:val="28"/>
        </w:rPr>
      </w:pPr>
    </w:p>
    <w:p w14:paraId="2BC1D730" w14:textId="3F356B76" w:rsidR="00864546" w:rsidRPr="00816F48" w:rsidRDefault="00864546" w:rsidP="00816F48">
      <w:pPr>
        <w:spacing w:line="360" w:lineRule="auto"/>
        <w:jc w:val="center"/>
        <w:rPr>
          <w:rFonts w:ascii="Arial" w:eastAsia="Aptos" w:hAnsi="Arial" w:cs="Arial"/>
          <w:b/>
          <w:sz w:val="36"/>
          <w:szCs w:val="36"/>
        </w:rPr>
      </w:pPr>
      <w:bookmarkStart w:id="0" w:name="_Hlk213150675"/>
      <w:r w:rsidRPr="00816F48">
        <w:rPr>
          <w:rFonts w:ascii="Arial" w:eastAsia="Aptos" w:hAnsi="Arial" w:cs="Arial"/>
          <w:b/>
          <w:sz w:val="36"/>
          <w:szCs w:val="36"/>
        </w:rPr>
        <w:t xml:space="preserve">Student Name: Saira Arif </w:t>
      </w:r>
    </w:p>
    <w:p w14:paraId="4B419FB7" w14:textId="07519B87" w:rsidR="00864546" w:rsidRPr="00816F48" w:rsidRDefault="00864546" w:rsidP="00816F48">
      <w:pPr>
        <w:spacing w:line="360" w:lineRule="auto"/>
        <w:jc w:val="center"/>
        <w:rPr>
          <w:rFonts w:ascii="Arial" w:eastAsia="Aptos" w:hAnsi="Arial" w:cs="Arial"/>
          <w:b/>
          <w:sz w:val="36"/>
          <w:szCs w:val="36"/>
        </w:rPr>
      </w:pPr>
      <w:r w:rsidRPr="00816F48">
        <w:rPr>
          <w:rFonts w:ascii="Arial" w:eastAsia="Aptos" w:hAnsi="Arial" w:cs="Arial"/>
          <w:b/>
          <w:sz w:val="36"/>
          <w:szCs w:val="36"/>
        </w:rPr>
        <w:t>Student ID - 2220569</w:t>
      </w:r>
    </w:p>
    <w:p w14:paraId="1CFACA11" w14:textId="740EB59D" w:rsidR="00DC5C8F" w:rsidRPr="00816F48" w:rsidRDefault="00000000" w:rsidP="00816F48">
      <w:pPr>
        <w:spacing w:line="360" w:lineRule="auto"/>
        <w:jc w:val="center"/>
        <w:rPr>
          <w:rFonts w:ascii="Arial" w:eastAsia="Aptos" w:hAnsi="Arial" w:cs="Arial"/>
          <w:b/>
          <w:sz w:val="36"/>
          <w:szCs w:val="36"/>
        </w:rPr>
      </w:pPr>
      <w:r w:rsidRPr="00816F48">
        <w:rPr>
          <w:rFonts w:ascii="Arial" w:eastAsia="Aptos" w:hAnsi="Arial" w:cs="Arial"/>
          <w:b/>
          <w:sz w:val="36"/>
          <w:szCs w:val="36"/>
        </w:rPr>
        <w:t>Course: BSc (Hons) Health and Social Care</w:t>
      </w:r>
    </w:p>
    <w:p w14:paraId="53D77586" w14:textId="60C8356D" w:rsidR="00DC5C8F" w:rsidRPr="00816F48" w:rsidRDefault="00000000" w:rsidP="00816F48">
      <w:pPr>
        <w:spacing w:line="360" w:lineRule="auto"/>
        <w:jc w:val="center"/>
        <w:rPr>
          <w:rFonts w:ascii="Arial" w:eastAsia="Aptos" w:hAnsi="Arial" w:cs="Arial"/>
          <w:b/>
          <w:sz w:val="36"/>
          <w:szCs w:val="36"/>
        </w:rPr>
      </w:pPr>
      <w:r w:rsidRPr="00816F48">
        <w:rPr>
          <w:rFonts w:ascii="Arial" w:eastAsia="Aptos" w:hAnsi="Arial" w:cs="Arial"/>
          <w:b/>
          <w:sz w:val="36"/>
          <w:szCs w:val="36"/>
        </w:rPr>
        <w:t>Module: Independent Project (BMHP6020_BIRM)</w:t>
      </w:r>
    </w:p>
    <w:p w14:paraId="500F28B8" w14:textId="5D3B752C" w:rsidR="00DC5C8F" w:rsidRPr="00816F48" w:rsidRDefault="00000000" w:rsidP="00816F48">
      <w:pPr>
        <w:spacing w:line="360" w:lineRule="auto"/>
        <w:jc w:val="center"/>
        <w:rPr>
          <w:rFonts w:ascii="Arial" w:eastAsia="Aptos" w:hAnsi="Arial" w:cs="Arial"/>
          <w:b/>
          <w:sz w:val="36"/>
          <w:szCs w:val="36"/>
        </w:rPr>
      </w:pPr>
      <w:r w:rsidRPr="00816F48">
        <w:rPr>
          <w:rFonts w:ascii="Arial" w:eastAsia="Aptos" w:hAnsi="Arial" w:cs="Arial"/>
          <w:b/>
          <w:sz w:val="36"/>
          <w:szCs w:val="36"/>
        </w:rPr>
        <w:t xml:space="preserve">Component 1: </w:t>
      </w:r>
      <w:r w:rsidRPr="00816F48">
        <w:rPr>
          <w:rFonts w:ascii="Arial" w:eastAsia="Aptos" w:hAnsi="Arial" w:cs="Arial"/>
          <w:sz w:val="36"/>
          <w:szCs w:val="36"/>
        </w:rPr>
        <w:t xml:space="preserve">Element 1 - Project Proposal </w:t>
      </w:r>
    </w:p>
    <w:bookmarkEnd w:id="0"/>
    <w:p w14:paraId="7099E82B" w14:textId="77777777" w:rsidR="00DC5C8F" w:rsidRDefault="00DC5C8F">
      <w:pPr>
        <w:pStyle w:val="Heading1"/>
        <w:spacing w:line="360" w:lineRule="auto"/>
        <w:jc w:val="both"/>
        <w:rPr>
          <w:rFonts w:ascii="Arial" w:eastAsia="Arial" w:hAnsi="Arial" w:cs="Arial"/>
          <w:b/>
          <w:color w:val="000000"/>
          <w:sz w:val="24"/>
          <w:szCs w:val="24"/>
        </w:rPr>
      </w:pPr>
    </w:p>
    <w:p w14:paraId="5B6CA4D8" w14:textId="77777777" w:rsidR="00DC5C8F" w:rsidRDefault="00DC5C8F">
      <w:pPr>
        <w:pStyle w:val="Heading1"/>
        <w:spacing w:line="360" w:lineRule="auto"/>
        <w:jc w:val="both"/>
        <w:rPr>
          <w:rFonts w:ascii="Arial" w:eastAsia="Arial" w:hAnsi="Arial" w:cs="Arial"/>
          <w:b/>
          <w:color w:val="000000"/>
          <w:sz w:val="24"/>
          <w:szCs w:val="24"/>
        </w:rPr>
      </w:pPr>
    </w:p>
    <w:p w14:paraId="71FCC99C" w14:textId="77777777" w:rsidR="00DC5C8F" w:rsidRDefault="00DC5C8F"/>
    <w:p w14:paraId="09CF4908" w14:textId="77777777" w:rsidR="00DC5C8F" w:rsidRDefault="00DC5C8F"/>
    <w:p w14:paraId="703165FC" w14:textId="77777777" w:rsidR="00DC5C8F" w:rsidRDefault="00DC5C8F"/>
    <w:p w14:paraId="32226996" w14:textId="77777777" w:rsidR="00DC5C8F" w:rsidRDefault="00DC5C8F"/>
    <w:p w14:paraId="0CDCA713" w14:textId="77777777" w:rsidR="00816F48" w:rsidRDefault="00816F48">
      <w:pPr>
        <w:pStyle w:val="Heading1"/>
        <w:spacing w:line="360" w:lineRule="auto"/>
        <w:jc w:val="both"/>
        <w:rPr>
          <w:rFonts w:ascii="Arial" w:eastAsia="Arial" w:hAnsi="Arial" w:cs="Arial"/>
          <w:b/>
          <w:color w:val="000000"/>
          <w:sz w:val="24"/>
          <w:szCs w:val="24"/>
        </w:rPr>
      </w:pPr>
      <w:bookmarkStart w:id="1" w:name="_Hlk213150877"/>
    </w:p>
    <w:p w14:paraId="4E394CE6" w14:textId="77777777" w:rsidR="00816F48" w:rsidRPr="00816F48" w:rsidRDefault="00816F48" w:rsidP="00816F48"/>
    <w:p w14:paraId="0E6FE59E" w14:textId="2A7CB29B" w:rsidR="00DC5C8F" w:rsidRDefault="00000000">
      <w:pPr>
        <w:pStyle w:val="Heading1"/>
        <w:spacing w:line="360" w:lineRule="auto"/>
        <w:jc w:val="both"/>
        <w:rPr>
          <w:rFonts w:ascii="Arial" w:eastAsia="Arial" w:hAnsi="Arial" w:cs="Arial"/>
          <w:b/>
          <w:color w:val="000000"/>
          <w:sz w:val="24"/>
          <w:szCs w:val="24"/>
        </w:rPr>
      </w:pPr>
      <w:r>
        <w:rPr>
          <w:rFonts w:ascii="Arial" w:eastAsia="Arial" w:hAnsi="Arial" w:cs="Arial"/>
          <w:b/>
          <w:color w:val="000000"/>
          <w:sz w:val="24"/>
          <w:szCs w:val="24"/>
        </w:rPr>
        <w:lastRenderedPageBreak/>
        <w:t>Research Proposal:</w:t>
      </w:r>
    </w:p>
    <w:p w14:paraId="75C89C36" w14:textId="77777777" w:rsidR="00DC5C8F" w:rsidRDefault="00000000">
      <w:pPr>
        <w:spacing w:line="360" w:lineRule="auto"/>
        <w:jc w:val="both"/>
        <w:rPr>
          <w:rFonts w:ascii="Arial" w:eastAsia="Arial" w:hAnsi="Arial" w:cs="Arial"/>
          <w:b/>
          <w:sz w:val="24"/>
          <w:szCs w:val="24"/>
        </w:rPr>
      </w:pPr>
      <w:r>
        <w:rPr>
          <w:rFonts w:ascii="Arial" w:eastAsia="Arial" w:hAnsi="Arial" w:cs="Arial"/>
          <w:b/>
          <w:sz w:val="28"/>
          <w:szCs w:val="28"/>
        </w:rPr>
        <w:t>Title:</w:t>
      </w:r>
      <w:r>
        <w:rPr>
          <w:rFonts w:ascii="Arial" w:eastAsia="Arial" w:hAnsi="Arial" w:cs="Arial"/>
          <w:b/>
          <w:sz w:val="24"/>
          <w:szCs w:val="24"/>
        </w:rPr>
        <w:t xml:space="preserve"> The impact of the COVID-19 pandemic on Mental Health coping strategies among Healthcare Workers</w:t>
      </w:r>
    </w:p>
    <w:p w14:paraId="2C1DBE34" w14:textId="77777777" w:rsidR="00DC5C8F" w:rsidRDefault="00000000">
      <w:pPr>
        <w:pStyle w:val="Heading2"/>
        <w:spacing w:line="360" w:lineRule="auto"/>
        <w:jc w:val="both"/>
        <w:rPr>
          <w:rFonts w:ascii="Arial" w:eastAsia="Arial" w:hAnsi="Arial" w:cs="Arial"/>
          <w:b/>
          <w:color w:val="000000"/>
          <w:sz w:val="24"/>
          <w:szCs w:val="24"/>
        </w:rPr>
      </w:pPr>
      <w:r>
        <w:rPr>
          <w:rFonts w:ascii="Arial" w:eastAsia="Arial" w:hAnsi="Arial" w:cs="Arial"/>
          <w:b/>
          <w:color w:val="000000"/>
          <w:sz w:val="24"/>
          <w:szCs w:val="24"/>
        </w:rPr>
        <w:t>Introduction:</w:t>
      </w:r>
    </w:p>
    <w:p w14:paraId="0C168AAA" w14:textId="77777777" w:rsidR="00DC5C8F" w:rsidRDefault="00000000">
      <w:pPr>
        <w:spacing w:line="360" w:lineRule="auto"/>
        <w:jc w:val="both"/>
        <w:rPr>
          <w:rFonts w:ascii="Arial" w:eastAsia="Arial" w:hAnsi="Arial" w:cs="Arial"/>
          <w:sz w:val="24"/>
          <w:szCs w:val="24"/>
        </w:rPr>
      </w:pPr>
      <w:r>
        <w:rPr>
          <w:rFonts w:ascii="Arial" w:eastAsia="Arial" w:hAnsi="Arial" w:cs="Arial"/>
          <w:sz w:val="24"/>
          <w:szCs w:val="24"/>
        </w:rPr>
        <w:t>The COVID-19 pandemic has presented profound challenges to healthcare workers worldwide, exposing them not only to physical risks but also to significant mental health burdens. Elevated levels of stress, burnout, and anxiety have been widely reported (Mokaya et al., 2025; Rossi et al., 2023). In response, healthcare workers have adopted a variety of coping mechanisms, yet evidence on the effectiveness of these strategies remains fragmented. This proposal outlines a secondary research project designed to explore these coping strategies, evaluate their effectiveness, and provide recommendations for strengthening resilience and mental health support within health and social care systems.</w:t>
      </w:r>
    </w:p>
    <w:p w14:paraId="57D250F5" w14:textId="77777777" w:rsidR="00DC5C8F" w:rsidRDefault="00DC5C8F">
      <w:pPr>
        <w:spacing w:line="360" w:lineRule="auto"/>
        <w:jc w:val="both"/>
        <w:rPr>
          <w:rFonts w:ascii="Arial" w:eastAsia="Arial" w:hAnsi="Arial" w:cs="Arial"/>
          <w:sz w:val="24"/>
          <w:szCs w:val="24"/>
        </w:rPr>
      </w:pPr>
    </w:p>
    <w:p w14:paraId="3A789F7F" w14:textId="77777777" w:rsidR="00DC5C8F" w:rsidRDefault="00000000">
      <w:pPr>
        <w:pStyle w:val="Heading2"/>
        <w:spacing w:line="360" w:lineRule="auto"/>
        <w:jc w:val="both"/>
        <w:rPr>
          <w:rFonts w:ascii="Arial" w:eastAsia="Arial" w:hAnsi="Arial" w:cs="Arial"/>
          <w:b/>
          <w:color w:val="000000"/>
          <w:sz w:val="24"/>
          <w:szCs w:val="24"/>
        </w:rPr>
      </w:pPr>
      <w:r>
        <w:rPr>
          <w:rFonts w:ascii="Arial" w:eastAsia="Arial" w:hAnsi="Arial" w:cs="Arial"/>
          <w:b/>
          <w:color w:val="000000"/>
          <w:sz w:val="24"/>
          <w:szCs w:val="24"/>
        </w:rPr>
        <w:t>1) Aim:</w:t>
      </w:r>
    </w:p>
    <w:p w14:paraId="408B9278" w14:textId="77777777" w:rsidR="00DC5C8F" w:rsidRDefault="00000000">
      <w:pPr>
        <w:spacing w:line="360" w:lineRule="auto"/>
        <w:jc w:val="both"/>
        <w:rPr>
          <w:rFonts w:ascii="Arial" w:eastAsia="Arial" w:hAnsi="Arial" w:cs="Arial"/>
          <w:sz w:val="24"/>
          <w:szCs w:val="24"/>
        </w:rPr>
      </w:pPr>
      <w:r>
        <w:rPr>
          <w:rFonts w:ascii="Arial" w:eastAsia="Arial" w:hAnsi="Arial" w:cs="Arial"/>
          <w:sz w:val="24"/>
          <w:szCs w:val="24"/>
        </w:rPr>
        <w:t>To investigate the impact of the COVID-19 pandemic on the mental health of healthcare workers and to examine the coping strategies they employed to manage stress, anxiety, and burnout.</w:t>
      </w:r>
    </w:p>
    <w:p w14:paraId="457EDC70" w14:textId="77777777" w:rsidR="00DC5C8F" w:rsidRDefault="00DC5C8F">
      <w:pPr>
        <w:spacing w:line="360" w:lineRule="auto"/>
        <w:jc w:val="both"/>
        <w:rPr>
          <w:rFonts w:ascii="Arial" w:eastAsia="Arial" w:hAnsi="Arial" w:cs="Arial"/>
          <w:sz w:val="24"/>
          <w:szCs w:val="24"/>
        </w:rPr>
      </w:pPr>
    </w:p>
    <w:p w14:paraId="2EDB7C2C" w14:textId="77777777" w:rsidR="00DC5C8F" w:rsidRDefault="00000000">
      <w:pPr>
        <w:pStyle w:val="Heading2"/>
        <w:spacing w:line="360" w:lineRule="auto"/>
        <w:jc w:val="both"/>
        <w:rPr>
          <w:rFonts w:ascii="Arial" w:eastAsia="Arial" w:hAnsi="Arial" w:cs="Arial"/>
          <w:b/>
          <w:color w:val="000000"/>
          <w:sz w:val="24"/>
          <w:szCs w:val="24"/>
        </w:rPr>
      </w:pPr>
      <w:r>
        <w:rPr>
          <w:rFonts w:ascii="Arial" w:eastAsia="Arial" w:hAnsi="Arial" w:cs="Arial"/>
          <w:b/>
          <w:color w:val="000000"/>
          <w:sz w:val="24"/>
          <w:szCs w:val="24"/>
        </w:rPr>
        <w:t>2) Objectives:</w:t>
      </w:r>
    </w:p>
    <w:p w14:paraId="35376267" w14:textId="77777777" w:rsidR="00DC5C8F" w:rsidRPr="00816F48" w:rsidRDefault="00000000" w:rsidP="00816F48">
      <w:pPr>
        <w:pStyle w:val="ListParagraph"/>
        <w:numPr>
          <w:ilvl w:val="0"/>
          <w:numId w:val="3"/>
        </w:numPr>
        <w:pBdr>
          <w:top w:val="nil"/>
          <w:left w:val="nil"/>
          <w:bottom w:val="nil"/>
          <w:right w:val="nil"/>
          <w:between w:val="nil"/>
        </w:pBdr>
        <w:spacing w:after="0" w:line="360" w:lineRule="auto"/>
        <w:jc w:val="both"/>
        <w:rPr>
          <w:color w:val="000000"/>
          <w:sz w:val="24"/>
          <w:szCs w:val="24"/>
        </w:rPr>
      </w:pPr>
      <w:r w:rsidRPr="00816F48">
        <w:rPr>
          <w:rFonts w:ascii="Arial" w:eastAsia="Arial" w:hAnsi="Arial" w:cs="Arial"/>
          <w:b/>
          <w:color w:val="000000"/>
          <w:sz w:val="24"/>
          <w:szCs w:val="24"/>
        </w:rPr>
        <w:t xml:space="preserve">Define and examine </w:t>
      </w:r>
      <w:r w:rsidRPr="00816F48">
        <w:rPr>
          <w:rFonts w:ascii="Arial" w:eastAsia="Arial" w:hAnsi="Arial" w:cs="Arial"/>
          <w:color w:val="000000"/>
          <w:sz w:val="24"/>
          <w:szCs w:val="24"/>
        </w:rPr>
        <w:t>the psychological impact of the pandemic on healthcare workers across different roles and healthcare settings.</w:t>
      </w:r>
    </w:p>
    <w:p w14:paraId="28C6C8A9" w14:textId="77777777" w:rsidR="00DC5C8F" w:rsidRPr="00816F48" w:rsidRDefault="00000000" w:rsidP="00816F48">
      <w:pPr>
        <w:pStyle w:val="ListParagraph"/>
        <w:numPr>
          <w:ilvl w:val="0"/>
          <w:numId w:val="3"/>
        </w:numPr>
        <w:pBdr>
          <w:top w:val="nil"/>
          <w:left w:val="nil"/>
          <w:bottom w:val="nil"/>
          <w:right w:val="nil"/>
          <w:between w:val="nil"/>
        </w:pBdr>
        <w:spacing w:after="0" w:line="360" w:lineRule="auto"/>
        <w:jc w:val="both"/>
        <w:rPr>
          <w:color w:val="000000"/>
          <w:sz w:val="24"/>
          <w:szCs w:val="24"/>
        </w:rPr>
      </w:pPr>
      <w:r w:rsidRPr="00816F48">
        <w:rPr>
          <w:rFonts w:ascii="Arial" w:eastAsia="Arial" w:hAnsi="Arial" w:cs="Arial"/>
          <w:b/>
          <w:color w:val="000000"/>
          <w:sz w:val="24"/>
          <w:szCs w:val="24"/>
        </w:rPr>
        <w:t xml:space="preserve">Analyse </w:t>
      </w:r>
      <w:r w:rsidRPr="00816F48">
        <w:rPr>
          <w:rFonts w:ascii="Arial" w:eastAsia="Arial" w:hAnsi="Arial" w:cs="Arial"/>
          <w:color w:val="000000"/>
          <w:sz w:val="24"/>
          <w:szCs w:val="24"/>
        </w:rPr>
        <w:t>the range of coping strategies utilised, including task-oriented, emotion-focused, social, and organisational approaches.</w:t>
      </w:r>
    </w:p>
    <w:p w14:paraId="6D0CBA8F" w14:textId="77777777" w:rsidR="00DC5C8F" w:rsidRPr="00816F48" w:rsidRDefault="00000000" w:rsidP="00816F48">
      <w:pPr>
        <w:pStyle w:val="ListParagraph"/>
        <w:numPr>
          <w:ilvl w:val="0"/>
          <w:numId w:val="3"/>
        </w:numPr>
        <w:pBdr>
          <w:top w:val="nil"/>
          <w:left w:val="nil"/>
          <w:bottom w:val="nil"/>
          <w:right w:val="nil"/>
          <w:between w:val="nil"/>
        </w:pBdr>
        <w:spacing w:after="0" w:line="360" w:lineRule="auto"/>
        <w:jc w:val="both"/>
        <w:rPr>
          <w:color w:val="000000"/>
          <w:sz w:val="24"/>
          <w:szCs w:val="24"/>
        </w:rPr>
      </w:pPr>
      <w:r w:rsidRPr="00816F48">
        <w:rPr>
          <w:rFonts w:ascii="Arial" w:eastAsia="Arial" w:hAnsi="Arial" w:cs="Arial"/>
          <w:b/>
          <w:color w:val="000000"/>
          <w:sz w:val="24"/>
          <w:szCs w:val="24"/>
        </w:rPr>
        <w:t xml:space="preserve">Evaluate </w:t>
      </w:r>
      <w:r w:rsidRPr="00816F48">
        <w:rPr>
          <w:rFonts w:ascii="Arial" w:eastAsia="Arial" w:hAnsi="Arial" w:cs="Arial"/>
          <w:color w:val="000000"/>
          <w:sz w:val="24"/>
          <w:szCs w:val="24"/>
        </w:rPr>
        <w:t>the effectiveness and limitations of these strategies in supporting resilience and well-being.</w:t>
      </w:r>
    </w:p>
    <w:p w14:paraId="1C5DDE83" w14:textId="77777777" w:rsidR="00DC5C8F" w:rsidRPr="00816F48" w:rsidRDefault="00000000" w:rsidP="00816F48">
      <w:pPr>
        <w:pStyle w:val="ListParagraph"/>
        <w:numPr>
          <w:ilvl w:val="0"/>
          <w:numId w:val="3"/>
        </w:numPr>
        <w:pBdr>
          <w:top w:val="nil"/>
          <w:left w:val="nil"/>
          <w:bottom w:val="nil"/>
          <w:right w:val="nil"/>
          <w:between w:val="nil"/>
        </w:pBdr>
        <w:spacing w:after="0" w:line="360" w:lineRule="auto"/>
        <w:jc w:val="both"/>
        <w:rPr>
          <w:color w:val="000000"/>
          <w:sz w:val="24"/>
          <w:szCs w:val="24"/>
        </w:rPr>
      </w:pPr>
      <w:r w:rsidRPr="00816F48">
        <w:rPr>
          <w:rFonts w:ascii="Arial" w:eastAsia="Arial" w:hAnsi="Arial" w:cs="Arial"/>
          <w:b/>
          <w:color w:val="000000"/>
          <w:sz w:val="24"/>
          <w:szCs w:val="24"/>
        </w:rPr>
        <w:t xml:space="preserve">Provide recommendations </w:t>
      </w:r>
      <w:r w:rsidRPr="00816F48">
        <w:rPr>
          <w:rFonts w:ascii="Arial" w:eastAsia="Arial" w:hAnsi="Arial" w:cs="Arial"/>
          <w:color w:val="000000"/>
          <w:sz w:val="24"/>
          <w:szCs w:val="24"/>
        </w:rPr>
        <w:t>for policy and practice to strengthen healthcare worker support in future public health crises.</w:t>
      </w:r>
    </w:p>
    <w:p w14:paraId="582E040E" w14:textId="77777777" w:rsidR="00DC5C8F" w:rsidRDefault="00DC5C8F">
      <w:pPr>
        <w:pBdr>
          <w:top w:val="nil"/>
          <w:left w:val="nil"/>
          <w:bottom w:val="nil"/>
          <w:right w:val="nil"/>
          <w:between w:val="nil"/>
        </w:pBdr>
        <w:spacing w:line="360" w:lineRule="auto"/>
        <w:ind w:left="720"/>
        <w:jc w:val="both"/>
        <w:rPr>
          <w:rFonts w:ascii="Arial" w:eastAsia="Arial" w:hAnsi="Arial" w:cs="Arial"/>
          <w:color w:val="000000"/>
          <w:sz w:val="24"/>
          <w:szCs w:val="24"/>
        </w:rPr>
      </w:pPr>
    </w:p>
    <w:p w14:paraId="785E7D53" w14:textId="77777777" w:rsidR="00DC5C8F" w:rsidRDefault="00000000">
      <w:pPr>
        <w:pBdr>
          <w:top w:val="nil"/>
          <w:left w:val="nil"/>
          <w:bottom w:val="nil"/>
          <w:right w:val="nil"/>
          <w:between w:val="nil"/>
        </w:pBdr>
        <w:spacing w:before="280" w:after="280" w:line="360" w:lineRule="auto"/>
        <w:ind w:left="360"/>
        <w:jc w:val="both"/>
        <w:rPr>
          <w:rFonts w:ascii="Arial" w:eastAsia="Arial" w:hAnsi="Arial" w:cs="Arial"/>
          <w:b/>
          <w:color w:val="000000"/>
          <w:sz w:val="24"/>
          <w:szCs w:val="24"/>
        </w:rPr>
      </w:pPr>
      <w:r>
        <w:rPr>
          <w:rFonts w:ascii="Arial" w:eastAsia="Arial" w:hAnsi="Arial" w:cs="Arial"/>
          <w:b/>
          <w:color w:val="000000"/>
          <w:sz w:val="24"/>
          <w:szCs w:val="24"/>
        </w:rPr>
        <w:lastRenderedPageBreak/>
        <w:t xml:space="preserve">3) Background: </w:t>
      </w:r>
    </w:p>
    <w:p w14:paraId="5BFADD1A" w14:textId="77777777" w:rsidR="00DC5C8F" w:rsidRDefault="00000000">
      <w:pPr>
        <w:pBdr>
          <w:top w:val="nil"/>
          <w:left w:val="nil"/>
          <w:bottom w:val="nil"/>
          <w:right w:val="nil"/>
          <w:between w:val="nil"/>
        </w:pBdr>
        <w:spacing w:before="280" w:after="280" w:line="360" w:lineRule="auto"/>
        <w:ind w:left="360"/>
        <w:jc w:val="both"/>
        <w:rPr>
          <w:rFonts w:ascii="Arial" w:eastAsia="Arial" w:hAnsi="Arial" w:cs="Arial"/>
          <w:color w:val="000000"/>
          <w:sz w:val="24"/>
          <w:szCs w:val="24"/>
        </w:rPr>
      </w:pPr>
      <w:r>
        <w:rPr>
          <w:rFonts w:ascii="Arial" w:eastAsia="Arial" w:hAnsi="Arial" w:cs="Arial"/>
          <w:color w:val="000000"/>
          <w:sz w:val="24"/>
          <w:szCs w:val="24"/>
        </w:rPr>
        <w:t>Healthcare workers (HCWs) have been on the frontline of the COVID-19 pandemic, facing increased workloads, exposure risk, moral distress, and resource constraints (Mokaya et al., 2025; Lee et al., 2025). Empirical evidence documents elevated rates of anxiety, depression, insomnia, and burnout in this group (Mokaya et al., 2025; Rossi et al., 2023). A recent longitudinal study found persistent mental health stressors continuing years into the pandemic among hospital workers (Maunder et al., 2024). Moreover, a rapid review of systematic reviews indicates that depression and anxiety levels among health and care workers have not significantly declined since 2022, underlining the enduring impact (Frias et al., 2025).</w:t>
      </w:r>
    </w:p>
    <w:p w14:paraId="42010357" w14:textId="77777777" w:rsidR="00DC5C8F" w:rsidRDefault="00000000">
      <w:pPr>
        <w:pBdr>
          <w:top w:val="nil"/>
          <w:left w:val="nil"/>
          <w:bottom w:val="nil"/>
          <w:right w:val="nil"/>
          <w:between w:val="nil"/>
        </w:pBdr>
        <w:spacing w:before="280" w:after="280" w:line="360" w:lineRule="auto"/>
        <w:ind w:left="360"/>
        <w:jc w:val="both"/>
        <w:rPr>
          <w:rFonts w:ascii="Arial" w:eastAsia="Arial" w:hAnsi="Arial" w:cs="Arial"/>
          <w:color w:val="000000"/>
          <w:sz w:val="24"/>
          <w:szCs w:val="24"/>
        </w:rPr>
      </w:pPr>
      <w:r>
        <w:rPr>
          <w:rFonts w:ascii="Arial" w:eastAsia="Arial" w:hAnsi="Arial" w:cs="Arial"/>
          <w:color w:val="000000"/>
          <w:sz w:val="24"/>
          <w:szCs w:val="24"/>
        </w:rPr>
        <w:t>Coping strategies such as task-oriented coping have been shown to be protective against burnout, while avoidance coping tends to correlate with worse outcomes (Rossi et al., 2023). Organisational supports and interventions (e.g. resilience training, huddles, psychological support) appear promising but are unevenly implemented (Anger et al., 2024; Frias et al., 2025). In many low- and middle-income contexts, qualitative work has highlighted multi-level stressors and local coping mechanisms that are underexplored (</w:t>
      </w:r>
      <w:proofErr w:type="spellStart"/>
      <w:r>
        <w:rPr>
          <w:rFonts w:ascii="Arial" w:eastAsia="Arial" w:hAnsi="Arial" w:cs="Arial"/>
          <w:color w:val="000000"/>
          <w:sz w:val="24"/>
          <w:szCs w:val="24"/>
        </w:rPr>
        <w:t>Gyamerah</w:t>
      </w:r>
      <w:proofErr w:type="spellEnd"/>
      <w:r>
        <w:rPr>
          <w:rFonts w:ascii="Arial" w:eastAsia="Arial" w:hAnsi="Arial" w:cs="Arial"/>
          <w:color w:val="000000"/>
          <w:sz w:val="24"/>
          <w:szCs w:val="24"/>
        </w:rPr>
        <w:t xml:space="preserve"> et al., 2025).</w:t>
      </w:r>
    </w:p>
    <w:p w14:paraId="3DA9EAF1" w14:textId="2DF67473" w:rsidR="00DC5C8F" w:rsidRDefault="00000000" w:rsidP="00816F48">
      <w:pPr>
        <w:pBdr>
          <w:top w:val="nil"/>
          <w:left w:val="nil"/>
          <w:bottom w:val="nil"/>
          <w:right w:val="nil"/>
          <w:between w:val="nil"/>
        </w:pBdr>
        <w:spacing w:before="280" w:after="280" w:line="360" w:lineRule="auto"/>
        <w:ind w:left="360"/>
        <w:jc w:val="both"/>
        <w:rPr>
          <w:rFonts w:ascii="Arial" w:eastAsia="Arial" w:hAnsi="Arial" w:cs="Arial"/>
          <w:color w:val="000000"/>
          <w:sz w:val="24"/>
          <w:szCs w:val="24"/>
        </w:rPr>
      </w:pPr>
      <w:r>
        <w:rPr>
          <w:rFonts w:ascii="Arial" w:eastAsia="Arial" w:hAnsi="Arial" w:cs="Arial"/>
          <w:color w:val="000000"/>
          <w:sz w:val="24"/>
          <w:szCs w:val="24"/>
        </w:rPr>
        <w:t>Thus, the literature has matured, but gaps remain: notably comparative assessments of coping efficacy across contexts and the translation of findings into systemic policy recommendations. This study addresses that gap by synthesising recent evidence across settings and timepoints to inform actionable support for HCWs in future crises.</w:t>
      </w:r>
    </w:p>
    <w:p w14:paraId="3AA6FCC3" w14:textId="77777777" w:rsidR="00DC5C8F" w:rsidRDefault="00000000">
      <w:pPr>
        <w:spacing w:before="280" w:after="280" w:line="360" w:lineRule="auto"/>
        <w:jc w:val="both"/>
        <w:rPr>
          <w:rFonts w:ascii="Arial" w:eastAsia="Arial" w:hAnsi="Arial" w:cs="Arial"/>
          <w:b/>
          <w:sz w:val="24"/>
          <w:szCs w:val="24"/>
        </w:rPr>
      </w:pPr>
      <w:r>
        <w:rPr>
          <w:rFonts w:ascii="Arial" w:eastAsia="Arial" w:hAnsi="Arial" w:cs="Arial"/>
          <w:b/>
          <w:sz w:val="24"/>
          <w:szCs w:val="24"/>
        </w:rPr>
        <w:t>4) Methods:</w:t>
      </w:r>
    </w:p>
    <w:p w14:paraId="333B9D2E"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This will be a </w:t>
      </w:r>
      <w:r>
        <w:rPr>
          <w:rFonts w:ascii="Arial" w:eastAsia="Arial" w:hAnsi="Arial" w:cs="Arial"/>
          <w:b/>
          <w:sz w:val="24"/>
          <w:szCs w:val="24"/>
        </w:rPr>
        <w:t>secondary (desk-based) study</w:t>
      </w:r>
      <w:r>
        <w:rPr>
          <w:rFonts w:ascii="Arial" w:eastAsia="Arial" w:hAnsi="Arial" w:cs="Arial"/>
          <w:sz w:val="24"/>
          <w:szCs w:val="24"/>
        </w:rPr>
        <w:t xml:space="preserve"> synthesising findings from academic journals, systematic reviews, policy documents, and grey literature from 2020–2025. Sources will be selected via defined inclusion criteria: relevance to HCWs, mental health, and coping; methodological quality (peer-reviewed or institutional reports); and recency. Databases such as PubMed, CINAHL, PsycINFO, and Google Scholar will </w:t>
      </w:r>
      <w:r>
        <w:rPr>
          <w:rFonts w:ascii="Arial" w:eastAsia="Arial" w:hAnsi="Arial" w:cs="Arial"/>
          <w:sz w:val="24"/>
          <w:szCs w:val="24"/>
        </w:rPr>
        <w:lastRenderedPageBreak/>
        <w:t>be searched with terms like “COVID-19”, “healthcare workers”, “coping strategies”, “mental health”, “burnout”, “resilience”.</w:t>
      </w:r>
    </w:p>
    <w:p w14:paraId="1109CD79"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Analysis will use a </w:t>
      </w:r>
      <w:r>
        <w:rPr>
          <w:rFonts w:ascii="Arial" w:eastAsia="Arial" w:hAnsi="Arial" w:cs="Arial"/>
          <w:b/>
          <w:sz w:val="24"/>
          <w:szCs w:val="24"/>
        </w:rPr>
        <w:t>thematic synthesis</w:t>
      </w:r>
      <w:r>
        <w:rPr>
          <w:rFonts w:ascii="Arial" w:eastAsia="Arial" w:hAnsi="Arial" w:cs="Arial"/>
          <w:sz w:val="24"/>
          <w:szCs w:val="24"/>
        </w:rPr>
        <w:t xml:space="preserve"> approach: first extracting key coping strategies and mental health outcomes, then comparing across studies by context, time, and efficacy. Patterns of successful and unsuccessful strategies will be tabulated and discussed. Ethical practice involves rigorous citation (Harvard style), acknowledgment of all authors, and avoidance of plagiarism via proper paraphrasing and quotations.</w:t>
      </w:r>
    </w:p>
    <w:p w14:paraId="401C53AE" w14:textId="77777777" w:rsidR="00DC5C8F" w:rsidRDefault="00DC5C8F">
      <w:pPr>
        <w:spacing w:after="0" w:line="360" w:lineRule="auto"/>
        <w:jc w:val="both"/>
        <w:rPr>
          <w:rFonts w:ascii="Arial" w:eastAsia="Arial" w:hAnsi="Arial" w:cs="Arial"/>
          <w:sz w:val="24"/>
          <w:szCs w:val="24"/>
        </w:rPr>
      </w:pPr>
    </w:p>
    <w:p w14:paraId="19C300F2" w14:textId="77777777" w:rsidR="00DC5C8F" w:rsidRDefault="00000000">
      <w:pPr>
        <w:spacing w:before="280" w:after="280" w:line="360" w:lineRule="auto"/>
        <w:jc w:val="both"/>
        <w:rPr>
          <w:rFonts w:ascii="Arial" w:eastAsia="Arial" w:hAnsi="Arial" w:cs="Arial"/>
          <w:b/>
          <w:sz w:val="24"/>
          <w:szCs w:val="24"/>
        </w:rPr>
      </w:pPr>
      <w:r>
        <w:rPr>
          <w:rFonts w:ascii="Arial" w:eastAsia="Arial" w:hAnsi="Arial" w:cs="Arial"/>
          <w:b/>
          <w:sz w:val="24"/>
          <w:szCs w:val="24"/>
        </w:rPr>
        <w:t>5) Resources</w:t>
      </w:r>
    </w:p>
    <w:p w14:paraId="6908095F" w14:textId="77777777" w:rsidR="00DC5C8F" w:rsidRDefault="00000000">
      <w:pPr>
        <w:numPr>
          <w:ilvl w:val="0"/>
          <w:numId w:val="2"/>
        </w:numPr>
        <w:spacing w:before="280" w:after="0" w:line="360" w:lineRule="auto"/>
        <w:jc w:val="both"/>
      </w:pPr>
      <w:r>
        <w:rPr>
          <w:rFonts w:ascii="Arial" w:eastAsia="Arial" w:hAnsi="Arial" w:cs="Arial"/>
          <w:sz w:val="24"/>
          <w:szCs w:val="24"/>
        </w:rPr>
        <w:t>PubMed, CINAHL, PsycINFO</w:t>
      </w:r>
    </w:p>
    <w:p w14:paraId="745C69F5" w14:textId="77777777" w:rsidR="00DC5C8F" w:rsidRDefault="00000000">
      <w:pPr>
        <w:numPr>
          <w:ilvl w:val="0"/>
          <w:numId w:val="2"/>
        </w:numPr>
        <w:spacing w:after="0" w:line="360" w:lineRule="auto"/>
        <w:jc w:val="both"/>
      </w:pPr>
      <w:r>
        <w:rPr>
          <w:rFonts w:ascii="Arial" w:eastAsia="Arial" w:hAnsi="Arial" w:cs="Arial"/>
          <w:sz w:val="24"/>
          <w:szCs w:val="24"/>
        </w:rPr>
        <w:t>University library journal access</w:t>
      </w:r>
    </w:p>
    <w:p w14:paraId="1859E427" w14:textId="77777777" w:rsidR="00DC5C8F" w:rsidRDefault="00000000">
      <w:pPr>
        <w:numPr>
          <w:ilvl w:val="0"/>
          <w:numId w:val="2"/>
        </w:numPr>
        <w:spacing w:after="0" w:line="360" w:lineRule="auto"/>
        <w:jc w:val="both"/>
      </w:pPr>
      <w:r>
        <w:rPr>
          <w:rFonts w:ascii="Arial" w:eastAsia="Arial" w:hAnsi="Arial" w:cs="Arial"/>
          <w:sz w:val="24"/>
          <w:szCs w:val="24"/>
        </w:rPr>
        <w:t>Reference manager (Zotero, EndNote)</w:t>
      </w:r>
    </w:p>
    <w:p w14:paraId="08424987" w14:textId="5788962F" w:rsidR="00DC5C8F" w:rsidRPr="00816F48" w:rsidRDefault="00000000" w:rsidP="00816F48">
      <w:pPr>
        <w:numPr>
          <w:ilvl w:val="0"/>
          <w:numId w:val="2"/>
        </w:numPr>
        <w:spacing w:after="280" w:line="360" w:lineRule="auto"/>
        <w:jc w:val="both"/>
      </w:pPr>
      <w:r>
        <w:rPr>
          <w:rFonts w:ascii="Arial" w:eastAsia="Arial" w:hAnsi="Arial" w:cs="Arial"/>
          <w:sz w:val="24"/>
          <w:szCs w:val="24"/>
        </w:rPr>
        <w:t>Spreadsheet or qualitative analysis software (e.g. NVivo)</w:t>
      </w:r>
    </w:p>
    <w:p w14:paraId="3B55F2C2" w14:textId="77777777" w:rsidR="00DC5C8F" w:rsidRDefault="00DC5C8F">
      <w:pPr>
        <w:spacing w:before="280" w:after="280" w:line="360" w:lineRule="auto"/>
        <w:jc w:val="both"/>
        <w:rPr>
          <w:rFonts w:ascii="Arial" w:eastAsia="Arial" w:hAnsi="Arial" w:cs="Arial"/>
          <w:sz w:val="24"/>
          <w:szCs w:val="24"/>
        </w:rPr>
      </w:pPr>
    </w:p>
    <w:p w14:paraId="6B4ECD52" w14:textId="77777777" w:rsidR="00DC5C8F" w:rsidRDefault="00000000">
      <w:pPr>
        <w:pStyle w:val="Heading1"/>
        <w:spacing w:line="360" w:lineRule="auto"/>
        <w:jc w:val="both"/>
        <w:rPr>
          <w:rFonts w:ascii="Arial" w:eastAsia="Arial" w:hAnsi="Arial" w:cs="Arial"/>
          <w:b/>
          <w:color w:val="000000"/>
          <w:sz w:val="24"/>
          <w:szCs w:val="24"/>
        </w:rPr>
      </w:pPr>
      <w:r>
        <w:rPr>
          <w:rFonts w:ascii="Arial" w:eastAsia="Arial" w:hAnsi="Arial" w:cs="Arial"/>
          <w:b/>
          <w:color w:val="000000"/>
          <w:sz w:val="24"/>
          <w:szCs w:val="24"/>
        </w:rPr>
        <w:t>6) Timescale:</w:t>
      </w:r>
    </w:p>
    <w:p w14:paraId="4927C29E" w14:textId="77777777" w:rsidR="00DC5C8F" w:rsidRDefault="00000000">
      <w:pPr>
        <w:spacing w:line="360" w:lineRule="auto"/>
        <w:jc w:val="both"/>
        <w:rPr>
          <w:rFonts w:ascii="Arial" w:eastAsia="Arial" w:hAnsi="Arial" w:cs="Arial"/>
        </w:rPr>
      </w:pPr>
      <w:r>
        <w:rPr>
          <w:rFonts w:ascii="Arial" w:eastAsia="Arial" w:hAnsi="Arial" w:cs="Arial"/>
        </w:rPr>
        <w:t>The table below presents a detailed timescale for the research project. It outlines the stages, duration, and a visual Gantt-style representation.</w:t>
      </w:r>
    </w:p>
    <w:tbl>
      <w:tblPr>
        <w:tblStyle w:val="a"/>
        <w:tblW w:w="86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0"/>
        <w:gridCol w:w="2880"/>
        <w:gridCol w:w="2880"/>
      </w:tblGrid>
      <w:tr w:rsidR="00DC5C8F" w14:paraId="6D731DB3" w14:textId="77777777">
        <w:tc>
          <w:tcPr>
            <w:tcW w:w="2880" w:type="dxa"/>
          </w:tcPr>
          <w:p w14:paraId="1561FCBF" w14:textId="77777777" w:rsidR="00DC5C8F" w:rsidRDefault="00000000">
            <w:pPr>
              <w:spacing w:line="360" w:lineRule="auto"/>
              <w:jc w:val="both"/>
              <w:rPr>
                <w:rFonts w:ascii="Arial" w:eastAsia="Arial" w:hAnsi="Arial" w:cs="Arial"/>
              </w:rPr>
            </w:pPr>
            <w:r>
              <w:rPr>
                <w:rFonts w:ascii="Arial" w:eastAsia="Arial" w:hAnsi="Arial" w:cs="Arial"/>
              </w:rPr>
              <w:t>Stage</w:t>
            </w:r>
          </w:p>
        </w:tc>
        <w:tc>
          <w:tcPr>
            <w:tcW w:w="2880" w:type="dxa"/>
          </w:tcPr>
          <w:p w14:paraId="6B29DA97" w14:textId="77777777" w:rsidR="00DC5C8F" w:rsidRDefault="00000000">
            <w:pPr>
              <w:spacing w:line="360" w:lineRule="auto"/>
              <w:jc w:val="both"/>
              <w:rPr>
                <w:rFonts w:ascii="Arial" w:eastAsia="Arial" w:hAnsi="Arial" w:cs="Arial"/>
              </w:rPr>
            </w:pPr>
            <w:r>
              <w:rPr>
                <w:rFonts w:ascii="Arial" w:eastAsia="Arial" w:hAnsi="Arial" w:cs="Arial"/>
              </w:rPr>
              <w:t>Duration</w:t>
            </w:r>
          </w:p>
        </w:tc>
        <w:tc>
          <w:tcPr>
            <w:tcW w:w="2880" w:type="dxa"/>
          </w:tcPr>
          <w:p w14:paraId="3FB3BD54" w14:textId="77777777" w:rsidR="00DC5C8F" w:rsidRDefault="00000000">
            <w:pPr>
              <w:spacing w:line="360" w:lineRule="auto"/>
              <w:jc w:val="both"/>
              <w:rPr>
                <w:rFonts w:ascii="Arial" w:eastAsia="Arial" w:hAnsi="Arial" w:cs="Arial"/>
              </w:rPr>
            </w:pPr>
            <w:r>
              <w:rPr>
                <w:rFonts w:ascii="Arial" w:eastAsia="Arial" w:hAnsi="Arial" w:cs="Arial"/>
              </w:rPr>
              <w:t>Timeline (Gantt-style)</w:t>
            </w:r>
          </w:p>
        </w:tc>
      </w:tr>
      <w:tr w:rsidR="00DC5C8F" w14:paraId="2BD34A57" w14:textId="77777777">
        <w:tc>
          <w:tcPr>
            <w:tcW w:w="2880" w:type="dxa"/>
          </w:tcPr>
          <w:p w14:paraId="7447423A" w14:textId="77777777" w:rsidR="00DC5C8F" w:rsidRDefault="00000000">
            <w:pPr>
              <w:spacing w:line="360" w:lineRule="auto"/>
              <w:jc w:val="both"/>
              <w:rPr>
                <w:rFonts w:ascii="Arial" w:eastAsia="Arial" w:hAnsi="Arial" w:cs="Arial"/>
              </w:rPr>
            </w:pPr>
            <w:r>
              <w:rPr>
                <w:rFonts w:ascii="Arial" w:eastAsia="Arial" w:hAnsi="Arial" w:cs="Arial"/>
              </w:rPr>
              <w:t>Literature search &amp; source selection</w:t>
            </w:r>
          </w:p>
        </w:tc>
        <w:tc>
          <w:tcPr>
            <w:tcW w:w="2880" w:type="dxa"/>
          </w:tcPr>
          <w:p w14:paraId="6CC4A1FB" w14:textId="77777777" w:rsidR="00DC5C8F" w:rsidRDefault="00000000">
            <w:pPr>
              <w:spacing w:line="360" w:lineRule="auto"/>
              <w:jc w:val="both"/>
              <w:rPr>
                <w:rFonts w:ascii="Arial" w:eastAsia="Arial" w:hAnsi="Arial" w:cs="Arial"/>
              </w:rPr>
            </w:pPr>
            <w:r>
              <w:rPr>
                <w:rFonts w:ascii="Arial" w:eastAsia="Arial" w:hAnsi="Arial" w:cs="Arial"/>
              </w:rPr>
              <w:t>Weeks 1–2</w:t>
            </w:r>
          </w:p>
        </w:tc>
        <w:tc>
          <w:tcPr>
            <w:tcW w:w="2880" w:type="dxa"/>
          </w:tcPr>
          <w:p w14:paraId="4E86FE36" w14:textId="77777777" w:rsidR="00DC5C8F" w:rsidRDefault="00000000">
            <w:pPr>
              <w:spacing w:line="360" w:lineRule="auto"/>
              <w:jc w:val="both"/>
              <w:rPr>
                <w:rFonts w:ascii="Arial" w:eastAsia="Arial" w:hAnsi="Arial" w:cs="Arial"/>
              </w:rPr>
            </w:pPr>
            <w:r>
              <w:rPr>
                <w:rFonts w:ascii="Arial" w:eastAsia="Arial" w:hAnsi="Arial" w:cs="Arial"/>
              </w:rPr>
              <w:t>■■■■</w:t>
            </w:r>
          </w:p>
        </w:tc>
      </w:tr>
      <w:tr w:rsidR="00DC5C8F" w14:paraId="0A88A935" w14:textId="77777777">
        <w:tc>
          <w:tcPr>
            <w:tcW w:w="2880" w:type="dxa"/>
          </w:tcPr>
          <w:p w14:paraId="63D7B495" w14:textId="77777777" w:rsidR="00DC5C8F" w:rsidRDefault="00000000">
            <w:pPr>
              <w:spacing w:line="360" w:lineRule="auto"/>
              <w:jc w:val="both"/>
              <w:rPr>
                <w:rFonts w:ascii="Arial" w:eastAsia="Arial" w:hAnsi="Arial" w:cs="Arial"/>
              </w:rPr>
            </w:pPr>
            <w:r>
              <w:rPr>
                <w:rFonts w:ascii="Arial" w:eastAsia="Arial" w:hAnsi="Arial" w:cs="Arial"/>
              </w:rPr>
              <w:t>Data extraction &amp; coding</w:t>
            </w:r>
          </w:p>
        </w:tc>
        <w:tc>
          <w:tcPr>
            <w:tcW w:w="2880" w:type="dxa"/>
          </w:tcPr>
          <w:p w14:paraId="6537B52F" w14:textId="77777777" w:rsidR="00DC5C8F" w:rsidRDefault="00000000">
            <w:pPr>
              <w:spacing w:line="360" w:lineRule="auto"/>
              <w:jc w:val="both"/>
              <w:rPr>
                <w:rFonts w:ascii="Arial" w:eastAsia="Arial" w:hAnsi="Arial" w:cs="Arial"/>
              </w:rPr>
            </w:pPr>
            <w:r>
              <w:rPr>
                <w:rFonts w:ascii="Arial" w:eastAsia="Arial" w:hAnsi="Arial" w:cs="Arial"/>
              </w:rPr>
              <w:t>Weeks 3–4</w:t>
            </w:r>
          </w:p>
        </w:tc>
        <w:tc>
          <w:tcPr>
            <w:tcW w:w="2880" w:type="dxa"/>
          </w:tcPr>
          <w:p w14:paraId="252EABFC" w14:textId="77777777" w:rsidR="00DC5C8F" w:rsidRDefault="00000000">
            <w:pPr>
              <w:spacing w:line="360" w:lineRule="auto"/>
              <w:jc w:val="both"/>
              <w:rPr>
                <w:rFonts w:ascii="Arial" w:eastAsia="Arial" w:hAnsi="Arial" w:cs="Arial"/>
              </w:rPr>
            </w:pPr>
            <w:r>
              <w:rPr>
                <w:rFonts w:ascii="Arial" w:eastAsia="Arial" w:hAnsi="Arial" w:cs="Arial"/>
              </w:rPr>
              <w:t xml:space="preserve">        ■■■■</w:t>
            </w:r>
          </w:p>
        </w:tc>
      </w:tr>
      <w:tr w:rsidR="00DC5C8F" w14:paraId="22CA9210" w14:textId="77777777">
        <w:tc>
          <w:tcPr>
            <w:tcW w:w="2880" w:type="dxa"/>
          </w:tcPr>
          <w:p w14:paraId="37D014BF" w14:textId="77777777" w:rsidR="00DC5C8F" w:rsidRDefault="00000000">
            <w:pPr>
              <w:spacing w:line="360" w:lineRule="auto"/>
              <w:jc w:val="both"/>
              <w:rPr>
                <w:rFonts w:ascii="Arial" w:eastAsia="Arial" w:hAnsi="Arial" w:cs="Arial"/>
              </w:rPr>
            </w:pPr>
            <w:r>
              <w:rPr>
                <w:rFonts w:ascii="Arial" w:eastAsia="Arial" w:hAnsi="Arial" w:cs="Arial"/>
              </w:rPr>
              <w:t>Thematic synthesis &amp; analysis</w:t>
            </w:r>
          </w:p>
        </w:tc>
        <w:tc>
          <w:tcPr>
            <w:tcW w:w="2880" w:type="dxa"/>
          </w:tcPr>
          <w:p w14:paraId="44B8A998" w14:textId="77777777" w:rsidR="00DC5C8F" w:rsidRDefault="00000000">
            <w:pPr>
              <w:spacing w:line="360" w:lineRule="auto"/>
              <w:jc w:val="both"/>
              <w:rPr>
                <w:rFonts w:ascii="Arial" w:eastAsia="Arial" w:hAnsi="Arial" w:cs="Arial"/>
              </w:rPr>
            </w:pPr>
            <w:r>
              <w:rPr>
                <w:rFonts w:ascii="Arial" w:eastAsia="Arial" w:hAnsi="Arial" w:cs="Arial"/>
              </w:rPr>
              <w:t>Week 5</w:t>
            </w:r>
          </w:p>
        </w:tc>
        <w:tc>
          <w:tcPr>
            <w:tcW w:w="2880" w:type="dxa"/>
          </w:tcPr>
          <w:p w14:paraId="7B4F0D9F" w14:textId="77777777" w:rsidR="00DC5C8F" w:rsidRDefault="00000000">
            <w:pPr>
              <w:spacing w:line="360" w:lineRule="auto"/>
              <w:jc w:val="both"/>
              <w:rPr>
                <w:rFonts w:ascii="Arial" w:eastAsia="Arial" w:hAnsi="Arial" w:cs="Arial"/>
              </w:rPr>
            </w:pPr>
            <w:r>
              <w:rPr>
                <w:rFonts w:ascii="Arial" w:eastAsia="Arial" w:hAnsi="Arial" w:cs="Arial"/>
              </w:rPr>
              <w:t xml:space="preserve">              ■■</w:t>
            </w:r>
          </w:p>
        </w:tc>
      </w:tr>
      <w:tr w:rsidR="00DC5C8F" w14:paraId="0ECE4AB9" w14:textId="77777777">
        <w:tc>
          <w:tcPr>
            <w:tcW w:w="2880" w:type="dxa"/>
          </w:tcPr>
          <w:p w14:paraId="505228AF" w14:textId="77777777" w:rsidR="00DC5C8F" w:rsidRDefault="00000000">
            <w:pPr>
              <w:spacing w:line="360" w:lineRule="auto"/>
              <w:jc w:val="both"/>
              <w:rPr>
                <w:rFonts w:ascii="Arial" w:eastAsia="Arial" w:hAnsi="Arial" w:cs="Arial"/>
              </w:rPr>
            </w:pPr>
            <w:r>
              <w:rPr>
                <w:rFonts w:ascii="Arial" w:eastAsia="Arial" w:hAnsi="Arial" w:cs="Arial"/>
              </w:rPr>
              <w:t>Drafting findings &amp; discussion</w:t>
            </w:r>
          </w:p>
        </w:tc>
        <w:tc>
          <w:tcPr>
            <w:tcW w:w="2880" w:type="dxa"/>
          </w:tcPr>
          <w:p w14:paraId="7AEF963D" w14:textId="77777777" w:rsidR="00DC5C8F" w:rsidRDefault="00000000">
            <w:pPr>
              <w:spacing w:line="360" w:lineRule="auto"/>
              <w:jc w:val="both"/>
              <w:rPr>
                <w:rFonts w:ascii="Arial" w:eastAsia="Arial" w:hAnsi="Arial" w:cs="Arial"/>
              </w:rPr>
            </w:pPr>
            <w:r>
              <w:rPr>
                <w:rFonts w:ascii="Arial" w:eastAsia="Arial" w:hAnsi="Arial" w:cs="Arial"/>
              </w:rPr>
              <w:t>Week 6</w:t>
            </w:r>
          </w:p>
        </w:tc>
        <w:tc>
          <w:tcPr>
            <w:tcW w:w="2880" w:type="dxa"/>
          </w:tcPr>
          <w:p w14:paraId="5463AC1A" w14:textId="77777777" w:rsidR="00DC5C8F" w:rsidRDefault="00000000">
            <w:pPr>
              <w:spacing w:line="360" w:lineRule="auto"/>
              <w:jc w:val="both"/>
              <w:rPr>
                <w:rFonts w:ascii="Arial" w:eastAsia="Arial" w:hAnsi="Arial" w:cs="Arial"/>
              </w:rPr>
            </w:pPr>
            <w:r>
              <w:rPr>
                <w:rFonts w:ascii="Arial" w:eastAsia="Arial" w:hAnsi="Arial" w:cs="Arial"/>
              </w:rPr>
              <w:t xml:space="preserve">                  ■■</w:t>
            </w:r>
          </w:p>
        </w:tc>
      </w:tr>
      <w:tr w:rsidR="00DC5C8F" w14:paraId="6B9A624E" w14:textId="77777777">
        <w:tc>
          <w:tcPr>
            <w:tcW w:w="2880" w:type="dxa"/>
          </w:tcPr>
          <w:p w14:paraId="1B15568E" w14:textId="77777777" w:rsidR="00DC5C8F" w:rsidRDefault="00000000">
            <w:pPr>
              <w:spacing w:line="360" w:lineRule="auto"/>
              <w:jc w:val="both"/>
              <w:rPr>
                <w:rFonts w:ascii="Arial" w:eastAsia="Arial" w:hAnsi="Arial" w:cs="Arial"/>
              </w:rPr>
            </w:pPr>
            <w:r>
              <w:rPr>
                <w:rFonts w:ascii="Arial" w:eastAsia="Arial" w:hAnsi="Arial" w:cs="Arial"/>
              </w:rPr>
              <w:t>Final editing &amp; submission</w:t>
            </w:r>
          </w:p>
        </w:tc>
        <w:tc>
          <w:tcPr>
            <w:tcW w:w="2880" w:type="dxa"/>
          </w:tcPr>
          <w:p w14:paraId="1CA633AB" w14:textId="77777777" w:rsidR="00DC5C8F" w:rsidRDefault="00000000">
            <w:pPr>
              <w:spacing w:line="360" w:lineRule="auto"/>
              <w:jc w:val="both"/>
              <w:rPr>
                <w:rFonts w:ascii="Arial" w:eastAsia="Arial" w:hAnsi="Arial" w:cs="Arial"/>
              </w:rPr>
            </w:pPr>
            <w:r>
              <w:rPr>
                <w:rFonts w:ascii="Arial" w:eastAsia="Arial" w:hAnsi="Arial" w:cs="Arial"/>
              </w:rPr>
              <w:t>Week 7</w:t>
            </w:r>
          </w:p>
        </w:tc>
        <w:tc>
          <w:tcPr>
            <w:tcW w:w="2880" w:type="dxa"/>
          </w:tcPr>
          <w:p w14:paraId="2F18F5CC" w14:textId="77777777" w:rsidR="00DC5C8F" w:rsidRDefault="00000000">
            <w:pPr>
              <w:spacing w:line="360" w:lineRule="auto"/>
              <w:jc w:val="both"/>
              <w:rPr>
                <w:rFonts w:ascii="Arial" w:eastAsia="Arial" w:hAnsi="Arial" w:cs="Arial"/>
              </w:rPr>
            </w:pPr>
            <w:r>
              <w:rPr>
                <w:rFonts w:ascii="Arial" w:eastAsia="Arial" w:hAnsi="Arial" w:cs="Arial"/>
              </w:rPr>
              <w:t xml:space="preserve">                        ■■</w:t>
            </w:r>
          </w:p>
        </w:tc>
      </w:tr>
    </w:tbl>
    <w:p w14:paraId="1CBA4A51" w14:textId="77777777" w:rsidR="00DC5C8F" w:rsidRDefault="00DC5C8F">
      <w:pPr>
        <w:pStyle w:val="Heading2"/>
        <w:spacing w:line="360" w:lineRule="auto"/>
        <w:jc w:val="both"/>
        <w:rPr>
          <w:rFonts w:ascii="Arial" w:eastAsia="Arial" w:hAnsi="Arial" w:cs="Arial"/>
          <w:b/>
          <w:color w:val="000000"/>
          <w:sz w:val="24"/>
          <w:szCs w:val="24"/>
        </w:rPr>
      </w:pPr>
    </w:p>
    <w:p w14:paraId="31C1C232" w14:textId="77777777" w:rsidR="00DC5C8F" w:rsidRDefault="00DC5C8F">
      <w:pPr>
        <w:pStyle w:val="Heading2"/>
        <w:spacing w:line="360" w:lineRule="auto"/>
        <w:jc w:val="both"/>
        <w:rPr>
          <w:rFonts w:ascii="Arial" w:eastAsia="Arial" w:hAnsi="Arial" w:cs="Arial"/>
          <w:b/>
          <w:color w:val="000000"/>
          <w:sz w:val="24"/>
          <w:szCs w:val="24"/>
        </w:rPr>
      </w:pPr>
    </w:p>
    <w:p w14:paraId="7143B78D" w14:textId="77777777" w:rsidR="00DC5C8F" w:rsidRDefault="00000000">
      <w:pPr>
        <w:pStyle w:val="Heading2"/>
        <w:spacing w:line="360" w:lineRule="auto"/>
        <w:jc w:val="both"/>
        <w:rPr>
          <w:rFonts w:ascii="Arial" w:eastAsia="Arial" w:hAnsi="Arial" w:cs="Arial"/>
          <w:b/>
          <w:color w:val="000000"/>
          <w:sz w:val="24"/>
          <w:szCs w:val="24"/>
        </w:rPr>
      </w:pPr>
      <w:r>
        <w:rPr>
          <w:rFonts w:ascii="Arial" w:eastAsia="Arial" w:hAnsi="Arial" w:cs="Arial"/>
          <w:b/>
          <w:color w:val="000000"/>
          <w:sz w:val="24"/>
          <w:szCs w:val="24"/>
        </w:rPr>
        <w:t>7) Self-reflection as Researcher:</w:t>
      </w:r>
    </w:p>
    <w:p w14:paraId="4DE58FB0" w14:textId="77777777" w:rsidR="00DC5C8F" w:rsidRDefault="00000000">
      <w:pPr>
        <w:spacing w:line="360" w:lineRule="auto"/>
        <w:jc w:val="both"/>
        <w:rPr>
          <w:rFonts w:ascii="Arial" w:eastAsia="Arial" w:hAnsi="Arial" w:cs="Arial"/>
          <w:sz w:val="24"/>
          <w:szCs w:val="24"/>
        </w:rPr>
      </w:pPr>
      <w:r>
        <w:rPr>
          <w:rFonts w:ascii="Arial" w:eastAsia="Arial" w:hAnsi="Arial" w:cs="Arial"/>
          <w:sz w:val="24"/>
          <w:szCs w:val="24"/>
        </w:rPr>
        <w:t>I bring strong skills in organising and synthesising academic literature, which will support a systematic review of evidence. However, critically appraising conflicting findings remains a challenge. This project will strengthen my skills in critical analysis, academic writing, and the ability to translate research into practical health and social care recommendations.</w:t>
      </w:r>
    </w:p>
    <w:p w14:paraId="0397878B" w14:textId="77777777" w:rsidR="00DC5C8F" w:rsidRDefault="00DC5C8F">
      <w:pPr>
        <w:spacing w:line="360" w:lineRule="auto"/>
        <w:jc w:val="both"/>
        <w:rPr>
          <w:rFonts w:ascii="Arial" w:eastAsia="Arial" w:hAnsi="Arial" w:cs="Arial"/>
          <w:sz w:val="24"/>
          <w:szCs w:val="24"/>
        </w:rPr>
      </w:pPr>
    </w:p>
    <w:p w14:paraId="67379092" w14:textId="77777777" w:rsidR="00DC5C8F" w:rsidRDefault="00000000">
      <w:pPr>
        <w:spacing w:before="280" w:after="280" w:line="360" w:lineRule="auto"/>
        <w:jc w:val="both"/>
        <w:rPr>
          <w:rFonts w:ascii="Arial" w:eastAsia="Arial" w:hAnsi="Arial" w:cs="Arial"/>
          <w:b/>
          <w:sz w:val="24"/>
          <w:szCs w:val="24"/>
        </w:rPr>
      </w:pPr>
      <w:r>
        <w:rPr>
          <w:rFonts w:ascii="Arial" w:eastAsia="Arial" w:hAnsi="Arial" w:cs="Arial"/>
          <w:b/>
          <w:sz w:val="24"/>
          <w:szCs w:val="24"/>
        </w:rPr>
        <w:t>References:</w:t>
      </w:r>
    </w:p>
    <w:p w14:paraId="59B23044"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Anger, W. K., et al. (2024) ‘Addressing Health Care Workers’ Mental Health: A Systematic Review of Interventions’, </w:t>
      </w:r>
      <w:r>
        <w:rPr>
          <w:rFonts w:ascii="Arial" w:eastAsia="Arial" w:hAnsi="Arial" w:cs="Arial"/>
          <w:i/>
          <w:sz w:val="24"/>
          <w:szCs w:val="24"/>
        </w:rPr>
        <w:t>American Journal of Public Health</w:t>
      </w:r>
      <w:r>
        <w:rPr>
          <w:rFonts w:ascii="Arial" w:eastAsia="Arial" w:hAnsi="Arial" w:cs="Arial"/>
          <w:sz w:val="24"/>
          <w:szCs w:val="24"/>
        </w:rPr>
        <w:t>. doi:10.2105/AJPH.2023.307556.</w:t>
      </w:r>
    </w:p>
    <w:p w14:paraId="23F28AE1"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Frias, C. E., et al. (2025) ‘Strategies to support the mental health and well-being of health and care workers: a rapid review of systematic reviews’, </w:t>
      </w:r>
      <w:r>
        <w:rPr>
          <w:rFonts w:ascii="Arial" w:eastAsia="Arial" w:hAnsi="Arial" w:cs="Arial"/>
          <w:i/>
          <w:sz w:val="24"/>
          <w:szCs w:val="24"/>
        </w:rPr>
        <w:t>Frontiers in Medicine</w:t>
      </w:r>
      <w:r>
        <w:rPr>
          <w:rFonts w:ascii="Arial" w:eastAsia="Arial" w:hAnsi="Arial" w:cs="Arial"/>
          <w:sz w:val="24"/>
          <w:szCs w:val="24"/>
        </w:rPr>
        <w:t>, 12, p. 1530287. doi:10.3389/fmed.2025.1530287.</w:t>
      </w:r>
    </w:p>
    <w:p w14:paraId="2AC69BFA" w14:textId="77777777" w:rsidR="00DC5C8F" w:rsidRDefault="00000000">
      <w:pPr>
        <w:spacing w:before="280" w:after="280" w:line="360" w:lineRule="auto"/>
        <w:jc w:val="both"/>
        <w:rPr>
          <w:rFonts w:ascii="Arial" w:eastAsia="Arial" w:hAnsi="Arial" w:cs="Arial"/>
          <w:sz w:val="24"/>
          <w:szCs w:val="24"/>
        </w:rPr>
      </w:pPr>
      <w:proofErr w:type="spellStart"/>
      <w:r>
        <w:rPr>
          <w:rFonts w:ascii="Arial" w:eastAsia="Arial" w:hAnsi="Arial" w:cs="Arial"/>
          <w:sz w:val="24"/>
          <w:szCs w:val="24"/>
        </w:rPr>
        <w:t>Gyamerah</w:t>
      </w:r>
      <w:proofErr w:type="spellEnd"/>
      <w:r>
        <w:rPr>
          <w:rFonts w:ascii="Arial" w:eastAsia="Arial" w:hAnsi="Arial" w:cs="Arial"/>
          <w:sz w:val="24"/>
          <w:szCs w:val="24"/>
        </w:rPr>
        <w:t xml:space="preserve">, A. O., et al. (2025) ‘Factors shaping the mental health of healthcare workers in response to the pandemic in Ghana: coping strategies and contextual influences’, </w:t>
      </w:r>
      <w:r>
        <w:rPr>
          <w:rFonts w:ascii="Arial" w:eastAsia="Arial" w:hAnsi="Arial" w:cs="Arial"/>
          <w:i/>
          <w:sz w:val="24"/>
          <w:szCs w:val="24"/>
        </w:rPr>
        <w:t>BMC Health Services Research</w:t>
      </w:r>
      <w:r>
        <w:rPr>
          <w:rFonts w:ascii="Arial" w:eastAsia="Arial" w:hAnsi="Arial" w:cs="Arial"/>
          <w:sz w:val="24"/>
          <w:szCs w:val="24"/>
        </w:rPr>
        <w:t>. doi:10.1186/s12913-025-12476-4.</w:t>
      </w:r>
    </w:p>
    <w:p w14:paraId="205A8F2D"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Lee, Y. L., et al. (2025) ‘Exploring burnout, resilience and the coping strategies of healthcare professionals during the COVID-19 pandemic’, </w:t>
      </w:r>
      <w:r>
        <w:rPr>
          <w:rFonts w:ascii="Arial" w:eastAsia="Arial" w:hAnsi="Arial" w:cs="Arial"/>
          <w:i/>
          <w:sz w:val="24"/>
          <w:szCs w:val="24"/>
        </w:rPr>
        <w:t>Scientific Reports</w:t>
      </w:r>
      <w:r>
        <w:rPr>
          <w:rFonts w:ascii="Arial" w:eastAsia="Arial" w:hAnsi="Arial" w:cs="Arial"/>
          <w:sz w:val="24"/>
          <w:szCs w:val="24"/>
        </w:rPr>
        <w:t>.</w:t>
      </w:r>
    </w:p>
    <w:p w14:paraId="4D338485"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Maunder, R. G., et al. (2024) ‘A longitudinal study of hospital workers’ mental health from 2020 to 2023’, </w:t>
      </w:r>
      <w:r>
        <w:rPr>
          <w:rFonts w:ascii="Arial" w:eastAsia="Arial" w:hAnsi="Arial" w:cs="Arial"/>
          <w:i/>
          <w:sz w:val="24"/>
          <w:szCs w:val="24"/>
        </w:rPr>
        <w:t>Scientific Reports</w:t>
      </w:r>
      <w:r>
        <w:rPr>
          <w:rFonts w:ascii="Arial" w:eastAsia="Arial" w:hAnsi="Arial" w:cs="Arial"/>
          <w:sz w:val="24"/>
          <w:szCs w:val="24"/>
        </w:rPr>
        <w:t>, 14, Article number: 77493.</w:t>
      </w:r>
    </w:p>
    <w:p w14:paraId="4C6FAD9E"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Mokaya, P. O., et al. (2025) ‘Assessing the impact of the coronavirus pandemic on nurses’ mental health in low-resource settings’, </w:t>
      </w:r>
      <w:r>
        <w:rPr>
          <w:rFonts w:ascii="Arial" w:eastAsia="Arial" w:hAnsi="Arial" w:cs="Arial"/>
          <w:i/>
          <w:sz w:val="24"/>
          <w:szCs w:val="24"/>
        </w:rPr>
        <w:t>BMC Nursing</w:t>
      </w:r>
      <w:r>
        <w:rPr>
          <w:rFonts w:ascii="Arial" w:eastAsia="Arial" w:hAnsi="Arial" w:cs="Arial"/>
          <w:sz w:val="24"/>
          <w:szCs w:val="24"/>
        </w:rPr>
        <w:t>.</w:t>
      </w:r>
    </w:p>
    <w:p w14:paraId="7364754A"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lastRenderedPageBreak/>
        <w:t xml:space="preserve">Rossi, M. F., et al. (2023) ‘Coping with burnout and the impact of the COVID-19 pandemic: a scoping review’, </w:t>
      </w:r>
      <w:r>
        <w:rPr>
          <w:rFonts w:ascii="Arial" w:eastAsia="Arial" w:hAnsi="Arial" w:cs="Arial"/>
          <w:i/>
          <w:sz w:val="24"/>
          <w:szCs w:val="24"/>
        </w:rPr>
        <w:t>Frontiers in Psychiatry</w:t>
      </w:r>
      <w:r>
        <w:rPr>
          <w:rFonts w:ascii="Arial" w:eastAsia="Arial" w:hAnsi="Arial" w:cs="Arial"/>
          <w:sz w:val="24"/>
          <w:szCs w:val="24"/>
        </w:rPr>
        <w:t>. doi:10.3389/fpsyt.2023.1139260.</w:t>
      </w:r>
    </w:p>
    <w:p w14:paraId="6FF4917D"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Shanafelt, T., Ripp, J. and </w:t>
      </w:r>
      <w:proofErr w:type="spellStart"/>
      <w:r>
        <w:rPr>
          <w:rFonts w:ascii="Arial" w:eastAsia="Arial" w:hAnsi="Arial" w:cs="Arial"/>
          <w:sz w:val="24"/>
          <w:szCs w:val="24"/>
        </w:rPr>
        <w:t>Trockel</w:t>
      </w:r>
      <w:proofErr w:type="spellEnd"/>
      <w:r>
        <w:rPr>
          <w:rFonts w:ascii="Arial" w:eastAsia="Arial" w:hAnsi="Arial" w:cs="Arial"/>
          <w:sz w:val="24"/>
          <w:szCs w:val="24"/>
        </w:rPr>
        <w:t xml:space="preserve">, M. (2020) ‘Understanding and addressing sources of anxiety among health care professionals during the COVID-19 pandemic’, </w:t>
      </w:r>
      <w:r>
        <w:rPr>
          <w:rFonts w:ascii="Arial" w:eastAsia="Arial" w:hAnsi="Arial" w:cs="Arial"/>
          <w:i/>
          <w:sz w:val="24"/>
          <w:szCs w:val="24"/>
        </w:rPr>
        <w:t>JAMA</w:t>
      </w:r>
      <w:r>
        <w:rPr>
          <w:rFonts w:ascii="Arial" w:eastAsia="Arial" w:hAnsi="Arial" w:cs="Arial"/>
          <w:sz w:val="24"/>
          <w:szCs w:val="24"/>
        </w:rPr>
        <w:t>, 323(21), pp. 2133–2134.</w:t>
      </w:r>
    </w:p>
    <w:p w14:paraId="147E611F"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Spoorthy, M.S., Pratapa, S.K. and Mahant, S. (2020) ‘Mental health problems faced by healthcare workers due to the COVID-19 pandemic–A review’, </w:t>
      </w:r>
      <w:r>
        <w:rPr>
          <w:rFonts w:ascii="Arial" w:eastAsia="Arial" w:hAnsi="Arial" w:cs="Arial"/>
          <w:i/>
          <w:sz w:val="24"/>
          <w:szCs w:val="24"/>
        </w:rPr>
        <w:t>Asian Journal of Psychiatry</w:t>
      </w:r>
      <w:r>
        <w:rPr>
          <w:rFonts w:ascii="Arial" w:eastAsia="Arial" w:hAnsi="Arial" w:cs="Arial"/>
          <w:sz w:val="24"/>
          <w:szCs w:val="24"/>
        </w:rPr>
        <w:t>, 51, 102119.</w:t>
      </w:r>
    </w:p>
    <w:p w14:paraId="4F60ADB7" w14:textId="77777777" w:rsidR="00DC5C8F" w:rsidRDefault="00000000">
      <w:pPr>
        <w:spacing w:before="280" w:after="280" w:line="360" w:lineRule="auto"/>
        <w:jc w:val="both"/>
        <w:rPr>
          <w:rFonts w:ascii="Arial" w:eastAsia="Arial" w:hAnsi="Arial" w:cs="Arial"/>
          <w:sz w:val="24"/>
          <w:szCs w:val="24"/>
        </w:rPr>
      </w:pPr>
      <w:r>
        <w:rPr>
          <w:rFonts w:ascii="Arial" w:eastAsia="Arial" w:hAnsi="Arial" w:cs="Arial"/>
          <w:sz w:val="24"/>
          <w:szCs w:val="24"/>
        </w:rPr>
        <w:t xml:space="preserve">World Health Organization (2022) </w:t>
      </w:r>
      <w:r>
        <w:rPr>
          <w:rFonts w:ascii="Arial" w:eastAsia="Arial" w:hAnsi="Arial" w:cs="Arial"/>
          <w:i/>
          <w:sz w:val="24"/>
          <w:szCs w:val="24"/>
        </w:rPr>
        <w:t>Mental health and psychosocial considerations during the COVID-19 outbreak</w:t>
      </w:r>
      <w:r>
        <w:rPr>
          <w:rFonts w:ascii="Arial" w:eastAsia="Arial" w:hAnsi="Arial" w:cs="Arial"/>
          <w:sz w:val="24"/>
          <w:szCs w:val="24"/>
        </w:rPr>
        <w:t xml:space="preserve">. Available at: </w:t>
      </w:r>
      <w:hyperlink r:id="rId6">
        <w:r>
          <w:rPr>
            <w:rFonts w:ascii="Arial" w:eastAsia="Arial" w:hAnsi="Arial" w:cs="Arial"/>
            <w:sz w:val="24"/>
            <w:szCs w:val="24"/>
          </w:rPr>
          <w:t>https://www.who.int</w:t>
        </w:r>
      </w:hyperlink>
      <w:r>
        <w:rPr>
          <w:rFonts w:ascii="Arial" w:eastAsia="Arial" w:hAnsi="Arial" w:cs="Arial"/>
          <w:sz w:val="24"/>
          <w:szCs w:val="24"/>
        </w:rPr>
        <w:t xml:space="preserve"> (Accessed: 29 September 2025).</w:t>
      </w:r>
    </w:p>
    <w:bookmarkEnd w:id="1"/>
    <w:p w14:paraId="4AF51BF3" w14:textId="77777777" w:rsidR="00DC5C8F" w:rsidRDefault="00DC5C8F">
      <w:pPr>
        <w:spacing w:line="360" w:lineRule="auto"/>
        <w:jc w:val="both"/>
        <w:rPr>
          <w:rFonts w:ascii="Arial" w:eastAsia="Arial" w:hAnsi="Arial" w:cs="Arial"/>
          <w:sz w:val="24"/>
          <w:szCs w:val="24"/>
        </w:rPr>
      </w:pPr>
    </w:p>
    <w:p w14:paraId="383E0448" w14:textId="77777777" w:rsidR="00DC5C8F" w:rsidRDefault="00DC5C8F">
      <w:pPr>
        <w:spacing w:before="280" w:after="280" w:line="360" w:lineRule="auto"/>
        <w:ind w:left="720"/>
        <w:jc w:val="both"/>
        <w:rPr>
          <w:rFonts w:ascii="Arial" w:eastAsia="Arial" w:hAnsi="Arial" w:cs="Arial"/>
          <w:sz w:val="24"/>
          <w:szCs w:val="24"/>
        </w:rPr>
      </w:pPr>
    </w:p>
    <w:p w14:paraId="3E37112D" w14:textId="77777777" w:rsidR="00DC5C8F" w:rsidRDefault="00DC5C8F">
      <w:pPr>
        <w:spacing w:before="280" w:after="280" w:line="360" w:lineRule="auto"/>
        <w:ind w:left="720"/>
        <w:jc w:val="both"/>
        <w:rPr>
          <w:rFonts w:ascii="Arial" w:eastAsia="Arial" w:hAnsi="Arial" w:cs="Arial"/>
          <w:sz w:val="24"/>
          <w:szCs w:val="24"/>
        </w:rPr>
      </w:pPr>
    </w:p>
    <w:p w14:paraId="619ACF13" w14:textId="77777777" w:rsidR="00DC5C8F" w:rsidRDefault="00DC5C8F">
      <w:pPr>
        <w:pBdr>
          <w:top w:val="nil"/>
          <w:left w:val="nil"/>
          <w:bottom w:val="nil"/>
          <w:right w:val="nil"/>
          <w:between w:val="nil"/>
        </w:pBdr>
        <w:spacing w:before="280" w:after="280" w:line="360" w:lineRule="auto"/>
        <w:ind w:left="360"/>
        <w:jc w:val="both"/>
        <w:rPr>
          <w:rFonts w:ascii="Arial" w:eastAsia="Arial" w:hAnsi="Arial" w:cs="Arial"/>
          <w:color w:val="000000"/>
          <w:sz w:val="24"/>
          <w:szCs w:val="24"/>
        </w:rPr>
      </w:pPr>
    </w:p>
    <w:p w14:paraId="0B07030B" w14:textId="77777777" w:rsidR="00DC5C8F" w:rsidRDefault="00DC5C8F"/>
    <w:sectPr w:rsidR="00DC5C8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F67F18"/>
    <w:multiLevelType w:val="hybridMultilevel"/>
    <w:tmpl w:val="31E463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1B93ABA"/>
    <w:multiLevelType w:val="multilevel"/>
    <w:tmpl w:val="6CF0D2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E792593"/>
    <w:multiLevelType w:val="multilevel"/>
    <w:tmpl w:val="DC6236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06247698">
    <w:abstractNumId w:val="2"/>
  </w:num>
  <w:num w:numId="2" w16cid:durableId="1759862616">
    <w:abstractNumId w:val="1"/>
  </w:num>
  <w:num w:numId="3" w16cid:durableId="1288857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C8F"/>
    <w:rsid w:val="00816F48"/>
    <w:rsid w:val="008478EA"/>
    <w:rsid w:val="00864546"/>
    <w:rsid w:val="00DC5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CE4217"/>
  <w15:docId w15:val="{C9DC519B-009A-4CE2-BB8D-D5DAD38E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color w:val="2F5496"/>
      <w:sz w:val="40"/>
      <w:szCs w:val="40"/>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2F5496"/>
    </w:rPr>
  </w:style>
  <w:style w:type="paragraph" w:styleId="Heading5">
    <w:name w:val="heading 5"/>
    <w:basedOn w:val="Normal"/>
    <w:next w:val="Normal"/>
    <w:uiPriority w:val="9"/>
    <w:semiHidden/>
    <w:unhideWhenUsed/>
    <w:qFormat/>
    <w:pPr>
      <w:keepNext/>
      <w:keepLines/>
      <w:spacing w:before="80" w:after="40"/>
      <w:outlineLvl w:val="4"/>
    </w:pPr>
    <w:rPr>
      <w:color w:val="2F5496"/>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816F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who.int"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986</Words>
  <Characters>6116</Characters>
  <Application>Microsoft Office Word</Application>
  <DocSecurity>0</DocSecurity>
  <Lines>153</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Saira Arif (2220569)</cp:lastModifiedBy>
  <cp:revision>2</cp:revision>
  <dcterms:created xsi:type="dcterms:W3CDTF">2025-11-04T12:24:00Z</dcterms:created>
  <dcterms:modified xsi:type="dcterms:W3CDTF">2025-11-04T12:24:00Z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c5112d96-66f2-4167-a0b3-b57e337e185f</vt:lpwstr>
  </property>
</Properties>
</file>