
<file path=[Content_Types].xml><?xml version="1.0" encoding="utf-8"?>
<Types xmlns="http://schemas.openxmlformats.org/package/2006/content-types">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112B28EE" w14:textId="26AF00A7" w:rsidR="002F79D4" w:rsidRPr="008B637F" w:rsidRDefault="00144E42" w:rsidP="00144E42">
      <w:pPr>
        <w:spacing w:before="240" w:after="240" w:line="360" w:lineRule="auto"/>
        <w:jc w:val="center"/>
        <w:rPr>
          <w:rFonts w:eastAsia="Times New Roman"/>
          <w:b/>
          <w:bCs/>
          <w:sz w:val="24"/>
          <w:szCs w:val="24"/>
        </w:rPr>
      </w:pPr>
      <w:r w:rsidRPr="008B637F">
        <w:rPr>
          <w:rFonts w:eastAsia="Times New Roman"/>
          <w:b/>
          <w:bCs/>
          <w:noProof/>
          <w:sz w:val="24"/>
          <w:szCs w:val="24"/>
        </w:rPr>
        <w:drawing>
          <wp:inline distT="0" distB="0" distL="0" distR="0" wp14:anchorId="0C6D75F7" wp14:editId="09E5FA0B">
            <wp:extent cx="2825942" cy="1463040"/>
            <wp:effectExtent l="0" t="0" r="0" b="3810"/>
            <wp:docPr id="878425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425039" name="Picture 87842503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873890" cy="1487864"/>
                    </a:xfrm>
                    <a:prstGeom prst="rect">
                      <a:avLst/>
                    </a:prstGeom>
                  </pic:spPr>
                </pic:pic>
              </a:graphicData>
            </a:graphic>
          </wp:inline>
        </w:drawing>
      </w:r>
    </w:p>
    <w:p w14:paraId="31EBB384" w14:textId="596EF7F4" w:rsidR="00EF5711" w:rsidRPr="008B637F" w:rsidRDefault="002F79D4" w:rsidP="008B637F">
      <w:pPr>
        <w:spacing w:before="240" w:after="240" w:line="360" w:lineRule="auto"/>
        <w:rPr>
          <w:rFonts w:eastAsia="Times New Roman"/>
          <w:b/>
          <w:bCs/>
          <w:sz w:val="24"/>
          <w:szCs w:val="24"/>
        </w:rPr>
      </w:pPr>
      <w:r w:rsidRPr="008B637F">
        <w:rPr>
          <w:rFonts w:eastAsia="Times New Roman"/>
          <w:b/>
          <w:bCs/>
          <w:sz w:val="24"/>
          <w:szCs w:val="24"/>
        </w:rPr>
        <w:t xml:space="preserve">Assignment Title: “Report on the </w:t>
      </w:r>
      <w:proofErr w:type="spellStart"/>
      <w:r w:rsidRPr="008B637F">
        <w:rPr>
          <w:rFonts w:eastAsia="Times New Roman"/>
          <w:b/>
          <w:bCs/>
          <w:sz w:val="24"/>
          <w:szCs w:val="24"/>
        </w:rPr>
        <w:t>Internationalisation</w:t>
      </w:r>
      <w:proofErr w:type="spellEnd"/>
      <w:r w:rsidRPr="008B637F">
        <w:rPr>
          <w:rFonts w:eastAsia="Times New Roman"/>
          <w:b/>
          <w:bCs/>
          <w:sz w:val="24"/>
          <w:szCs w:val="24"/>
        </w:rPr>
        <w:t xml:space="preserve"> Strategy of JPMorgan”</w:t>
      </w:r>
    </w:p>
    <w:p w14:paraId="74C2D0F9" w14:textId="5420B0D5" w:rsidR="00E810C7" w:rsidRPr="008B637F" w:rsidRDefault="00000000" w:rsidP="002F79D4">
      <w:pPr>
        <w:spacing w:before="240" w:after="240" w:line="360" w:lineRule="auto"/>
        <w:rPr>
          <w:rFonts w:eastAsia="Times New Roman"/>
          <w:b/>
          <w:bCs/>
          <w:sz w:val="24"/>
          <w:szCs w:val="24"/>
        </w:rPr>
      </w:pPr>
      <w:r w:rsidRPr="008B637F">
        <w:rPr>
          <w:rFonts w:eastAsia="Times New Roman"/>
          <w:b/>
          <w:bCs/>
          <w:sz w:val="24"/>
          <w:szCs w:val="24"/>
        </w:rPr>
        <w:t>Student Name:</w:t>
      </w:r>
      <w:r w:rsidR="00EF5711" w:rsidRPr="008B637F">
        <w:rPr>
          <w:rFonts w:eastAsia="Times New Roman"/>
          <w:b/>
          <w:bCs/>
          <w:sz w:val="24"/>
          <w:szCs w:val="24"/>
        </w:rPr>
        <w:t xml:space="preserve"> </w:t>
      </w:r>
      <w:proofErr w:type="spellStart"/>
      <w:r w:rsidR="00EF5711" w:rsidRPr="008B637F">
        <w:rPr>
          <w:rFonts w:eastAsia="Times New Roman"/>
          <w:b/>
          <w:bCs/>
          <w:sz w:val="24"/>
          <w:szCs w:val="24"/>
        </w:rPr>
        <w:t>Gautambhai</w:t>
      </w:r>
      <w:proofErr w:type="spellEnd"/>
      <w:r w:rsidR="00EF5711" w:rsidRPr="008B637F">
        <w:rPr>
          <w:rFonts w:eastAsia="Times New Roman"/>
          <w:b/>
          <w:bCs/>
          <w:sz w:val="24"/>
          <w:szCs w:val="24"/>
        </w:rPr>
        <w:t xml:space="preserve"> Ashokkumar Gohil</w:t>
      </w:r>
    </w:p>
    <w:p w14:paraId="70D7D9FD" w14:textId="145C7449" w:rsidR="00E810C7" w:rsidRPr="008B637F" w:rsidRDefault="00000000" w:rsidP="002F79D4">
      <w:pPr>
        <w:spacing w:before="240" w:after="240" w:line="360" w:lineRule="auto"/>
        <w:rPr>
          <w:rFonts w:eastAsia="Times New Roman"/>
          <w:b/>
          <w:bCs/>
          <w:sz w:val="24"/>
          <w:szCs w:val="24"/>
        </w:rPr>
      </w:pPr>
      <w:r w:rsidRPr="008B637F">
        <w:rPr>
          <w:rFonts w:eastAsia="Times New Roman"/>
          <w:b/>
          <w:bCs/>
          <w:sz w:val="24"/>
          <w:szCs w:val="24"/>
        </w:rPr>
        <w:t xml:space="preserve">Student </w:t>
      </w:r>
      <w:r w:rsidR="00EF5711" w:rsidRPr="008B637F">
        <w:rPr>
          <w:rFonts w:eastAsia="Times New Roman"/>
          <w:b/>
          <w:bCs/>
          <w:sz w:val="24"/>
          <w:szCs w:val="24"/>
        </w:rPr>
        <w:t>ID</w:t>
      </w:r>
      <w:r w:rsidRPr="008B637F">
        <w:rPr>
          <w:rFonts w:eastAsia="Times New Roman"/>
          <w:b/>
          <w:bCs/>
          <w:sz w:val="24"/>
          <w:szCs w:val="24"/>
        </w:rPr>
        <w:t xml:space="preserve">: </w:t>
      </w:r>
      <w:r w:rsidR="00EF5711" w:rsidRPr="008B637F">
        <w:rPr>
          <w:rFonts w:eastAsia="Times New Roman"/>
          <w:b/>
          <w:bCs/>
          <w:sz w:val="24"/>
          <w:szCs w:val="24"/>
        </w:rPr>
        <w:t>2432868</w:t>
      </w:r>
    </w:p>
    <w:p w14:paraId="59622865" w14:textId="22A75EA1" w:rsidR="00EF5711" w:rsidRPr="008B637F" w:rsidRDefault="00EF5711" w:rsidP="002F79D4">
      <w:pPr>
        <w:spacing w:before="240" w:after="240" w:line="360" w:lineRule="auto"/>
        <w:rPr>
          <w:rFonts w:eastAsia="Times New Roman"/>
          <w:b/>
          <w:bCs/>
          <w:sz w:val="24"/>
          <w:szCs w:val="24"/>
        </w:rPr>
      </w:pPr>
      <w:r w:rsidRPr="008B637F">
        <w:rPr>
          <w:rFonts w:eastAsia="Times New Roman"/>
          <w:b/>
          <w:bCs/>
          <w:sz w:val="24"/>
          <w:szCs w:val="24"/>
        </w:rPr>
        <w:t xml:space="preserve">Module Name: </w:t>
      </w:r>
      <w:r w:rsidR="002F79D4" w:rsidRPr="008B637F">
        <w:rPr>
          <w:rFonts w:eastAsia="Times New Roman"/>
          <w:b/>
          <w:bCs/>
          <w:sz w:val="24"/>
          <w:szCs w:val="24"/>
        </w:rPr>
        <w:t>I</w:t>
      </w:r>
      <w:r w:rsidRPr="008B637F">
        <w:rPr>
          <w:rFonts w:eastAsia="Times New Roman"/>
          <w:b/>
          <w:bCs/>
          <w:sz w:val="24"/>
          <w:szCs w:val="24"/>
        </w:rPr>
        <w:t xml:space="preserve">nternational </w:t>
      </w:r>
      <w:r w:rsidR="009F39EB">
        <w:rPr>
          <w:rFonts w:eastAsia="Times New Roman"/>
          <w:b/>
          <w:bCs/>
          <w:sz w:val="24"/>
          <w:szCs w:val="24"/>
        </w:rPr>
        <w:t>Business</w:t>
      </w:r>
      <w:r w:rsidR="002F79D4" w:rsidRPr="008B637F">
        <w:rPr>
          <w:rFonts w:eastAsia="Times New Roman"/>
          <w:b/>
          <w:bCs/>
          <w:sz w:val="24"/>
          <w:szCs w:val="24"/>
        </w:rPr>
        <w:t xml:space="preserve"> Concepts</w:t>
      </w:r>
    </w:p>
    <w:p w14:paraId="3A0544F3" w14:textId="262DE2D8" w:rsidR="002F79D4" w:rsidRPr="008B637F" w:rsidRDefault="002F79D4" w:rsidP="002F79D4">
      <w:pPr>
        <w:spacing w:before="240" w:after="240" w:line="360" w:lineRule="auto"/>
        <w:rPr>
          <w:rFonts w:eastAsia="Times New Roman"/>
          <w:b/>
          <w:bCs/>
          <w:sz w:val="24"/>
          <w:szCs w:val="24"/>
        </w:rPr>
      </w:pPr>
      <w:r w:rsidRPr="008B637F">
        <w:rPr>
          <w:rFonts w:eastAsia="Times New Roman"/>
          <w:b/>
          <w:bCs/>
          <w:sz w:val="24"/>
          <w:szCs w:val="24"/>
        </w:rPr>
        <w:t>Module Code: LCMB7034</w:t>
      </w:r>
    </w:p>
    <w:p w14:paraId="53EEFAAD" w14:textId="055EEA1A" w:rsidR="00EF5711" w:rsidRPr="008B637F" w:rsidRDefault="00EF5711" w:rsidP="002F79D4">
      <w:pPr>
        <w:spacing w:before="240" w:after="240" w:line="360" w:lineRule="auto"/>
        <w:rPr>
          <w:rFonts w:eastAsia="Times New Roman"/>
          <w:b/>
          <w:bCs/>
          <w:sz w:val="24"/>
          <w:szCs w:val="24"/>
        </w:rPr>
      </w:pPr>
      <w:r w:rsidRPr="008B637F">
        <w:rPr>
          <w:rFonts w:eastAsia="Times New Roman"/>
          <w:b/>
          <w:bCs/>
          <w:sz w:val="24"/>
          <w:szCs w:val="24"/>
        </w:rPr>
        <w:t>Lecturer name: Jean Wang</w:t>
      </w:r>
    </w:p>
    <w:p w14:paraId="23D2B0BA" w14:textId="77777777" w:rsidR="00E810C7" w:rsidRPr="008B637F" w:rsidRDefault="00000000" w:rsidP="002F79D4">
      <w:pPr>
        <w:spacing w:before="240" w:after="240" w:line="360" w:lineRule="auto"/>
        <w:rPr>
          <w:rFonts w:eastAsia="Times New Roman"/>
          <w:b/>
          <w:bCs/>
          <w:sz w:val="24"/>
          <w:szCs w:val="24"/>
        </w:rPr>
      </w:pPr>
      <w:r w:rsidRPr="008B637F">
        <w:rPr>
          <w:rFonts w:eastAsia="Times New Roman"/>
          <w:b/>
          <w:bCs/>
          <w:sz w:val="24"/>
          <w:szCs w:val="24"/>
        </w:rPr>
        <w:t>Word Count: 5000</w:t>
      </w:r>
    </w:p>
    <w:p w14:paraId="64D2A61C" w14:textId="77777777" w:rsidR="00E810C7" w:rsidRPr="008B637F" w:rsidRDefault="00000000">
      <w:pPr>
        <w:spacing w:before="240" w:after="240"/>
        <w:jc w:val="center"/>
        <w:rPr>
          <w:rFonts w:eastAsia="Times New Roman"/>
          <w:b/>
          <w:bCs/>
          <w:sz w:val="24"/>
          <w:szCs w:val="24"/>
        </w:rPr>
      </w:pPr>
      <w:r w:rsidRPr="008B637F">
        <w:rPr>
          <w:sz w:val="24"/>
          <w:szCs w:val="24"/>
        </w:rPr>
        <w:br w:type="page"/>
      </w:r>
    </w:p>
    <w:p w14:paraId="003B7883" w14:textId="77777777" w:rsidR="00E810C7" w:rsidRPr="008B637F" w:rsidRDefault="00000000">
      <w:pPr>
        <w:spacing w:before="240" w:after="240"/>
        <w:jc w:val="center"/>
        <w:rPr>
          <w:rFonts w:eastAsia="Times New Roman"/>
          <w:b/>
          <w:bCs/>
          <w:sz w:val="24"/>
          <w:szCs w:val="24"/>
        </w:rPr>
      </w:pPr>
      <w:r w:rsidRPr="008B637F">
        <w:rPr>
          <w:rFonts w:eastAsia="Times New Roman"/>
          <w:b/>
          <w:bCs/>
          <w:sz w:val="24"/>
          <w:szCs w:val="24"/>
        </w:rPr>
        <w:lastRenderedPageBreak/>
        <w:t xml:space="preserve">Table of Contents </w:t>
      </w:r>
    </w:p>
    <w:sdt>
      <w:sdtPr>
        <w:rPr>
          <w:sz w:val="24"/>
          <w:szCs w:val="24"/>
        </w:rPr>
        <w:id w:val="42834339"/>
        <w:docPartObj>
          <w:docPartGallery w:val="Table of Contents"/>
          <w:docPartUnique/>
        </w:docPartObj>
      </w:sdtPr>
      <w:sdtContent>
        <w:p w14:paraId="048AE221" w14:textId="77777777" w:rsidR="00E810C7" w:rsidRPr="008B637F" w:rsidRDefault="00E810C7">
          <w:pPr>
            <w:widowControl w:val="0"/>
            <w:tabs>
              <w:tab w:val="right" w:leader="dot" w:pos="12000"/>
            </w:tabs>
            <w:spacing w:before="60" w:line="240" w:lineRule="auto"/>
            <w:rPr>
              <w:b/>
              <w:bCs/>
              <w:color w:val="000000"/>
              <w:sz w:val="24"/>
              <w:szCs w:val="24"/>
            </w:rPr>
          </w:pPr>
          <w:r w:rsidRPr="008B637F">
            <w:rPr>
              <w:sz w:val="24"/>
              <w:szCs w:val="24"/>
            </w:rPr>
            <w:fldChar w:fldCharType="begin"/>
          </w:r>
          <w:r w:rsidRPr="008B637F">
            <w:rPr>
              <w:sz w:val="24"/>
              <w:szCs w:val="24"/>
            </w:rPr>
            <w:instrText xml:space="preserve"> TOC \h \u \z \t "Heading 1,1,Heading 2,2,Heading 3,3,Heading 4,4,Heading 5,5,Heading 6,6,"</w:instrText>
          </w:r>
          <w:r w:rsidRPr="008B637F">
            <w:rPr>
              <w:sz w:val="24"/>
              <w:szCs w:val="24"/>
            </w:rPr>
            <w:fldChar w:fldCharType="separate"/>
          </w:r>
          <w:hyperlink w:anchor="_heading=h.k1ow87xh3khc">
            <w:r w:rsidRPr="008B637F">
              <w:rPr>
                <w:rFonts w:eastAsia="Times New Roman"/>
                <w:color w:val="000000"/>
                <w:sz w:val="24"/>
                <w:szCs w:val="24"/>
              </w:rPr>
              <w:t>1. Introduction to the Report</w:t>
            </w:r>
            <w:r w:rsidRPr="008B637F">
              <w:rPr>
                <w:rFonts w:eastAsia="Times New Roman"/>
                <w:color w:val="000000"/>
                <w:sz w:val="24"/>
                <w:szCs w:val="24"/>
              </w:rPr>
              <w:tab/>
              <w:t>4</w:t>
            </w:r>
          </w:hyperlink>
        </w:p>
        <w:p w14:paraId="5F11C9BB"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k5eykx6klt7a">
            <w:r w:rsidRPr="008B637F">
              <w:rPr>
                <w:rFonts w:eastAsia="Times New Roman"/>
                <w:color w:val="000000"/>
                <w:sz w:val="24"/>
                <w:szCs w:val="24"/>
              </w:rPr>
              <w:t>2. JPMorgan Chase as a Multinational Corporation (MNC).</w:t>
            </w:r>
            <w:r w:rsidRPr="008B637F">
              <w:rPr>
                <w:rFonts w:eastAsia="Times New Roman"/>
                <w:color w:val="000000"/>
                <w:sz w:val="24"/>
                <w:szCs w:val="24"/>
              </w:rPr>
              <w:tab/>
              <w:t>4</w:t>
            </w:r>
          </w:hyperlink>
        </w:p>
        <w:p w14:paraId="4874E68F"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blyzzqdnj7hk">
            <w:r w:rsidRPr="008B637F">
              <w:rPr>
                <w:rFonts w:eastAsia="Times New Roman"/>
                <w:color w:val="000000"/>
                <w:sz w:val="24"/>
                <w:szCs w:val="24"/>
              </w:rPr>
              <w:t>2.1 JPMorgan Chase Global Value Chain.</w:t>
            </w:r>
            <w:r w:rsidRPr="008B637F">
              <w:rPr>
                <w:rFonts w:eastAsia="Times New Roman"/>
                <w:color w:val="000000"/>
                <w:sz w:val="24"/>
                <w:szCs w:val="24"/>
              </w:rPr>
              <w:tab/>
              <w:t>5</w:t>
            </w:r>
          </w:hyperlink>
        </w:p>
        <w:p w14:paraId="47BDC48E"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749tcyqz51pc">
            <w:r w:rsidRPr="008B637F">
              <w:rPr>
                <w:rFonts w:eastAsia="Times New Roman"/>
                <w:color w:val="000000"/>
                <w:sz w:val="24"/>
                <w:szCs w:val="24"/>
              </w:rPr>
              <w:t>2.2 International Expansion Major Benefits.</w:t>
            </w:r>
            <w:r w:rsidRPr="008B637F">
              <w:rPr>
                <w:rFonts w:eastAsia="Times New Roman"/>
                <w:color w:val="000000"/>
                <w:sz w:val="24"/>
                <w:szCs w:val="24"/>
              </w:rPr>
              <w:tab/>
              <w:t>7</w:t>
            </w:r>
          </w:hyperlink>
        </w:p>
        <w:p w14:paraId="562A55CC"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sg00bzapsta7">
            <w:r w:rsidRPr="008B637F">
              <w:rPr>
                <w:rFonts w:eastAsia="Times New Roman"/>
                <w:color w:val="000000"/>
                <w:sz w:val="24"/>
                <w:szCs w:val="24"/>
              </w:rPr>
              <w:t>2.3 International Market entry Modes.</w:t>
            </w:r>
            <w:r w:rsidRPr="008B637F">
              <w:rPr>
                <w:rFonts w:eastAsia="Times New Roman"/>
                <w:color w:val="000000"/>
                <w:sz w:val="24"/>
                <w:szCs w:val="24"/>
              </w:rPr>
              <w:tab/>
              <w:t>8</w:t>
            </w:r>
          </w:hyperlink>
        </w:p>
        <w:p w14:paraId="312A67A0"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ui301vq47fgk">
            <w:r w:rsidRPr="008B637F">
              <w:rPr>
                <w:rFonts w:eastAsia="Times New Roman"/>
                <w:color w:val="000000"/>
                <w:sz w:val="24"/>
                <w:szCs w:val="24"/>
              </w:rPr>
              <w:t>3. Impact of OLI (Ownership–Location–Internalisation) Factors on JPMorgan Chase’s Market Entry into India</w:t>
            </w:r>
            <w:r w:rsidRPr="008B637F">
              <w:rPr>
                <w:rFonts w:eastAsia="Times New Roman"/>
                <w:color w:val="000000"/>
                <w:sz w:val="24"/>
                <w:szCs w:val="24"/>
              </w:rPr>
              <w:tab/>
              <w:t>9</w:t>
            </w:r>
          </w:hyperlink>
        </w:p>
        <w:p w14:paraId="42D629E9"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hrjrpfd2qoru">
            <w:r w:rsidRPr="008B637F">
              <w:rPr>
                <w:rFonts w:eastAsia="Times New Roman"/>
                <w:color w:val="000000"/>
                <w:sz w:val="24"/>
                <w:szCs w:val="24"/>
              </w:rPr>
              <w:t>3.1 Ownership Advantages</w:t>
            </w:r>
            <w:r w:rsidRPr="008B637F">
              <w:rPr>
                <w:rFonts w:eastAsia="Times New Roman"/>
                <w:color w:val="000000"/>
                <w:sz w:val="24"/>
                <w:szCs w:val="24"/>
              </w:rPr>
              <w:tab/>
              <w:t>10</w:t>
            </w:r>
          </w:hyperlink>
        </w:p>
        <w:p w14:paraId="2D129FBF"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5rmy0frxy4c5">
            <w:r w:rsidRPr="008B637F">
              <w:rPr>
                <w:rFonts w:eastAsia="Times New Roman"/>
                <w:color w:val="000000"/>
                <w:sz w:val="24"/>
                <w:szCs w:val="24"/>
              </w:rPr>
              <w:t>3.2 Location Advantages</w:t>
            </w:r>
            <w:r w:rsidRPr="008B637F">
              <w:rPr>
                <w:rFonts w:eastAsia="Times New Roman"/>
                <w:color w:val="000000"/>
                <w:sz w:val="24"/>
                <w:szCs w:val="24"/>
              </w:rPr>
              <w:tab/>
              <w:t>10</w:t>
            </w:r>
          </w:hyperlink>
        </w:p>
        <w:p w14:paraId="3E871C88"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t24z82s5wyd6">
            <w:r w:rsidRPr="008B637F">
              <w:rPr>
                <w:rFonts w:eastAsia="Times New Roman"/>
                <w:color w:val="000000"/>
                <w:sz w:val="24"/>
                <w:szCs w:val="24"/>
              </w:rPr>
              <w:t>3.3 The benefits of internalisation.</w:t>
            </w:r>
            <w:r w:rsidRPr="008B637F">
              <w:rPr>
                <w:rFonts w:eastAsia="Times New Roman"/>
                <w:color w:val="000000"/>
                <w:sz w:val="24"/>
                <w:szCs w:val="24"/>
              </w:rPr>
              <w:tab/>
              <w:t>12</w:t>
            </w:r>
          </w:hyperlink>
        </w:p>
        <w:p w14:paraId="605E6572"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cs2lfhl13opb">
            <w:r w:rsidRPr="008B637F">
              <w:rPr>
                <w:rFonts w:eastAsia="Times New Roman"/>
                <w:color w:val="000000"/>
                <w:sz w:val="24"/>
                <w:szCs w:val="24"/>
              </w:rPr>
              <w:t>3.4 OLI Strategic Implication on the JPMorgan mode of entry in India.</w:t>
            </w:r>
            <w:r w:rsidRPr="008B637F">
              <w:rPr>
                <w:rFonts w:eastAsia="Times New Roman"/>
                <w:color w:val="000000"/>
                <w:sz w:val="24"/>
                <w:szCs w:val="24"/>
              </w:rPr>
              <w:tab/>
              <w:t>13</w:t>
            </w:r>
          </w:hyperlink>
        </w:p>
        <w:p w14:paraId="2066B0AA"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msqmbhlq7ava">
            <w:r w:rsidRPr="008B637F">
              <w:rPr>
                <w:rFonts w:eastAsia="Times New Roman"/>
                <w:color w:val="000000"/>
                <w:sz w:val="24"/>
                <w:szCs w:val="24"/>
              </w:rPr>
              <w:t>3.5 Important Weaknesses of the OLI Framework in the Indian Expansion of JPMorgan.</w:t>
            </w:r>
            <w:r w:rsidRPr="008B637F">
              <w:rPr>
                <w:rFonts w:eastAsia="Times New Roman"/>
                <w:color w:val="000000"/>
                <w:sz w:val="24"/>
                <w:szCs w:val="24"/>
              </w:rPr>
              <w:tab/>
              <w:t>14</w:t>
            </w:r>
          </w:hyperlink>
        </w:p>
        <w:p w14:paraId="1E9432F7"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eoxcpbhpfoj">
            <w:r w:rsidRPr="008B637F">
              <w:rPr>
                <w:rFonts w:eastAsia="Times New Roman"/>
                <w:color w:val="000000"/>
                <w:sz w:val="24"/>
                <w:szCs w:val="24"/>
              </w:rPr>
              <w:t>4. Cultural Differences between the United States and India and Their Impact on JPMorgan Chase’s Market Entry Strategy and Success</w:t>
            </w:r>
            <w:r w:rsidRPr="008B637F">
              <w:rPr>
                <w:rFonts w:eastAsia="Times New Roman"/>
                <w:color w:val="000000"/>
                <w:sz w:val="24"/>
                <w:szCs w:val="24"/>
              </w:rPr>
              <w:tab/>
              <w:t>14</w:t>
            </w:r>
          </w:hyperlink>
        </w:p>
        <w:p w14:paraId="3673F2F7"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fhy080yua6dm">
            <w:r w:rsidRPr="008B637F">
              <w:rPr>
                <w:rFonts w:eastAsia="Times New Roman"/>
                <w:color w:val="000000"/>
                <w:sz w:val="24"/>
                <w:szCs w:val="24"/>
              </w:rPr>
              <w:t>4.1 Power Distance and Organisation hierarchy.</w:t>
            </w:r>
            <w:r w:rsidRPr="008B637F">
              <w:rPr>
                <w:rFonts w:eastAsia="Times New Roman"/>
                <w:color w:val="000000"/>
                <w:sz w:val="24"/>
                <w:szCs w:val="24"/>
              </w:rPr>
              <w:tab/>
              <w:t>14</w:t>
            </w:r>
          </w:hyperlink>
        </w:p>
        <w:p w14:paraId="193CC147"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ik33q5we851f">
            <w:r w:rsidRPr="008B637F">
              <w:rPr>
                <w:rFonts w:eastAsia="Times New Roman"/>
                <w:color w:val="000000"/>
                <w:sz w:val="24"/>
                <w:szCs w:val="24"/>
              </w:rPr>
              <w:t>4.3 Uncertainty avoiding and risk orientated.</w:t>
            </w:r>
            <w:r w:rsidRPr="008B637F">
              <w:rPr>
                <w:rFonts w:eastAsia="Times New Roman"/>
                <w:color w:val="000000"/>
                <w:sz w:val="24"/>
                <w:szCs w:val="24"/>
              </w:rPr>
              <w:tab/>
              <w:t>15</w:t>
            </w:r>
          </w:hyperlink>
        </w:p>
        <w:p w14:paraId="4ACF8893"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mom2lb4i8xdx">
            <w:r w:rsidRPr="008B637F">
              <w:rPr>
                <w:rFonts w:eastAsia="Times New Roman"/>
                <w:color w:val="000000"/>
                <w:sz w:val="24"/>
                <w:szCs w:val="24"/>
              </w:rPr>
              <w:t>4.4 Long-term Orientation and Strategy Time Horizons.</w:t>
            </w:r>
            <w:r w:rsidRPr="008B637F">
              <w:rPr>
                <w:rFonts w:eastAsia="Times New Roman"/>
                <w:color w:val="000000"/>
                <w:sz w:val="24"/>
                <w:szCs w:val="24"/>
              </w:rPr>
              <w:tab/>
              <w:t>16</w:t>
            </w:r>
          </w:hyperlink>
        </w:p>
        <w:p w14:paraId="16B749B2"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7nlc8or7jo1j">
            <w:r w:rsidRPr="008B637F">
              <w:rPr>
                <w:rFonts w:eastAsia="Times New Roman"/>
                <w:color w:val="000000"/>
                <w:sz w:val="24"/>
                <w:szCs w:val="24"/>
              </w:rPr>
              <w:t>4.5 Business Negotiation Culture and Style of communication.</w:t>
            </w:r>
            <w:r w:rsidRPr="008B637F">
              <w:rPr>
                <w:rFonts w:eastAsia="Times New Roman"/>
                <w:color w:val="000000"/>
                <w:sz w:val="24"/>
                <w:szCs w:val="24"/>
              </w:rPr>
              <w:tab/>
              <w:t>16</w:t>
            </w:r>
          </w:hyperlink>
        </w:p>
        <w:p w14:paraId="1092E06C"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upab3vim4chq">
            <w:r w:rsidRPr="008B637F">
              <w:rPr>
                <w:rFonts w:eastAsia="Times New Roman"/>
                <w:color w:val="000000"/>
                <w:sz w:val="24"/>
                <w:szCs w:val="24"/>
              </w:rPr>
              <w:t>4.7 Risk of Culture and Barriers to Success.</w:t>
            </w:r>
            <w:r w:rsidRPr="008B637F">
              <w:rPr>
                <w:rFonts w:eastAsia="Times New Roman"/>
                <w:color w:val="000000"/>
                <w:sz w:val="24"/>
                <w:szCs w:val="24"/>
              </w:rPr>
              <w:tab/>
              <w:t>17</w:t>
            </w:r>
          </w:hyperlink>
        </w:p>
        <w:p w14:paraId="6DB84FE5"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calaf7e7z0l5">
            <w:r w:rsidRPr="008B637F">
              <w:rPr>
                <w:rFonts w:eastAsia="Times New Roman"/>
                <w:color w:val="000000"/>
                <w:sz w:val="24"/>
                <w:szCs w:val="24"/>
              </w:rPr>
              <w:t>5. Recommended Standard Operating Procedure (SOP) Adjustments for JPMorgan Chase to Ensure Success in India</w:t>
            </w:r>
            <w:r w:rsidRPr="008B637F">
              <w:rPr>
                <w:rFonts w:eastAsia="Times New Roman"/>
                <w:color w:val="000000"/>
                <w:sz w:val="24"/>
                <w:szCs w:val="24"/>
              </w:rPr>
              <w:tab/>
              <w:t>17</w:t>
            </w:r>
          </w:hyperlink>
        </w:p>
        <w:p w14:paraId="52DDFB07"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q5r1s2fv1yra">
            <w:r w:rsidRPr="008B637F">
              <w:rPr>
                <w:rFonts w:eastAsia="Times New Roman"/>
                <w:color w:val="000000"/>
                <w:sz w:val="24"/>
                <w:szCs w:val="24"/>
              </w:rPr>
              <w:t>5.1 Compliance and Regulatory Alignment.</w:t>
            </w:r>
            <w:r w:rsidRPr="008B637F">
              <w:rPr>
                <w:rFonts w:eastAsia="Times New Roman"/>
                <w:color w:val="000000"/>
                <w:sz w:val="24"/>
                <w:szCs w:val="24"/>
              </w:rPr>
              <w:tab/>
              <w:t>17</w:t>
            </w:r>
          </w:hyperlink>
        </w:p>
        <w:p w14:paraId="28F418AE"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q1c6abzi47uo">
            <w:r w:rsidRPr="008B637F">
              <w:rPr>
                <w:rFonts w:eastAsia="Times New Roman"/>
                <w:color w:val="000000"/>
                <w:sz w:val="24"/>
                <w:szCs w:val="24"/>
              </w:rPr>
              <w:t>5.2 Leadership Systems and Human Resource Adaptivity to Culture.</w:t>
            </w:r>
            <w:r w:rsidRPr="008B637F">
              <w:rPr>
                <w:rFonts w:eastAsia="Times New Roman"/>
                <w:color w:val="000000"/>
                <w:sz w:val="24"/>
                <w:szCs w:val="24"/>
              </w:rPr>
              <w:tab/>
              <w:t>19</w:t>
            </w:r>
          </w:hyperlink>
        </w:p>
        <w:p w14:paraId="37639C95"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7dyh2zch394f">
            <w:r w:rsidRPr="008B637F">
              <w:rPr>
                <w:rFonts w:eastAsia="Times New Roman"/>
                <w:color w:val="000000"/>
                <w:sz w:val="24"/>
                <w:szCs w:val="24"/>
              </w:rPr>
              <w:t>5.3 Digital Banking Localisation and Technology.</w:t>
            </w:r>
            <w:r w:rsidRPr="008B637F">
              <w:rPr>
                <w:rFonts w:eastAsia="Times New Roman"/>
                <w:color w:val="000000"/>
                <w:sz w:val="24"/>
                <w:szCs w:val="24"/>
              </w:rPr>
              <w:tab/>
              <w:t>20</w:t>
            </w:r>
          </w:hyperlink>
        </w:p>
        <w:p w14:paraId="037AE403"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s9x1b721q4qq">
            <w:r w:rsidRPr="008B637F">
              <w:rPr>
                <w:rFonts w:eastAsia="Times New Roman"/>
                <w:color w:val="000000"/>
                <w:sz w:val="24"/>
                <w:szCs w:val="24"/>
              </w:rPr>
              <w:t>5.4 Strategic Renegotiations of SOP Adjustments and OLI, and Cultural Analysis.</w:t>
            </w:r>
            <w:r w:rsidRPr="008B637F">
              <w:rPr>
                <w:rFonts w:eastAsia="Times New Roman"/>
                <w:color w:val="000000"/>
                <w:sz w:val="24"/>
                <w:szCs w:val="24"/>
              </w:rPr>
              <w:tab/>
              <w:t>21</w:t>
            </w:r>
          </w:hyperlink>
        </w:p>
        <w:p w14:paraId="1C89FF70" w14:textId="77777777" w:rsidR="00E810C7" w:rsidRPr="008B637F" w:rsidRDefault="00E810C7">
          <w:pPr>
            <w:widowControl w:val="0"/>
            <w:tabs>
              <w:tab w:val="right" w:leader="dot" w:pos="12000"/>
            </w:tabs>
            <w:spacing w:before="60" w:line="240" w:lineRule="auto"/>
            <w:ind w:left="360"/>
            <w:rPr>
              <w:color w:val="000000"/>
              <w:sz w:val="24"/>
              <w:szCs w:val="24"/>
            </w:rPr>
          </w:pPr>
          <w:hyperlink w:anchor="_heading=h.97g66g390diq">
            <w:r w:rsidRPr="008B637F">
              <w:rPr>
                <w:rFonts w:eastAsia="Times New Roman"/>
                <w:color w:val="000000"/>
                <w:sz w:val="24"/>
                <w:szCs w:val="24"/>
              </w:rPr>
              <w:t>5.4 Critical Issues of International Business</w:t>
            </w:r>
            <w:r w:rsidRPr="008B637F">
              <w:rPr>
                <w:rFonts w:eastAsia="Times New Roman"/>
                <w:color w:val="000000"/>
                <w:sz w:val="24"/>
                <w:szCs w:val="24"/>
              </w:rPr>
              <w:tab/>
              <w:t>22</w:t>
            </w:r>
          </w:hyperlink>
        </w:p>
        <w:p w14:paraId="751935F0"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6bilsyl7yfbz">
            <w:r w:rsidRPr="008B637F">
              <w:rPr>
                <w:rFonts w:eastAsia="Times New Roman"/>
                <w:color w:val="000000"/>
                <w:sz w:val="24"/>
                <w:szCs w:val="24"/>
              </w:rPr>
              <w:t>6. Conclusion</w:t>
            </w:r>
            <w:r w:rsidRPr="008B637F">
              <w:rPr>
                <w:rFonts w:eastAsia="Times New Roman"/>
                <w:color w:val="000000"/>
                <w:sz w:val="24"/>
                <w:szCs w:val="24"/>
              </w:rPr>
              <w:tab/>
              <w:t>22</w:t>
            </w:r>
          </w:hyperlink>
        </w:p>
        <w:p w14:paraId="6337389D" w14:textId="77777777" w:rsidR="00E810C7" w:rsidRPr="008B637F" w:rsidRDefault="00E810C7">
          <w:pPr>
            <w:widowControl w:val="0"/>
            <w:tabs>
              <w:tab w:val="right" w:leader="dot" w:pos="12000"/>
            </w:tabs>
            <w:spacing w:before="60" w:line="240" w:lineRule="auto"/>
            <w:rPr>
              <w:b/>
              <w:bCs/>
              <w:color w:val="000000"/>
              <w:sz w:val="24"/>
              <w:szCs w:val="24"/>
            </w:rPr>
          </w:pPr>
          <w:hyperlink w:anchor="_heading=h.1cq142tc6x96">
            <w:r w:rsidRPr="008B637F">
              <w:rPr>
                <w:rFonts w:eastAsia="Times New Roman"/>
                <w:color w:val="000000"/>
                <w:sz w:val="24"/>
                <w:szCs w:val="24"/>
              </w:rPr>
              <w:t>References</w:t>
            </w:r>
            <w:r w:rsidRPr="008B637F">
              <w:rPr>
                <w:rFonts w:eastAsia="Times New Roman"/>
                <w:color w:val="000000"/>
                <w:sz w:val="24"/>
                <w:szCs w:val="24"/>
              </w:rPr>
              <w:tab/>
              <w:t>24</w:t>
            </w:r>
          </w:hyperlink>
          <w:r w:rsidRPr="008B637F">
            <w:rPr>
              <w:sz w:val="24"/>
              <w:szCs w:val="24"/>
            </w:rPr>
            <w:fldChar w:fldCharType="end"/>
          </w:r>
        </w:p>
      </w:sdtContent>
    </w:sdt>
    <w:p w14:paraId="5883C5C3" w14:textId="77777777" w:rsidR="00E810C7" w:rsidRPr="008B637F" w:rsidRDefault="00000000">
      <w:pPr>
        <w:spacing w:before="240" w:after="240"/>
        <w:rPr>
          <w:rFonts w:eastAsia="Times New Roman"/>
          <w:b/>
          <w:bCs/>
          <w:sz w:val="24"/>
          <w:szCs w:val="24"/>
        </w:rPr>
      </w:pPr>
      <w:r w:rsidRPr="008B637F">
        <w:rPr>
          <w:sz w:val="24"/>
          <w:szCs w:val="24"/>
        </w:rPr>
        <w:br w:type="page"/>
      </w:r>
    </w:p>
    <w:p w14:paraId="5246A4CD" w14:textId="77777777" w:rsidR="00E810C7" w:rsidRPr="008B637F" w:rsidRDefault="00000000">
      <w:pPr>
        <w:pStyle w:val="Heading1"/>
        <w:spacing w:before="240" w:after="240" w:line="360" w:lineRule="auto"/>
        <w:jc w:val="both"/>
        <w:rPr>
          <w:rFonts w:ascii="Arial" w:hAnsi="Arial" w:cs="Arial"/>
        </w:rPr>
      </w:pPr>
      <w:bookmarkStart w:id="0" w:name="_heading=h.k1ow87xh3khc" w:colFirst="0" w:colLast="0"/>
      <w:bookmarkEnd w:id="0"/>
      <w:r w:rsidRPr="008B637F">
        <w:rPr>
          <w:rFonts w:ascii="Arial" w:hAnsi="Arial" w:cs="Arial"/>
        </w:rPr>
        <w:lastRenderedPageBreak/>
        <w:t xml:space="preserve">1. Introduction to the Report </w:t>
      </w:r>
    </w:p>
    <w:p w14:paraId="7B2D39F1"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Chase &amp; Co. is the biggest financial organization in the United States with one of the largest influences in the world as a multinational banking organization that provides services in investment banking, commercial banking, asset management and consumer financial services. The </w:t>
      </w:r>
      <w:proofErr w:type="spellStart"/>
      <w:r w:rsidRPr="008B637F">
        <w:rPr>
          <w:rFonts w:eastAsia="Times New Roman"/>
          <w:sz w:val="24"/>
          <w:szCs w:val="24"/>
        </w:rPr>
        <w:t>organisation</w:t>
      </w:r>
      <w:proofErr w:type="spellEnd"/>
      <w:r w:rsidRPr="008B637F">
        <w:rPr>
          <w:rFonts w:eastAsia="Times New Roman"/>
          <w:sz w:val="24"/>
          <w:szCs w:val="24"/>
        </w:rPr>
        <w:t xml:space="preserve"> has a presence in more than 100 countries, and it is a good example of a modern multinational corporation (MNC) that is promoted by the global integration, technological progress, and diversified financial activities (JPMorgan Chase &amp; Co., 2024). </w:t>
      </w:r>
    </w:p>
    <w:p w14:paraId="1114BADB"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company has been chosen to be the subject of this report, owing to its wide global presence, good ownership benefits, and a strategic penetration in developed markets as well as the emerging markets. This consultancy report is a critical analysis of the strengths and weaknesses of the international business of JPMorgan Chase, an OLI framework analysis of its entry strategy, and cultural aspects of global expansion. India can be called the selected emerging economy because of its high rate of </w:t>
      </w:r>
      <w:proofErr w:type="spellStart"/>
      <w:r w:rsidRPr="008B637F">
        <w:rPr>
          <w:rFonts w:eastAsia="Times New Roman"/>
          <w:sz w:val="24"/>
          <w:szCs w:val="24"/>
        </w:rPr>
        <w:t>digitalisation</w:t>
      </w:r>
      <w:proofErr w:type="spellEnd"/>
      <w:r w:rsidRPr="008B637F">
        <w:rPr>
          <w:rFonts w:eastAsia="Times New Roman"/>
          <w:sz w:val="24"/>
          <w:szCs w:val="24"/>
        </w:rPr>
        <w:t>, growing financial base, and prospective growth in the long term  (JPMorgan Chase &amp; Co., 2024).</w:t>
      </w:r>
    </w:p>
    <w:p w14:paraId="6351110A" w14:textId="77777777" w:rsidR="00E810C7" w:rsidRPr="008B637F" w:rsidRDefault="00000000">
      <w:pPr>
        <w:pStyle w:val="Heading1"/>
        <w:rPr>
          <w:rFonts w:ascii="Arial" w:hAnsi="Arial" w:cs="Arial"/>
        </w:rPr>
      </w:pPr>
      <w:bookmarkStart w:id="1" w:name="_heading=h.k5eykx6klt7a" w:colFirst="0" w:colLast="0"/>
      <w:bookmarkEnd w:id="1"/>
      <w:r w:rsidRPr="008B637F">
        <w:rPr>
          <w:rFonts w:ascii="Arial" w:hAnsi="Arial" w:cs="Arial"/>
        </w:rPr>
        <w:t>2. JPMorgan Chase as a Multinational Corporation (MNC).</w:t>
      </w:r>
    </w:p>
    <w:p w14:paraId="3807904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A transnational corporation (TNC) or multinational corporation (MNC) is described as a company that owns or controls value adding activities in, and coordinates operations across national borders in order to accomplish strategic goals. JPMorgan Chase &amp; Co. is no exception over this definition as the company has a wide international presence, diversification, and integrated cross-border financial services (Dunning, 2001).</w:t>
      </w:r>
    </w:p>
    <w:p w14:paraId="153730B1"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bank has its presence in a wide range of countries that make it one of the most geographically diversified financial institutions in the world with branches in more than 100 countries in North America and Europe, Asia-Pacific, Latin America, Middle East, and Africa. Through extensive network of subsidiaries and branches, the bank caters to governments, multinational companies as well as institutional investors and retail clients. It has its operations in the financial </w:t>
      </w:r>
      <w:proofErr w:type="spellStart"/>
      <w:r w:rsidRPr="008B637F">
        <w:rPr>
          <w:rFonts w:eastAsia="Times New Roman"/>
          <w:sz w:val="24"/>
          <w:szCs w:val="24"/>
        </w:rPr>
        <w:t>centres</w:t>
      </w:r>
      <w:proofErr w:type="spellEnd"/>
      <w:r w:rsidRPr="008B637F">
        <w:rPr>
          <w:rFonts w:eastAsia="Times New Roman"/>
          <w:sz w:val="24"/>
          <w:szCs w:val="24"/>
        </w:rPr>
        <w:t xml:space="preserve"> worldwide including London, Singapore, Hong </w:t>
      </w:r>
      <w:r w:rsidRPr="008B637F">
        <w:rPr>
          <w:rFonts w:eastAsia="Times New Roman"/>
          <w:sz w:val="24"/>
          <w:szCs w:val="24"/>
        </w:rPr>
        <w:lastRenderedPageBreak/>
        <w:t>Kong, Frankfurt, Shanghai, Mumbai, Sao Paulo and Dubai (JPMorgan Chase &amp; Co., 2023).</w:t>
      </w:r>
    </w:p>
    <w:p w14:paraId="0153A68F"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Regarding the number of employees and financial capacity, JPMorgan Chase has more than 300,000 employees globally and a total of the assets of over USD 3 </w:t>
      </w:r>
      <w:proofErr w:type="spellStart"/>
      <w:r w:rsidRPr="008B637F">
        <w:rPr>
          <w:rFonts w:eastAsia="Times New Roman"/>
          <w:sz w:val="24"/>
          <w:szCs w:val="24"/>
        </w:rPr>
        <w:t>trillions</w:t>
      </w:r>
      <w:proofErr w:type="spellEnd"/>
      <w:r w:rsidRPr="008B637F">
        <w:rPr>
          <w:rFonts w:eastAsia="Times New Roman"/>
          <w:sz w:val="24"/>
          <w:szCs w:val="24"/>
        </w:rPr>
        <w:t xml:space="preserve"> making it the largest bank in the United States in terms of assets. This high workforce can facilitate training in the investment banking, risk management, cybersecurity, compliance, and digital finance in various markets. Having a universal human resource base in the firm means that the company has the capability to effectively undertake complex international business operations whilst ensuring it is within the regulatory bounds in various jurisdictions  (JPMorgan Chase &amp; Co., 2023b).</w:t>
      </w:r>
    </w:p>
    <w:p w14:paraId="01296E88"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drawing>
          <wp:inline distT="114300" distB="114300" distL="114300" distR="114300" wp14:anchorId="01B25AA6" wp14:editId="324C4781">
            <wp:extent cx="5943600" cy="3695700"/>
            <wp:effectExtent l="25400" t="25400" r="25400" b="25400"/>
            <wp:docPr id="1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2D81FBD3"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Figure 1: Revenue of JPMorgan Chase over the years</w:t>
      </w:r>
    </w:p>
    <w:p w14:paraId="6EA69744"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JPMorgan Chase &amp; Co., 2023b)</w:t>
      </w:r>
    </w:p>
    <w:p w14:paraId="0805F372" w14:textId="77777777" w:rsidR="00E810C7" w:rsidRPr="008B637F" w:rsidRDefault="00000000">
      <w:pPr>
        <w:pStyle w:val="Heading2"/>
        <w:rPr>
          <w:rFonts w:ascii="Arial" w:hAnsi="Arial" w:cs="Arial"/>
        </w:rPr>
      </w:pPr>
      <w:bookmarkStart w:id="2" w:name="_heading=h.blyzzqdnj7hk" w:colFirst="0" w:colLast="0"/>
      <w:bookmarkEnd w:id="2"/>
      <w:r w:rsidRPr="008B637F">
        <w:rPr>
          <w:rFonts w:ascii="Arial" w:hAnsi="Arial" w:cs="Arial"/>
        </w:rPr>
        <w:lastRenderedPageBreak/>
        <w:t>2.1 JPMorgan Chase Global Value Chain.</w:t>
      </w:r>
    </w:p>
    <w:p w14:paraId="67590F4A"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Research and Development (FinTech, AI and Blockchain)</w:t>
      </w:r>
    </w:p>
    <w:p w14:paraId="5EAC708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R&amp;D in banking is geared towards the technological innovation and digital transformation as opposed to traditional manufacturing firms (</w:t>
      </w:r>
      <w:proofErr w:type="spellStart"/>
      <w:r w:rsidRPr="008B637F">
        <w:rPr>
          <w:rFonts w:eastAsia="Times New Roman"/>
          <w:sz w:val="24"/>
          <w:szCs w:val="24"/>
        </w:rPr>
        <w:t>Vărzaru</w:t>
      </w:r>
      <w:proofErr w:type="spellEnd"/>
      <w:r w:rsidRPr="008B637F">
        <w:rPr>
          <w:rFonts w:eastAsia="Times New Roman"/>
          <w:sz w:val="24"/>
          <w:szCs w:val="24"/>
        </w:rPr>
        <w:t xml:space="preserve"> and </w:t>
      </w:r>
      <w:proofErr w:type="spellStart"/>
      <w:r w:rsidRPr="008B637F">
        <w:rPr>
          <w:rFonts w:eastAsia="Times New Roman"/>
          <w:sz w:val="24"/>
          <w:szCs w:val="24"/>
        </w:rPr>
        <w:t>Bocean</w:t>
      </w:r>
      <w:proofErr w:type="spellEnd"/>
      <w:r w:rsidRPr="008B637F">
        <w:rPr>
          <w:rFonts w:eastAsia="Times New Roman"/>
          <w:sz w:val="24"/>
          <w:szCs w:val="24"/>
        </w:rPr>
        <w:t xml:space="preserve">, 2024). JPMorgan chase is a multinational FinTech investment, with billions of dollars being spent every year on technology advancement. The </w:t>
      </w:r>
      <w:proofErr w:type="spellStart"/>
      <w:r w:rsidRPr="008B637F">
        <w:rPr>
          <w:rFonts w:eastAsia="Times New Roman"/>
          <w:sz w:val="24"/>
          <w:szCs w:val="24"/>
        </w:rPr>
        <w:t>organisation</w:t>
      </w:r>
      <w:proofErr w:type="spellEnd"/>
      <w:r w:rsidRPr="008B637F">
        <w:rPr>
          <w:rFonts w:eastAsia="Times New Roman"/>
          <w:sz w:val="24"/>
          <w:szCs w:val="24"/>
        </w:rPr>
        <w:t xml:space="preserve"> is keenly working on artificial intelligence to detect and combat fraud, algorithmic trading, customer analytics, and risk modelling. In addition, the company engages significantly in blockchain innovation by such platforms as Onyx, which allows real-time digital payments and blockchain settlements. These research and development investments help increase efficiency in operations, data security, and customer experience in international markets  (Makinde, 2025).</w:t>
      </w:r>
    </w:p>
    <w:p w14:paraId="18660BC4"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International recruiting of Financial Talent.</w:t>
      </w:r>
    </w:p>
    <w:p w14:paraId="1DDE296F"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chase recruits extremely </w:t>
      </w:r>
      <w:proofErr w:type="spellStart"/>
      <w:r w:rsidRPr="008B637F">
        <w:rPr>
          <w:rFonts w:eastAsia="Times New Roman"/>
          <w:sz w:val="24"/>
          <w:szCs w:val="24"/>
        </w:rPr>
        <w:t>specialised</w:t>
      </w:r>
      <w:proofErr w:type="spellEnd"/>
      <w:r w:rsidRPr="008B637F">
        <w:rPr>
          <w:rFonts w:eastAsia="Times New Roman"/>
          <w:sz w:val="24"/>
          <w:szCs w:val="24"/>
        </w:rPr>
        <w:t xml:space="preserve"> financial, technological, and managerial talent all over the globe. The company hires workers in the international </w:t>
      </w:r>
      <w:proofErr w:type="spellStart"/>
      <w:r w:rsidRPr="008B637F">
        <w:rPr>
          <w:rFonts w:eastAsia="Times New Roman"/>
          <w:sz w:val="24"/>
          <w:szCs w:val="24"/>
        </w:rPr>
        <w:t>labour</w:t>
      </w:r>
      <w:proofErr w:type="spellEnd"/>
      <w:r w:rsidRPr="008B637F">
        <w:rPr>
          <w:rFonts w:eastAsia="Times New Roman"/>
          <w:sz w:val="24"/>
          <w:szCs w:val="24"/>
        </w:rPr>
        <w:t xml:space="preserve"> markets in investment banking, quantitative finance, compliance, and data science (Chase, 2024). </w:t>
      </w:r>
    </w:p>
    <w:p w14:paraId="6EE848E2"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Service Production (Core Banking Activities)</w:t>
      </w:r>
    </w:p>
    <w:p w14:paraId="604103D4"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production of services in JPMorgan Chase involves investment banking, corporate banking, asset and wealth management, commercial banking as well as retail financial services. Mergers and takeovers, underwriting of security, and trading are all investment banking activities that are organized in the worldwide financial hubs (STATEMENTS, 2024). </w:t>
      </w:r>
    </w:p>
    <w:p w14:paraId="393CD46D"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International Retailing and Customer Service.</w:t>
      </w:r>
    </w:p>
    <w:p w14:paraId="6DAE2F7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relationship based model of sales and client servicing is based on a global level. Organizational and corporate clients are offered the cross-border financial solutions such as trade finance, foreign exchange, project financing and global treasury solutions. (Morgan, 2025) </w:t>
      </w:r>
    </w:p>
    <w:p w14:paraId="4E5FC837"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lastRenderedPageBreak/>
        <w:drawing>
          <wp:inline distT="114300" distB="114300" distL="114300" distR="114300" wp14:anchorId="335FF85B" wp14:editId="03C79966">
            <wp:extent cx="5943600" cy="3632200"/>
            <wp:effectExtent l="25400" t="25400" r="25400" b="25400"/>
            <wp:docPr id="1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3632200"/>
                    </a:xfrm>
                    <a:prstGeom prst="rect">
                      <a:avLst/>
                    </a:prstGeom>
                    <a:ln w="25400">
                      <a:solidFill>
                        <a:srgbClr val="000000"/>
                      </a:solidFill>
                      <a:prstDash val="solid"/>
                    </a:ln>
                  </pic:spPr>
                </pic:pic>
              </a:graphicData>
            </a:graphic>
          </wp:inline>
        </w:drawing>
      </w:r>
    </w:p>
    <w:p w14:paraId="4B90B3AE"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 xml:space="preserve">Figure 2: Global Value Chain of </w:t>
      </w:r>
      <w:proofErr w:type="spellStart"/>
      <w:r w:rsidRPr="008B637F">
        <w:rPr>
          <w:rFonts w:eastAsia="Times New Roman"/>
          <w:b/>
          <w:bCs/>
          <w:sz w:val="24"/>
          <w:szCs w:val="24"/>
        </w:rPr>
        <w:t>J.P.Morgan</w:t>
      </w:r>
      <w:proofErr w:type="spellEnd"/>
    </w:p>
    <w:p w14:paraId="094A01EA"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(Morgan, 2025)</w:t>
      </w:r>
    </w:p>
    <w:p w14:paraId="77383077" w14:textId="77777777" w:rsidR="00E810C7" w:rsidRPr="008B637F" w:rsidRDefault="00000000">
      <w:pPr>
        <w:pStyle w:val="Heading2"/>
        <w:rPr>
          <w:rFonts w:ascii="Arial" w:hAnsi="Arial" w:cs="Arial"/>
        </w:rPr>
      </w:pPr>
      <w:bookmarkStart w:id="3" w:name="_heading=h.749tcyqz51pc" w:colFirst="0" w:colLast="0"/>
      <w:bookmarkEnd w:id="3"/>
      <w:r w:rsidRPr="008B637F">
        <w:rPr>
          <w:rFonts w:ascii="Arial" w:hAnsi="Arial" w:cs="Arial"/>
        </w:rPr>
        <w:t>2.2 International Expansion Major Benefits.</w:t>
      </w:r>
    </w:p>
    <w:p w14:paraId="41A849DB"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Market Diversification</w:t>
      </w:r>
    </w:p>
    <w:p w14:paraId="70261D8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The international activities help to diversify the economy of the US because they create alternative means of revenue through international markets. This geographic diversification shields the bank against cycles of economic decline in single economies and enhances long term financial wellbeing.</w:t>
      </w:r>
    </w:p>
    <w:p w14:paraId="01472B52"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t>Economies of Scale</w:t>
      </w:r>
    </w:p>
    <w:p w14:paraId="22559EA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By conducting business at global level, JPMorgan Chase is able to </w:t>
      </w:r>
      <w:proofErr w:type="spellStart"/>
      <w:r w:rsidRPr="008B637F">
        <w:rPr>
          <w:rFonts w:eastAsia="Times New Roman"/>
          <w:sz w:val="24"/>
          <w:szCs w:val="24"/>
        </w:rPr>
        <w:t>realise</w:t>
      </w:r>
      <w:proofErr w:type="spellEnd"/>
      <w:r w:rsidRPr="008B637F">
        <w:rPr>
          <w:rFonts w:eastAsia="Times New Roman"/>
          <w:sz w:val="24"/>
          <w:szCs w:val="24"/>
        </w:rPr>
        <w:t xml:space="preserve"> significant cost-efficiencies due to </w:t>
      </w:r>
      <w:proofErr w:type="spellStart"/>
      <w:r w:rsidRPr="008B637F">
        <w:rPr>
          <w:rFonts w:eastAsia="Times New Roman"/>
          <w:sz w:val="24"/>
          <w:szCs w:val="24"/>
        </w:rPr>
        <w:t>centralised</w:t>
      </w:r>
      <w:proofErr w:type="spellEnd"/>
      <w:r w:rsidRPr="008B637F">
        <w:rPr>
          <w:rFonts w:eastAsia="Times New Roman"/>
          <w:sz w:val="24"/>
          <w:szCs w:val="24"/>
        </w:rPr>
        <w:t xml:space="preserve"> information systems, global information technology, standardized risk infrastructure and congruent compliance platforms. These scale economies enhance competitiveness of costs and operations (STATEMENTS, 2024).</w:t>
      </w:r>
    </w:p>
    <w:p w14:paraId="49B4AA3D"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b/>
          <w:bCs/>
          <w:i/>
          <w:iCs/>
          <w:sz w:val="24"/>
          <w:szCs w:val="24"/>
        </w:rPr>
        <w:lastRenderedPageBreak/>
        <w:t>FinTech Leadership of Innovation.</w:t>
      </w:r>
    </w:p>
    <w:p w14:paraId="32F3BA45" w14:textId="77777777" w:rsidR="00E810C7" w:rsidRPr="008B637F" w:rsidRDefault="00000000">
      <w:pPr>
        <w:spacing w:before="240" w:after="240" w:line="360" w:lineRule="auto"/>
        <w:jc w:val="both"/>
        <w:rPr>
          <w:rFonts w:eastAsia="Times New Roman"/>
          <w:b/>
          <w:bCs/>
          <w:sz w:val="24"/>
          <w:szCs w:val="24"/>
        </w:rPr>
      </w:pPr>
      <w:r w:rsidRPr="008B637F">
        <w:rPr>
          <w:rFonts w:eastAsia="Times New Roman"/>
          <w:sz w:val="24"/>
          <w:szCs w:val="24"/>
        </w:rPr>
        <w:t xml:space="preserve">International digital growth helps JPMorgan Chase to experiment with new technologies in various markets. Data collection mechanisms, accelerated rate of innovation diffusion, and constant </w:t>
      </w:r>
      <w:proofErr w:type="spellStart"/>
      <w:r w:rsidRPr="008B637F">
        <w:rPr>
          <w:rFonts w:eastAsia="Times New Roman"/>
          <w:sz w:val="24"/>
          <w:szCs w:val="24"/>
        </w:rPr>
        <w:t>optimisation</w:t>
      </w:r>
      <w:proofErr w:type="spellEnd"/>
      <w:r w:rsidRPr="008B637F">
        <w:rPr>
          <w:rFonts w:eastAsia="Times New Roman"/>
          <w:sz w:val="24"/>
          <w:szCs w:val="24"/>
        </w:rPr>
        <w:t xml:space="preserve"> of the platform keep the firm on the top of the financial technology, which positively affects their market performance (D’Andrea and </w:t>
      </w:r>
      <w:proofErr w:type="spellStart"/>
      <w:r w:rsidRPr="008B637F">
        <w:rPr>
          <w:rFonts w:eastAsia="Times New Roman"/>
          <w:sz w:val="24"/>
          <w:szCs w:val="24"/>
        </w:rPr>
        <w:t>Limodio</w:t>
      </w:r>
      <w:proofErr w:type="spellEnd"/>
      <w:r w:rsidRPr="008B637F">
        <w:rPr>
          <w:rFonts w:eastAsia="Times New Roman"/>
          <w:sz w:val="24"/>
          <w:szCs w:val="24"/>
        </w:rPr>
        <w:t>, 2024).</w:t>
      </w:r>
    </w:p>
    <w:p w14:paraId="4B3DAB9A" w14:textId="77777777" w:rsidR="00E810C7" w:rsidRPr="008B637F" w:rsidRDefault="00000000">
      <w:pPr>
        <w:pStyle w:val="Heading2"/>
        <w:rPr>
          <w:rFonts w:ascii="Arial" w:hAnsi="Arial" w:cs="Arial"/>
        </w:rPr>
      </w:pPr>
      <w:bookmarkStart w:id="4" w:name="_heading=h.sg00bzapsta7" w:colFirst="0" w:colLast="0"/>
      <w:bookmarkEnd w:id="4"/>
      <w:r w:rsidRPr="008B637F">
        <w:rPr>
          <w:rFonts w:ascii="Arial" w:hAnsi="Arial" w:cs="Arial"/>
        </w:rPr>
        <w:t>2.3 International Market entry Modes.</w:t>
      </w:r>
    </w:p>
    <w:p w14:paraId="17ED182D" w14:textId="77777777" w:rsidR="00E810C7" w:rsidRPr="008B637F" w:rsidRDefault="00000000">
      <w:pPr>
        <w:spacing w:before="240" w:after="240" w:line="360" w:lineRule="auto"/>
        <w:jc w:val="both"/>
        <w:rPr>
          <w:rFonts w:eastAsia="Times New Roman"/>
          <w:b/>
          <w:bCs/>
          <w:i/>
          <w:iCs/>
          <w:color w:val="000000" w:themeColor="text1"/>
          <w:sz w:val="24"/>
          <w:szCs w:val="24"/>
        </w:rPr>
      </w:pPr>
      <w:r w:rsidRPr="008B637F">
        <w:rPr>
          <w:rFonts w:eastAsia="Times New Roman"/>
          <w:sz w:val="24"/>
          <w:szCs w:val="24"/>
        </w:rPr>
        <w:t xml:space="preserve">JPMorgan Chase has a mix of entry modes depending on regulatory, political and economic factors of host countries (Trade Horizons, 2022). </w:t>
      </w:r>
      <w:r w:rsidRPr="008B637F">
        <w:rPr>
          <w:rFonts w:eastAsia="Times New Roman"/>
          <w:color w:val="000000" w:themeColor="text1"/>
          <w:sz w:val="24"/>
          <w:szCs w:val="24"/>
        </w:rPr>
        <w:t>Financial regulations and capital requirements, as well as local ownership restrictions, are quite strong determinants of the entry mode.</w:t>
      </w:r>
      <w:r w:rsidRPr="008B637F">
        <w:rPr>
          <w:rFonts w:eastAsia="Times New Roman"/>
          <w:b/>
          <w:bCs/>
          <w:i/>
          <w:iCs/>
          <w:color w:val="000000" w:themeColor="text1"/>
          <w:sz w:val="24"/>
          <w:szCs w:val="24"/>
        </w:rPr>
        <w:t xml:space="preserve"> </w:t>
      </w:r>
      <w:r w:rsidRPr="008B637F">
        <w:rPr>
          <w:rFonts w:eastAsia="Times New Roman"/>
          <w:color w:val="000000" w:themeColor="text1"/>
          <w:sz w:val="24"/>
          <w:szCs w:val="24"/>
        </w:rPr>
        <w:t xml:space="preserve">As the </w:t>
      </w:r>
      <w:r w:rsidRPr="008B637F">
        <w:rPr>
          <w:rFonts w:eastAsia="Times New Roman"/>
          <w:b/>
          <w:bCs/>
          <w:i/>
          <w:iCs/>
          <w:color w:val="000000" w:themeColor="text1"/>
          <w:sz w:val="24"/>
          <w:szCs w:val="24"/>
        </w:rPr>
        <w:t xml:space="preserve">STP strategy </w:t>
      </w:r>
      <w:r w:rsidRPr="008B637F">
        <w:rPr>
          <w:rFonts w:eastAsia="Times New Roman"/>
          <w:color w:val="000000" w:themeColor="text1"/>
          <w:sz w:val="24"/>
          <w:szCs w:val="24"/>
        </w:rPr>
        <w:t>for targeting the consumers, JPMorgan can chase activities that are mostly based on</w:t>
      </w:r>
      <w:r w:rsidRPr="008B637F">
        <w:rPr>
          <w:rFonts w:eastAsia="Times New Roman"/>
          <w:b/>
          <w:bCs/>
          <w:i/>
          <w:iCs/>
          <w:color w:val="000000" w:themeColor="text1"/>
          <w:sz w:val="24"/>
          <w:szCs w:val="24"/>
        </w:rPr>
        <w:t xml:space="preserve"> wholly owned subsidiaries </w:t>
      </w:r>
      <w:r w:rsidRPr="008B637F">
        <w:rPr>
          <w:rFonts w:eastAsia="Times New Roman"/>
          <w:color w:val="000000" w:themeColor="text1"/>
          <w:sz w:val="24"/>
          <w:szCs w:val="24"/>
        </w:rPr>
        <w:t>in developed financial markets like the United Kingdom, Canada, Australia and Singapore. This is an entry mode where operations, and technology systems are highly controlled, and profits have full ownership (</w:t>
      </w:r>
      <w:proofErr w:type="spellStart"/>
      <w:r w:rsidRPr="008B637F">
        <w:rPr>
          <w:rFonts w:eastAsia="Times New Roman"/>
          <w:color w:val="000000" w:themeColor="text1"/>
          <w:sz w:val="24"/>
          <w:szCs w:val="24"/>
        </w:rPr>
        <w:t>Brouthers</w:t>
      </w:r>
      <w:proofErr w:type="spellEnd"/>
      <w:r w:rsidRPr="008B637F">
        <w:rPr>
          <w:rFonts w:eastAsia="Times New Roman"/>
          <w:color w:val="000000" w:themeColor="text1"/>
          <w:sz w:val="24"/>
          <w:szCs w:val="24"/>
        </w:rPr>
        <w:t xml:space="preserve"> </w:t>
      </w:r>
      <w:r w:rsidRPr="008B637F">
        <w:rPr>
          <w:rFonts w:eastAsia="Times New Roman"/>
          <w:i/>
          <w:iCs/>
          <w:color w:val="000000" w:themeColor="text1"/>
          <w:sz w:val="24"/>
          <w:szCs w:val="24"/>
        </w:rPr>
        <w:t xml:space="preserve">et al., </w:t>
      </w:r>
      <w:r w:rsidRPr="008B637F">
        <w:rPr>
          <w:rFonts w:eastAsia="Times New Roman"/>
          <w:color w:val="000000" w:themeColor="text1"/>
          <w:sz w:val="24"/>
          <w:szCs w:val="24"/>
        </w:rPr>
        <w:t>2022). Wholly owned subsidiaries can offer full control, 100% profit retention, intellectual property protection, and risk limitation, but involve high setup costs, significant investment, complete liability, and cultural/regulatory hurdles. They provide strategic autonomy and market credibility for the parent company(</w:t>
      </w:r>
      <w:proofErr w:type="spellStart"/>
      <w:r w:rsidRPr="008B637F">
        <w:rPr>
          <w:rFonts w:eastAsia="Times New Roman"/>
          <w:color w:val="000000" w:themeColor="text1"/>
          <w:sz w:val="24"/>
          <w:szCs w:val="24"/>
        </w:rPr>
        <w:t>Brouthers</w:t>
      </w:r>
      <w:proofErr w:type="spellEnd"/>
      <w:r w:rsidRPr="008B637F">
        <w:rPr>
          <w:rFonts w:eastAsia="Times New Roman"/>
          <w:color w:val="000000" w:themeColor="text1"/>
          <w:sz w:val="24"/>
          <w:szCs w:val="24"/>
        </w:rPr>
        <w:t xml:space="preserve"> </w:t>
      </w:r>
      <w:r w:rsidRPr="008B637F">
        <w:rPr>
          <w:rFonts w:eastAsia="Times New Roman"/>
          <w:i/>
          <w:iCs/>
          <w:color w:val="000000" w:themeColor="text1"/>
          <w:sz w:val="24"/>
          <w:szCs w:val="24"/>
        </w:rPr>
        <w:t xml:space="preserve">et al., </w:t>
      </w:r>
      <w:r w:rsidRPr="008B637F">
        <w:rPr>
          <w:rFonts w:eastAsia="Times New Roman"/>
          <w:color w:val="000000" w:themeColor="text1"/>
          <w:sz w:val="24"/>
          <w:szCs w:val="24"/>
        </w:rPr>
        <w:t>2022).</w:t>
      </w:r>
    </w:p>
    <w:p w14:paraId="7DC53908" w14:textId="77777777" w:rsidR="00E810C7" w:rsidRPr="008B637F" w:rsidRDefault="00000000">
      <w:pPr>
        <w:spacing w:before="240" w:after="240" w:line="360" w:lineRule="auto"/>
        <w:jc w:val="both"/>
        <w:rPr>
          <w:rFonts w:eastAsia="Times New Roman"/>
          <w:b/>
          <w:bCs/>
          <w:i/>
          <w:iCs/>
          <w:sz w:val="24"/>
          <w:szCs w:val="24"/>
        </w:rPr>
      </w:pPr>
      <w:r w:rsidRPr="008B637F">
        <w:rPr>
          <w:rFonts w:eastAsia="Times New Roman"/>
          <w:sz w:val="24"/>
          <w:szCs w:val="24"/>
        </w:rPr>
        <w:t>Digital innovation and market coverage are being positively accelerated through strategic alliances with FinTech companies and local banks (Fofanov, 2022). Such partnerships minimize the risk of entry and allow penetrating the market without the capital investment.</w:t>
      </w:r>
      <w:r w:rsidRPr="008B637F">
        <w:rPr>
          <w:rFonts w:eastAsia="Times New Roman"/>
          <w:b/>
          <w:bCs/>
          <w:i/>
          <w:iCs/>
          <w:sz w:val="24"/>
          <w:szCs w:val="24"/>
        </w:rPr>
        <w:t xml:space="preserve"> </w:t>
      </w:r>
      <w:r w:rsidRPr="008B637F">
        <w:rPr>
          <w:rFonts w:eastAsia="Times New Roman"/>
          <w:sz w:val="24"/>
          <w:szCs w:val="24"/>
        </w:rPr>
        <w:t>JPMorgan Chase has also ventured in some emerging markets where there are ownership controls by forming joint ventures which enable it to comply with the regulations and share market expertise with the partners. This is especially necessary where there are tight foreign direct investment restrictions in financial markets (Reyes and Hurt, 2024).</w:t>
      </w:r>
    </w:p>
    <w:p w14:paraId="1229DB1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In more recent years JPMorgan Chase has been finding more and more uses of digital-only banking services to penetrate foreign markets. This is a low-cost, tech driven mode </w:t>
      </w:r>
      <w:r w:rsidRPr="008B637F">
        <w:rPr>
          <w:rFonts w:eastAsia="Times New Roman"/>
          <w:sz w:val="24"/>
          <w:szCs w:val="24"/>
        </w:rPr>
        <w:lastRenderedPageBreak/>
        <w:t>of entry that enables acquisition of customers in a short period without having to invest in physical infrastructure.</w:t>
      </w:r>
      <w:r w:rsidRPr="008B637F">
        <w:rPr>
          <w:rFonts w:eastAsia="Times New Roman"/>
          <w:b/>
          <w:bCs/>
          <w:i/>
          <w:iCs/>
          <w:sz w:val="24"/>
          <w:szCs w:val="24"/>
        </w:rPr>
        <w:t xml:space="preserve"> </w:t>
      </w:r>
      <w:r w:rsidRPr="008B637F">
        <w:rPr>
          <w:rFonts w:eastAsia="Times New Roman"/>
          <w:sz w:val="24"/>
          <w:szCs w:val="24"/>
        </w:rPr>
        <w:t xml:space="preserve">All in all, the most common modes of entry by JPMorgan chase are wholly owned subsidiaries and strategic acquisitions, especially, in the developed and financially </w:t>
      </w:r>
      <w:proofErr w:type="spellStart"/>
      <w:r w:rsidRPr="008B637F">
        <w:rPr>
          <w:rFonts w:eastAsia="Times New Roman"/>
          <w:sz w:val="24"/>
          <w:szCs w:val="24"/>
        </w:rPr>
        <w:t>liberalised</w:t>
      </w:r>
      <w:proofErr w:type="spellEnd"/>
      <w:r w:rsidRPr="008B637F">
        <w:rPr>
          <w:rFonts w:eastAsia="Times New Roman"/>
          <w:sz w:val="24"/>
          <w:szCs w:val="24"/>
        </w:rPr>
        <w:t xml:space="preserve"> markets. These modes have the best control, efficiency of operation, and compliance with regulations (Thatcher and </w:t>
      </w:r>
      <w:proofErr w:type="spellStart"/>
      <w:r w:rsidRPr="008B637F">
        <w:rPr>
          <w:rFonts w:eastAsia="Times New Roman"/>
          <w:sz w:val="24"/>
          <w:szCs w:val="24"/>
        </w:rPr>
        <w:t>Vlandas</w:t>
      </w:r>
      <w:proofErr w:type="spellEnd"/>
      <w:r w:rsidRPr="008B637F">
        <w:rPr>
          <w:rFonts w:eastAsia="Times New Roman"/>
          <w:sz w:val="24"/>
          <w:szCs w:val="24"/>
        </w:rPr>
        <w:t>, 2021).</w:t>
      </w:r>
    </w:p>
    <w:p w14:paraId="6AC6226B"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drawing>
          <wp:inline distT="114300" distB="114300" distL="114300" distR="114300" wp14:anchorId="1B548578" wp14:editId="149114E7">
            <wp:extent cx="5233988" cy="3925491"/>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33988" cy="3925491"/>
                    </a:xfrm>
                    <a:prstGeom prst="rect">
                      <a:avLst/>
                    </a:prstGeom>
                    <a:ln w="25400">
                      <a:solidFill>
                        <a:srgbClr val="000000"/>
                      </a:solidFill>
                      <a:prstDash val="solid"/>
                    </a:ln>
                  </pic:spPr>
                </pic:pic>
              </a:graphicData>
            </a:graphic>
          </wp:inline>
        </w:drawing>
      </w:r>
    </w:p>
    <w:p w14:paraId="4E235DC1"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Figure 3: International Entry Modes</w:t>
      </w:r>
    </w:p>
    <w:p w14:paraId="3DD08AC2"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(Trade Horizons, 2022)</w:t>
      </w:r>
    </w:p>
    <w:p w14:paraId="0467FF8F" w14:textId="77777777" w:rsidR="00E810C7" w:rsidRPr="008B637F" w:rsidRDefault="00000000">
      <w:pPr>
        <w:pStyle w:val="Heading1"/>
        <w:keepNext w:val="0"/>
        <w:keepLines w:val="0"/>
        <w:spacing w:before="480" w:line="360" w:lineRule="auto"/>
        <w:jc w:val="both"/>
        <w:rPr>
          <w:rFonts w:ascii="Arial" w:hAnsi="Arial" w:cs="Arial"/>
        </w:rPr>
      </w:pPr>
      <w:bookmarkStart w:id="5" w:name="_heading=h.ui301vq47fgk" w:colFirst="0" w:colLast="0"/>
      <w:bookmarkEnd w:id="5"/>
      <w:r w:rsidRPr="008B637F">
        <w:rPr>
          <w:rFonts w:ascii="Arial" w:hAnsi="Arial" w:cs="Arial"/>
        </w:rPr>
        <w:t>3. Impact of OLI (Ownership–Location–</w:t>
      </w:r>
      <w:proofErr w:type="spellStart"/>
      <w:r w:rsidRPr="008B637F">
        <w:rPr>
          <w:rFonts w:ascii="Arial" w:hAnsi="Arial" w:cs="Arial"/>
        </w:rPr>
        <w:t>Internalisation</w:t>
      </w:r>
      <w:proofErr w:type="spellEnd"/>
      <w:r w:rsidRPr="008B637F">
        <w:rPr>
          <w:rFonts w:ascii="Arial" w:hAnsi="Arial" w:cs="Arial"/>
        </w:rPr>
        <w:t xml:space="preserve">) Factors on JPMorgan Chase’s Market Entry into India </w:t>
      </w:r>
    </w:p>
    <w:p w14:paraId="24C3C494"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Dunning (1988) developed the OLI paradigm that offers an extensive concept of the motivation behind firms to take part in foreign direct investment (FDI) and the manner in which they decide on the market entry strategies. According to the model, the key to </w:t>
      </w:r>
      <w:r w:rsidRPr="008B637F">
        <w:rPr>
          <w:rFonts w:eastAsia="Times New Roman"/>
          <w:sz w:val="24"/>
          <w:szCs w:val="24"/>
        </w:rPr>
        <w:lastRenderedPageBreak/>
        <w:t xml:space="preserve">effective </w:t>
      </w:r>
      <w:proofErr w:type="spellStart"/>
      <w:r w:rsidRPr="008B637F">
        <w:rPr>
          <w:rFonts w:eastAsia="Times New Roman"/>
          <w:sz w:val="24"/>
          <w:szCs w:val="24"/>
        </w:rPr>
        <w:t>internationalisation</w:t>
      </w:r>
      <w:proofErr w:type="spellEnd"/>
      <w:r w:rsidRPr="008B637F">
        <w:rPr>
          <w:rFonts w:eastAsia="Times New Roman"/>
          <w:sz w:val="24"/>
          <w:szCs w:val="24"/>
        </w:rPr>
        <w:t xml:space="preserve"> lies in the interplay between Ownership (O) advantages, Location (L) advantages and </w:t>
      </w:r>
      <w:proofErr w:type="spellStart"/>
      <w:r w:rsidRPr="008B637F">
        <w:rPr>
          <w:rFonts w:eastAsia="Times New Roman"/>
          <w:sz w:val="24"/>
          <w:szCs w:val="24"/>
        </w:rPr>
        <w:t>Internalisation</w:t>
      </w:r>
      <w:proofErr w:type="spellEnd"/>
      <w:r w:rsidRPr="008B637F">
        <w:rPr>
          <w:rFonts w:eastAsia="Times New Roman"/>
          <w:sz w:val="24"/>
          <w:szCs w:val="24"/>
        </w:rPr>
        <w:t xml:space="preserve"> (I) advantages. This part will critically use OLI framework to examine the entry and expansion strategy of JPMorgan Chase and Co. in India as a selected emerging economy.</w:t>
      </w:r>
    </w:p>
    <w:p w14:paraId="05591B04" w14:textId="77777777" w:rsidR="00E810C7" w:rsidRPr="008B637F" w:rsidRDefault="00000000">
      <w:pPr>
        <w:pStyle w:val="Heading2"/>
        <w:rPr>
          <w:rFonts w:ascii="Arial" w:hAnsi="Arial" w:cs="Arial"/>
        </w:rPr>
      </w:pPr>
      <w:bookmarkStart w:id="6" w:name="_heading=h.hrjrpfd2qoru" w:colFirst="0" w:colLast="0"/>
      <w:bookmarkEnd w:id="6"/>
      <w:r w:rsidRPr="008B637F">
        <w:rPr>
          <w:rFonts w:ascii="Arial" w:hAnsi="Arial" w:cs="Arial"/>
        </w:rPr>
        <w:t>3.1 Ownership Advantages</w:t>
      </w:r>
    </w:p>
    <w:p w14:paraId="466E133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Ownership advantages are those firm-specific assets that enable multinational firms to gain competitive advantage over the local firms in the host countries. JPMorgan Chase has remarkably high ownership benefits due to the financial size, international image, technology capacity, risk management proficiency and intellectual resources.</w:t>
      </w:r>
    </w:p>
    <w:p w14:paraId="07E4DA2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Being the biggest bank in the United States in terms of assets, the company has a high level of international confidence with governments, multinational companies and other institutional investor. JPMorgan has a decisive competitive advantage in the global scale as reputation is a strategic issue in the institutional finance in India, and the strength and the capital base contribute to raising client confidence and acceptance of the policies by the regulatory bodies  (Medina </w:t>
      </w:r>
      <w:r w:rsidRPr="008B637F">
        <w:rPr>
          <w:rFonts w:eastAsia="Times New Roman"/>
          <w:i/>
          <w:iCs/>
          <w:sz w:val="24"/>
          <w:szCs w:val="24"/>
        </w:rPr>
        <w:t xml:space="preserve">et al., </w:t>
      </w:r>
      <w:r w:rsidRPr="008B637F">
        <w:rPr>
          <w:rFonts w:eastAsia="Times New Roman"/>
          <w:sz w:val="24"/>
          <w:szCs w:val="24"/>
        </w:rPr>
        <w:t xml:space="preserve">2022). </w:t>
      </w:r>
    </w:p>
    <w:p w14:paraId="7191356C" w14:textId="77777777" w:rsidR="00E810C7" w:rsidRPr="008B637F" w:rsidRDefault="00000000">
      <w:pPr>
        <w:pStyle w:val="Heading2"/>
        <w:rPr>
          <w:rFonts w:ascii="Arial" w:hAnsi="Arial" w:cs="Arial"/>
        </w:rPr>
      </w:pPr>
      <w:bookmarkStart w:id="7" w:name="_heading=h.5rmy0frxy4c5" w:colFirst="0" w:colLast="0"/>
      <w:bookmarkEnd w:id="7"/>
      <w:r w:rsidRPr="008B637F">
        <w:rPr>
          <w:rFonts w:ascii="Arial" w:hAnsi="Arial" w:cs="Arial"/>
        </w:rPr>
        <w:t>3.2 Location Advantages</w:t>
      </w:r>
    </w:p>
    <w:p w14:paraId="6ABB5FB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India has one of the greatest location advantages in the form of its huge and fast growing market size. India has more than 1.4 billion people and a rapidly expanding middle class, which offers a great business potential in the financial services sector, investment products, wealth management, and trade finance on a long-term basis. Another factor that spurs faster banking penetration is the growing household income and more financial inclusion efforts (PwC, 2024).</w:t>
      </w:r>
    </w:p>
    <w:p w14:paraId="31544733"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lastRenderedPageBreak/>
        <w:drawing>
          <wp:inline distT="114300" distB="114300" distL="114300" distR="114300" wp14:anchorId="1CDBA043" wp14:editId="309FE29D">
            <wp:extent cx="5943600" cy="3556000"/>
            <wp:effectExtent l="25400" t="25400" r="25400" b="2540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556000"/>
                    </a:xfrm>
                    <a:prstGeom prst="rect">
                      <a:avLst/>
                    </a:prstGeom>
                    <a:ln w="25400">
                      <a:solidFill>
                        <a:srgbClr val="000000"/>
                      </a:solidFill>
                      <a:prstDash val="solid"/>
                    </a:ln>
                  </pic:spPr>
                </pic:pic>
              </a:graphicData>
            </a:graphic>
          </wp:inline>
        </w:drawing>
      </w:r>
    </w:p>
    <w:p w14:paraId="093C4732"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 xml:space="preserve">Figure 4: Growth of India’s economy </w:t>
      </w:r>
    </w:p>
    <w:p w14:paraId="68841092"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(PwC, 2024)</w:t>
      </w:r>
    </w:p>
    <w:p w14:paraId="2D7C8ED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Secondly, the economic growth momentum of India has a good structural support of foreign banks. India has long-term investment prospects in infrastructure, manufacturing, technology, and renewable energy sectors given the high rates of GDP growth compared to the developed economies. JPMorgan enjoys the macroeconomic growth in terms of financing the corporate investment, capital markets and foreign portfolio flows.</w:t>
      </w:r>
    </w:p>
    <w:p w14:paraId="1E81048F"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Third, the location advantages of India are also greatly empowered by the digital transformation and the development of FinTech in India. Other programs like Aadhaar, Unified Payments Interface (UPI), and Digital India, have quickly changed the landscape of financial access and efficiency of transactions. This is a technological environment that complements the digital banking capabilities of JPMorgan and allows providing transaction services at large scales without the need to expand the presence in their full retail locations (PIB, 2024).</w:t>
      </w:r>
    </w:p>
    <w:p w14:paraId="5698A0BD"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lastRenderedPageBreak/>
        <w:drawing>
          <wp:inline distT="114300" distB="114300" distL="114300" distR="114300" wp14:anchorId="00C56453" wp14:editId="2FA67BFA">
            <wp:extent cx="5943600" cy="3343275"/>
            <wp:effectExtent l="25400" t="25400" r="25400" b="2540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943600" cy="3343275"/>
                    </a:xfrm>
                    <a:prstGeom prst="rect">
                      <a:avLst/>
                    </a:prstGeom>
                    <a:ln w="25400">
                      <a:solidFill>
                        <a:srgbClr val="000000"/>
                      </a:solidFill>
                      <a:prstDash val="solid"/>
                    </a:ln>
                  </pic:spPr>
                </pic:pic>
              </a:graphicData>
            </a:graphic>
          </wp:inline>
        </w:drawing>
      </w:r>
    </w:p>
    <w:p w14:paraId="385B54BE"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Figure 5: Digital Transformation in Fintech in India</w:t>
      </w:r>
    </w:p>
    <w:p w14:paraId="22CECDF3"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(PIB, 2024)</w:t>
      </w:r>
    </w:p>
    <w:p w14:paraId="72BF9D58" w14:textId="77777777" w:rsidR="00E810C7" w:rsidRPr="008B637F" w:rsidRDefault="00000000">
      <w:pPr>
        <w:pStyle w:val="Heading2"/>
        <w:rPr>
          <w:rFonts w:ascii="Arial" w:hAnsi="Arial" w:cs="Arial"/>
        </w:rPr>
      </w:pPr>
      <w:bookmarkStart w:id="8" w:name="_heading=h.t24z82s5wyd6" w:colFirst="0" w:colLast="0"/>
      <w:bookmarkEnd w:id="8"/>
      <w:r w:rsidRPr="008B637F">
        <w:rPr>
          <w:rFonts w:ascii="Arial" w:hAnsi="Arial" w:cs="Arial"/>
        </w:rPr>
        <w:t xml:space="preserve">3.3 The benefits of </w:t>
      </w:r>
      <w:proofErr w:type="spellStart"/>
      <w:r w:rsidRPr="008B637F">
        <w:rPr>
          <w:rFonts w:ascii="Arial" w:hAnsi="Arial" w:cs="Arial"/>
        </w:rPr>
        <w:t>internalisation</w:t>
      </w:r>
      <w:proofErr w:type="spellEnd"/>
      <w:r w:rsidRPr="008B637F">
        <w:rPr>
          <w:rFonts w:ascii="Arial" w:hAnsi="Arial" w:cs="Arial"/>
        </w:rPr>
        <w:t>.</w:t>
      </w:r>
    </w:p>
    <w:p w14:paraId="3C04306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One major </w:t>
      </w:r>
      <w:proofErr w:type="spellStart"/>
      <w:r w:rsidRPr="008B637F">
        <w:rPr>
          <w:rFonts w:eastAsia="Times New Roman"/>
          <w:sz w:val="24"/>
          <w:szCs w:val="24"/>
        </w:rPr>
        <w:t>internalisation</w:t>
      </w:r>
      <w:proofErr w:type="spellEnd"/>
      <w:r w:rsidRPr="008B637F">
        <w:rPr>
          <w:rFonts w:eastAsia="Times New Roman"/>
          <w:sz w:val="24"/>
          <w:szCs w:val="24"/>
        </w:rPr>
        <w:t xml:space="preserve"> motivation is controlling risks and compliance with regulations. Banking operations are associated with the systemic financial risk, anti-money laundering duties, data security liability, and customer assets protection. JPMorgan has </w:t>
      </w:r>
      <w:proofErr w:type="spellStart"/>
      <w:r w:rsidRPr="008B637F">
        <w:rPr>
          <w:rFonts w:eastAsia="Times New Roman"/>
          <w:sz w:val="24"/>
          <w:szCs w:val="24"/>
        </w:rPr>
        <w:t>internalised</w:t>
      </w:r>
      <w:proofErr w:type="spellEnd"/>
      <w:r w:rsidRPr="008B637F">
        <w:rPr>
          <w:rFonts w:eastAsia="Times New Roman"/>
          <w:sz w:val="24"/>
          <w:szCs w:val="24"/>
        </w:rPr>
        <w:t xml:space="preserve"> the Indian operations with wholly owned subsidiaries and controlled branches to guarantee strict implementation of the global risk governance frameworks and compliance standards in accordance with the US regulators, as well as the RBI (</w:t>
      </w:r>
      <w:proofErr w:type="spellStart"/>
      <w:r w:rsidRPr="008B637F">
        <w:rPr>
          <w:rFonts w:eastAsia="Times New Roman"/>
          <w:sz w:val="24"/>
          <w:szCs w:val="24"/>
        </w:rPr>
        <w:t>Mayienga</w:t>
      </w:r>
      <w:proofErr w:type="spellEnd"/>
      <w:r w:rsidRPr="008B637F">
        <w:rPr>
          <w:rFonts w:eastAsia="Times New Roman"/>
          <w:i/>
          <w:iCs/>
          <w:sz w:val="24"/>
          <w:szCs w:val="24"/>
        </w:rPr>
        <w:t xml:space="preserve"> et al., </w:t>
      </w:r>
      <w:r w:rsidRPr="008B637F">
        <w:rPr>
          <w:rFonts w:eastAsia="Times New Roman"/>
          <w:sz w:val="24"/>
          <w:szCs w:val="24"/>
        </w:rPr>
        <w:t>2024).</w:t>
      </w:r>
    </w:p>
    <w:p w14:paraId="07C1CDF1"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Secondly, </w:t>
      </w:r>
      <w:proofErr w:type="spellStart"/>
      <w:r w:rsidRPr="008B637F">
        <w:rPr>
          <w:rFonts w:eastAsia="Times New Roman"/>
          <w:sz w:val="24"/>
          <w:szCs w:val="24"/>
        </w:rPr>
        <w:t>internalisation</w:t>
      </w:r>
      <w:proofErr w:type="spellEnd"/>
      <w:r w:rsidRPr="008B637F">
        <w:rPr>
          <w:rFonts w:eastAsia="Times New Roman"/>
          <w:sz w:val="24"/>
          <w:szCs w:val="24"/>
        </w:rPr>
        <w:t xml:space="preserve"> is highly promoted by protection of proprietary technologies and trading systems. The algorithmic trading models developed by JPMorgan, the cybersecurity architecture, blockchain settlement platforms, and data analytics systems are some of the core intellectual property. The alternative solutions suggested are </w:t>
      </w:r>
      <w:r w:rsidRPr="008B637F">
        <w:rPr>
          <w:rFonts w:eastAsia="Times New Roman"/>
          <w:sz w:val="24"/>
          <w:szCs w:val="24"/>
        </w:rPr>
        <w:lastRenderedPageBreak/>
        <w:t>outsourcing or licensing such systems to third-party operators in India, which would pose a serious threat of data leakage, breach of regulations, and copying of competitors.</w:t>
      </w:r>
    </w:p>
    <w:p w14:paraId="310646F5"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Third, reputational risk management is more </w:t>
      </w:r>
      <w:proofErr w:type="spellStart"/>
      <w:r w:rsidRPr="008B637F">
        <w:rPr>
          <w:rFonts w:eastAsia="Times New Roman"/>
          <w:sz w:val="24"/>
          <w:szCs w:val="24"/>
        </w:rPr>
        <w:t>favourable</w:t>
      </w:r>
      <w:proofErr w:type="spellEnd"/>
      <w:r w:rsidRPr="008B637F">
        <w:rPr>
          <w:rFonts w:eastAsia="Times New Roman"/>
          <w:sz w:val="24"/>
          <w:szCs w:val="24"/>
        </w:rPr>
        <w:t xml:space="preserve"> to </w:t>
      </w:r>
      <w:proofErr w:type="spellStart"/>
      <w:r w:rsidRPr="008B637F">
        <w:rPr>
          <w:rFonts w:eastAsia="Times New Roman"/>
          <w:sz w:val="24"/>
          <w:szCs w:val="24"/>
        </w:rPr>
        <w:t>internalisation</w:t>
      </w:r>
      <w:proofErr w:type="spellEnd"/>
      <w:r w:rsidRPr="008B637F">
        <w:rPr>
          <w:rFonts w:eastAsia="Times New Roman"/>
          <w:sz w:val="24"/>
          <w:szCs w:val="24"/>
        </w:rPr>
        <w:t>. Any wrongdoings that relate to a misconduct of fraud, insider trading and failure of governance within the Indian market would directly impact the global brand value of JPMorgan (Nadir and Khan, 2024). Complete internal control makes it possible to have narrower ethical enforcement and mechanisms of crisis management.</w:t>
      </w:r>
    </w:p>
    <w:p w14:paraId="58DCE584"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Fourthly, </w:t>
      </w:r>
      <w:proofErr w:type="spellStart"/>
      <w:r w:rsidRPr="008B637F">
        <w:rPr>
          <w:rFonts w:eastAsia="Times New Roman"/>
          <w:sz w:val="24"/>
          <w:szCs w:val="24"/>
        </w:rPr>
        <w:t>internalisation</w:t>
      </w:r>
      <w:proofErr w:type="spellEnd"/>
      <w:r w:rsidRPr="008B637F">
        <w:rPr>
          <w:rFonts w:eastAsia="Times New Roman"/>
          <w:sz w:val="24"/>
          <w:szCs w:val="24"/>
        </w:rPr>
        <w:t xml:space="preserve"> enhances coordination of operations in the global markets. The activities of the Indian operations of JPMorgan should be in full </w:t>
      </w:r>
      <w:proofErr w:type="spellStart"/>
      <w:r w:rsidRPr="008B637F">
        <w:rPr>
          <w:rFonts w:eastAsia="Times New Roman"/>
          <w:sz w:val="24"/>
          <w:szCs w:val="24"/>
        </w:rPr>
        <w:t>synchronisation</w:t>
      </w:r>
      <w:proofErr w:type="spellEnd"/>
      <w:r w:rsidRPr="008B637F">
        <w:rPr>
          <w:rFonts w:eastAsia="Times New Roman"/>
          <w:sz w:val="24"/>
          <w:szCs w:val="24"/>
        </w:rPr>
        <w:t xml:space="preserve"> with its global treasury activity, derivatives trading, global custody services, and capital market operations. The real-time information integration and consistency of decision-making are facilitated by internal control  (Sharma and Upadhyay, 2023).</w:t>
      </w:r>
    </w:p>
    <w:p w14:paraId="2D5DE1DB" w14:textId="77777777" w:rsidR="00E810C7" w:rsidRPr="008B637F" w:rsidRDefault="00000000">
      <w:pPr>
        <w:pStyle w:val="Heading2"/>
        <w:rPr>
          <w:rFonts w:ascii="Arial" w:hAnsi="Arial" w:cs="Arial"/>
        </w:rPr>
      </w:pPr>
      <w:bookmarkStart w:id="9" w:name="_heading=h.cs2lfhl13opb" w:colFirst="0" w:colLast="0"/>
      <w:bookmarkEnd w:id="9"/>
      <w:r w:rsidRPr="008B637F">
        <w:rPr>
          <w:rFonts w:ascii="Arial" w:hAnsi="Arial" w:cs="Arial"/>
        </w:rPr>
        <w:t>3.4 OLI Strategic Implication on the JPMorgan mode of entry in India.</w:t>
      </w:r>
    </w:p>
    <w:p w14:paraId="05AE4D6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Chase in India has a selective and institution-based market entry strategy which is explained by the interaction of OLI factors. Direct foreign investment is justified by strong GH ownership benefits in investment banking, risk management, and digital finance. The strategic rationale of long-term presence is further supported by geographical advantages of India in terms of growth, digital infrastructure, and skilled </w:t>
      </w:r>
      <w:proofErr w:type="spellStart"/>
      <w:r w:rsidRPr="008B637F">
        <w:rPr>
          <w:rFonts w:eastAsia="Times New Roman"/>
          <w:sz w:val="24"/>
          <w:szCs w:val="24"/>
        </w:rPr>
        <w:t>labour</w:t>
      </w:r>
      <w:proofErr w:type="spellEnd"/>
      <w:r w:rsidRPr="008B637F">
        <w:rPr>
          <w:rFonts w:eastAsia="Times New Roman"/>
          <w:sz w:val="24"/>
          <w:szCs w:val="24"/>
        </w:rPr>
        <w:t xml:space="preserve"> (Satyanand, 2021).</w:t>
      </w:r>
    </w:p>
    <w:p w14:paraId="0ADD114A" w14:textId="77777777" w:rsidR="00E810C7" w:rsidRPr="008B637F" w:rsidRDefault="00000000">
      <w:pPr>
        <w:spacing w:before="240" w:after="240" w:line="360" w:lineRule="auto"/>
        <w:jc w:val="both"/>
        <w:rPr>
          <w:rFonts w:eastAsia="Times New Roman"/>
          <w:color w:val="000000" w:themeColor="text1"/>
          <w:sz w:val="24"/>
          <w:szCs w:val="24"/>
        </w:rPr>
      </w:pPr>
      <w:r w:rsidRPr="008B637F">
        <w:rPr>
          <w:rFonts w:eastAsia="Times New Roman"/>
          <w:color w:val="000000" w:themeColor="text1"/>
          <w:sz w:val="24"/>
          <w:szCs w:val="24"/>
        </w:rPr>
        <w:t xml:space="preserve">The regulatory framework of India, the sensitivity to foreign ownership, and the restrictions of banking entries do not allow the complete </w:t>
      </w:r>
      <w:proofErr w:type="spellStart"/>
      <w:r w:rsidRPr="008B637F">
        <w:rPr>
          <w:rFonts w:eastAsia="Times New Roman"/>
          <w:color w:val="000000" w:themeColor="text1"/>
          <w:sz w:val="24"/>
          <w:szCs w:val="24"/>
        </w:rPr>
        <w:t>internalisation</w:t>
      </w:r>
      <w:proofErr w:type="spellEnd"/>
      <w:r w:rsidRPr="008B637F">
        <w:rPr>
          <w:rFonts w:eastAsia="Times New Roman"/>
          <w:color w:val="000000" w:themeColor="text1"/>
          <w:sz w:val="24"/>
          <w:szCs w:val="24"/>
        </w:rPr>
        <w:t xml:space="preserve"> of the market, however. This has led to JPMorgan taking a </w:t>
      </w:r>
      <w:r w:rsidRPr="008B637F">
        <w:rPr>
          <w:rFonts w:eastAsia="Times New Roman"/>
          <w:b/>
          <w:bCs/>
          <w:i/>
          <w:iCs/>
          <w:color w:val="000000" w:themeColor="text1"/>
          <w:sz w:val="24"/>
          <w:szCs w:val="24"/>
        </w:rPr>
        <w:t xml:space="preserve">hybrid entry strategy </w:t>
      </w:r>
      <w:r w:rsidRPr="008B637F">
        <w:rPr>
          <w:rFonts w:eastAsia="Times New Roman"/>
          <w:color w:val="000000" w:themeColor="text1"/>
          <w:sz w:val="24"/>
          <w:szCs w:val="24"/>
        </w:rPr>
        <w:t>that incorporates:</w:t>
      </w:r>
    </w:p>
    <w:p w14:paraId="5DECEA52" w14:textId="77777777" w:rsidR="00E810C7" w:rsidRPr="008B637F" w:rsidRDefault="00000000">
      <w:pPr>
        <w:numPr>
          <w:ilvl w:val="0"/>
          <w:numId w:val="1"/>
        </w:numPr>
        <w:spacing w:before="240" w:line="360" w:lineRule="auto"/>
        <w:jc w:val="both"/>
        <w:rPr>
          <w:rFonts w:eastAsia="Times New Roman"/>
          <w:color w:val="000000" w:themeColor="text1"/>
          <w:sz w:val="24"/>
          <w:szCs w:val="24"/>
        </w:rPr>
      </w:pPr>
      <w:r w:rsidRPr="008B637F">
        <w:rPr>
          <w:rFonts w:eastAsia="Times New Roman"/>
          <w:color w:val="000000" w:themeColor="text1"/>
          <w:sz w:val="24"/>
          <w:szCs w:val="24"/>
        </w:rPr>
        <w:t>Wholesale banking wholly owned subsidiaries.</w:t>
      </w:r>
    </w:p>
    <w:p w14:paraId="64E62C98" w14:textId="77777777" w:rsidR="00E810C7" w:rsidRPr="008B637F" w:rsidRDefault="00000000">
      <w:pPr>
        <w:numPr>
          <w:ilvl w:val="0"/>
          <w:numId w:val="1"/>
        </w:numPr>
        <w:spacing w:line="360" w:lineRule="auto"/>
        <w:jc w:val="both"/>
        <w:rPr>
          <w:rFonts w:eastAsia="Times New Roman"/>
          <w:color w:val="000000" w:themeColor="text1"/>
          <w:sz w:val="24"/>
          <w:szCs w:val="24"/>
        </w:rPr>
      </w:pPr>
      <w:r w:rsidRPr="008B637F">
        <w:rPr>
          <w:rFonts w:eastAsia="Times New Roman"/>
          <w:color w:val="000000" w:themeColor="text1"/>
          <w:sz w:val="24"/>
          <w:szCs w:val="24"/>
        </w:rPr>
        <w:t xml:space="preserve">Branch activities in large financial </w:t>
      </w:r>
      <w:proofErr w:type="spellStart"/>
      <w:r w:rsidRPr="008B637F">
        <w:rPr>
          <w:rFonts w:eastAsia="Times New Roman"/>
          <w:color w:val="000000" w:themeColor="text1"/>
          <w:sz w:val="24"/>
          <w:szCs w:val="24"/>
        </w:rPr>
        <w:t>centres</w:t>
      </w:r>
      <w:proofErr w:type="spellEnd"/>
      <w:r w:rsidRPr="008B637F">
        <w:rPr>
          <w:rFonts w:eastAsia="Times New Roman"/>
          <w:color w:val="000000" w:themeColor="text1"/>
          <w:sz w:val="24"/>
          <w:szCs w:val="24"/>
        </w:rPr>
        <w:t>.</w:t>
      </w:r>
    </w:p>
    <w:p w14:paraId="6D49B721" w14:textId="77777777" w:rsidR="00E810C7" w:rsidRPr="008B637F" w:rsidRDefault="00000000">
      <w:pPr>
        <w:numPr>
          <w:ilvl w:val="0"/>
          <w:numId w:val="1"/>
        </w:numPr>
        <w:spacing w:line="360" w:lineRule="auto"/>
        <w:jc w:val="both"/>
        <w:rPr>
          <w:rFonts w:eastAsia="Times New Roman"/>
          <w:color w:val="000000" w:themeColor="text1"/>
          <w:sz w:val="24"/>
          <w:szCs w:val="24"/>
        </w:rPr>
      </w:pPr>
      <w:r w:rsidRPr="008B637F">
        <w:rPr>
          <w:rFonts w:eastAsia="Times New Roman"/>
          <w:color w:val="000000" w:themeColor="text1"/>
          <w:sz w:val="24"/>
          <w:szCs w:val="24"/>
        </w:rPr>
        <w:t>Strategic alliances with technology.</w:t>
      </w:r>
    </w:p>
    <w:p w14:paraId="40036D1E" w14:textId="77777777" w:rsidR="00E810C7" w:rsidRPr="008B637F" w:rsidRDefault="00000000">
      <w:pPr>
        <w:numPr>
          <w:ilvl w:val="0"/>
          <w:numId w:val="1"/>
        </w:numPr>
        <w:spacing w:after="240" w:line="360" w:lineRule="auto"/>
        <w:jc w:val="both"/>
        <w:rPr>
          <w:rFonts w:eastAsia="Times New Roman"/>
          <w:color w:val="000000" w:themeColor="text1"/>
          <w:sz w:val="24"/>
          <w:szCs w:val="24"/>
        </w:rPr>
      </w:pPr>
      <w:r w:rsidRPr="008B637F">
        <w:rPr>
          <w:rFonts w:eastAsia="Times New Roman"/>
          <w:color w:val="000000" w:themeColor="text1"/>
          <w:sz w:val="24"/>
          <w:szCs w:val="24"/>
        </w:rPr>
        <w:t xml:space="preserve">International financial </w:t>
      </w:r>
      <w:proofErr w:type="spellStart"/>
      <w:r w:rsidRPr="008B637F">
        <w:rPr>
          <w:rFonts w:eastAsia="Times New Roman"/>
          <w:color w:val="000000" w:themeColor="text1"/>
          <w:sz w:val="24"/>
          <w:szCs w:val="24"/>
        </w:rPr>
        <w:t>centres</w:t>
      </w:r>
      <w:proofErr w:type="spellEnd"/>
      <w:r w:rsidRPr="008B637F">
        <w:rPr>
          <w:rFonts w:eastAsia="Times New Roman"/>
          <w:color w:val="000000" w:themeColor="text1"/>
          <w:sz w:val="24"/>
          <w:szCs w:val="24"/>
        </w:rPr>
        <w:t xml:space="preserve"> offshore financial operation.</w:t>
      </w:r>
    </w:p>
    <w:p w14:paraId="5E7DE2C0"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lastRenderedPageBreak/>
        <w:drawing>
          <wp:inline distT="114300" distB="114300" distL="114300" distR="114300" wp14:anchorId="20EEE5AA" wp14:editId="07ED6073">
            <wp:extent cx="5943600" cy="2590800"/>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5943600" cy="2590800"/>
                    </a:xfrm>
                    <a:prstGeom prst="rect">
                      <a:avLst/>
                    </a:prstGeom>
                    <a:ln w="25400">
                      <a:solidFill>
                        <a:srgbClr val="000000"/>
                      </a:solidFill>
                      <a:prstDash val="solid"/>
                    </a:ln>
                  </pic:spPr>
                </pic:pic>
              </a:graphicData>
            </a:graphic>
          </wp:inline>
        </w:drawing>
      </w:r>
    </w:p>
    <w:p w14:paraId="1E70CB33"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Figure 6: OLI Framework</w:t>
      </w:r>
    </w:p>
    <w:p w14:paraId="68302922"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(CFI, 2022)</w:t>
      </w:r>
    </w:p>
    <w:p w14:paraId="1AA6F3BE" w14:textId="77777777" w:rsidR="00E810C7" w:rsidRPr="008B637F" w:rsidRDefault="00000000">
      <w:pPr>
        <w:pStyle w:val="Heading2"/>
        <w:rPr>
          <w:rFonts w:ascii="Arial" w:hAnsi="Arial" w:cs="Arial"/>
        </w:rPr>
      </w:pPr>
      <w:bookmarkStart w:id="10" w:name="_heading=h.msqmbhlq7ava" w:colFirst="0" w:colLast="0"/>
      <w:bookmarkEnd w:id="10"/>
      <w:r w:rsidRPr="008B637F">
        <w:rPr>
          <w:rFonts w:ascii="Arial" w:hAnsi="Arial" w:cs="Arial"/>
        </w:rPr>
        <w:t>3.5 Important Weaknesses of the OLI Framework in the Indian Expansion of JPMorgan.</w:t>
      </w:r>
    </w:p>
    <w:p w14:paraId="11E17334"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Even though the OLI paradigm has a robust analytical base, it also has significant weaknesses in the analysis of the modern financial </w:t>
      </w:r>
      <w:proofErr w:type="spellStart"/>
      <w:r w:rsidRPr="008B637F">
        <w:rPr>
          <w:rFonts w:eastAsia="Times New Roman"/>
          <w:sz w:val="24"/>
          <w:szCs w:val="24"/>
        </w:rPr>
        <w:t>internationalisation</w:t>
      </w:r>
      <w:proofErr w:type="spellEnd"/>
      <w:r w:rsidRPr="008B637F">
        <w:rPr>
          <w:rFonts w:eastAsia="Times New Roman"/>
          <w:sz w:val="24"/>
          <w:szCs w:val="24"/>
        </w:rPr>
        <w:t>. The model does not give enough emphasis to geopolitical shocks, digital disruption, ESG pressures and regulatory nationalism, which are key forces influencing contemporary global banking. Also, OLI is based on an assumption of comparatively stable institutional contexts, which is not always the case with India, and the regulatory environment is prone to various policy changes and political interference (</w:t>
      </w:r>
      <w:proofErr w:type="spellStart"/>
      <w:r w:rsidRPr="008B637F">
        <w:rPr>
          <w:rFonts w:eastAsia="Times New Roman"/>
          <w:sz w:val="24"/>
          <w:szCs w:val="24"/>
        </w:rPr>
        <w:t>Batschauer</w:t>
      </w:r>
      <w:proofErr w:type="spellEnd"/>
      <w:r w:rsidRPr="008B637F">
        <w:rPr>
          <w:rFonts w:eastAsia="Times New Roman"/>
          <w:sz w:val="24"/>
          <w:szCs w:val="24"/>
        </w:rPr>
        <w:t xml:space="preserve"> da Cruz </w:t>
      </w:r>
      <w:r w:rsidRPr="008B637F">
        <w:rPr>
          <w:rFonts w:eastAsia="Times New Roman"/>
          <w:i/>
          <w:iCs/>
          <w:sz w:val="24"/>
          <w:szCs w:val="24"/>
        </w:rPr>
        <w:t xml:space="preserve">et al., </w:t>
      </w:r>
      <w:r w:rsidRPr="008B637F">
        <w:rPr>
          <w:rFonts w:eastAsia="Times New Roman"/>
          <w:sz w:val="24"/>
          <w:szCs w:val="24"/>
        </w:rPr>
        <w:t>2022).</w:t>
      </w:r>
    </w:p>
    <w:p w14:paraId="110D47B1" w14:textId="77777777" w:rsidR="00E810C7" w:rsidRPr="008B637F" w:rsidRDefault="00000000">
      <w:pPr>
        <w:pStyle w:val="Heading1"/>
        <w:keepNext w:val="0"/>
        <w:keepLines w:val="0"/>
        <w:spacing w:before="480" w:line="360" w:lineRule="auto"/>
        <w:jc w:val="both"/>
        <w:rPr>
          <w:rFonts w:ascii="Arial" w:hAnsi="Arial" w:cs="Arial"/>
        </w:rPr>
      </w:pPr>
      <w:bookmarkStart w:id="11" w:name="_heading=h.eoxcpbhpfoj" w:colFirst="0" w:colLast="0"/>
      <w:bookmarkEnd w:id="11"/>
      <w:r w:rsidRPr="008B637F">
        <w:rPr>
          <w:rFonts w:ascii="Arial" w:hAnsi="Arial" w:cs="Arial"/>
        </w:rPr>
        <w:t xml:space="preserve">4. Cultural Differences between the United States and India and Their Impact on JPMorgan Chase’s Market Entry Strategy and Success </w:t>
      </w:r>
    </w:p>
    <w:p w14:paraId="458414D0" w14:textId="77777777" w:rsidR="00E810C7" w:rsidRPr="008B637F" w:rsidRDefault="00000000">
      <w:pPr>
        <w:pStyle w:val="Heading2"/>
        <w:rPr>
          <w:rFonts w:ascii="Arial" w:hAnsi="Arial" w:cs="Arial"/>
        </w:rPr>
      </w:pPr>
      <w:bookmarkStart w:id="12" w:name="_heading=h.fhy080yua6dm" w:colFirst="0" w:colLast="0"/>
      <w:bookmarkEnd w:id="12"/>
      <w:r w:rsidRPr="008B637F">
        <w:rPr>
          <w:rFonts w:ascii="Arial" w:hAnsi="Arial" w:cs="Arial"/>
        </w:rPr>
        <w:t xml:space="preserve">4.1 Power Distance and </w:t>
      </w:r>
      <w:proofErr w:type="spellStart"/>
      <w:r w:rsidRPr="008B637F">
        <w:rPr>
          <w:rFonts w:ascii="Arial" w:hAnsi="Arial" w:cs="Arial"/>
        </w:rPr>
        <w:t>Organisation</w:t>
      </w:r>
      <w:proofErr w:type="spellEnd"/>
      <w:r w:rsidRPr="008B637F">
        <w:rPr>
          <w:rFonts w:ascii="Arial" w:hAnsi="Arial" w:cs="Arial"/>
        </w:rPr>
        <w:t xml:space="preserve"> hierarchy.</w:t>
      </w:r>
    </w:p>
    <w:p w14:paraId="771F3C49" w14:textId="77777777" w:rsidR="00E810C7" w:rsidRPr="008B637F" w:rsidRDefault="00000000">
      <w:pPr>
        <w:spacing w:before="240" w:after="240" w:line="360" w:lineRule="auto"/>
        <w:jc w:val="both"/>
        <w:rPr>
          <w:rFonts w:eastAsia="Times New Roman"/>
          <w:color w:val="000000" w:themeColor="text1"/>
          <w:sz w:val="24"/>
          <w:szCs w:val="24"/>
        </w:rPr>
      </w:pPr>
      <w:r w:rsidRPr="008B637F">
        <w:rPr>
          <w:rFonts w:eastAsia="Times New Roman"/>
          <w:color w:val="000000" w:themeColor="text1"/>
          <w:sz w:val="24"/>
          <w:szCs w:val="24"/>
        </w:rPr>
        <w:t xml:space="preserve">Power distance is one of the greatest cultural distinctions between the USA and India. The United States is marked by low power distance, which implies a tendency to </w:t>
      </w:r>
      <w:proofErr w:type="spellStart"/>
      <w:r w:rsidRPr="008B637F">
        <w:rPr>
          <w:rFonts w:eastAsia="Times New Roman"/>
          <w:color w:val="000000" w:themeColor="text1"/>
          <w:sz w:val="24"/>
          <w:szCs w:val="24"/>
        </w:rPr>
        <w:t>organise</w:t>
      </w:r>
      <w:proofErr w:type="spellEnd"/>
      <w:r w:rsidRPr="008B637F">
        <w:rPr>
          <w:rFonts w:eastAsia="Times New Roman"/>
          <w:color w:val="000000" w:themeColor="text1"/>
          <w:sz w:val="24"/>
          <w:szCs w:val="24"/>
        </w:rPr>
        <w:t xml:space="preserve"> </w:t>
      </w:r>
      <w:r w:rsidRPr="008B637F">
        <w:rPr>
          <w:rFonts w:eastAsia="Times New Roman"/>
          <w:color w:val="000000" w:themeColor="text1"/>
          <w:sz w:val="24"/>
          <w:szCs w:val="24"/>
        </w:rPr>
        <w:lastRenderedPageBreak/>
        <w:t xml:space="preserve">the </w:t>
      </w:r>
      <w:proofErr w:type="spellStart"/>
      <w:r w:rsidRPr="008B637F">
        <w:rPr>
          <w:rFonts w:eastAsia="Times New Roman"/>
          <w:color w:val="000000" w:themeColor="text1"/>
          <w:sz w:val="24"/>
          <w:szCs w:val="24"/>
        </w:rPr>
        <w:t>organisations</w:t>
      </w:r>
      <w:proofErr w:type="spellEnd"/>
      <w:r w:rsidRPr="008B637F">
        <w:rPr>
          <w:rFonts w:eastAsia="Times New Roman"/>
          <w:color w:val="000000" w:themeColor="text1"/>
          <w:sz w:val="24"/>
          <w:szCs w:val="24"/>
        </w:rPr>
        <w:t xml:space="preserve"> in an egalitarian way, </w:t>
      </w:r>
      <w:proofErr w:type="spellStart"/>
      <w:r w:rsidRPr="008B637F">
        <w:rPr>
          <w:rFonts w:eastAsia="Times New Roman"/>
          <w:color w:val="000000" w:themeColor="text1"/>
          <w:sz w:val="24"/>
          <w:szCs w:val="24"/>
        </w:rPr>
        <w:t>decentralise</w:t>
      </w:r>
      <w:proofErr w:type="spellEnd"/>
      <w:r w:rsidRPr="008B637F">
        <w:rPr>
          <w:rFonts w:eastAsia="Times New Roman"/>
          <w:color w:val="000000" w:themeColor="text1"/>
          <w:sz w:val="24"/>
          <w:szCs w:val="24"/>
        </w:rPr>
        <w:t xml:space="preserve"> the decision-making processes and establish open communication between the staff and the management (de Souza Sant’Anna, 2024). India on the other hand has high power distance in that, the general power hierarchy, seniority and formal respect towards the leaders are culturally ingrained(de Souza Sant’Anna, 2024).In the case of JPMorgan Chase, management structure and leadership practices in India have a direct impact on this difference. The Indian workers might have a collision with US-style flat hierarchies and participative leadership with the expectations of the directive leadership approach, hierarchical authority, and the systematic supervision in the Indian culture (Hofstede Insights, 2025). </w:t>
      </w:r>
    </w:p>
    <w:p w14:paraId="0458BCB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The US is one of the most individualistic cultures in the world, in which the life of a professional is determined by a high level of achievement, independence, and performance-based remuneration. Although there are some traces of individual ambition, India is a collectivist, and people strongly stressed group loyalty, long-term relationships, family ties, and trust institutions that are created over time (Hofstede Insights, 2025).This deviation has a high impact on JPMorgan Chase human resource management and customer relationship strategy. The performance systems adopted in the US are based on individual performance, high competition and quick development through promotion based on performance that can be measured. In terms of market entry, the Indian collectivism implies that relationship based banking focused on trust is more effective than transactional services delivery (Jan</w:t>
      </w:r>
      <w:r w:rsidRPr="008B637F">
        <w:rPr>
          <w:rFonts w:eastAsia="Times New Roman"/>
          <w:i/>
          <w:iCs/>
          <w:sz w:val="24"/>
          <w:szCs w:val="24"/>
        </w:rPr>
        <w:t xml:space="preserve"> et al., </w:t>
      </w:r>
      <w:r w:rsidRPr="008B637F">
        <w:rPr>
          <w:rFonts w:eastAsia="Times New Roman"/>
          <w:sz w:val="24"/>
          <w:szCs w:val="24"/>
        </w:rPr>
        <w:t xml:space="preserve">2024). Corporate clients tend to make banking relationships decisions based on credibility in the past, networks, and institutional stability as opposed to short-term price benefits. </w:t>
      </w:r>
    </w:p>
    <w:p w14:paraId="5B4CD6F4" w14:textId="77777777" w:rsidR="00E810C7" w:rsidRPr="008B637F" w:rsidRDefault="00000000">
      <w:pPr>
        <w:pStyle w:val="Heading2"/>
        <w:rPr>
          <w:rFonts w:ascii="Arial" w:hAnsi="Arial" w:cs="Arial"/>
        </w:rPr>
      </w:pPr>
      <w:bookmarkStart w:id="13" w:name="_heading=h.ik33q5we851f" w:colFirst="0" w:colLast="0"/>
      <w:bookmarkEnd w:id="13"/>
      <w:r w:rsidRPr="008B637F">
        <w:rPr>
          <w:rFonts w:ascii="Arial" w:hAnsi="Arial" w:cs="Arial"/>
        </w:rPr>
        <w:t>4.3 Uncertainty avoiding and risk orientated.</w:t>
      </w:r>
    </w:p>
    <w:p w14:paraId="2DDF2F0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USA has a moderate uncertainty avoidance, in which risk-taking, experimentation, innovation, and entrepreneurial </w:t>
      </w:r>
      <w:proofErr w:type="spellStart"/>
      <w:r w:rsidRPr="008B637F">
        <w:rPr>
          <w:rFonts w:eastAsia="Times New Roman"/>
          <w:sz w:val="24"/>
          <w:szCs w:val="24"/>
        </w:rPr>
        <w:t>behaviour</w:t>
      </w:r>
      <w:proofErr w:type="spellEnd"/>
      <w:r w:rsidRPr="008B637F">
        <w:rPr>
          <w:rFonts w:eastAsia="Times New Roman"/>
          <w:sz w:val="24"/>
          <w:szCs w:val="24"/>
        </w:rPr>
        <w:t xml:space="preserve"> are highly promoted. India has a greater uncertainty avoidance in formal institutional settings and especially in the banking, law, and government regulation (Hofstede Insights, 2025). The culture of Indian business tends to give preference to procedural justice, risk reduction via regulation, and gradual transformation over disruptive </w:t>
      </w:r>
      <w:proofErr w:type="spellStart"/>
      <w:r w:rsidRPr="008B637F">
        <w:rPr>
          <w:rFonts w:eastAsia="Times New Roman"/>
          <w:sz w:val="24"/>
          <w:szCs w:val="24"/>
        </w:rPr>
        <w:t>innovation.In</w:t>
      </w:r>
      <w:proofErr w:type="spellEnd"/>
      <w:r w:rsidRPr="008B637F">
        <w:rPr>
          <w:rFonts w:eastAsia="Times New Roman"/>
          <w:sz w:val="24"/>
          <w:szCs w:val="24"/>
        </w:rPr>
        <w:t xml:space="preserve"> the case of JPMorgan chase, this disparity </w:t>
      </w:r>
      <w:r w:rsidRPr="008B637F">
        <w:rPr>
          <w:rFonts w:eastAsia="Times New Roman"/>
          <w:sz w:val="24"/>
          <w:szCs w:val="24"/>
        </w:rPr>
        <w:lastRenderedPageBreak/>
        <w:t xml:space="preserve">has a direct impact on its product innovation, compliance culture, and digital transformation strategy in India. As JPMorgan actively promotes AI-based trading platforms, blockchain settlements, and decision-making algorithms within the Western markets, Indian regulators and clients do not mind long-term testing, regulatory acceptance, and operational assurance prior to the adoption (Medina Gonzalez, 2025).This has an impact on the FinTech implementation at JPMorgan. The fast track technology experimentation should be coupled with the regulatory consultation, gradual application, and high compliance transparency(Medina Gonzalez, 2025). </w:t>
      </w:r>
    </w:p>
    <w:p w14:paraId="661ADD1A" w14:textId="77777777" w:rsidR="00E810C7" w:rsidRPr="008B637F" w:rsidRDefault="00000000">
      <w:pPr>
        <w:pStyle w:val="Heading2"/>
        <w:rPr>
          <w:rFonts w:ascii="Arial" w:hAnsi="Arial" w:cs="Arial"/>
        </w:rPr>
      </w:pPr>
      <w:bookmarkStart w:id="14" w:name="_heading=h.mom2lb4i8xdx" w:colFirst="0" w:colLast="0"/>
      <w:bookmarkEnd w:id="14"/>
      <w:r w:rsidRPr="008B637F">
        <w:rPr>
          <w:rFonts w:ascii="Arial" w:hAnsi="Arial" w:cs="Arial"/>
        </w:rPr>
        <w:t>4.4 Long-term Orientation and Strategy Time Horizons.</w:t>
      </w:r>
    </w:p>
    <w:p w14:paraId="2FA120F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India is high on long-term orientation which focus on patience, perseverance, continuance of relations, and long-term planning of investments. In comparison, the US market is more short term performance oriented where the quarterly financial performance, shareholder value </w:t>
      </w:r>
      <w:proofErr w:type="spellStart"/>
      <w:r w:rsidRPr="008B637F">
        <w:rPr>
          <w:rFonts w:eastAsia="Times New Roman"/>
          <w:sz w:val="24"/>
          <w:szCs w:val="24"/>
        </w:rPr>
        <w:t>maximisation</w:t>
      </w:r>
      <w:proofErr w:type="spellEnd"/>
      <w:r w:rsidRPr="008B637F">
        <w:rPr>
          <w:rFonts w:eastAsia="Times New Roman"/>
          <w:sz w:val="24"/>
          <w:szCs w:val="24"/>
        </w:rPr>
        <w:t xml:space="preserve"> and speed in getting returns on investment are highly </w:t>
      </w:r>
      <w:proofErr w:type="spellStart"/>
      <w:r w:rsidRPr="008B637F">
        <w:rPr>
          <w:rFonts w:eastAsia="Times New Roman"/>
          <w:sz w:val="24"/>
          <w:szCs w:val="24"/>
        </w:rPr>
        <w:t>pressurised.This</w:t>
      </w:r>
      <w:proofErr w:type="spellEnd"/>
      <w:r w:rsidRPr="008B637F">
        <w:rPr>
          <w:rFonts w:eastAsia="Times New Roman"/>
          <w:sz w:val="24"/>
          <w:szCs w:val="24"/>
        </w:rPr>
        <w:t xml:space="preserve"> variance has a great impact on the strategic investment life of JPMorgan Chase in India. Short term profitability metrics are frequently applied to make capital deployment decisions in the US. Long tenure in the market, the presence of institutional trust and regulatory goodwill is usually more important in India than instant financial profits (</w:t>
      </w:r>
      <w:proofErr w:type="spellStart"/>
      <w:r w:rsidRPr="008B637F">
        <w:rPr>
          <w:rFonts w:eastAsia="Times New Roman"/>
          <w:sz w:val="24"/>
          <w:szCs w:val="24"/>
        </w:rPr>
        <w:t>Goranova</w:t>
      </w:r>
      <w:proofErr w:type="spellEnd"/>
      <w:r w:rsidRPr="008B637F">
        <w:rPr>
          <w:rFonts w:eastAsia="Times New Roman"/>
          <w:sz w:val="24"/>
          <w:szCs w:val="24"/>
        </w:rPr>
        <w:t xml:space="preserve">, 2025). Over time, the Indian foreign bank industry is </w:t>
      </w:r>
      <w:proofErr w:type="spellStart"/>
      <w:r w:rsidRPr="008B637F">
        <w:rPr>
          <w:rFonts w:eastAsia="Times New Roman"/>
          <w:sz w:val="24"/>
          <w:szCs w:val="24"/>
        </w:rPr>
        <w:t>characterised</w:t>
      </w:r>
      <w:proofErr w:type="spellEnd"/>
      <w:r w:rsidRPr="008B637F">
        <w:rPr>
          <w:rFonts w:eastAsia="Times New Roman"/>
          <w:sz w:val="24"/>
          <w:szCs w:val="24"/>
        </w:rPr>
        <w:t xml:space="preserve"> by successful foreign banks which focus on developing their relationships over a decade as opposed to </w:t>
      </w:r>
      <w:proofErr w:type="spellStart"/>
      <w:r w:rsidRPr="008B637F">
        <w:rPr>
          <w:rFonts w:eastAsia="Times New Roman"/>
          <w:sz w:val="24"/>
          <w:szCs w:val="24"/>
        </w:rPr>
        <w:t>maximising</w:t>
      </w:r>
      <w:proofErr w:type="spellEnd"/>
      <w:r w:rsidRPr="008B637F">
        <w:rPr>
          <w:rFonts w:eastAsia="Times New Roman"/>
          <w:sz w:val="24"/>
          <w:szCs w:val="24"/>
        </w:rPr>
        <w:t xml:space="preserve"> revenues in the short term(</w:t>
      </w:r>
      <w:proofErr w:type="spellStart"/>
      <w:r w:rsidRPr="008B637F">
        <w:rPr>
          <w:rFonts w:eastAsia="Times New Roman"/>
          <w:sz w:val="24"/>
          <w:szCs w:val="24"/>
        </w:rPr>
        <w:t>Goranova</w:t>
      </w:r>
      <w:proofErr w:type="spellEnd"/>
      <w:r w:rsidRPr="008B637F">
        <w:rPr>
          <w:rFonts w:eastAsia="Times New Roman"/>
          <w:sz w:val="24"/>
          <w:szCs w:val="24"/>
        </w:rPr>
        <w:t>, 2025).</w:t>
      </w:r>
    </w:p>
    <w:p w14:paraId="53795FA4" w14:textId="77777777" w:rsidR="00E810C7" w:rsidRPr="008B637F" w:rsidRDefault="00000000">
      <w:pPr>
        <w:pStyle w:val="Heading2"/>
        <w:rPr>
          <w:rFonts w:ascii="Arial" w:hAnsi="Arial" w:cs="Arial"/>
        </w:rPr>
      </w:pPr>
      <w:bookmarkStart w:id="15" w:name="_heading=h.7nlc8or7jo1j" w:colFirst="0" w:colLast="0"/>
      <w:bookmarkEnd w:id="15"/>
      <w:r w:rsidRPr="008B637F">
        <w:rPr>
          <w:rFonts w:ascii="Arial" w:hAnsi="Arial" w:cs="Arial"/>
        </w:rPr>
        <w:t>4.5 Business Negotiation Culture and Style of communication.</w:t>
      </w:r>
    </w:p>
    <w:p w14:paraId="7257093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The communication in American business is usually straightforward, direct, and contract-oriented, paying much attention to clarity, efficiency, and legal systems (</w:t>
      </w:r>
      <w:proofErr w:type="spellStart"/>
      <w:r w:rsidRPr="008B637F">
        <w:rPr>
          <w:rFonts w:eastAsia="Times New Roman"/>
          <w:sz w:val="24"/>
          <w:szCs w:val="24"/>
        </w:rPr>
        <w:t>Warsen</w:t>
      </w:r>
      <w:proofErr w:type="spellEnd"/>
      <w:r w:rsidRPr="008B637F">
        <w:rPr>
          <w:rFonts w:eastAsia="Times New Roman"/>
          <w:sz w:val="24"/>
          <w:szCs w:val="24"/>
        </w:rPr>
        <w:t>, 2021). Indian communication, in comparison, is commonly high-context, indirect and relationship-sensitive where the meaning is intended by the tone, hierarchy and situational awareness, but not by the mere written agreements(</w:t>
      </w:r>
      <w:proofErr w:type="spellStart"/>
      <w:r w:rsidRPr="008B637F">
        <w:rPr>
          <w:rFonts w:eastAsia="Times New Roman"/>
          <w:sz w:val="24"/>
          <w:szCs w:val="24"/>
        </w:rPr>
        <w:t>Warsen</w:t>
      </w:r>
      <w:proofErr w:type="spellEnd"/>
      <w:r w:rsidRPr="008B637F">
        <w:rPr>
          <w:rFonts w:eastAsia="Times New Roman"/>
          <w:sz w:val="24"/>
          <w:szCs w:val="24"/>
        </w:rPr>
        <w:t>, 2021).</w:t>
      </w:r>
    </w:p>
    <w:p w14:paraId="10097FB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thus needs to invest in training of cross-cultural communication skills so that its expatriate and regional managers can learn to interpret the indirect feedback, negotiate </w:t>
      </w:r>
      <w:r w:rsidRPr="008B637F">
        <w:rPr>
          <w:rFonts w:eastAsia="Times New Roman"/>
          <w:sz w:val="24"/>
          <w:szCs w:val="24"/>
        </w:rPr>
        <w:lastRenderedPageBreak/>
        <w:t>patiently and focus on building trust before closing a transaction (Jose, 2024). The inability to adjust the style of communication may cause misunderstanding, the loss of business opportunities, and the damage of reputation(</w:t>
      </w:r>
      <w:proofErr w:type="spellStart"/>
      <w:r w:rsidRPr="008B637F">
        <w:rPr>
          <w:rFonts w:eastAsia="Times New Roman"/>
          <w:sz w:val="24"/>
          <w:szCs w:val="24"/>
        </w:rPr>
        <w:t>Warsen</w:t>
      </w:r>
      <w:proofErr w:type="spellEnd"/>
      <w:r w:rsidRPr="008B637F">
        <w:rPr>
          <w:rFonts w:eastAsia="Times New Roman"/>
          <w:sz w:val="24"/>
          <w:szCs w:val="24"/>
        </w:rPr>
        <w:t>, 2021).</w:t>
      </w:r>
    </w:p>
    <w:p w14:paraId="577639C5" w14:textId="77777777" w:rsidR="00E810C7" w:rsidRPr="008B637F" w:rsidRDefault="00000000">
      <w:pPr>
        <w:pStyle w:val="Heading2"/>
        <w:rPr>
          <w:rFonts w:ascii="Arial" w:hAnsi="Arial" w:cs="Arial"/>
        </w:rPr>
      </w:pPr>
      <w:bookmarkStart w:id="16" w:name="_heading=h.upab3vim4chq" w:colFirst="0" w:colLast="0"/>
      <w:bookmarkEnd w:id="16"/>
      <w:r w:rsidRPr="008B637F">
        <w:rPr>
          <w:rFonts w:ascii="Arial" w:hAnsi="Arial" w:cs="Arial"/>
        </w:rPr>
        <w:t>4.7 Risk of Culture and Barriers to Success.</w:t>
      </w:r>
    </w:p>
    <w:p w14:paraId="6D9318A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Although there is good strategic fit, there are a number of cultural risks. These include that leadership conflict between hierarchical expectations and Indian hierarchical US </w:t>
      </w:r>
      <w:proofErr w:type="spellStart"/>
      <w:r w:rsidRPr="008B637F">
        <w:rPr>
          <w:rFonts w:eastAsia="Times New Roman"/>
          <w:sz w:val="24"/>
          <w:szCs w:val="24"/>
        </w:rPr>
        <w:t>decentralised</w:t>
      </w:r>
      <w:proofErr w:type="spellEnd"/>
      <w:r w:rsidRPr="008B637F">
        <w:rPr>
          <w:rFonts w:eastAsia="Times New Roman"/>
          <w:sz w:val="24"/>
          <w:szCs w:val="24"/>
        </w:rPr>
        <w:t xml:space="preserve"> </w:t>
      </w:r>
      <w:proofErr w:type="spellStart"/>
      <w:r w:rsidRPr="008B637F">
        <w:rPr>
          <w:rFonts w:eastAsia="Times New Roman"/>
          <w:sz w:val="24"/>
          <w:szCs w:val="24"/>
        </w:rPr>
        <w:t>practices,lack</w:t>
      </w:r>
      <w:proofErr w:type="spellEnd"/>
      <w:r w:rsidRPr="008B637F">
        <w:rPr>
          <w:rFonts w:eastAsia="Times New Roman"/>
          <w:sz w:val="24"/>
          <w:szCs w:val="24"/>
        </w:rPr>
        <w:t xml:space="preserve"> of employee engagement based on reward systems that do not fit, mistrust of the client due to the over-transactional relationship along with the regulatory friction associated with the differences in perceptions of compliance and ethical responsibility.</w:t>
      </w:r>
    </w:p>
    <w:p w14:paraId="3F268415" w14:textId="77777777" w:rsidR="00E810C7" w:rsidRPr="008B637F" w:rsidRDefault="00000000">
      <w:pPr>
        <w:spacing w:before="240" w:after="240" w:line="360" w:lineRule="auto"/>
        <w:jc w:val="center"/>
        <w:rPr>
          <w:rFonts w:eastAsia="Times New Roman"/>
          <w:sz w:val="24"/>
          <w:szCs w:val="24"/>
        </w:rPr>
      </w:pPr>
      <w:r w:rsidRPr="008B637F">
        <w:rPr>
          <w:rFonts w:eastAsia="Times New Roman"/>
          <w:noProof/>
          <w:sz w:val="24"/>
          <w:szCs w:val="24"/>
        </w:rPr>
        <w:drawing>
          <wp:inline distT="114300" distB="114300" distL="114300" distR="114300" wp14:anchorId="3899C1A8" wp14:editId="7DA709C1">
            <wp:extent cx="5943600" cy="3162300"/>
            <wp:effectExtent l="25400" t="25400" r="25400" b="2540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5943600" cy="3162300"/>
                    </a:xfrm>
                    <a:prstGeom prst="rect">
                      <a:avLst/>
                    </a:prstGeom>
                    <a:ln w="25400">
                      <a:solidFill>
                        <a:srgbClr val="000000"/>
                      </a:solidFill>
                      <a:prstDash val="solid"/>
                    </a:ln>
                  </pic:spPr>
                </pic:pic>
              </a:graphicData>
            </a:graphic>
          </wp:inline>
        </w:drawing>
      </w:r>
    </w:p>
    <w:p w14:paraId="43A5EE5F"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Figure 7: Comparison Between India and the USA</w:t>
      </w:r>
    </w:p>
    <w:p w14:paraId="4FB69D0F" w14:textId="77777777" w:rsidR="00E810C7" w:rsidRPr="008B637F" w:rsidRDefault="00000000">
      <w:pPr>
        <w:spacing w:before="240" w:after="240" w:line="360" w:lineRule="auto"/>
        <w:jc w:val="center"/>
        <w:rPr>
          <w:rFonts w:eastAsia="Times New Roman"/>
          <w:b/>
          <w:bCs/>
          <w:sz w:val="24"/>
          <w:szCs w:val="24"/>
        </w:rPr>
      </w:pPr>
      <w:r w:rsidRPr="008B637F">
        <w:rPr>
          <w:rFonts w:eastAsia="Times New Roman"/>
          <w:b/>
          <w:bCs/>
          <w:sz w:val="24"/>
          <w:szCs w:val="24"/>
        </w:rPr>
        <w:t>Source: (Hofstede Insights, 2025)</w:t>
      </w:r>
    </w:p>
    <w:p w14:paraId="2BB42D87" w14:textId="77777777" w:rsidR="00E810C7" w:rsidRPr="008B637F" w:rsidRDefault="00000000">
      <w:pPr>
        <w:pStyle w:val="Heading1"/>
        <w:spacing w:line="360" w:lineRule="auto"/>
        <w:jc w:val="both"/>
        <w:rPr>
          <w:rFonts w:ascii="Arial" w:hAnsi="Arial" w:cs="Arial"/>
        </w:rPr>
      </w:pPr>
      <w:bookmarkStart w:id="17" w:name="_heading=h.calaf7e7z0l5" w:colFirst="0" w:colLast="0"/>
      <w:bookmarkEnd w:id="17"/>
      <w:r w:rsidRPr="008B637F">
        <w:rPr>
          <w:rFonts w:ascii="Arial" w:hAnsi="Arial" w:cs="Arial"/>
        </w:rPr>
        <w:lastRenderedPageBreak/>
        <w:t xml:space="preserve">5. Recommended Standard Operating Procedure (SOP) Adjustments for JPMorgan Chase to Ensure Success in India </w:t>
      </w:r>
    </w:p>
    <w:p w14:paraId="3A436F28" w14:textId="77777777" w:rsidR="00E810C7" w:rsidRPr="008B637F" w:rsidRDefault="00000000">
      <w:pPr>
        <w:pStyle w:val="Heading2"/>
        <w:rPr>
          <w:rFonts w:ascii="Arial" w:hAnsi="Arial" w:cs="Arial"/>
        </w:rPr>
      </w:pPr>
      <w:bookmarkStart w:id="18" w:name="_heading=h.q5r1s2fv1yra" w:colFirst="0" w:colLast="0"/>
      <w:bookmarkEnd w:id="18"/>
      <w:r w:rsidRPr="008B637F">
        <w:rPr>
          <w:rFonts w:ascii="Arial" w:hAnsi="Arial" w:cs="Arial"/>
        </w:rPr>
        <w:t>5.1 Compliance and Regulatory Alignment.</w:t>
      </w:r>
    </w:p>
    <w:p w14:paraId="480C269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initial and the most important Standard Operating Procedure (SOP) change that the JPMorgan Chase needs in India is with regards to regulatory and compliance alignment (Venna, 2024). The financial sector in India is highly regulated by highly </w:t>
      </w:r>
      <w:proofErr w:type="spellStart"/>
      <w:r w:rsidRPr="008B637F">
        <w:rPr>
          <w:rFonts w:eastAsia="Times New Roman"/>
          <w:sz w:val="24"/>
          <w:szCs w:val="24"/>
        </w:rPr>
        <w:t>centralised</w:t>
      </w:r>
      <w:proofErr w:type="spellEnd"/>
      <w:r w:rsidRPr="008B637F">
        <w:rPr>
          <w:rFonts w:eastAsia="Times New Roman"/>
          <w:sz w:val="24"/>
          <w:szCs w:val="24"/>
        </w:rPr>
        <w:t xml:space="preserve"> and risk averse regulatory system under the leadership of Reserve Bank of India (RBI), the Securities and Exchange Board of India (SEBI) and the Ministry of Finance. In contrast to the relatively </w:t>
      </w:r>
      <w:proofErr w:type="spellStart"/>
      <w:r w:rsidRPr="008B637F">
        <w:rPr>
          <w:rFonts w:eastAsia="Times New Roman"/>
          <w:sz w:val="24"/>
          <w:szCs w:val="24"/>
        </w:rPr>
        <w:t>harmonised</w:t>
      </w:r>
      <w:proofErr w:type="spellEnd"/>
      <w:r w:rsidRPr="008B637F">
        <w:rPr>
          <w:rFonts w:eastAsia="Times New Roman"/>
          <w:sz w:val="24"/>
          <w:szCs w:val="24"/>
        </w:rPr>
        <w:t xml:space="preserve"> regulatory regime of the United States, India follows a multilayered regime of compliance, which is highly restrictive of foreign banks, capital flows, data security, foreign exchange transactions, and consumer protection. Despite the fact that JPMorgan has good </w:t>
      </w:r>
      <w:proofErr w:type="spellStart"/>
      <w:r w:rsidRPr="008B637F">
        <w:rPr>
          <w:rFonts w:eastAsia="Times New Roman"/>
          <w:sz w:val="24"/>
          <w:szCs w:val="24"/>
        </w:rPr>
        <w:t>internalisation</w:t>
      </w:r>
      <w:proofErr w:type="spellEnd"/>
      <w:r w:rsidRPr="008B637F">
        <w:rPr>
          <w:rFonts w:eastAsia="Times New Roman"/>
          <w:sz w:val="24"/>
          <w:szCs w:val="24"/>
        </w:rPr>
        <w:t xml:space="preserve"> benefits in terms of its global risk management and compliance systems across the world, the global SOPs cannot be exported directly into the Indian environment without significant </w:t>
      </w:r>
      <w:proofErr w:type="spellStart"/>
      <w:r w:rsidRPr="008B637F">
        <w:rPr>
          <w:rFonts w:eastAsia="Times New Roman"/>
          <w:sz w:val="24"/>
          <w:szCs w:val="24"/>
        </w:rPr>
        <w:t>localisation</w:t>
      </w:r>
      <w:proofErr w:type="spellEnd"/>
      <w:r w:rsidRPr="008B637F">
        <w:rPr>
          <w:rFonts w:eastAsia="Times New Roman"/>
          <w:sz w:val="24"/>
          <w:szCs w:val="24"/>
        </w:rPr>
        <w:t xml:space="preserve"> (Vyas, 2025).</w:t>
      </w:r>
    </w:p>
    <w:p w14:paraId="1530B57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One of the regulatory SOP changes is the </w:t>
      </w:r>
      <w:proofErr w:type="spellStart"/>
      <w:r w:rsidRPr="008B637F">
        <w:rPr>
          <w:rFonts w:eastAsia="Times New Roman"/>
          <w:sz w:val="24"/>
          <w:szCs w:val="24"/>
        </w:rPr>
        <w:t>localisation</w:t>
      </w:r>
      <w:proofErr w:type="spellEnd"/>
      <w:r w:rsidRPr="008B637F">
        <w:rPr>
          <w:rFonts w:eastAsia="Times New Roman"/>
          <w:sz w:val="24"/>
          <w:szCs w:val="24"/>
        </w:rPr>
        <w:t xml:space="preserve"> of the regulatory reporting and audit procedures. JPMorgan will have to adjust its capital adequacy reporting, liquidity coverage requirements, priority sector obligations, and stress testing structures to be within India regulatory thresholds. This necessitates the </w:t>
      </w:r>
      <w:proofErr w:type="spellStart"/>
      <w:r w:rsidRPr="008B637F">
        <w:rPr>
          <w:rFonts w:eastAsia="Times New Roman"/>
          <w:sz w:val="24"/>
          <w:szCs w:val="24"/>
        </w:rPr>
        <w:t>institutionalisation</w:t>
      </w:r>
      <w:proofErr w:type="spellEnd"/>
      <w:r w:rsidRPr="008B637F">
        <w:rPr>
          <w:rFonts w:eastAsia="Times New Roman"/>
          <w:sz w:val="24"/>
          <w:szCs w:val="24"/>
        </w:rPr>
        <w:t xml:space="preserve"> of India based compliance teams, which are independent but vertically integrated to the global risk governance structures (</w:t>
      </w:r>
      <w:proofErr w:type="spellStart"/>
      <w:r w:rsidRPr="008B637F">
        <w:rPr>
          <w:rFonts w:eastAsia="Times New Roman"/>
          <w:sz w:val="24"/>
          <w:szCs w:val="24"/>
        </w:rPr>
        <w:t>Apooyin</w:t>
      </w:r>
      <w:proofErr w:type="spellEnd"/>
      <w:r w:rsidRPr="008B637F">
        <w:rPr>
          <w:rFonts w:eastAsia="Times New Roman"/>
          <w:sz w:val="24"/>
          <w:szCs w:val="24"/>
        </w:rPr>
        <w:t>, 2025). The US based compliance oversight would leave regulatory loopholes especially regarding the foreign exchange management act (FEMA) in India, monitoring of cross border transactions, and financial reporting standards(</w:t>
      </w:r>
      <w:proofErr w:type="spellStart"/>
      <w:r w:rsidRPr="008B637F">
        <w:rPr>
          <w:rFonts w:eastAsia="Times New Roman"/>
          <w:sz w:val="24"/>
          <w:szCs w:val="24"/>
        </w:rPr>
        <w:t>Apooyin</w:t>
      </w:r>
      <w:proofErr w:type="spellEnd"/>
      <w:r w:rsidRPr="008B637F">
        <w:rPr>
          <w:rFonts w:eastAsia="Times New Roman"/>
          <w:sz w:val="24"/>
          <w:szCs w:val="24"/>
        </w:rPr>
        <w:t>, 2025).</w:t>
      </w:r>
    </w:p>
    <w:p w14:paraId="08AE447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other requisite SOP change is related to anti-money laundering (AML), know-your-customer (KYC), and counter-terrorist financing practices. The financial system of India is described as the high concentration of informal economy, the complex ownership structures of family-owned conglomerates, and impressive volumes of transactions </w:t>
      </w:r>
      <w:proofErr w:type="spellStart"/>
      <w:r w:rsidRPr="008B637F">
        <w:rPr>
          <w:rFonts w:eastAsia="Times New Roman"/>
          <w:sz w:val="24"/>
          <w:szCs w:val="24"/>
        </w:rPr>
        <w:t>fuelled</w:t>
      </w:r>
      <w:proofErr w:type="spellEnd"/>
      <w:r w:rsidRPr="008B637F">
        <w:rPr>
          <w:rFonts w:eastAsia="Times New Roman"/>
          <w:sz w:val="24"/>
          <w:szCs w:val="24"/>
        </w:rPr>
        <w:t xml:space="preserve"> by digital payment ecosystems (Bose and Chew, 2024). These attributes increase the chances of monetary offenses, identity fraud, and regulatory violation. JPMorgan thus </w:t>
      </w:r>
      <w:r w:rsidRPr="008B637F">
        <w:rPr>
          <w:rFonts w:eastAsia="Times New Roman"/>
          <w:sz w:val="24"/>
          <w:szCs w:val="24"/>
        </w:rPr>
        <w:lastRenderedPageBreak/>
        <w:t>needs to improve its local customer vetting procedures, channel India specific transactional monitoring code as well as to install advanced due diligence systems on politically exposed personalities as well as prospective high-risk sectors like infrastructure, mining, and real estate(Bose and Chew, 2024).</w:t>
      </w:r>
    </w:p>
    <w:p w14:paraId="20853F7B"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Lastly, the engagement of regulators needs to be </w:t>
      </w:r>
      <w:proofErr w:type="spellStart"/>
      <w:r w:rsidRPr="008B637F">
        <w:rPr>
          <w:rFonts w:eastAsia="Times New Roman"/>
          <w:sz w:val="24"/>
          <w:szCs w:val="24"/>
        </w:rPr>
        <w:t>institutionalised</w:t>
      </w:r>
      <w:proofErr w:type="spellEnd"/>
      <w:r w:rsidRPr="008B637F">
        <w:rPr>
          <w:rFonts w:eastAsia="Times New Roman"/>
          <w:sz w:val="24"/>
          <w:szCs w:val="24"/>
        </w:rPr>
        <w:t xml:space="preserve"> as an SOP and not as a reactionary role. This is unlike in the Western markets where regulation is more rule-oriented and is enforced, Indian regulation is also more relationship-oriented and consultative. Permanent regulatory dialogue, institutionalized policy interaction, and trust developing must be integrated into the India operations of JPMorgan (Suri and Reddy, 2021). In the absence of this active concern model, even technically-adherent companies are exposed to the likelihood of regulatory combat. Therefore, the </w:t>
      </w:r>
      <w:proofErr w:type="spellStart"/>
      <w:r w:rsidRPr="008B637F">
        <w:rPr>
          <w:rFonts w:eastAsia="Times New Roman"/>
          <w:sz w:val="24"/>
          <w:szCs w:val="24"/>
        </w:rPr>
        <w:t>localisation</w:t>
      </w:r>
      <w:proofErr w:type="spellEnd"/>
      <w:r w:rsidRPr="008B637F">
        <w:rPr>
          <w:rFonts w:eastAsia="Times New Roman"/>
          <w:sz w:val="24"/>
          <w:szCs w:val="24"/>
        </w:rPr>
        <w:t xml:space="preserve"> of regulation is also not only a legal stipulation but a strategic need of JPMorgan in the long-term institutional legitimacy in India(Suri and Reddy, 2021).</w:t>
      </w:r>
    </w:p>
    <w:p w14:paraId="32E118A4" w14:textId="77777777" w:rsidR="00E810C7" w:rsidRPr="008B637F" w:rsidRDefault="00000000">
      <w:pPr>
        <w:pStyle w:val="Heading2"/>
        <w:rPr>
          <w:rFonts w:ascii="Arial" w:hAnsi="Arial" w:cs="Arial"/>
        </w:rPr>
      </w:pPr>
      <w:bookmarkStart w:id="19" w:name="_heading=h.q1c6abzi47uo" w:colFirst="0" w:colLast="0"/>
      <w:bookmarkEnd w:id="19"/>
      <w:r w:rsidRPr="008B637F">
        <w:rPr>
          <w:rFonts w:ascii="Arial" w:hAnsi="Arial" w:cs="Arial"/>
        </w:rPr>
        <w:t>5.2 Leadership Systems and Human Resource Adaptivity to Culture.</w:t>
      </w:r>
    </w:p>
    <w:p w14:paraId="007B25F2"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second significant SOP modification that JPMorgan Chase needs in India is associated with the human resource management and leadership systems. As exhibited in the cultural analysis, India has a high power distance, collectivist social orientation and long term employment expectations in contrast with the low hierarchy, individual performance focus and short term outcome based rewards of the US </w:t>
      </w:r>
      <w:proofErr w:type="spellStart"/>
      <w:r w:rsidRPr="008B637F">
        <w:rPr>
          <w:rFonts w:eastAsia="Times New Roman"/>
          <w:sz w:val="24"/>
          <w:szCs w:val="24"/>
        </w:rPr>
        <w:t>organisational</w:t>
      </w:r>
      <w:proofErr w:type="spellEnd"/>
      <w:r w:rsidRPr="008B637F">
        <w:rPr>
          <w:rFonts w:eastAsia="Times New Roman"/>
          <w:sz w:val="24"/>
          <w:szCs w:val="24"/>
        </w:rPr>
        <w:t xml:space="preserve"> culture (Gobel and Miyamoto, 2024). These cultural variations essentially affect employee motivation, leadership legitimacy, retention and loyalty of the institution. In the absence of proactive cultural alignment of HR SOPs, JPMorgan will face tremendous rates of employee turnover, managerial discord, and deteriorating service provisions(Gobel and Miyamoto, 2024).</w:t>
      </w:r>
    </w:p>
    <w:p w14:paraId="0F6B6AA4"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Leadership SOPs also need to be re-align to the Indian interest in a more hierarchical structure of authority and an obvious top management. Indian staff usually prefers hierarchical reporting, good management control and well outspoken decision making authority. JPMorgan should hence </w:t>
      </w:r>
      <w:proofErr w:type="spellStart"/>
      <w:r w:rsidRPr="008B637F">
        <w:rPr>
          <w:rFonts w:eastAsia="Times New Roman"/>
          <w:sz w:val="24"/>
          <w:szCs w:val="24"/>
        </w:rPr>
        <w:t>institutionalise</w:t>
      </w:r>
      <w:proofErr w:type="spellEnd"/>
      <w:r w:rsidRPr="008B637F">
        <w:rPr>
          <w:rFonts w:eastAsia="Times New Roman"/>
          <w:sz w:val="24"/>
          <w:szCs w:val="24"/>
        </w:rPr>
        <w:t xml:space="preserve"> governance structures that would strike a balance between a </w:t>
      </w:r>
      <w:proofErr w:type="spellStart"/>
      <w:r w:rsidRPr="008B637F">
        <w:rPr>
          <w:rFonts w:eastAsia="Times New Roman"/>
          <w:sz w:val="24"/>
          <w:szCs w:val="24"/>
        </w:rPr>
        <w:t>centralised</w:t>
      </w:r>
      <w:proofErr w:type="spellEnd"/>
      <w:r w:rsidRPr="008B637F">
        <w:rPr>
          <w:rFonts w:eastAsia="Times New Roman"/>
          <w:sz w:val="24"/>
          <w:szCs w:val="24"/>
        </w:rPr>
        <w:t xml:space="preserve"> strategic control at the headquarters and culturally </w:t>
      </w:r>
      <w:r w:rsidRPr="008B637F">
        <w:rPr>
          <w:rFonts w:eastAsia="Times New Roman"/>
          <w:sz w:val="24"/>
          <w:szCs w:val="24"/>
        </w:rPr>
        <w:lastRenderedPageBreak/>
        <w:t>applicable local authority structures (Vasikova and Yudinab, 2025). The public face of the top leadership in Indian operations is crucial in fostering employee trust, enhancing the validity of the decision made, as well as enhancing institutional discipline(Vasikova and Yudinab, 2025).</w:t>
      </w:r>
    </w:p>
    <w:p w14:paraId="26E6D22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There is also a need of cultural realignment in performance management and reward systems. The current US focus on aggressive personal goals, competition rewards and short-term performance indicators can undermine the group cohesiveness in the Indian workplace. JPMorgan has to incorporate the general team incentives, department-wide performances, and career development plans with individual achievement rewards. These hybrid appraisal systems enhance productivity as well as institutional loyalty and this is necessary within organization-based service contexts such as banking (Sesay, 2023).</w:t>
      </w:r>
    </w:p>
    <w:p w14:paraId="0017CB9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Training and professional </w:t>
      </w:r>
      <w:proofErr w:type="spellStart"/>
      <w:r w:rsidRPr="008B637F">
        <w:rPr>
          <w:rFonts w:eastAsia="Times New Roman"/>
          <w:sz w:val="24"/>
          <w:szCs w:val="24"/>
        </w:rPr>
        <w:t>socialisation</w:t>
      </w:r>
      <w:proofErr w:type="spellEnd"/>
      <w:r w:rsidRPr="008B637F">
        <w:rPr>
          <w:rFonts w:eastAsia="Times New Roman"/>
          <w:sz w:val="24"/>
          <w:szCs w:val="24"/>
        </w:rPr>
        <w:t xml:space="preserve"> SOPs should be also increased essentially. Every expatriate manager sent to India is to be provided with the </w:t>
      </w:r>
      <w:proofErr w:type="spellStart"/>
      <w:r w:rsidRPr="008B637F">
        <w:rPr>
          <w:rFonts w:eastAsia="Times New Roman"/>
          <w:sz w:val="24"/>
          <w:szCs w:val="24"/>
        </w:rPr>
        <w:t>programmes</w:t>
      </w:r>
      <w:proofErr w:type="spellEnd"/>
      <w:r w:rsidRPr="008B637F">
        <w:rPr>
          <w:rFonts w:eastAsia="Times New Roman"/>
          <w:sz w:val="24"/>
          <w:szCs w:val="24"/>
        </w:rPr>
        <w:t xml:space="preserve"> of induction about Indian business culture, communication standards, negotiation, and stakeholder engagement practices (Du-Babcock and Wu, 2023). At the same time, Indian managers should be constantly trained on the global ethics frameworks, compliance standards, and financial governance principles of JPMorgan so that they remain at par with being responsive to the local environment and yet disciplined to uphold global standards.</w:t>
      </w:r>
    </w:p>
    <w:p w14:paraId="2BEB07C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Another HR accommodation that is getting more significant is employee wellbeing and work-life balance. The performance pressure and long working hours that are considered quite normal in the Western investment banking culture can contribute to burnout and this disengagement are likely to happen in Indian working circumstances where social and family duties are still of the first priority (Nelson, 2025). JPMorgan should thus entrench medical insurances, planned annual leaves, mental health support systems and family welfare benefits in its HR SOPs. This will not only help increase long term retention but also improve a better employer brand in the competitive Indian financial </w:t>
      </w:r>
      <w:proofErr w:type="spellStart"/>
      <w:r w:rsidRPr="008B637F">
        <w:rPr>
          <w:rFonts w:eastAsia="Times New Roman"/>
          <w:sz w:val="24"/>
          <w:szCs w:val="24"/>
        </w:rPr>
        <w:t>labour</w:t>
      </w:r>
      <w:proofErr w:type="spellEnd"/>
      <w:r w:rsidRPr="008B637F">
        <w:rPr>
          <w:rFonts w:eastAsia="Times New Roman"/>
          <w:sz w:val="24"/>
          <w:szCs w:val="24"/>
        </w:rPr>
        <w:t xml:space="preserve"> market by JPMorgan(Nelson, 2025).</w:t>
      </w:r>
    </w:p>
    <w:p w14:paraId="72967FA0" w14:textId="77777777" w:rsidR="00E810C7" w:rsidRPr="008B637F" w:rsidRDefault="00000000">
      <w:pPr>
        <w:pStyle w:val="Heading2"/>
        <w:rPr>
          <w:rFonts w:ascii="Arial" w:hAnsi="Arial" w:cs="Arial"/>
        </w:rPr>
      </w:pPr>
      <w:bookmarkStart w:id="20" w:name="_heading=h.7dyh2zch394f" w:colFirst="0" w:colLast="0"/>
      <w:bookmarkEnd w:id="20"/>
      <w:r w:rsidRPr="008B637F">
        <w:rPr>
          <w:rFonts w:ascii="Arial" w:hAnsi="Arial" w:cs="Arial"/>
        </w:rPr>
        <w:lastRenderedPageBreak/>
        <w:t xml:space="preserve">5.3 Digital Banking </w:t>
      </w:r>
      <w:proofErr w:type="spellStart"/>
      <w:r w:rsidRPr="008B637F">
        <w:rPr>
          <w:rFonts w:ascii="Arial" w:hAnsi="Arial" w:cs="Arial"/>
        </w:rPr>
        <w:t>Localisation</w:t>
      </w:r>
      <w:proofErr w:type="spellEnd"/>
      <w:r w:rsidRPr="008B637F">
        <w:rPr>
          <w:rFonts w:ascii="Arial" w:hAnsi="Arial" w:cs="Arial"/>
        </w:rPr>
        <w:t xml:space="preserve"> and Technology.</w:t>
      </w:r>
    </w:p>
    <w:p w14:paraId="12AB058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third significant SOP modification is associated with </w:t>
      </w:r>
      <w:proofErr w:type="spellStart"/>
      <w:r w:rsidRPr="008B637F">
        <w:rPr>
          <w:rFonts w:eastAsia="Times New Roman"/>
          <w:sz w:val="24"/>
          <w:szCs w:val="24"/>
        </w:rPr>
        <w:t>localisation</w:t>
      </w:r>
      <w:proofErr w:type="spellEnd"/>
      <w:r w:rsidRPr="008B637F">
        <w:rPr>
          <w:rFonts w:eastAsia="Times New Roman"/>
          <w:sz w:val="24"/>
          <w:szCs w:val="24"/>
        </w:rPr>
        <w:t xml:space="preserve"> of technology and digital banking systems. Today, India has become one of the most rapidly evolving digital finance systems on the planet, with the assistance of the state-supported Aadhaar biometric identity, Unified Payments Interface (UPI), and mass-scale mobile banking practices (Badak </w:t>
      </w:r>
      <w:r w:rsidRPr="008B637F">
        <w:rPr>
          <w:rFonts w:eastAsia="Times New Roman"/>
          <w:i/>
          <w:iCs/>
          <w:sz w:val="24"/>
          <w:szCs w:val="24"/>
        </w:rPr>
        <w:t>et al.,</w:t>
      </w:r>
      <w:r w:rsidRPr="008B637F">
        <w:rPr>
          <w:rFonts w:eastAsia="Times New Roman"/>
          <w:sz w:val="24"/>
          <w:szCs w:val="24"/>
        </w:rPr>
        <w:t xml:space="preserve"> 2023). Despite the fact that JPMorgan chase has a high ownership advantage in financial technology, artificially intelligent and blockchain infrastructure, direct copying of Western digital systems in India would be strategically inefficient and operationally dangerous(Badak </w:t>
      </w:r>
      <w:r w:rsidRPr="008B637F">
        <w:rPr>
          <w:rFonts w:eastAsia="Times New Roman"/>
          <w:i/>
          <w:iCs/>
          <w:sz w:val="24"/>
          <w:szCs w:val="24"/>
        </w:rPr>
        <w:t>et al.,</w:t>
      </w:r>
      <w:r w:rsidRPr="008B637F">
        <w:rPr>
          <w:rFonts w:eastAsia="Times New Roman"/>
          <w:sz w:val="24"/>
          <w:szCs w:val="24"/>
        </w:rPr>
        <w:t xml:space="preserve"> 2023).</w:t>
      </w:r>
    </w:p>
    <w:p w14:paraId="46004A4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One key technology SOP change is the collaboration with the domestic Indian digital payment infrastructure. The global transaction and treasury systems of JPMorgan should be completely compatible with the UPI, India real-time gross settlement (RTGS), and the domestic clearing networks (Prakash Raju </w:t>
      </w:r>
      <w:proofErr w:type="spellStart"/>
      <w:r w:rsidRPr="008B637F">
        <w:rPr>
          <w:rFonts w:eastAsia="Times New Roman"/>
          <w:sz w:val="24"/>
          <w:szCs w:val="24"/>
        </w:rPr>
        <w:t>Kantheti</w:t>
      </w:r>
      <w:proofErr w:type="spellEnd"/>
      <w:r w:rsidRPr="008B637F">
        <w:rPr>
          <w:rFonts w:eastAsia="Times New Roman"/>
          <w:sz w:val="24"/>
          <w:szCs w:val="24"/>
        </w:rPr>
        <w:t xml:space="preserve"> and </w:t>
      </w:r>
      <w:proofErr w:type="spellStart"/>
      <w:r w:rsidRPr="008B637F">
        <w:rPr>
          <w:rFonts w:eastAsia="Times New Roman"/>
          <w:sz w:val="24"/>
          <w:szCs w:val="24"/>
        </w:rPr>
        <w:t>Bvuma</w:t>
      </w:r>
      <w:proofErr w:type="spellEnd"/>
      <w:r w:rsidRPr="008B637F">
        <w:rPr>
          <w:rFonts w:eastAsia="Times New Roman"/>
          <w:sz w:val="24"/>
          <w:szCs w:val="24"/>
        </w:rPr>
        <w:t>, 2024). This would involve tailored APIs, India based fraud detection policies and 24/7 monitoring of transaction in accordance with the local regulatory reporting standards. JPMorgan is developing as an outsider in the core digital financial ecosystem of India unless it integrates fully.</w:t>
      </w:r>
    </w:p>
    <w:p w14:paraId="142EB37B"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SOPs on cybersecurity should as well be reinforced. The country is a high-risk cyber environment due to high digital adoption and increasing cybercrime. JPMorgan will have to thus institute regional cybersecurity command </w:t>
      </w:r>
      <w:proofErr w:type="spellStart"/>
      <w:r w:rsidRPr="008B637F">
        <w:rPr>
          <w:rFonts w:eastAsia="Times New Roman"/>
          <w:sz w:val="24"/>
          <w:szCs w:val="24"/>
        </w:rPr>
        <w:t>centres</w:t>
      </w:r>
      <w:proofErr w:type="spellEnd"/>
      <w:r w:rsidRPr="008B637F">
        <w:rPr>
          <w:rFonts w:eastAsia="Times New Roman"/>
          <w:sz w:val="24"/>
          <w:szCs w:val="24"/>
        </w:rPr>
        <w:t xml:space="preserve">, deploy incident response teams based in India and do compulsory cybersecurity awareness training to both the employees and institutional clients. The inability to </w:t>
      </w:r>
      <w:proofErr w:type="spellStart"/>
      <w:r w:rsidRPr="008B637F">
        <w:rPr>
          <w:rFonts w:eastAsia="Times New Roman"/>
          <w:sz w:val="24"/>
          <w:szCs w:val="24"/>
        </w:rPr>
        <w:t>localise</w:t>
      </w:r>
      <w:proofErr w:type="spellEnd"/>
      <w:r w:rsidRPr="008B637F">
        <w:rPr>
          <w:rFonts w:eastAsia="Times New Roman"/>
          <w:sz w:val="24"/>
          <w:szCs w:val="24"/>
        </w:rPr>
        <w:t xml:space="preserve"> the cyber risk procedures may lead to the data breach, monetary fraud, and the critical reputational loss(Prakash Raju </w:t>
      </w:r>
      <w:proofErr w:type="spellStart"/>
      <w:r w:rsidRPr="008B637F">
        <w:rPr>
          <w:rFonts w:eastAsia="Times New Roman"/>
          <w:sz w:val="24"/>
          <w:szCs w:val="24"/>
        </w:rPr>
        <w:t>Kantheti</w:t>
      </w:r>
      <w:proofErr w:type="spellEnd"/>
      <w:r w:rsidRPr="008B637F">
        <w:rPr>
          <w:rFonts w:eastAsia="Times New Roman"/>
          <w:sz w:val="24"/>
          <w:szCs w:val="24"/>
        </w:rPr>
        <w:t xml:space="preserve"> and </w:t>
      </w:r>
      <w:proofErr w:type="spellStart"/>
      <w:r w:rsidRPr="008B637F">
        <w:rPr>
          <w:rFonts w:eastAsia="Times New Roman"/>
          <w:sz w:val="24"/>
          <w:szCs w:val="24"/>
        </w:rPr>
        <w:t>Bvuma</w:t>
      </w:r>
      <w:proofErr w:type="spellEnd"/>
      <w:r w:rsidRPr="008B637F">
        <w:rPr>
          <w:rFonts w:eastAsia="Times New Roman"/>
          <w:sz w:val="24"/>
          <w:szCs w:val="24"/>
        </w:rPr>
        <w:t>, 2024).</w:t>
      </w:r>
    </w:p>
    <w:p w14:paraId="5EA82ACE"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Implementation of progressive technologies like blockchain and AI should come in phases and in line with SOPs by regulators. Although the distributed ledger and algorithmic trading technologies that JPMorgan developed have great efficiency benefits, sandbox testing, pilot-phase approvals and a staged implementation are usually demanded by Indian regulators (Koganti, 2025). Hence, JPMorgan needs to focus on regulatory </w:t>
      </w:r>
      <w:r w:rsidRPr="008B637F">
        <w:rPr>
          <w:rFonts w:eastAsia="Times New Roman"/>
          <w:sz w:val="24"/>
          <w:szCs w:val="24"/>
        </w:rPr>
        <w:lastRenderedPageBreak/>
        <w:t xml:space="preserve">cooperation and gradual incremental scaling as opposed to disruptive technology implementation to the institutional resistance. The digital platforms provided by JPMorgan should thus include multilingual interfaces, easy mobile banking experience, and client education digital </w:t>
      </w:r>
      <w:proofErr w:type="spellStart"/>
      <w:r w:rsidRPr="008B637F">
        <w:rPr>
          <w:rFonts w:eastAsia="Times New Roman"/>
          <w:sz w:val="24"/>
          <w:szCs w:val="24"/>
        </w:rPr>
        <w:t>programmes</w:t>
      </w:r>
      <w:proofErr w:type="spellEnd"/>
      <w:r w:rsidRPr="008B637F">
        <w:rPr>
          <w:rFonts w:eastAsia="Times New Roman"/>
          <w:sz w:val="24"/>
          <w:szCs w:val="24"/>
        </w:rPr>
        <w:t xml:space="preserve">. Such adaptations are more vital among the mid-market corporate clients, SMEs, and non-major metropolitan </w:t>
      </w:r>
      <w:proofErr w:type="spellStart"/>
      <w:r w:rsidRPr="008B637F">
        <w:rPr>
          <w:rFonts w:eastAsia="Times New Roman"/>
          <w:sz w:val="24"/>
          <w:szCs w:val="24"/>
        </w:rPr>
        <w:t>centre</w:t>
      </w:r>
      <w:proofErr w:type="spellEnd"/>
      <w:r w:rsidRPr="008B637F">
        <w:rPr>
          <w:rFonts w:eastAsia="Times New Roman"/>
          <w:sz w:val="24"/>
          <w:szCs w:val="24"/>
        </w:rPr>
        <w:t xml:space="preserve"> institutional investors(Koganti, 2025).</w:t>
      </w:r>
    </w:p>
    <w:p w14:paraId="747F18B8" w14:textId="77777777" w:rsidR="00E810C7" w:rsidRPr="008B637F" w:rsidRDefault="00000000">
      <w:pPr>
        <w:pStyle w:val="Heading2"/>
        <w:rPr>
          <w:rFonts w:ascii="Arial" w:hAnsi="Arial" w:cs="Arial"/>
        </w:rPr>
      </w:pPr>
      <w:bookmarkStart w:id="21" w:name="_heading=h.s9x1b721q4qq" w:colFirst="0" w:colLast="0"/>
      <w:bookmarkEnd w:id="21"/>
      <w:r w:rsidRPr="008B637F">
        <w:rPr>
          <w:rFonts w:ascii="Arial" w:hAnsi="Arial" w:cs="Arial"/>
        </w:rPr>
        <w:t>5.4 Strategic Renegotiations of SOP Adjustments and OLI, and Cultural Analysis.</w:t>
      </w:r>
    </w:p>
    <w:p w14:paraId="4AE43CA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three suggested SOP tunings: regulatory alignment, culturally adaptive HR, and </w:t>
      </w:r>
      <w:proofErr w:type="spellStart"/>
      <w:r w:rsidRPr="008B637F">
        <w:rPr>
          <w:rFonts w:eastAsia="Times New Roman"/>
          <w:sz w:val="24"/>
          <w:szCs w:val="24"/>
        </w:rPr>
        <w:t>localisation</w:t>
      </w:r>
      <w:proofErr w:type="spellEnd"/>
      <w:r w:rsidRPr="008B637F">
        <w:rPr>
          <w:rFonts w:eastAsia="Times New Roman"/>
          <w:sz w:val="24"/>
          <w:szCs w:val="24"/>
        </w:rPr>
        <w:t xml:space="preserve"> through digital form have direct links to the previous OLI analysis benefits in terms of ownership, location, and </w:t>
      </w:r>
      <w:proofErr w:type="spellStart"/>
      <w:r w:rsidRPr="008B637F">
        <w:rPr>
          <w:rFonts w:eastAsia="Times New Roman"/>
          <w:sz w:val="24"/>
          <w:szCs w:val="24"/>
        </w:rPr>
        <w:t>internalisation</w:t>
      </w:r>
      <w:proofErr w:type="spellEnd"/>
      <w:r w:rsidRPr="008B637F">
        <w:rPr>
          <w:rFonts w:eastAsia="Times New Roman"/>
          <w:sz w:val="24"/>
          <w:szCs w:val="24"/>
        </w:rPr>
        <w:t xml:space="preserve">, as well as the cultural assessment. Regulatory </w:t>
      </w:r>
      <w:proofErr w:type="spellStart"/>
      <w:r w:rsidRPr="008B637F">
        <w:rPr>
          <w:rFonts w:eastAsia="Times New Roman"/>
          <w:sz w:val="24"/>
          <w:szCs w:val="24"/>
        </w:rPr>
        <w:t>localisation</w:t>
      </w:r>
      <w:proofErr w:type="spellEnd"/>
      <w:r w:rsidRPr="008B637F">
        <w:rPr>
          <w:rFonts w:eastAsia="Times New Roman"/>
          <w:sz w:val="24"/>
          <w:szCs w:val="24"/>
        </w:rPr>
        <w:t xml:space="preserve"> enhances the </w:t>
      </w:r>
      <w:proofErr w:type="spellStart"/>
      <w:r w:rsidRPr="008B637F">
        <w:rPr>
          <w:rFonts w:eastAsia="Times New Roman"/>
          <w:sz w:val="24"/>
          <w:szCs w:val="24"/>
        </w:rPr>
        <w:t>internalisation</w:t>
      </w:r>
      <w:proofErr w:type="spellEnd"/>
      <w:r w:rsidRPr="008B637F">
        <w:rPr>
          <w:rFonts w:eastAsia="Times New Roman"/>
          <w:sz w:val="24"/>
          <w:szCs w:val="24"/>
        </w:rPr>
        <w:t xml:space="preserve"> advantage of JPMorgan because it makes certain that the high-risk financial operations will be under complete institutional control but still be compliant under the legal structure of India. Cultural HR adaptation increases the ownership advantage of the human capital in the firm by increasing stability of the workforce and legitimacy to the </w:t>
      </w:r>
      <w:proofErr w:type="spellStart"/>
      <w:r w:rsidRPr="008B637F">
        <w:rPr>
          <w:rFonts w:eastAsia="Times New Roman"/>
          <w:sz w:val="24"/>
          <w:szCs w:val="24"/>
        </w:rPr>
        <w:t>organisation</w:t>
      </w:r>
      <w:proofErr w:type="spellEnd"/>
      <w:r w:rsidRPr="008B637F">
        <w:rPr>
          <w:rFonts w:eastAsia="Times New Roman"/>
          <w:sz w:val="24"/>
          <w:szCs w:val="24"/>
        </w:rPr>
        <w:t xml:space="preserve"> (</w:t>
      </w:r>
      <w:proofErr w:type="spellStart"/>
      <w:r w:rsidRPr="008B637F">
        <w:rPr>
          <w:rFonts w:eastAsia="Times New Roman"/>
          <w:sz w:val="24"/>
          <w:szCs w:val="24"/>
        </w:rPr>
        <w:t>Bannikova</w:t>
      </w:r>
      <w:proofErr w:type="spellEnd"/>
      <w:r w:rsidRPr="008B637F">
        <w:rPr>
          <w:rFonts w:eastAsia="Times New Roman"/>
          <w:sz w:val="24"/>
          <w:szCs w:val="24"/>
        </w:rPr>
        <w:t xml:space="preserve"> and </w:t>
      </w:r>
      <w:proofErr w:type="spellStart"/>
      <w:r w:rsidRPr="008B637F">
        <w:rPr>
          <w:rFonts w:eastAsia="Times New Roman"/>
          <w:sz w:val="24"/>
          <w:szCs w:val="24"/>
        </w:rPr>
        <w:t>Mykhaylyova</w:t>
      </w:r>
      <w:proofErr w:type="spellEnd"/>
      <w:r w:rsidRPr="008B637F">
        <w:rPr>
          <w:rFonts w:eastAsia="Times New Roman"/>
          <w:sz w:val="24"/>
          <w:szCs w:val="24"/>
        </w:rPr>
        <w:t xml:space="preserve">, 2024). </w:t>
      </w:r>
      <w:proofErr w:type="spellStart"/>
      <w:r w:rsidRPr="008B637F">
        <w:rPr>
          <w:rFonts w:eastAsia="Times New Roman"/>
          <w:sz w:val="24"/>
          <w:szCs w:val="24"/>
        </w:rPr>
        <w:t>Localisation</w:t>
      </w:r>
      <w:proofErr w:type="spellEnd"/>
      <w:r w:rsidRPr="008B637F">
        <w:rPr>
          <w:rFonts w:eastAsia="Times New Roman"/>
          <w:sz w:val="24"/>
          <w:szCs w:val="24"/>
        </w:rPr>
        <w:t xml:space="preserve"> of digital banking means that JPMorgan will be able to experience the full benefits of location in the innovation of FinTech in India, digital infrastructure, and scalability of transactions(</w:t>
      </w:r>
      <w:proofErr w:type="spellStart"/>
      <w:r w:rsidRPr="008B637F">
        <w:rPr>
          <w:rFonts w:eastAsia="Times New Roman"/>
          <w:sz w:val="24"/>
          <w:szCs w:val="24"/>
        </w:rPr>
        <w:t>Bannikova</w:t>
      </w:r>
      <w:proofErr w:type="spellEnd"/>
      <w:r w:rsidRPr="008B637F">
        <w:rPr>
          <w:rFonts w:eastAsia="Times New Roman"/>
          <w:sz w:val="24"/>
          <w:szCs w:val="24"/>
        </w:rPr>
        <w:t xml:space="preserve"> and </w:t>
      </w:r>
      <w:proofErr w:type="spellStart"/>
      <w:r w:rsidRPr="008B637F">
        <w:rPr>
          <w:rFonts w:eastAsia="Times New Roman"/>
          <w:sz w:val="24"/>
          <w:szCs w:val="24"/>
        </w:rPr>
        <w:t>Mykhaylyova</w:t>
      </w:r>
      <w:proofErr w:type="spellEnd"/>
      <w:r w:rsidRPr="008B637F">
        <w:rPr>
          <w:rFonts w:eastAsia="Times New Roman"/>
          <w:sz w:val="24"/>
          <w:szCs w:val="24"/>
        </w:rPr>
        <w:t>, 2024).</w:t>
      </w:r>
    </w:p>
    <w:p w14:paraId="30F7F5F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Collectively, these SOP adaptations act as a working solution between the global strategic ability of JPMorgan and the institutional realities in India. In their absence, even theoretical strengths in the OLI framework would not be translated into sustainable performance in competitiveness.</w:t>
      </w:r>
    </w:p>
    <w:p w14:paraId="33A2CA2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A gap in the properly </w:t>
      </w:r>
      <w:proofErr w:type="spellStart"/>
      <w:r w:rsidRPr="008B637F">
        <w:rPr>
          <w:rFonts w:eastAsia="Times New Roman"/>
          <w:sz w:val="24"/>
          <w:szCs w:val="24"/>
        </w:rPr>
        <w:t>localised</w:t>
      </w:r>
      <w:proofErr w:type="spellEnd"/>
      <w:r w:rsidRPr="008B637F">
        <w:rPr>
          <w:rFonts w:eastAsia="Times New Roman"/>
          <w:sz w:val="24"/>
          <w:szCs w:val="24"/>
        </w:rPr>
        <w:t xml:space="preserve"> SOPs would put JPMorgan at a high risk of systemic risk. Non-compliance with regulations may result in </w:t>
      </w:r>
      <w:proofErr w:type="spellStart"/>
      <w:r w:rsidRPr="008B637F">
        <w:rPr>
          <w:rFonts w:eastAsia="Times New Roman"/>
          <w:sz w:val="24"/>
          <w:szCs w:val="24"/>
        </w:rPr>
        <w:t>licence</w:t>
      </w:r>
      <w:proofErr w:type="spellEnd"/>
      <w:r w:rsidRPr="008B637F">
        <w:rPr>
          <w:rFonts w:eastAsia="Times New Roman"/>
          <w:sz w:val="24"/>
          <w:szCs w:val="24"/>
        </w:rPr>
        <w:t xml:space="preserve"> limitations, financial fines or withdrawal of the operations (Lindley, 2023). Misalignment of culture would undermine the engagement of employees and client loyalty. A digital mistrust or technological misfit may cause cybersecurity failures. The emerging markets like India have a relatively low level of institutional legitimacy and cultural alignment that are as strategically important as financial strength(Lindley, 2023).</w:t>
      </w:r>
    </w:p>
    <w:p w14:paraId="073255CC" w14:textId="77777777" w:rsidR="00E810C7" w:rsidRPr="008B637F" w:rsidRDefault="00000000">
      <w:pPr>
        <w:pStyle w:val="Heading2"/>
        <w:rPr>
          <w:rFonts w:ascii="Arial" w:hAnsi="Arial" w:cs="Arial"/>
        </w:rPr>
      </w:pPr>
      <w:bookmarkStart w:id="22" w:name="_heading=h.97g66g390diq" w:colFirst="0" w:colLast="0"/>
      <w:bookmarkEnd w:id="22"/>
      <w:r w:rsidRPr="008B637F">
        <w:rPr>
          <w:rFonts w:ascii="Arial" w:hAnsi="Arial" w:cs="Arial"/>
        </w:rPr>
        <w:lastRenderedPageBreak/>
        <w:t xml:space="preserve">5.4 Critical Issues of International Business </w:t>
      </w:r>
    </w:p>
    <w:p w14:paraId="311230D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Although the benefits of international expansion are substantial, JPMorgan Chase is going through a variety of intricate strategic, regulatory, technological, and operational issues that are inherent to international banking operations. Regulatory complexity and compliance risk is one of the greatest challenges (</w:t>
      </w:r>
      <w:proofErr w:type="spellStart"/>
      <w:r w:rsidRPr="008B637F">
        <w:rPr>
          <w:rFonts w:eastAsia="Times New Roman"/>
          <w:sz w:val="24"/>
          <w:szCs w:val="24"/>
        </w:rPr>
        <w:t>Apooyin</w:t>
      </w:r>
      <w:proofErr w:type="spellEnd"/>
      <w:r w:rsidRPr="008B637F">
        <w:rPr>
          <w:rFonts w:eastAsia="Times New Roman"/>
          <w:sz w:val="24"/>
          <w:szCs w:val="24"/>
        </w:rPr>
        <w:t>, 2025). Being a multinational financial institution that has operations across more than 100 jurisdictions, JPMorgan has to address various banking regulations, such as capital adequacy regulation, anti-money laundering (AML), know-your-customer (KYC), data protection, and country-specific financial reporting regulation (</w:t>
      </w:r>
      <w:proofErr w:type="spellStart"/>
      <w:r w:rsidRPr="008B637F">
        <w:rPr>
          <w:rFonts w:eastAsia="Times New Roman"/>
          <w:sz w:val="24"/>
          <w:szCs w:val="24"/>
        </w:rPr>
        <w:t>Shirvanporzour</w:t>
      </w:r>
      <w:proofErr w:type="spellEnd"/>
      <w:r w:rsidRPr="008B637F">
        <w:rPr>
          <w:rFonts w:eastAsia="Times New Roman"/>
          <w:sz w:val="24"/>
          <w:szCs w:val="24"/>
        </w:rPr>
        <w:t>, 2025). Regulatory fragmentation adds to the increment in operational costs as well as the firm being exposed to high costs of legal and reputational risks in case of non-</w:t>
      </w:r>
      <w:proofErr w:type="spellStart"/>
      <w:r w:rsidRPr="008B637F">
        <w:rPr>
          <w:rFonts w:eastAsia="Times New Roman"/>
          <w:sz w:val="24"/>
          <w:szCs w:val="24"/>
        </w:rPr>
        <w:t>compliance.Currency</w:t>
      </w:r>
      <w:proofErr w:type="spellEnd"/>
      <w:r w:rsidRPr="008B637F">
        <w:rPr>
          <w:rFonts w:eastAsia="Times New Roman"/>
          <w:sz w:val="24"/>
          <w:szCs w:val="24"/>
        </w:rPr>
        <w:t xml:space="preserve"> volatility and financial markets instability is another significant challenge. Since JPMorgan has revenues in several currencies, changes in exchange rates have an immediate impact on profitability, asset value, and balance-sheet stability (Kiarostami, 2024). These risks are additionally compounded by the global financial shocks like interest rate volatility, inflationary pressures and sovereign debt crisis(</w:t>
      </w:r>
      <w:proofErr w:type="spellStart"/>
      <w:r w:rsidRPr="008B637F">
        <w:rPr>
          <w:rFonts w:eastAsia="Times New Roman"/>
          <w:sz w:val="24"/>
          <w:szCs w:val="24"/>
        </w:rPr>
        <w:t>Shirvanporzour</w:t>
      </w:r>
      <w:proofErr w:type="spellEnd"/>
      <w:r w:rsidRPr="008B637F">
        <w:rPr>
          <w:rFonts w:eastAsia="Times New Roman"/>
          <w:sz w:val="24"/>
          <w:szCs w:val="24"/>
        </w:rPr>
        <w:t>, 2025).</w:t>
      </w:r>
    </w:p>
    <w:p w14:paraId="21E8E873" w14:textId="77777777" w:rsidR="00E810C7" w:rsidRPr="008B637F" w:rsidRDefault="00000000">
      <w:pPr>
        <w:pStyle w:val="Heading1"/>
        <w:spacing w:before="240" w:after="240" w:line="360" w:lineRule="auto"/>
        <w:jc w:val="both"/>
        <w:rPr>
          <w:rFonts w:ascii="Arial" w:hAnsi="Arial" w:cs="Arial"/>
        </w:rPr>
      </w:pPr>
      <w:bookmarkStart w:id="23" w:name="_heading=h.6bilsyl7yfbz" w:colFirst="0" w:colLast="0"/>
      <w:bookmarkEnd w:id="23"/>
      <w:r w:rsidRPr="008B637F">
        <w:rPr>
          <w:rFonts w:ascii="Arial" w:hAnsi="Arial" w:cs="Arial"/>
        </w:rPr>
        <w:t xml:space="preserve">6. Conclusion </w:t>
      </w:r>
    </w:p>
    <w:p w14:paraId="7F2A41A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This consultancy report has critically discussed the foreign activities of JPMorgan Chase &amp; Co. and its movement to India as a strategic and emerging economy. The analysis ensured that JPMorgan is a multinational corporation as it is evident because of its large global presence, mass financial assets, diversified value chain activities, and high technological capabilities. Although its globalization provides significant strategy advantages including diversification of the market, additional revenues, global client services, scale of economies, and FinTech dominance, it opens the company to intricate regulatory, political, technological, and cultural threats.</w:t>
      </w:r>
    </w:p>
    <w:p w14:paraId="1326185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The use of the OLI framework showed that JPMorgan forging into India is well-advanced by its ownership capabilities in capital strength, technologies, brand reputation, and human expertise and location strength in India in digital financial, economic development, and talent presence. The </w:t>
      </w:r>
      <w:proofErr w:type="spellStart"/>
      <w:r w:rsidRPr="008B637F">
        <w:rPr>
          <w:rFonts w:eastAsia="Times New Roman"/>
          <w:sz w:val="24"/>
          <w:szCs w:val="24"/>
        </w:rPr>
        <w:t>internalisation</w:t>
      </w:r>
      <w:proofErr w:type="spellEnd"/>
      <w:r w:rsidRPr="008B637F">
        <w:rPr>
          <w:rFonts w:eastAsia="Times New Roman"/>
          <w:sz w:val="24"/>
          <w:szCs w:val="24"/>
        </w:rPr>
        <w:t xml:space="preserve"> also supports JPMorgan which requires high risk </w:t>
      </w:r>
      <w:r w:rsidRPr="008B637F">
        <w:rPr>
          <w:rFonts w:eastAsia="Times New Roman"/>
          <w:sz w:val="24"/>
          <w:szCs w:val="24"/>
        </w:rPr>
        <w:lastRenderedPageBreak/>
        <w:t xml:space="preserve">financial services to be tightly controlled in its operations. Nevertheless, the cultural analysis showed that high power distance, high collectivism, low uncertainty avoidance, and low long-term orientation in the USA and India have a direct effect on leadership styles, employee motivation, regulatory engagement, and client relationship management. This report thus suggested three paramount SOP modifications, which include regulatory and compliance </w:t>
      </w:r>
      <w:proofErr w:type="spellStart"/>
      <w:r w:rsidRPr="008B637F">
        <w:rPr>
          <w:rFonts w:eastAsia="Times New Roman"/>
          <w:sz w:val="24"/>
          <w:szCs w:val="24"/>
        </w:rPr>
        <w:t>harmonisation</w:t>
      </w:r>
      <w:proofErr w:type="spellEnd"/>
      <w:r w:rsidRPr="008B637F">
        <w:rPr>
          <w:rFonts w:eastAsia="Times New Roman"/>
          <w:sz w:val="24"/>
          <w:szCs w:val="24"/>
        </w:rPr>
        <w:t xml:space="preserve">, culturally responsive human resource and leadership frameworks, and digital banking and technology </w:t>
      </w:r>
      <w:proofErr w:type="spellStart"/>
      <w:r w:rsidRPr="008B637F">
        <w:rPr>
          <w:rFonts w:eastAsia="Times New Roman"/>
          <w:sz w:val="24"/>
          <w:szCs w:val="24"/>
        </w:rPr>
        <w:t>localisation</w:t>
      </w:r>
      <w:proofErr w:type="spellEnd"/>
      <w:r w:rsidRPr="008B637F">
        <w:rPr>
          <w:rFonts w:eastAsia="Times New Roman"/>
          <w:sz w:val="24"/>
          <w:szCs w:val="24"/>
        </w:rPr>
        <w:t>. Such operational changes are critical towards the transforming of the JPMorgan global strategic strengths into the sustainable competitive advantage in Indian market.</w:t>
      </w:r>
    </w:p>
    <w:p w14:paraId="377F6AC9" w14:textId="77777777" w:rsidR="00E810C7" w:rsidRPr="008B637F" w:rsidRDefault="00000000">
      <w:pPr>
        <w:spacing w:before="240" w:after="240" w:line="360" w:lineRule="auto"/>
        <w:jc w:val="both"/>
        <w:rPr>
          <w:rFonts w:eastAsia="Times New Roman"/>
          <w:sz w:val="24"/>
          <w:szCs w:val="24"/>
        </w:rPr>
      </w:pPr>
      <w:r w:rsidRPr="008B637F">
        <w:rPr>
          <w:sz w:val="24"/>
          <w:szCs w:val="24"/>
        </w:rPr>
        <w:br w:type="page"/>
      </w:r>
    </w:p>
    <w:p w14:paraId="2E3083ED" w14:textId="77777777" w:rsidR="00E810C7" w:rsidRPr="008B637F" w:rsidRDefault="00000000">
      <w:pPr>
        <w:pStyle w:val="Heading1"/>
        <w:spacing w:before="240" w:after="240" w:line="360" w:lineRule="auto"/>
        <w:jc w:val="both"/>
        <w:rPr>
          <w:rFonts w:ascii="Arial" w:hAnsi="Arial" w:cs="Arial"/>
        </w:rPr>
      </w:pPr>
      <w:bookmarkStart w:id="24" w:name="_heading=h.1cq142tc6x96" w:colFirst="0" w:colLast="0"/>
      <w:bookmarkEnd w:id="24"/>
      <w:r w:rsidRPr="008B637F">
        <w:rPr>
          <w:rFonts w:ascii="Arial" w:hAnsi="Arial" w:cs="Arial"/>
        </w:rPr>
        <w:lastRenderedPageBreak/>
        <w:t xml:space="preserve">References </w:t>
      </w:r>
    </w:p>
    <w:p w14:paraId="1641EBF3" w14:textId="6B382AA9" w:rsidR="00E810C7" w:rsidRPr="008B637F" w:rsidRDefault="00000000">
      <w:pPr>
        <w:spacing w:before="240" w:after="240" w:line="360" w:lineRule="auto"/>
        <w:jc w:val="both"/>
        <w:rPr>
          <w:sz w:val="24"/>
          <w:szCs w:val="24"/>
        </w:rPr>
      </w:pPr>
      <w:proofErr w:type="spellStart"/>
      <w:r w:rsidRPr="008B637F">
        <w:rPr>
          <w:rFonts w:eastAsia="Times New Roman"/>
          <w:sz w:val="24"/>
          <w:szCs w:val="24"/>
        </w:rPr>
        <w:t>Apooyin</w:t>
      </w:r>
      <w:proofErr w:type="spellEnd"/>
      <w:r w:rsidRPr="008B637F">
        <w:rPr>
          <w:rFonts w:eastAsia="Times New Roman"/>
          <w:sz w:val="24"/>
          <w:szCs w:val="24"/>
        </w:rPr>
        <w:t>, A., 2025. Risk Management and Compliance in a Globalized Economy: Navigating Regulatory Challenges and Strategic Adaptations.</w:t>
      </w:r>
      <w:hyperlink r:id="rId16">
        <w:r w:rsidR="00E810C7" w:rsidRPr="008B637F">
          <w:rPr>
            <w:rFonts w:eastAsia="Times New Roman"/>
            <w:sz w:val="24"/>
            <w:szCs w:val="24"/>
          </w:rPr>
          <w:t xml:space="preserve"> </w:t>
        </w:r>
      </w:hyperlink>
      <w:hyperlink r:id="rId17">
        <w:r w:rsidR="00E810C7" w:rsidRPr="008B637F">
          <w:rPr>
            <w:rFonts w:eastAsia="Times New Roman"/>
            <w:color w:val="1155CC"/>
            <w:sz w:val="24"/>
            <w:szCs w:val="24"/>
            <w:u w:val="single"/>
          </w:rPr>
          <w:t>https://www.researchgate.net/profile/Agboola-Apooyin/publication/388644613_Risk_Management_and_Compliance_in_a_Globalized_Economy_Navigating_Regulatory_Challenges_and_Strategic_Adaptations/links/67a0b3f452b58d39f267b958/Risk-Management-and-Compliance-in-a-Globalized-Economy-Navigating-Regulatory-Challenges-and-Strategic-Adaptations.pdf</w:t>
        </w:r>
      </w:hyperlink>
      <w:r w:rsidRPr="008B637F">
        <w:rPr>
          <w:rFonts w:eastAsia="Times New Roman"/>
          <w:sz w:val="24"/>
          <w:szCs w:val="24"/>
        </w:rPr>
        <w:t xml:space="preserve"> </w:t>
      </w:r>
    </w:p>
    <w:p w14:paraId="7A057C6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Badak, S., Kolte, V., Agrawal, M. and Gupta, S., 2023. Revolution of digital payment in India. Journal of Mobile Computing, Communications &amp; Mobile Networks, 10(3), pp.29-37.</w:t>
      </w:r>
      <w:hyperlink r:id="rId18">
        <w:r w:rsidR="00E810C7" w:rsidRPr="008B637F">
          <w:rPr>
            <w:rFonts w:eastAsia="Times New Roman"/>
            <w:sz w:val="24"/>
            <w:szCs w:val="24"/>
          </w:rPr>
          <w:t xml:space="preserve"> </w:t>
        </w:r>
      </w:hyperlink>
      <w:hyperlink r:id="rId19">
        <w:r w:rsidR="00E810C7" w:rsidRPr="008B637F">
          <w:rPr>
            <w:rFonts w:eastAsia="Times New Roman"/>
            <w:color w:val="1155CC"/>
            <w:sz w:val="24"/>
            <w:szCs w:val="24"/>
            <w:u w:val="single"/>
          </w:rPr>
          <w:t>https://ijoeete.com/wp-content/uploads/2025/01/42-rajesh-kumar.pdf</w:t>
        </w:r>
      </w:hyperlink>
      <w:r w:rsidRPr="008B637F">
        <w:rPr>
          <w:rFonts w:eastAsia="Times New Roman"/>
          <w:sz w:val="24"/>
          <w:szCs w:val="24"/>
        </w:rPr>
        <w:t xml:space="preserve"> </w:t>
      </w:r>
    </w:p>
    <w:p w14:paraId="3F816A6F"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Bannikova</w:t>
      </w:r>
      <w:proofErr w:type="spellEnd"/>
      <w:r w:rsidRPr="008B637F">
        <w:rPr>
          <w:rFonts w:eastAsia="Times New Roman"/>
          <w:sz w:val="24"/>
          <w:szCs w:val="24"/>
        </w:rPr>
        <w:t xml:space="preserve">, K. and </w:t>
      </w:r>
      <w:proofErr w:type="spellStart"/>
      <w:r w:rsidRPr="008B637F">
        <w:rPr>
          <w:rFonts w:eastAsia="Times New Roman"/>
          <w:sz w:val="24"/>
          <w:szCs w:val="24"/>
        </w:rPr>
        <w:t>Mykhaylyova</w:t>
      </w:r>
      <w:proofErr w:type="spellEnd"/>
      <w:r w:rsidRPr="008B637F">
        <w:rPr>
          <w:rFonts w:eastAsia="Times New Roman"/>
          <w:sz w:val="24"/>
          <w:szCs w:val="24"/>
        </w:rPr>
        <w:t xml:space="preserve">, K., 2024. </w:t>
      </w:r>
      <w:proofErr w:type="spellStart"/>
      <w:r w:rsidRPr="008B637F">
        <w:rPr>
          <w:rFonts w:eastAsia="Times New Roman"/>
          <w:sz w:val="24"/>
          <w:szCs w:val="24"/>
        </w:rPr>
        <w:t>Organisational</w:t>
      </w:r>
      <w:proofErr w:type="spellEnd"/>
      <w:r w:rsidRPr="008B637F">
        <w:rPr>
          <w:rFonts w:eastAsia="Times New Roman"/>
          <w:sz w:val="24"/>
          <w:szCs w:val="24"/>
        </w:rPr>
        <w:t xml:space="preserve"> culture as a tool for shaping human capital in times of uncertainty. </w:t>
      </w:r>
      <w:proofErr w:type="spellStart"/>
      <w:r w:rsidRPr="008B637F">
        <w:rPr>
          <w:rFonts w:eastAsia="Times New Roman"/>
          <w:sz w:val="24"/>
          <w:szCs w:val="24"/>
        </w:rPr>
        <w:t>Organisational</w:t>
      </w:r>
      <w:proofErr w:type="spellEnd"/>
      <w:r w:rsidRPr="008B637F">
        <w:rPr>
          <w:rFonts w:eastAsia="Times New Roman"/>
          <w:sz w:val="24"/>
          <w:szCs w:val="24"/>
        </w:rPr>
        <w:t xml:space="preserve"> culture: theory for practical applications: monograph. Kharkiv: PUA Publishing, 1, p.172.</w:t>
      </w:r>
      <w:hyperlink r:id="rId20">
        <w:r w:rsidR="00E810C7" w:rsidRPr="008B637F">
          <w:rPr>
            <w:rFonts w:eastAsia="Times New Roman"/>
            <w:sz w:val="24"/>
            <w:szCs w:val="24"/>
          </w:rPr>
          <w:t xml:space="preserve"> </w:t>
        </w:r>
      </w:hyperlink>
      <w:hyperlink r:id="rId21">
        <w:r w:rsidR="00E810C7" w:rsidRPr="008B637F">
          <w:rPr>
            <w:rFonts w:eastAsia="Times New Roman"/>
            <w:color w:val="1155CC"/>
            <w:sz w:val="24"/>
            <w:szCs w:val="24"/>
            <w:u w:val="single"/>
          </w:rPr>
          <w:t>https://www.researchgate.net/profile/Kateryna-Bannikova/publication/394937907_Organisational_Culture_as_a_Tool_for_Shaping_Human_Capital_in_Times_of_Uncertainty/links/68acf353ca495d76982fe5e2/Organisational-Culture-as-a-Tool-for-Shaping-Human-Capital-in-Times-of-Uncertainty.pdf</w:t>
        </w:r>
      </w:hyperlink>
      <w:r w:rsidRPr="008B637F">
        <w:rPr>
          <w:rFonts w:eastAsia="Times New Roman"/>
          <w:sz w:val="24"/>
          <w:szCs w:val="24"/>
        </w:rPr>
        <w:t xml:space="preserve"> </w:t>
      </w:r>
    </w:p>
    <w:p w14:paraId="62DCEC07" w14:textId="77777777" w:rsidR="00E810C7" w:rsidRPr="008B637F" w:rsidRDefault="00000000">
      <w:pPr>
        <w:spacing w:before="240" w:after="240" w:line="360" w:lineRule="auto"/>
        <w:jc w:val="both"/>
        <w:rPr>
          <w:rFonts w:eastAsia="Times New Roman"/>
          <w:sz w:val="24"/>
          <w:szCs w:val="24"/>
          <w:lang w:val="de-DE"/>
        </w:rPr>
      </w:pPr>
      <w:r w:rsidRPr="008B637F">
        <w:rPr>
          <w:rFonts w:eastAsia="Times New Roman"/>
          <w:sz w:val="24"/>
          <w:szCs w:val="24"/>
        </w:rPr>
        <w:t>Barnett, O., 2024. Banks Shareholder Net Worth and Blockchain Technology.</w:t>
      </w:r>
      <w:hyperlink r:id="rId22">
        <w:r w:rsidR="00E810C7" w:rsidRPr="008B637F">
          <w:rPr>
            <w:rFonts w:eastAsia="Times New Roman"/>
            <w:sz w:val="24"/>
            <w:szCs w:val="24"/>
          </w:rPr>
          <w:t xml:space="preserve"> </w:t>
        </w:r>
      </w:hyperlink>
      <w:hyperlink r:id="rId23">
        <w:r w:rsidR="00E810C7" w:rsidRPr="008B637F">
          <w:rPr>
            <w:rFonts w:eastAsia="Times New Roman"/>
            <w:color w:val="1155CC"/>
            <w:sz w:val="24"/>
            <w:szCs w:val="24"/>
            <w:u w:val="single"/>
            <w:lang w:val="de-DE"/>
          </w:rPr>
          <w:t>https://digitalcommons.liberty.edu/cgi/viewcontent.cgi?article=7155&amp;context=doctoral</w:t>
        </w:r>
      </w:hyperlink>
      <w:r w:rsidRPr="008B637F">
        <w:rPr>
          <w:rFonts w:eastAsia="Times New Roman"/>
          <w:sz w:val="24"/>
          <w:szCs w:val="24"/>
          <w:lang w:val="de-DE"/>
        </w:rPr>
        <w:t xml:space="preserve"> </w:t>
      </w:r>
    </w:p>
    <w:p w14:paraId="5057C23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lang w:val="de-DE"/>
        </w:rPr>
        <w:t xml:space="preserve">Batschauer da Cruz, C.B., Eliete Floriani, D. and Amal, M., 2022. </w:t>
      </w:r>
      <w:r w:rsidRPr="008B637F">
        <w:rPr>
          <w:rFonts w:eastAsia="Times New Roman"/>
          <w:sz w:val="24"/>
          <w:szCs w:val="24"/>
        </w:rPr>
        <w:t>The OLI Paradigm as a comprehensive model of FDI determinants: a sub-national approach. International Journal of Emerging Markets, 17(1), pp.145-176.</w:t>
      </w:r>
      <w:hyperlink r:id="rId24">
        <w:r w:rsidR="00E810C7" w:rsidRPr="008B637F">
          <w:rPr>
            <w:rFonts w:eastAsia="Times New Roman"/>
            <w:sz w:val="24"/>
            <w:szCs w:val="24"/>
          </w:rPr>
          <w:t xml:space="preserve"> </w:t>
        </w:r>
      </w:hyperlink>
      <w:hyperlink r:id="rId25">
        <w:r w:rsidR="00E810C7" w:rsidRPr="008B637F">
          <w:rPr>
            <w:rFonts w:eastAsia="Times New Roman"/>
            <w:color w:val="1155CC"/>
            <w:sz w:val="24"/>
            <w:szCs w:val="24"/>
            <w:u w:val="single"/>
          </w:rPr>
          <w:t>https://www.researchgate.net/profile/Claudia-Cruz-7/publication/329151644_The_Eclectic_Paradigm_as_a_Comprehensive_Model_to_Analyze_Subnational_Determinants_of_FDI/links/5f76e322a6fdcc0086502bc6/The-Eclectic-Paradigm-as-a-Comprehensive-Model-to-Analyze-Subnational-Determinants-of-FDI.pdf</w:t>
        </w:r>
      </w:hyperlink>
      <w:r w:rsidRPr="008B637F">
        <w:rPr>
          <w:rFonts w:eastAsia="Times New Roman"/>
          <w:sz w:val="24"/>
          <w:szCs w:val="24"/>
        </w:rPr>
        <w:t xml:space="preserve"> </w:t>
      </w:r>
    </w:p>
    <w:p w14:paraId="51C3044F"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lastRenderedPageBreak/>
        <w:t>Bose, T.K. and Chew, T.C., 2024. International Family Conglomerates (FCs) from Emerging Economies: Operations across Generations. Journal of Entrepreneurship &amp; Management, 13(2).</w:t>
      </w:r>
      <w:hyperlink r:id="rId26">
        <w:r w:rsidR="00E810C7" w:rsidRPr="008B637F">
          <w:rPr>
            <w:rFonts w:eastAsia="Times New Roman"/>
            <w:sz w:val="24"/>
            <w:szCs w:val="24"/>
          </w:rPr>
          <w:t xml:space="preserve"> </w:t>
        </w:r>
      </w:hyperlink>
      <w:hyperlink r:id="rId27">
        <w:r w:rsidR="00E810C7" w:rsidRPr="008B637F">
          <w:rPr>
            <w:rFonts w:eastAsia="Times New Roman"/>
            <w:color w:val="1155CC"/>
            <w:sz w:val="24"/>
            <w:szCs w:val="24"/>
            <w:u w:val="single"/>
          </w:rPr>
          <w:t>https://www.researchgate.net/profile/Tarun-Bose/publication/383820615_International_Family_Conglomerates_FCs_from_Emerging_Economies_Operations_across_Generations/links/66db14f3f84dd1716cd241cb/International-Family-Conglomerates-FCs-from-Emerging-Economies-Operations-across-Generations.pdf</w:t>
        </w:r>
      </w:hyperlink>
      <w:r w:rsidRPr="008B637F">
        <w:rPr>
          <w:rFonts w:eastAsia="Times New Roman"/>
          <w:sz w:val="24"/>
          <w:szCs w:val="24"/>
        </w:rPr>
        <w:t xml:space="preserve"> </w:t>
      </w:r>
    </w:p>
    <w:p w14:paraId="4189315A"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Brouthers</w:t>
      </w:r>
      <w:proofErr w:type="spellEnd"/>
      <w:r w:rsidRPr="008B637F">
        <w:rPr>
          <w:rFonts w:eastAsia="Times New Roman"/>
          <w:sz w:val="24"/>
          <w:szCs w:val="24"/>
        </w:rPr>
        <w:t>, K.D., Chen, L., Li, S. and Shaheer, N., 2022. Charting new courses to enter foreign markets: Conceptualization, theoretical framework, and research directions on non-traditional entry modes. Journal of International Business Studies, 53(9), p.2088.</w:t>
      </w:r>
      <w:hyperlink r:id="rId28">
        <w:r w:rsidR="00E810C7" w:rsidRPr="008B637F">
          <w:rPr>
            <w:rFonts w:eastAsia="Times New Roman"/>
            <w:sz w:val="24"/>
            <w:szCs w:val="24"/>
          </w:rPr>
          <w:t xml:space="preserve"> </w:t>
        </w:r>
      </w:hyperlink>
      <w:hyperlink r:id="rId29">
        <w:r w:rsidR="00E810C7" w:rsidRPr="008B637F">
          <w:rPr>
            <w:rFonts w:eastAsia="Times New Roman"/>
            <w:color w:val="1155CC"/>
            <w:sz w:val="24"/>
            <w:szCs w:val="24"/>
            <w:u w:val="single"/>
          </w:rPr>
          <w:t>https://pmc.ncbi.nlm.nih.gov/articles/PMC9030681/pdf/41267_2022_Article_521.pdf</w:t>
        </w:r>
      </w:hyperlink>
      <w:r w:rsidRPr="008B637F">
        <w:rPr>
          <w:rFonts w:eastAsia="Times New Roman"/>
          <w:sz w:val="24"/>
          <w:szCs w:val="24"/>
        </w:rPr>
        <w:t xml:space="preserve"> </w:t>
      </w:r>
    </w:p>
    <w:p w14:paraId="7FD61B56" w14:textId="62444585" w:rsidR="000E1A08" w:rsidRPr="008B637F" w:rsidRDefault="00000000" w:rsidP="000E1A08">
      <w:pPr>
        <w:spacing w:before="240" w:after="240" w:line="360" w:lineRule="auto"/>
        <w:jc w:val="both"/>
        <w:rPr>
          <w:rFonts w:eastAsia="Times New Roman"/>
          <w:sz w:val="24"/>
          <w:szCs w:val="24"/>
        </w:rPr>
      </w:pPr>
      <w:r w:rsidRPr="008B637F">
        <w:rPr>
          <w:rFonts w:eastAsia="Times New Roman"/>
          <w:sz w:val="24"/>
          <w:szCs w:val="24"/>
        </w:rPr>
        <w:t xml:space="preserve">CFI (2022). </w:t>
      </w:r>
      <w:r w:rsidRPr="008B637F">
        <w:rPr>
          <w:rFonts w:eastAsia="Times New Roman"/>
          <w:i/>
          <w:iCs/>
          <w:sz w:val="24"/>
          <w:szCs w:val="24"/>
        </w:rPr>
        <w:t>Eclectic Paradigm</w:t>
      </w:r>
      <w:r w:rsidRPr="008B637F">
        <w:rPr>
          <w:rFonts w:eastAsia="Times New Roman"/>
          <w:sz w:val="24"/>
          <w:szCs w:val="24"/>
        </w:rPr>
        <w:t>. [online] Corporate Finance Institute. Available at:</w:t>
      </w:r>
      <w:hyperlink r:id="rId30">
        <w:r w:rsidR="000E1A08" w:rsidRPr="008B637F">
          <w:rPr>
            <w:rFonts w:eastAsia="Times New Roman"/>
            <w:sz w:val="24"/>
            <w:szCs w:val="24"/>
          </w:rPr>
          <w:t xml:space="preserve"> </w:t>
        </w:r>
      </w:hyperlink>
      <w:r w:rsidR="000E1A08" w:rsidRPr="008B637F">
        <w:rPr>
          <w:sz w:val="24"/>
          <w:szCs w:val="24"/>
        </w:rPr>
        <w:t xml:space="preserve"> </w:t>
      </w:r>
      <w:hyperlink r:id="rId31">
        <w:r w:rsidR="000E1A08" w:rsidRPr="008B637F">
          <w:rPr>
            <w:rFonts w:eastAsia="Times New Roman"/>
            <w:color w:val="1155CC"/>
            <w:sz w:val="24"/>
            <w:szCs w:val="24"/>
            <w:u w:val="single"/>
          </w:rPr>
          <w:t>https://pmc.ncbi.nlm.nih.gov/articles/PMC9030681/pdf/41267_2022_Article_521.pdf</w:t>
        </w:r>
      </w:hyperlink>
      <w:r w:rsidR="000E1A08" w:rsidRPr="008B637F">
        <w:rPr>
          <w:rFonts w:eastAsia="Times New Roman"/>
          <w:sz w:val="24"/>
          <w:szCs w:val="24"/>
        </w:rPr>
        <w:t xml:space="preserve"> </w:t>
      </w:r>
    </w:p>
    <w:p w14:paraId="47371DB1" w14:textId="53E3B930" w:rsidR="00E810C7" w:rsidRPr="008B637F" w:rsidRDefault="00E810C7">
      <w:pPr>
        <w:spacing w:before="240" w:after="240" w:line="360" w:lineRule="auto"/>
        <w:jc w:val="both"/>
        <w:rPr>
          <w:rFonts w:eastAsia="Times New Roman"/>
          <w:sz w:val="24"/>
          <w:szCs w:val="24"/>
        </w:rPr>
      </w:pPr>
    </w:p>
    <w:p w14:paraId="287ADA8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Chase, J.M., 2024. Powering Growth with Curiosity and Heart Annual Report 2023 JP Morgan Chase &amp; Co.</w:t>
      </w:r>
      <w:hyperlink r:id="rId32">
        <w:r w:rsidR="00E810C7" w:rsidRPr="008B637F">
          <w:rPr>
            <w:rFonts w:eastAsia="Times New Roman"/>
            <w:sz w:val="24"/>
            <w:szCs w:val="24"/>
          </w:rPr>
          <w:t xml:space="preserve"> </w:t>
        </w:r>
      </w:hyperlink>
      <w:hyperlink r:id="rId33">
        <w:r w:rsidR="00E810C7" w:rsidRPr="008B637F">
          <w:rPr>
            <w:rFonts w:eastAsia="Times New Roman"/>
            <w:color w:val="1155CC"/>
            <w:sz w:val="24"/>
            <w:szCs w:val="24"/>
            <w:u w:val="single"/>
          </w:rPr>
          <w:t>https://elischolar.library.yale.edu/cgi/viewcontent.cgi?article=5735&amp;context=ypfs-documents2</w:t>
        </w:r>
      </w:hyperlink>
      <w:r w:rsidRPr="008B637F">
        <w:rPr>
          <w:rFonts w:eastAsia="Times New Roman"/>
          <w:sz w:val="24"/>
          <w:szCs w:val="24"/>
        </w:rPr>
        <w:t xml:space="preserve"> </w:t>
      </w:r>
    </w:p>
    <w:p w14:paraId="0C1E54F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D’Andrea, A. and </w:t>
      </w:r>
      <w:proofErr w:type="spellStart"/>
      <w:r w:rsidRPr="008B637F">
        <w:rPr>
          <w:rFonts w:eastAsia="Times New Roman"/>
          <w:sz w:val="24"/>
          <w:szCs w:val="24"/>
        </w:rPr>
        <w:t>Limodio</w:t>
      </w:r>
      <w:proofErr w:type="spellEnd"/>
      <w:r w:rsidRPr="008B637F">
        <w:rPr>
          <w:rFonts w:eastAsia="Times New Roman"/>
          <w:sz w:val="24"/>
          <w:szCs w:val="24"/>
        </w:rPr>
        <w:t>, N., 2024. High-speed internet, financial technology, and banking. Management Science, 70(2), pp.773-798.</w:t>
      </w:r>
      <w:hyperlink r:id="rId34">
        <w:r w:rsidR="00E810C7" w:rsidRPr="008B637F">
          <w:rPr>
            <w:rFonts w:eastAsia="Times New Roman"/>
            <w:sz w:val="24"/>
            <w:szCs w:val="24"/>
          </w:rPr>
          <w:t xml:space="preserve"> </w:t>
        </w:r>
      </w:hyperlink>
      <w:hyperlink r:id="rId35">
        <w:r w:rsidR="00E810C7" w:rsidRPr="008B637F">
          <w:rPr>
            <w:rFonts w:eastAsia="Times New Roman"/>
            <w:color w:val="1155CC"/>
            <w:sz w:val="24"/>
            <w:szCs w:val="24"/>
            <w:u w:val="single"/>
          </w:rPr>
          <w:t>https://papers.ssrn.com/sol3/Delivery.cfm?abstractid=3480373</w:t>
        </w:r>
      </w:hyperlink>
      <w:r w:rsidRPr="008B637F">
        <w:rPr>
          <w:rFonts w:eastAsia="Times New Roman"/>
          <w:sz w:val="24"/>
          <w:szCs w:val="24"/>
        </w:rPr>
        <w:t xml:space="preserve"> </w:t>
      </w:r>
    </w:p>
    <w:p w14:paraId="02AE857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de Souza Sant’Anna, A., 2024. Leadership Styles Across Cultures: A Comparative Study of Western and Asian Contexts Through Hofstede and Deleuzian Lenses. Millennial Asia, p.09763996251370804.</w:t>
      </w:r>
      <w:hyperlink r:id="rId36">
        <w:r w:rsidR="00E810C7" w:rsidRPr="008B637F">
          <w:rPr>
            <w:rFonts w:eastAsia="Times New Roman"/>
            <w:sz w:val="24"/>
            <w:szCs w:val="24"/>
          </w:rPr>
          <w:t xml:space="preserve"> </w:t>
        </w:r>
      </w:hyperlink>
      <w:hyperlink r:id="rId37">
        <w:r w:rsidR="00E810C7" w:rsidRPr="008B637F">
          <w:rPr>
            <w:rFonts w:eastAsia="Times New Roman"/>
            <w:color w:val="1155CC"/>
            <w:sz w:val="24"/>
            <w:szCs w:val="24"/>
            <w:u w:val="single"/>
          </w:rPr>
          <w:t>https://www.researchgate.net/profile/Anderson-Santanna-2/publication/382206570_Leadership_Styles_Across_Cultures_A_Comparative_Study_of_Western_and_Asian_Contexts_Through_Hofested_and_Deleuzian_Lenses/links/66916685c1cf0d77ffd27f10/Leadership-Styles-Across-Cultures-A-Comparative-Study-of-Western-and-Asian-Contexts-Through-Hofested-and-Deleuzian-Lenses.pdf</w:t>
        </w:r>
      </w:hyperlink>
      <w:r w:rsidRPr="008B637F">
        <w:rPr>
          <w:rFonts w:eastAsia="Times New Roman"/>
          <w:sz w:val="24"/>
          <w:szCs w:val="24"/>
        </w:rPr>
        <w:t xml:space="preserve"> </w:t>
      </w:r>
    </w:p>
    <w:p w14:paraId="7C42D1C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lang w:val="de-DE"/>
        </w:rPr>
        <w:lastRenderedPageBreak/>
        <w:t xml:space="preserve">Du-Babcock, B. and Wu, L.Y., 2023. </w:t>
      </w:r>
      <w:r w:rsidRPr="008B637F">
        <w:rPr>
          <w:rFonts w:eastAsia="Times New Roman"/>
          <w:sz w:val="24"/>
          <w:szCs w:val="24"/>
        </w:rPr>
        <w:t>Adapting western-based management and business communication courses to global environments: expatriate professor perspectives. Business Communication Research and Practice, 6(1), pp.38-48.</w:t>
      </w:r>
      <w:hyperlink r:id="rId38">
        <w:r w:rsidR="00E810C7" w:rsidRPr="008B637F">
          <w:rPr>
            <w:rFonts w:eastAsia="Times New Roman"/>
            <w:sz w:val="24"/>
            <w:szCs w:val="24"/>
          </w:rPr>
          <w:t xml:space="preserve"> </w:t>
        </w:r>
      </w:hyperlink>
      <w:hyperlink r:id="rId39">
        <w:r w:rsidR="00E810C7" w:rsidRPr="008B637F">
          <w:rPr>
            <w:rFonts w:eastAsia="Times New Roman"/>
            <w:color w:val="1155CC"/>
            <w:sz w:val="24"/>
            <w:szCs w:val="24"/>
            <w:u w:val="single"/>
          </w:rPr>
          <w:t>https://www.e-bcrp.org/archive/view_article?pid=bcrp-6-1-38</w:t>
        </w:r>
      </w:hyperlink>
      <w:r w:rsidRPr="008B637F">
        <w:rPr>
          <w:rFonts w:eastAsia="Times New Roman"/>
          <w:sz w:val="24"/>
          <w:szCs w:val="24"/>
        </w:rPr>
        <w:t xml:space="preserve"> </w:t>
      </w:r>
    </w:p>
    <w:p w14:paraId="2A761423"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Fofanov, A., 2022. The Future of Banking: Strategic Alliances between Banks and </w:t>
      </w:r>
      <w:proofErr w:type="spellStart"/>
      <w:r w:rsidRPr="008B637F">
        <w:rPr>
          <w:rFonts w:eastAsia="Times New Roman"/>
          <w:sz w:val="24"/>
          <w:szCs w:val="24"/>
        </w:rPr>
        <w:t>FinTechs</w:t>
      </w:r>
      <w:proofErr w:type="spellEnd"/>
      <w:r w:rsidRPr="008B637F">
        <w:rPr>
          <w:rFonts w:eastAsia="Times New Roman"/>
          <w:sz w:val="24"/>
          <w:szCs w:val="24"/>
        </w:rPr>
        <w:t>.</w:t>
      </w:r>
      <w:hyperlink r:id="rId40">
        <w:r w:rsidR="00E810C7" w:rsidRPr="008B637F">
          <w:rPr>
            <w:rFonts w:eastAsia="Times New Roman"/>
            <w:sz w:val="24"/>
            <w:szCs w:val="24"/>
          </w:rPr>
          <w:t xml:space="preserve"> </w:t>
        </w:r>
      </w:hyperlink>
      <w:hyperlink r:id="rId41">
        <w:r w:rsidR="00E810C7" w:rsidRPr="008B637F">
          <w:rPr>
            <w:rFonts w:eastAsia="Times New Roman"/>
            <w:color w:val="1155CC"/>
            <w:sz w:val="24"/>
            <w:szCs w:val="24"/>
            <w:u w:val="single"/>
          </w:rPr>
          <w:t>https://jyx.jyu.fi/bitstreams/a2551f6a-1031-4f23-8534-755df5f16648/download</w:t>
        </w:r>
      </w:hyperlink>
      <w:r w:rsidRPr="008B637F">
        <w:rPr>
          <w:rFonts w:eastAsia="Times New Roman"/>
          <w:sz w:val="24"/>
          <w:szCs w:val="24"/>
        </w:rPr>
        <w:t xml:space="preserve"> </w:t>
      </w:r>
    </w:p>
    <w:p w14:paraId="0EEF5BA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Gobel, M.S. and Miyamoto, Y., 2024. Self-and other-orientation in high rank: A cultural psychological approach to social hierarchy. Personality and Social Psychology Review, 28(1), pp.54-80.</w:t>
      </w:r>
      <w:hyperlink r:id="rId42">
        <w:r w:rsidR="00E810C7" w:rsidRPr="008B637F">
          <w:rPr>
            <w:rFonts w:eastAsia="Times New Roman"/>
            <w:sz w:val="24"/>
            <w:szCs w:val="24"/>
          </w:rPr>
          <w:t xml:space="preserve"> </w:t>
        </w:r>
      </w:hyperlink>
      <w:hyperlink r:id="rId43">
        <w:r w:rsidR="00E810C7" w:rsidRPr="008B637F">
          <w:rPr>
            <w:rFonts w:eastAsia="Times New Roman"/>
            <w:color w:val="1155CC"/>
            <w:sz w:val="24"/>
            <w:szCs w:val="24"/>
            <w:u w:val="single"/>
          </w:rPr>
          <w:t>https://journals.sagepub.com/doi/pdf/10.1177/10888683231172252</w:t>
        </w:r>
      </w:hyperlink>
      <w:r w:rsidRPr="008B637F">
        <w:rPr>
          <w:rFonts w:eastAsia="Times New Roman"/>
          <w:sz w:val="24"/>
          <w:szCs w:val="24"/>
        </w:rPr>
        <w:t xml:space="preserve">  </w:t>
      </w:r>
    </w:p>
    <w:p w14:paraId="0F9C06D0"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Goranova</w:t>
      </w:r>
      <w:proofErr w:type="spellEnd"/>
      <w:r w:rsidRPr="008B637F">
        <w:rPr>
          <w:rFonts w:eastAsia="Times New Roman"/>
          <w:sz w:val="24"/>
          <w:szCs w:val="24"/>
        </w:rPr>
        <w:t>, M., 2025. Common Ownership Research: Implications for Corporate Governance. Corporate Governance: An International Review.</w:t>
      </w:r>
      <w:hyperlink r:id="rId44">
        <w:r w:rsidR="00E810C7" w:rsidRPr="008B637F">
          <w:rPr>
            <w:rFonts w:eastAsia="Times New Roman"/>
            <w:color w:val="1155CC"/>
            <w:sz w:val="24"/>
            <w:szCs w:val="24"/>
            <w:u w:val="single"/>
          </w:rPr>
          <w:t>https://papers.ssrn.com/sol3/Delivery.cfm?abstractid=5287661</w:t>
        </w:r>
      </w:hyperlink>
      <w:r w:rsidRPr="008B637F">
        <w:rPr>
          <w:rFonts w:eastAsia="Times New Roman"/>
          <w:sz w:val="24"/>
          <w:szCs w:val="24"/>
        </w:rPr>
        <w:t xml:space="preserve"> </w:t>
      </w:r>
    </w:p>
    <w:p w14:paraId="6FBE17A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Hofstede Insights (2025). </w:t>
      </w:r>
      <w:r w:rsidRPr="008B637F">
        <w:rPr>
          <w:rFonts w:eastAsia="Times New Roman"/>
          <w:i/>
          <w:iCs/>
          <w:sz w:val="24"/>
          <w:szCs w:val="24"/>
        </w:rPr>
        <w:t>Country Comparison Tool</w:t>
      </w:r>
      <w:r w:rsidRPr="008B637F">
        <w:rPr>
          <w:rFonts w:eastAsia="Times New Roman"/>
          <w:sz w:val="24"/>
          <w:szCs w:val="24"/>
        </w:rPr>
        <w:t>. [online] Theculturefactor.com. Available at:</w:t>
      </w:r>
      <w:hyperlink r:id="rId45">
        <w:r w:rsidR="00E810C7" w:rsidRPr="008B637F">
          <w:rPr>
            <w:rFonts w:eastAsia="Times New Roman"/>
            <w:sz w:val="24"/>
            <w:szCs w:val="24"/>
          </w:rPr>
          <w:t xml:space="preserve"> </w:t>
        </w:r>
      </w:hyperlink>
      <w:hyperlink r:id="rId46">
        <w:r w:rsidR="00E810C7" w:rsidRPr="008B637F">
          <w:rPr>
            <w:rFonts w:eastAsia="Times New Roman"/>
            <w:color w:val="1155CC"/>
            <w:sz w:val="24"/>
            <w:szCs w:val="24"/>
            <w:u w:val="single"/>
          </w:rPr>
          <w:t>https://www.theculturefactor.com/country-comparison-tool?countries=india%2Cunited+states</w:t>
        </w:r>
      </w:hyperlink>
      <w:r w:rsidRPr="008B637F">
        <w:rPr>
          <w:rFonts w:eastAsia="Times New Roman"/>
          <w:sz w:val="24"/>
          <w:szCs w:val="24"/>
        </w:rPr>
        <w:t xml:space="preserve">. </w:t>
      </w:r>
    </w:p>
    <w:p w14:paraId="6A9F37F0"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Jan, A., Aziz, T. and Khan, A., 2024. Cross-buying in Bancassurance Among Indian Customers: The Role of Cultural Collectivism and Key Influential Factors. Global Business Review, p.09721509241257623.</w:t>
      </w:r>
      <w:hyperlink r:id="rId47">
        <w:r w:rsidR="00E810C7" w:rsidRPr="008B637F">
          <w:rPr>
            <w:rFonts w:eastAsia="Times New Roman"/>
            <w:sz w:val="24"/>
            <w:szCs w:val="24"/>
          </w:rPr>
          <w:t xml:space="preserve"> </w:t>
        </w:r>
      </w:hyperlink>
      <w:hyperlink r:id="rId48">
        <w:r w:rsidR="00E810C7" w:rsidRPr="008B637F">
          <w:rPr>
            <w:rFonts w:eastAsia="Times New Roman"/>
            <w:color w:val="1155CC"/>
            <w:sz w:val="24"/>
            <w:szCs w:val="24"/>
            <w:u w:val="single"/>
          </w:rPr>
          <w:t>https://ums.iust.ac.in/UploadedDocuments/EmployeeDocuments/ResearchPapers/1325_EF2BYE.pdf</w:t>
        </w:r>
      </w:hyperlink>
      <w:r w:rsidRPr="008B637F">
        <w:rPr>
          <w:rFonts w:eastAsia="Times New Roman"/>
          <w:sz w:val="24"/>
          <w:szCs w:val="24"/>
        </w:rPr>
        <w:t xml:space="preserve"> </w:t>
      </w:r>
    </w:p>
    <w:p w14:paraId="7931E832"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Jose, J., 2024. Cultural intelligence in international business negotiations: A systematic review. International Journal of Innovative Research in Technology and Science, 12(2), pp.69-78.</w:t>
      </w:r>
      <w:hyperlink r:id="rId49">
        <w:r w:rsidR="00E810C7" w:rsidRPr="008B637F">
          <w:rPr>
            <w:rFonts w:eastAsia="Times New Roman"/>
            <w:sz w:val="24"/>
            <w:szCs w:val="24"/>
          </w:rPr>
          <w:t xml:space="preserve"> </w:t>
        </w:r>
      </w:hyperlink>
      <w:hyperlink r:id="rId50">
        <w:r w:rsidR="00E810C7" w:rsidRPr="008B637F">
          <w:rPr>
            <w:rFonts w:eastAsia="Times New Roman"/>
            <w:color w:val="1155CC"/>
            <w:sz w:val="24"/>
            <w:szCs w:val="24"/>
            <w:u w:val="single"/>
          </w:rPr>
          <w:t>https://ijirts.org/index.php/ijirts/article/download/13/88</w:t>
        </w:r>
      </w:hyperlink>
      <w:r w:rsidRPr="008B637F">
        <w:rPr>
          <w:rFonts w:eastAsia="Times New Roman"/>
          <w:sz w:val="24"/>
          <w:szCs w:val="24"/>
        </w:rPr>
        <w:t xml:space="preserve"> </w:t>
      </w:r>
    </w:p>
    <w:p w14:paraId="0AA5C99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Chase &amp; Co (2024). </w:t>
      </w:r>
      <w:r w:rsidRPr="008B637F">
        <w:rPr>
          <w:rFonts w:eastAsia="Times New Roman"/>
          <w:i/>
          <w:iCs/>
          <w:sz w:val="24"/>
          <w:szCs w:val="24"/>
        </w:rPr>
        <w:t>Home | JPMorgan Chase &amp; Co.</w:t>
      </w:r>
      <w:r w:rsidRPr="008B637F">
        <w:rPr>
          <w:rFonts w:eastAsia="Times New Roman"/>
          <w:sz w:val="24"/>
          <w:szCs w:val="24"/>
        </w:rPr>
        <w:t xml:space="preserve"> [online] Jpmorganchase.com. Available at:</w:t>
      </w:r>
      <w:hyperlink r:id="rId51">
        <w:r w:rsidR="00E810C7" w:rsidRPr="008B637F">
          <w:rPr>
            <w:rFonts w:eastAsia="Times New Roman"/>
            <w:sz w:val="24"/>
            <w:szCs w:val="24"/>
          </w:rPr>
          <w:t xml:space="preserve"> </w:t>
        </w:r>
      </w:hyperlink>
      <w:hyperlink r:id="rId52">
        <w:r w:rsidR="00E810C7" w:rsidRPr="008B637F">
          <w:rPr>
            <w:rFonts w:eastAsia="Times New Roman"/>
            <w:color w:val="1155CC"/>
            <w:sz w:val="24"/>
            <w:szCs w:val="24"/>
            <w:u w:val="single"/>
          </w:rPr>
          <w:t>https://www.jpmorganchase.com/</w:t>
        </w:r>
      </w:hyperlink>
      <w:r w:rsidRPr="008B637F">
        <w:rPr>
          <w:rFonts w:eastAsia="Times New Roman"/>
          <w:sz w:val="24"/>
          <w:szCs w:val="24"/>
        </w:rPr>
        <w:t xml:space="preserve">. </w:t>
      </w:r>
    </w:p>
    <w:p w14:paraId="1533706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JPMorgan Chase &amp; Co. (2023a). </w:t>
      </w:r>
      <w:r w:rsidRPr="008B637F">
        <w:rPr>
          <w:rFonts w:eastAsia="Times New Roman"/>
          <w:i/>
          <w:iCs/>
          <w:sz w:val="24"/>
          <w:szCs w:val="24"/>
        </w:rPr>
        <w:t>About Us</w:t>
      </w:r>
      <w:r w:rsidRPr="008B637F">
        <w:rPr>
          <w:rFonts w:eastAsia="Times New Roman"/>
          <w:sz w:val="24"/>
          <w:szCs w:val="24"/>
        </w:rPr>
        <w:t>. [online] institute.jpmorganchase.com. Available at:</w:t>
      </w:r>
      <w:hyperlink r:id="rId53">
        <w:r w:rsidR="00E810C7" w:rsidRPr="008B637F">
          <w:rPr>
            <w:rFonts w:eastAsia="Times New Roman"/>
            <w:sz w:val="24"/>
            <w:szCs w:val="24"/>
          </w:rPr>
          <w:t xml:space="preserve"> </w:t>
        </w:r>
      </w:hyperlink>
      <w:hyperlink r:id="rId54">
        <w:r w:rsidR="00E810C7" w:rsidRPr="008B637F">
          <w:rPr>
            <w:rFonts w:eastAsia="Times New Roman"/>
            <w:color w:val="1155CC"/>
            <w:sz w:val="24"/>
            <w:szCs w:val="24"/>
            <w:u w:val="single"/>
          </w:rPr>
          <w:t>https://www.jpmorganchase.com/about</w:t>
        </w:r>
      </w:hyperlink>
      <w:r w:rsidRPr="008B637F">
        <w:rPr>
          <w:rFonts w:eastAsia="Times New Roman"/>
          <w:sz w:val="24"/>
          <w:szCs w:val="24"/>
        </w:rPr>
        <w:t xml:space="preserve">. </w:t>
      </w:r>
    </w:p>
    <w:p w14:paraId="716C3BB7"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lastRenderedPageBreak/>
        <w:t xml:space="preserve">JPMorgan Chase &amp; Co. (2023b). </w:t>
      </w:r>
      <w:r w:rsidRPr="008B637F">
        <w:rPr>
          <w:rFonts w:eastAsia="Times New Roman"/>
          <w:i/>
          <w:iCs/>
          <w:sz w:val="24"/>
          <w:szCs w:val="24"/>
        </w:rPr>
        <w:t>Powering Growth with Curiosity and Heart Annual Report 2023</w:t>
      </w:r>
      <w:r w:rsidRPr="008B637F">
        <w:rPr>
          <w:rFonts w:eastAsia="Times New Roman"/>
          <w:sz w:val="24"/>
          <w:szCs w:val="24"/>
        </w:rPr>
        <w:t>. [online] Available at:</w:t>
      </w:r>
      <w:hyperlink r:id="rId55">
        <w:r w:rsidR="00E810C7" w:rsidRPr="008B637F">
          <w:rPr>
            <w:rFonts w:eastAsia="Times New Roman"/>
            <w:sz w:val="24"/>
            <w:szCs w:val="24"/>
          </w:rPr>
          <w:t xml:space="preserve"> </w:t>
        </w:r>
      </w:hyperlink>
      <w:hyperlink r:id="rId56">
        <w:r w:rsidR="00E810C7" w:rsidRPr="008B637F">
          <w:rPr>
            <w:rFonts w:eastAsia="Times New Roman"/>
            <w:color w:val="1155CC"/>
            <w:sz w:val="24"/>
            <w:szCs w:val="24"/>
            <w:u w:val="single"/>
          </w:rPr>
          <w:t>https://www.jpmorganchase.com/content/dam/jpmc/jpmorgan-chase-and-co/investor-relations/documents/annualreport-2023.pdf</w:t>
        </w:r>
      </w:hyperlink>
      <w:r w:rsidRPr="008B637F">
        <w:rPr>
          <w:rFonts w:eastAsia="Times New Roman"/>
          <w:sz w:val="24"/>
          <w:szCs w:val="24"/>
        </w:rPr>
        <w:t xml:space="preserve">. </w:t>
      </w:r>
    </w:p>
    <w:p w14:paraId="603BD7EF"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Kiarostami, B., 2024. The Impact of Banks' Balance Sheet and Profit and Loss Items on Their Financial Performance in the Foreign Exchange Revaluation Process. Digital Transformation and Administration Innovation, 2(2), pp.89-96.</w:t>
      </w:r>
      <w:hyperlink r:id="rId57">
        <w:r w:rsidR="00E810C7" w:rsidRPr="008B637F">
          <w:rPr>
            <w:rFonts w:eastAsia="Times New Roman"/>
            <w:sz w:val="24"/>
            <w:szCs w:val="24"/>
          </w:rPr>
          <w:t xml:space="preserve"> </w:t>
        </w:r>
      </w:hyperlink>
      <w:hyperlink r:id="rId58">
        <w:r w:rsidR="00E810C7" w:rsidRPr="008B637F">
          <w:rPr>
            <w:rFonts w:eastAsia="Times New Roman"/>
            <w:color w:val="1155CC"/>
            <w:sz w:val="24"/>
            <w:szCs w:val="24"/>
            <w:u w:val="single"/>
          </w:rPr>
          <w:t>https://journaldtai.com/index.php/jdtai/article/download/95/88</w:t>
        </w:r>
      </w:hyperlink>
      <w:r w:rsidRPr="008B637F">
        <w:rPr>
          <w:rFonts w:eastAsia="Times New Roman"/>
          <w:sz w:val="24"/>
          <w:szCs w:val="24"/>
        </w:rPr>
        <w:t xml:space="preserve">  </w:t>
      </w:r>
    </w:p>
    <w:p w14:paraId="72D7E0C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Koganti, H., 2025. Understanding Distributed Ledger Technologies (DLT) in Financial Systems: A Comprehensive Analysis of Architecture, Implementation, and Impact. Journal Of Engineering And Computer Sciences, 4(9), pp.331-347.</w:t>
      </w:r>
      <w:hyperlink r:id="rId59">
        <w:r w:rsidR="00E810C7" w:rsidRPr="008B637F">
          <w:rPr>
            <w:rFonts w:eastAsia="Times New Roman"/>
            <w:sz w:val="24"/>
            <w:szCs w:val="24"/>
          </w:rPr>
          <w:t xml:space="preserve"> </w:t>
        </w:r>
      </w:hyperlink>
      <w:hyperlink r:id="rId60">
        <w:r w:rsidR="00E810C7" w:rsidRPr="008B637F">
          <w:rPr>
            <w:rFonts w:eastAsia="Times New Roman"/>
            <w:color w:val="1155CC"/>
            <w:sz w:val="24"/>
            <w:szCs w:val="24"/>
            <w:u w:val="single"/>
          </w:rPr>
          <w:t>https://sarcouncil.com/download-article/SJECS-474-2025-331-347.pdf</w:t>
        </w:r>
      </w:hyperlink>
      <w:r w:rsidRPr="008B637F">
        <w:rPr>
          <w:rFonts w:eastAsia="Times New Roman"/>
          <w:sz w:val="24"/>
          <w:szCs w:val="24"/>
        </w:rPr>
        <w:t xml:space="preserve"> </w:t>
      </w:r>
    </w:p>
    <w:p w14:paraId="5ED76D9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Lindley, J., 2023. Fishing non-compliance and culture. Marine Policy, 152, p.105581.</w:t>
      </w:r>
      <w:hyperlink r:id="rId61">
        <w:r w:rsidR="00E810C7" w:rsidRPr="008B637F">
          <w:rPr>
            <w:rFonts w:eastAsia="Times New Roman"/>
            <w:sz w:val="24"/>
            <w:szCs w:val="24"/>
          </w:rPr>
          <w:t xml:space="preserve"> </w:t>
        </w:r>
      </w:hyperlink>
      <w:hyperlink r:id="rId62">
        <w:r w:rsidR="00E810C7" w:rsidRPr="008B637F">
          <w:rPr>
            <w:rFonts w:eastAsia="Times New Roman"/>
            <w:color w:val="1155CC"/>
            <w:sz w:val="24"/>
            <w:szCs w:val="24"/>
            <w:u w:val="single"/>
          </w:rPr>
          <w:t>https://www.sciencedirect.com/science/article/pii/S0308597X23001082</w:t>
        </w:r>
      </w:hyperlink>
      <w:r w:rsidRPr="008B637F">
        <w:rPr>
          <w:rFonts w:eastAsia="Times New Roman"/>
          <w:sz w:val="24"/>
          <w:szCs w:val="24"/>
        </w:rPr>
        <w:t xml:space="preserve"> </w:t>
      </w:r>
    </w:p>
    <w:p w14:paraId="0994FDC6"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Makinde, M., 2025. Blockchain Applications in Financial Risk Management.</w:t>
      </w:r>
      <w:hyperlink r:id="rId63">
        <w:r w:rsidR="00E810C7" w:rsidRPr="008B637F">
          <w:rPr>
            <w:rFonts w:eastAsia="Times New Roman"/>
            <w:sz w:val="24"/>
            <w:szCs w:val="24"/>
          </w:rPr>
          <w:t xml:space="preserve"> </w:t>
        </w:r>
      </w:hyperlink>
      <w:hyperlink r:id="rId64">
        <w:r w:rsidR="00E810C7" w:rsidRPr="008B637F">
          <w:rPr>
            <w:rFonts w:eastAsia="Times New Roman"/>
            <w:color w:val="1155CC"/>
            <w:sz w:val="24"/>
            <w:szCs w:val="24"/>
            <w:u w:val="single"/>
          </w:rPr>
          <w:t>https://www.researchgate.net/profile/Mujidat-Makinde/publication/392508461_Blockchain_Applications_in_Financial_Risk_Management/links/6845898bc33afe388acae0e1/Blockchain-Applications-in-Financial-Risk-Management.pdf</w:t>
        </w:r>
      </w:hyperlink>
      <w:r w:rsidRPr="008B637F">
        <w:rPr>
          <w:rFonts w:eastAsia="Times New Roman"/>
          <w:sz w:val="24"/>
          <w:szCs w:val="24"/>
        </w:rPr>
        <w:t xml:space="preserve"> </w:t>
      </w:r>
    </w:p>
    <w:p w14:paraId="33D85153"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Mayienga</w:t>
      </w:r>
      <w:proofErr w:type="spellEnd"/>
      <w:r w:rsidRPr="008B637F">
        <w:rPr>
          <w:rFonts w:eastAsia="Times New Roman"/>
          <w:sz w:val="24"/>
          <w:szCs w:val="24"/>
        </w:rPr>
        <w:t xml:space="preserve">, B.A., </w:t>
      </w:r>
      <w:proofErr w:type="spellStart"/>
      <w:r w:rsidRPr="008B637F">
        <w:rPr>
          <w:rFonts w:eastAsia="Times New Roman"/>
          <w:sz w:val="24"/>
          <w:szCs w:val="24"/>
        </w:rPr>
        <w:t>Onwuzulike</w:t>
      </w:r>
      <w:proofErr w:type="spellEnd"/>
      <w:r w:rsidRPr="008B637F">
        <w:rPr>
          <w:rFonts w:eastAsia="Times New Roman"/>
          <w:sz w:val="24"/>
          <w:szCs w:val="24"/>
        </w:rPr>
        <w:t xml:space="preserve">, O.C., </w:t>
      </w:r>
      <w:proofErr w:type="spellStart"/>
      <w:r w:rsidRPr="008B637F">
        <w:rPr>
          <w:rFonts w:eastAsia="Times New Roman"/>
          <w:sz w:val="24"/>
          <w:szCs w:val="24"/>
        </w:rPr>
        <w:t>Oyeyipo</w:t>
      </w:r>
      <w:proofErr w:type="spellEnd"/>
      <w:r w:rsidRPr="008B637F">
        <w:rPr>
          <w:rFonts w:eastAsia="Times New Roman"/>
          <w:sz w:val="24"/>
          <w:szCs w:val="24"/>
        </w:rPr>
        <w:t xml:space="preserve">, I., Ayodeji, D.C., </w:t>
      </w:r>
      <w:proofErr w:type="spellStart"/>
      <w:r w:rsidRPr="008B637F">
        <w:rPr>
          <w:rFonts w:eastAsia="Times New Roman"/>
          <w:sz w:val="24"/>
          <w:szCs w:val="24"/>
        </w:rPr>
        <w:t>Nwaozomudoh</w:t>
      </w:r>
      <w:proofErr w:type="spellEnd"/>
      <w:r w:rsidRPr="008B637F">
        <w:rPr>
          <w:rFonts w:eastAsia="Times New Roman"/>
          <w:sz w:val="24"/>
          <w:szCs w:val="24"/>
        </w:rPr>
        <w:t>, M.O., Attipoe, V. and Ahmadu, J., 2024. A conceptual model for global risk management, compliance, and financial governance in multinational corporations. International Journal of Advanced Multidisciplinary Research and Studies, pp.1351-1363.</w:t>
      </w:r>
      <w:hyperlink r:id="rId65">
        <w:r w:rsidR="00E810C7" w:rsidRPr="008B637F">
          <w:rPr>
            <w:rFonts w:eastAsia="Times New Roman"/>
            <w:sz w:val="24"/>
            <w:szCs w:val="24"/>
          </w:rPr>
          <w:t xml:space="preserve"> </w:t>
        </w:r>
      </w:hyperlink>
      <w:hyperlink r:id="rId66">
        <w:r w:rsidR="00E810C7" w:rsidRPr="008B637F">
          <w:rPr>
            <w:rFonts w:eastAsia="Times New Roman"/>
            <w:color w:val="1155CC"/>
            <w:sz w:val="24"/>
            <w:szCs w:val="24"/>
            <w:u w:val="single"/>
          </w:rPr>
          <w:t>https://www.researchgate.net/profile/Ifeoluwa-Oyeyipo/publication/390295391_A_Conceptual_Model_for_Global_Risk_Management_Compliance_and_Financial_Governance_in_Multinational_Corporations/links/67e85e3349e91c0feac6a88b/A-Conceptual-Model-for-Global-Risk-Management-Compliance-and-Financial-Governance-in-Multinational-Corporations.pdf</w:t>
        </w:r>
      </w:hyperlink>
      <w:r w:rsidRPr="008B637F">
        <w:rPr>
          <w:rFonts w:eastAsia="Times New Roman"/>
          <w:sz w:val="24"/>
          <w:szCs w:val="24"/>
        </w:rPr>
        <w:t xml:space="preserve"> </w:t>
      </w:r>
    </w:p>
    <w:p w14:paraId="0CB4A011"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lastRenderedPageBreak/>
        <w:t>Medina Gonzalez, J.J., 2025. The AI Imperative: Reshaping Global Investment Banking in the Decade Ahead. Available at SSRN 5272841.</w:t>
      </w:r>
      <w:hyperlink r:id="rId67">
        <w:r w:rsidR="00E810C7" w:rsidRPr="008B637F">
          <w:rPr>
            <w:rFonts w:eastAsia="Times New Roman"/>
            <w:sz w:val="24"/>
            <w:szCs w:val="24"/>
          </w:rPr>
          <w:t xml:space="preserve"> </w:t>
        </w:r>
      </w:hyperlink>
      <w:hyperlink r:id="rId68">
        <w:r w:rsidR="00E810C7" w:rsidRPr="008B637F">
          <w:rPr>
            <w:rFonts w:eastAsia="Times New Roman"/>
            <w:color w:val="1155CC"/>
            <w:sz w:val="24"/>
            <w:szCs w:val="24"/>
            <w:u w:val="single"/>
          </w:rPr>
          <w:t>https://papers.ssrn.com/sol3/Delivery.cfm?abstractid=5272841</w:t>
        </w:r>
      </w:hyperlink>
      <w:r w:rsidRPr="008B637F">
        <w:rPr>
          <w:rFonts w:eastAsia="Times New Roman"/>
          <w:sz w:val="24"/>
          <w:szCs w:val="24"/>
        </w:rPr>
        <w:t xml:space="preserve"> </w:t>
      </w:r>
    </w:p>
    <w:p w14:paraId="086D6786"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Medina, A., de la Cruz, A. and Tang, Y., 2022. Corporate ownership and concentration.</w:t>
      </w:r>
      <w:hyperlink r:id="rId69">
        <w:r w:rsidR="00E810C7" w:rsidRPr="008B637F">
          <w:rPr>
            <w:rFonts w:eastAsia="Times New Roman"/>
            <w:sz w:val="24"/>
            <w:szCs w:val="24"/>
          </w:rPr>
          <w:t xml:space="preserve"> </w:t>
        </w:r>
      </w:hyperlink>
      <w:hyperlink r:id="rId70">
        <w:r w:rsidR="00E810C7" w:rsidRPr="008B637F">
          <w:rPr>
            <w:rFonts w:eastAsia="Times New Roman"/>
            <w:color w:val="1155CC"/>
            <w:sz w:val="24"/>
            <w:szCs w:val="24"/>
            <w:u w:val="single"/>
          </w:rPr>
          <w:t>https://www.oecd.org/content/dam/oecd/en/publications/reports/2022/09/corporate-ownership-and-concentration_071a223d/bc3adca3-en.pdf</w:t>
        </w:r>
      </w:hyperlink>
      <w:r w:rsidRPr="008B637F">
        <w:rPr>
          <w:rFonts w:eastAsia="Times New Roman"/>
          <w:sz w:val="24"/>
          <w:szCs w:val="24"/>
        </w:rPr>
        <w:t xml:space="preserve"> </w:t>
      </w:r>
    </w:p>
    <w:p w14:paraId="68292DC2"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Morgan, J.P. (2025). </w:t>
      </w:r>
      <w:r w:rsidRPr="008B637F">
        <w:rPr>
          <w:rFonts w:eastAsia="Times New Roman"/>
          <w:i/>
          <w:iCs/>
          <w:sz w:val="24"/>
          <w:szCs w:val="24"/>
        </w:rPr>
        <w:t>Honeywell frees up working capital at height of pandemic with record SCF solution</w:t>
      </w:r>
      <w:r w:rsidRPr="008B637F">
        <w:rPr>
          <w:rFonts w:eastAsia="Times New Roman"/>
          <w:sz w:val="24"/>
          <w:szCs w:val="24"/>
        </w:rPr>
        <w:t>. [online] Jpmorgan.com. Available at:</w:t>
      </w:r>
      <w:hyperlink r:id="rId71">
        <w:r w:rsidR="00E810C7" w:rsidRPr="008B637F">
          <w:rPr>
            <w:rFonts w:eastAsia="Times New Roman"/>
            <w:sz w:val="24"/>
            <w:szCs w:val="24"/>
          </w:rPr>
          <w:t xml:space="preserve"> </w:t>
        </w:r>
      </w:hyperlink>
      <w:hyperlink r:id="rId72">
        <w:r w:rsidR="00E810C7" w:rsidRPr="008B637F">
          <w:rPr>
            <w:rFonts w:eastAsia="Times New Roman"/>
            <w:color w:val="1155CC"/>
            <w:sz w:val="24"/>
            <w:szCs w:val="24"/>
            <w:u w:val="single"/>
          </w:rPr>
          <w:t>https://www.jpmorgan.com/insights/treasury/trade-working-capital/honeywell-frees-up-working-capital-with-record-scf-solution</w:t>
        </w:r>
      </w:hyperlink>
      <w:r w:rsidRPr="008B637F">
        <w:rPr>
          <w:rFonts w:eastAsia="Times New Roman"/>
          <w:sz w:val="24"/>
          <w:szCs w:val="24"/>
        </w:rPr>
        <w:t xml:space="preserve">  [Accessed 2 Dec. 2025].</w:t>
      </w:r>
    </w:p>
    <w:p w14:paraId="0ECD6085"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Nadir, A. and Khan, A.M., 2024. Corporate fraud: Legal frameworks and prevention strategies. Law Research Journal, 2(1), pp.12-24.</w:t>
      </w:r>
      <w:hyperlink r:id="rId73">
        <w:r w:rsidR="00E810C7" w:rsidRPr="008B637F">
          <w:rPr>
            <w:rFonts w:eastAsia="Times New Roman"/>
            <w:sz w:val="24"/>
            <w:szCs w:val="24"/>
          </w:rPr>
          <w:t xml:space="preserve"> </w:t>
        </w:r>
      </w:hyperlink>
      <w:hyperlink r:id="rId74">
        <w:r w:rsidR="00E810C7" w:rsidRPr="008B637F">
          <w:rPr>
            <w:rFonts w:eastAsia="Times New Roman"/>
            <w:color w:val="1155CC"/>
            <w:sz w:val="24"/>
            <w:szCs w:val="24"/>
            <w:u w:val="single"/>
          </w:rPr>
          <w:t>https://lawresearchreview.com/index.php/Journal/article/download/51/47</w:t>
        </w:r>
      </w:hyperlink>
      <w:r w:rsidRPr="008B637F">
        <w:rPr>
          <w:rFonts w:eastAsia="Times New Roman"/>
          <w:sz w:val="24"/>
          <w:szCs w:val="24"/>
        </w:rPr>
        <w:t xml:space="preserve"> </w:t>
      </w:r>
    </w:p>
    <w:p w14:paraId="77FC7726"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Nelson, C.C., 2025. Stress Management Strategies in an Investment Firm: A Managerial Perspective.</w:t>
      </w:r>
      <w:hyperlink r:id="rId75">
        <w:r w:rsidR="00E810C7" w:rsidRPr="008B637F">
          <w:rPr>
            <w:rFonts w:eastAsia="Times New Roman"/>
            <w:sz w:val="24"/>
            <w:szCs w:val="24"/>
          </w:rPr>
          <w:t xml:space="preserve"> </w:t>
        </w:r>
      </w:hyperlink>
      <w:hyperlink r:id="rId76">
        <w:r w:rsidR="00E810C7" w:rsidRPr="008B637F">
          <w:rPr>
            <w:rFonts w:eastAsia="Times New Roman"/>
            <w:color w:val="1155CC"/>
            <w:sz w:val="24"/>
            <w:szCs w:val="24"/>
            <w:u w:val="single"/>
          </w:rPr>
          <w:t>https://digitalcommons.acu.edu/cgi/viewcontent.cgi?article=1983&amp;context=etd</w:t>
        </w:r>
      </w:hyperlink>
      <w:r w:rsidRPr="008B637F">
        <w:rPr>
          <w:rFonts w:eastAsia="Times New Roman"/>
          <w:sz w:val="24"/>
          <w:szCs w:val="24"/>
        </w:rPr>
        <w:t xml:space="preserve">  </w:t>
      </w:r>
    </w:p>
    <w:p w14:paraId="2B73ECC9" w14:textId="6E1C641B"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PIB (2024). </w:t>
      </w:r>
      <w:r w:rsidRPr="008B637F">
        <w:rPr>
          <w:rFonts w:eastAsia="Times New Roman"/>
          <w:i/>
          <w:iCs/>
          <w:sz w:val="24"/>
          <w:szCs w:val="24"/>
        </w:rPr>
        <w:t>UPI: Revolutionizing Digital Payments in India</w:t>
      </w:r>
      <w:r w:rsidRPr="008B637F">
        <w:rPr>
          <w:rFonts w:eastAsia="Times New Roman"/>
          <w:sz w:val="24"/>
          <w:szCs w:val="24"/>
        </w:rPr>
        <w:t>. [online] Pib.gov.in. Available at:</w:t>
      </w:r>
      <w:hyperlink r:id="rId77">
        <w:r w:rsidR="00E810C7" w:rsidRPr="008B637F">
          <w:rPr>
            <w:rFonts w:eastAsia="Times New Roman"/>
            <w:sz w:val="24"/>
            <w:szCs w:val="24"/>
          </w:rPr>
          <w:t xml:space="preserve"> </w:t>
        </w:r>
      </w:hyperlink>
      <w:hyperlink r:id="rId78">
        <w:r w:rsidR="00E810C7" w:rsidRPr="008B637F">
          <w:rPr>
            <w:rFonts w:eastAsia="Times New Roman"/>
            <w:color w:val="1155CC"/>
            <w:sz w:val="24"/>
            <w:szCs w:val="24"/>
            <w:u w:val="single"/>
          </w:rPr>
          <w:t>https://www.pib.gov.in/PressReleasePage.aspx?PRID=2079544</w:t>
        </w:r>
      </w:hyperlink>
    </w:p>
    <w:p w14:paraId="194F97CA"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Prakash Raju Kantheti, P. and </w:t>
      </w:r>
      <w:proofErr w:type="spellStart"/>
      <w:r w:rsidRPr="008B637F">
        <w:rPr>
          <w:rFonts w:eastAsia="Times New Roman"/>
          <w:sz w:val="24"/>
          <w:szCs w:val="24"/>
        </w:rPr>
        <w:t>Bvuma</w:t>
      </w:r>
      <w:proofErr w:type="spellEnd"/>
      <w:r w:rsidRPr="008B637F">
        <w:rPr>
          <w:rFonts w:eastAsia="Times New Roman"/>
          <w:sz w:val="24"/>
          <w:szCs w:val="24"/>
        </w:rPr>
        <w:t>, S., 2024. Real-Time Payment Systems for Boosting Economic Productivity.</w:t>
      </w:r>
      <w:hyperlink r:id="rId79">
        <w:r w:rsidR="00E810C7" w:rsidRPr="008B637F">
          <w:rPr>
            <w:rFonts w:eastAsia="Times New Roman"/>
            <w:sz w:val="24"/>
            <w:szCs w:val="24"/>
          </w:rPr>
          <w:t xml:space="preserve"> </w:t>
        </w:r>
      </w:hyperlink>
      <w:hyperlink r:id="rId80">
        <w:r w:rsidR="00E810C7" w:rsidRPr="008B637F">
          <w:rPr>
            <w:rFonts w:eastAsia="Times New Roman"/>
            <w:color w:val="1155CC"/>
            <w:sz w:val="24"/>
            <w:szCs w:val="24"/>
            <w:u w:val="single"/>
          </w:rPr>
          <w:t>https://ujcontent.uj.ac.za/view/pdfCoverPage?instCode=27UOJ_INST&amp;filePid=1312547850007691&amp;download=true</w:t>
        </w:r>
      </w:hyperlink>
      <w:r w:rsidRPr="008B637F">
        <w:rPr>
          <w:rFonts w:eastAsia="Times New Roman"/>
          <w:sz w:val="24"/>
          <w:szCs w:val="24"/>
        </w:rPr>
        <w:t xml:space="preserve"> </w:t>
      </w:r>
    </w:p>
    <w:p w14:paraId="1D7EDFC6" w14:textId="20F0CEE3"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PwC (2024). </w:t>
      </w:r>
      <w:r w:rsidRPr="008B637F">
        <w:rPr>
          <w:rFonts w:eastAsia="Times New Roman"/>
          <w:i/>
          <w:iCs/>
          <w:sz w:val="24"/>
          <w:szCs w:val="24"/>
        </w:rPr>
        <w:t>Breaking new ground by deploying solutions for rapid, sustainable and resource-efficient growth Future of India The Winning Leap</w:t>
      </w:r>
      <w:r w:rsidRPr="008B637F">
        <w:rPr>
          <w:rFonts w:eastAsia="Times New Roman"/>
          <w:sz w:val="24"/>
          <w:szCs w:val="24"/>
        </w:rPr>
        <w:t>. [online] Available at:</w:t>
      </w:r>
      <w:hyperlink r:id="rId81">
        <w:r w:rsidR="00E810C7" w:rsidRPr="008B637F">
          <w:rPr>
            <w:rFonts w:eastAsia="Times New Roman"/>
            <w:sz w:val="24"/>
            <w:szCs w:val="24"/>
          </w:rPr>
          <w:t xml:space="preserve"> </w:t>
        </w:r>
      </w:hyperlink>
      <w:hyperlink r:id="rId82">
        <w:r w:rsidR="00E810C7" w:rsidRPr="008B637F">
          <w:rPr>
            <w:rFonts w:eastAsia="Times New Roman"/>
            <w:color w:val="1155CC"/>
            <w:sz w:val="24"/>
            <w:szCs w:val="24"/>
            <w:u w:val="single"/>
          </w:rPr>
          <w:t>https://www.pwc.com/sg/en/publications/assets/future-of-india-the-winning-leap.pdf</w:t>
        </w:r>
      </w:hyperlink>
    </w:p>
    <w:p w14:paraId="275B7C0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Reyes, C.L. and Hurt, C., 2024. The Contractarian Joint Venture. Ala. L. Rev., 76, p.741.</w:t>
      </w:r>
      <w:hyperlink r:id="rId83">
        <w:r w:rsidR="00E810C7" w:rsidRPr="008B637F">
          <w:rPr>
            <w:rFonts w:eastAsia="Times New Roman"/>
            <w:sz w:val="24"/>
            <w:szCs w:val="24"/>
          </w:rPr>
          <w:t xml:space="preserve"> </w:t>
        </w:r>
      </w:hyperlink>
      <w:hyperlink r:id="rId84">
        <w:r w:rsidR="00E810C7" w:rsidRPr="008B637F">
          <w:rPr>
            <w:rFonts w:eastAsia="Times New Roman"/>
            <w:color w:val="1155CC"/>
            <w:sz w:val="24"/>
            <w:szCs w:val="24"/>
            <w:u w:val="single"/>
          </w:rPr>
          <w:t>https://scholar.smu.edu/cgi/viewcontent.cgi?article=2156&amp;context=law_faculty</w:t>
        </w:r>
      </w:hyperlink>
      <w:r w:rsidRPr="008B637F">
        <w:rPr>
          <w:rFonts w:eastAsia="Times New Roman"/>
          <w:sz w:val="24"/>
          <w:szCs w:val="24"/>
        </w:rPr>
        <w:t xml:space="preserve"> </w:t>
      </w:r>
    </w:p>
    <w:p w14:paraId="7BB21538"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lastRenderedPageBreak/>
        <w:t>Satyanand, P.N., 2021. Foreign direct investment and the digital economy.</w:t>
      </w:r>
      <w:hyperlink r:id="rId85">
        <w:r w:rsidR="00E810C7" w:rsidRPr="008B637F">
          <w:rPr>
            <w:rFonts w:eastAsia="Times New Roman"/>
            <w:sz w:val="24"/>
            <w:szCs w:val="24"/>
          </w:rPr>
          <w:t xml:space="preserve"> </w:t>
        </w:r>
      </w:hyperlink>
      <w:hyperlink r:id="rId86">
        <w:r w:rsidR="00E810C7" w:rsidRPr="008B637F">
          <w:rPr>
            <w:rFonts w:eastAsia="Times New Roman"/>
            <w:color w:val="1155CC"/>
            <w:sz w:val="24"/>
            <w:szCs w:val="24"/>
            <w:u w:val="single"/>
          </w:rPr>
          <w:t>https://repository.unescap.org/bitstream/handle/20.500.12870/3730/ESCAP-2021-WP-FDI-and-digital-economy.pdf?sequence=1</w:t>
        </w:r>
      </w:hyperlink>
      <w:r w:rsidRPr="008B637F">
        <w:rPr>
          <w:rFonts w:eastAsia="Times New Roman"/>
          <w:sz w:val="24"/>
          <w:szCs w:val="24"/>
        </w:rPr>
        <w:t xml:space="preserve"> </w:t>
      </w:r>
    </w:p>
    <w:p w14:paraId="79E50F22"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Sesay, M.M., 2025. The Role of Incentives Structure on Employee Performance in the Sierra Leone Banking Sector. International Journal of Management, Accounting &amp; Economics, 12(4).</w:t>
      </w:r>
      <w:hyperlink r:id="rId87">
        <w:r w:rsidR="00E810C7" w:rsidRPr="008B637F">
          <w:rPr>
            <w:rFonts w:eastAsia="Times New Roman"/>
            <w:color w:val="1155CC"/>
            <w:sz w:val="24"/>
            <w:szCs w:val="24"/>
            <w:u w:val="single"/>
          </w:rPr>
          <w:t>https://www.academia.edu/download/122820897/The_Role_of_Incentive_Structure_on_Employee_Performance_in_the_Sierra_Leone_Banking_Sector.pdf</w:t>
        </w:r>
      </w:hyperlink>
      <w:r w:rsidRPr="008B637F">
        <w:rPr>
          <w:rFonts w:eastAsia="Times New Roman"/>
          <w:sz w:val="24"/>
          <w:szCs w:val="24"/>
        </w:rPr>
        <w:t xml:space="preserve"> </w:t>
      </w:r>
    </w:p>
    <w:p w14:paraId="63828D0D"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Sharma, R.K. and Upadhyay, A., 2023. FINANCIAL MARKETS AND INTERNATIONAL FINANCIAL ARCHITECTURE. INDIA’S PRESIDENCY OF G20: Leading the World, p.60.</w:t>
      </w:r>
      <w:hyperlink r:id="rId88" w:anchor="page=67">
        <w:r w:rsidR="00E810C7" w:rsidRPr="008B637F">
          <w:rPr>
            <w:rFonts w:eastAsia="Times New Roman"/>
            <w:sz w:val="24"/>
            <w:szCs w:val="24"/>
          </w:rPr>
          <w:t xml:space="preserve"> </w:t>
        </w:r>
      </w:hyperlink>
      <w:hyperlink r:id="rId89" w:anchor="page=67">
        <w:r w:rsidR="00E810C7" w:rsidRPr="008B637F">
          <w:rPr>
            <w:rFonts w:eastAsia="Times New Roman"/>
            <w:color w:val="1155CC"/>
            <w:sz w:val="24"/>
            <w:szCs w:val="24"/>
            <w:u w:val="single"/>
          </w:rPr>
          <w:t>https://www.researchgate.net/profile/Rashmi-Dwivedi-7/publication/391449704_IndIa's_presIdency_of_g20_Leading_the_World/links/68187d2960241d5140229dbc/IndIas-presIdency-of-g20-Leading-the-World.pdf#page=67</w:t>
        </w:r>
      </w:hyperlink>
      <w:r w:rsidRPr="008B637F">
        <w:rPr>
          <w:rFonts w:eastAsia="Times New Roman"/>
          <w:sz w:val="24"/>
          <w:szCs w:val="24"/>
        </w:rPr>
        <w:t xml:space="preserve"> </w:t>
      </w:r>
    </w:p>
    <w:p w14:paraId="226A15C0"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Shirvanporzour</w:t>
      </w:r>
      <w:proofErr w:type="spellEnd"/>
      <w:r w:rsidRPr="008B637F">
        <w:rPr>
          <w:rFonts w:eastAsia="Times New Roman"/>
          <w:sz w:val="24"/>
          <w:szCs w:val="24"/>
        </w:rPr>
        <w:t>, A., 2025. Artificial Intelligence in Banking Risk Management and Anti-Money Laundering: A Comprehensive Review. Available at SSRN 5161209.</w:t>
      </w:r>
      <w:hyperlink r:id="rId90">
        <w:r w:rsidR="00E810C7" w:rsidRPr="008B637F">
          <w:rPr>
            <w:rFonts w:eastAsia="Times New Roman"/>
            <w:sz w:val="24"/>
            <w:szCs w:val="24"/>
          </w:rPr>
          <w:t xml:space="preserve"> </w:t>
        </w:r>
      </w:hyperlink>
      <w:hyperlink r:id="rId91">
        <w:r w:rsidR="00E810C7" w:rsidRPr="008B637F">
          <w:rPr>
            <w:rFonts w:eastAsia="Times New Roman"/>
            <w:color w:val="1155CC"/>
            <w:sz w:val="24"/>
            <w:szCs w:val="24"/>
            <w:u w:val="single"/>
          </w:rPr>
          <w:t>https://papers.ssrn.com/sol3/Delivery.cfm?abstractid=5161209</w:t>
        </w:r>
      </w:hyperlink>
      <w:r w:rsidRPr="008B637F">
        <w:rPr>
          <w:rFonts w:eastAsia="Times New Roman"/>
          <w:sz w:val="24"/>
          <w:szCs w:val="24"/>
        </w:rPr>
        <w:t xml:space="preserve"> </w:t>
      </w:r>
    </w:p>
    <w:p w14:paraId="5AD11B0C"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STATEMENTS, C.F., 2024. JPMORGAN CHASE BANK, NATIONAL ASSOCIATION. Notes, p.7.</w:t>
      </w:r>
      <w:hyperlink r:id="rId92">
        <w:r w:rsidR="00E810C7" w:rsidRPr="008B637F">
          <w:rPr>
            <w:rFonts w:eastAsia="Times New Roman"/>
            <w:sz w:val="24"/>
            <w:szCs w:val="24"/>
          </w:rPr>
          <w:t xml:space="preserve"> </w:t>
        </w:r>
      </w:hyperlink>
      <w:hyperlink r:id="rId93">
        <w:r w:rsidR="00E810C7" w:rsidRPr="008B637F">
          <w:rPr>
            <w:rFonts w:eastAsia="Times New Roman"/>
            <w:color w:val="1155CC"/>
            <w:sz w:val="24"/>
            <w:szCs w:val="24"/>
            <w:u w:val="single"/>
          </w:rPr>
          <w:t>https://data.fca.org.uk/artefacts/NSM/Portal/NI-000126464/NI-000126464.pdf</w:t>
        </w:r>
      </w:hyperlink>
      <w:r w:rsidRPr="008B637F">
        <w:rPr>
          <w:rFonts w:eastAsia="Times New Roman"/>
          <w:sz w:val="24"/>
          <w:szCs w:val="24"/>
        </w:rPr>
        <w:t xml:space="preserve">  </w:t>
      </w:r>
    </w:p>
    <w:p w14:paraId="23079352"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Suri, N. and Reddy, A., 2021. Beyond Government: Role of New Actors in India’s Development Cooperation. A 2030 Vision for India’s Economic Diplomacy, p.222.</w:t>
      </w:r>
      <w:hyperlink r:id="rId94" w:anchor="page=222">
        <w:r w:rsidR="00E810C7" w:rsidRPr="008B637F">
          <w:rPr>
            <w:rFonts w:eastAsia="Times New Roman"/>
            <w:sz w:val="24"/>
            <w:szCs w:val="24"/>
          </w:rPr>
          <w:t xml:space="preserve"> </w:t>
        </w:r>
      </w:hyperlink>
      <w:hyperlink r:id="rId95" w:anchor="page=222">
        <w:r w:rsidR="00E810C7" w:rsidRPr="008B637F">
          <w:rPr>
            <w:rFonts w:eastAsia="Times New Roman"/>
            <w:color w:val="1155CC"/>
            <w:sz w:val="24"/>
            <w:szCs w:val="24"/>
            <w:u w:val="single"/>
          </w:rPr>
          <w:t>https://www.orfonline.org/public/uploads/posts/pdf/20230424134334.pdf#page=222</w:t>
        </w:r>
      </w:hyperlink>
      <w:r w:rsidRPr="008B637F">
        <w:rPr>
          <w:rFonts w:eastAsia="Times New Roman"/>
          <w:sz w:val="24"/>
          <w:szCs w:val="24"/>
        </w:rPr>
        <w:t xml:space="preserve">  </w:t>
      </w:r>
    </w:p>
    <w:p w14:paraId="74AB8335"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Thatcher, M. and </w:t>
      </w:r>
      <w:proofErr w:type="spellStart"/>
      <w:r w:rsidRPr="008B637F">
        <w:rPr>
          <w:rFonts w:eastAsia="Times New Roman"/>
          <w:sz w:val="24"/>
          <w:szCs w:val="24"/>
        </w:rPr>
        <w:t>Vlandas</w:t>
      </w:r>
      <w:proofErr w:type="spellEnd"/>
      <w:r w:rsidRPr="008B637F">
        <w:rPr>
          <w:rFonts w:eastAsia="Times New Roman"/>
          <w:sz w:val="24"/>
          <w:szCs w:val="24"/>
        </w:rPr>
        <w:t>, T., 2021. Foreign states in domestic markets: sovereign wealth funds and the west. Oxford University Press.</w:t>
      </w:r>
      <w:hyperlink r:id="rId96">
        <w:r w:rsidR="00E810C7" w:rsidRPr="008B637F">
          <w:rPr>
            <w:rFonts w:eastAsia="Times New Roman"/>
            <w:sz w:val="24"/>
            <w:szCs w:val="24"/>
          </w:rPr>
          <w:t xml:space="preserve"> </w:t>
        </w:r>
      </w:hyperlink>
      <w:hyperlink r:id="rId97">
        <w:r w:rsidR="00E810C7" w:rsidRPr="008B637F">
          <w:rPr>
            <w:rFonts w:eastAsia="Times New Roman"/>
            <w:color w:val="1155CC"/>
            <w:sz w:val="24"/>
            <w:szCs w:val="24"/>
            <w:u w:val="single"/>
          </w:rPr>
          <w:t>https://ora.ox.ac.uk/objects/uuid:093a236b-2bbf-4df2-91d8-444d2b412f53/files/rhx11xg08b</w:t>
        </w:r>
      </w:hyperlink>
      <w:r w:rsidRPr="008B637F">
        <w:rPr>
          <w:rFonts w:eastAsia="Times New Roman"/>
          <w:sz w:val="24"/>
          <w:szCs w:val="24"/>
        </w:rPr>
        <w:t xml:space="preserve"> </w:t>
      </w:r>
    </w:p>
    <w:p w14:paraId="72D580F6"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Trade Horizons (2022). </w:t>
      </w:r>
      <w:r w:rsidRPr="008B637F">
        <w:rPr>
          <w:rFonts w:eastAsia="Times New Roman"/>
          <w:i/>
          <w:iCs/>
          <w:sz w:val="24"/>
          <w:szCs w:val="24"/>
        </w:rPr>
        <w:t>How do firms go International? –closer look at entry strategies</w:t>
      </w:r>
      <w:r w:rsidRPr="008B637F">
        <w:rPr>
          <w:rFonts w:eastAsia="Times New Roman"/>
          <w:sz w:val="24"/>
          <w:szCs w:val="24"/>
        </w:rPr>
        <w:t>. [online] Trade Horizons. Available at:</w:t>
      </w:r>
      <w:hyperlink r:id="rId98">
        <w:r w:rsidR="00E810C7" w:rsidRPr="008B637F">
          <w:rPr>
            <w:rFonts w:eastAsia="Times New Roman"/>
            <w:sz w:val="24"/>
            <w:szCs w:val="24"/>
          </w:rPr>
          <w:t xml:space="preserve"> </w:t>
        </w:r>
      </w:hyperlink>
      <w:hyperlink r:id="rId99">
        <w:r w:rsidR="00E810C7" w:rsidRPr="008B637F">
          <w:rPr>
            <w:rFonts w:eastAsia="Times New Roman"/>
            <w:color w:val="1155CC"/>
            <w:sz w:val="24"/>
            <w:szCs w:val="24"/>
            <w:u w:val="single"/>
          </w:rPr>
          <w:t>https://tradehorizons.com/market-entry-blog/2022/03/how-do-firms-go-international-closer-look-at-entry-strategies/</w:t>
        </w:r>
      </w:hyperlink>
      <w:r w:rsidRPr="008B637F">
        <w:rPr>
          <w:rFonts w:eastAsia="Times New Roman"/>
          <w:sz w:val="24"/>
          <w:szCs w:val="24"/>
        </w:rPr>
        <w:t xml:space="preserve">. </w:t>
      </w:r>
    </w:p>
    <w:p w14:paraId="03C14F30"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lastRenderedPageBreak/>
        <w:t>Vărzaru</w:t>
      </w:r>
      <w:proofErr w:type="spellEnd"/>
      <w:r w:rsidRPr="008B637F">
        <w:rPr>
          <w:rFonts w:eastAsia="Times New Roman"/>
          <w:sz w:val="24"/>
          <w:szCs w:val="24"/>
        </w:rPr>
        <w:t xml:space="preserve">, A.A. and </w:t>
      </w:r>
      <w:proofErr w:type="spellStart"/>
      <w:r w:rsidRPr="008B637F">
        <w:rPr>
          <w:rFonts w:eastAsia="Times New Roman"/>
          <w:sz w:val="24"/>
          <w:szCs w:val="24"/>
        </w:rPr>
        <w:t>Bocean</w:t>
      </w:r>
      <w:proofErr w:type="spellEnd"/>
      <w:r w:rsidRPr="008B637F">
        <w:rPr>
          <w:rFonts w:eastAsia="Times New Roman"/>
          <w:sz w:val="24"/>
          <w:szCs w:val="24"/>
        </w:rPr>
        <w:t>, C.G., 2024. Digital transformation and innovation: The influence of digital technologies on turnover from innovation activities and types of innovation. Systems, 12(9), p.359.</w:t>
      </w:r>
      <w:hyperlink r:id="rId100">
        <w:r w:rsidR="00E810C7" w:rsidRPr="008B637F">
          <w:rPr>
            <w:rFonts w:eastAsia="Times New Roman"/>
            <w:sz w:val="24"/>
            <w:szCs w:val="24"/>
          </w:rPr>
          <w:t xml:space="preserve"> </w:t>
        </w:r>
      </w:hyperlink>
      <w:hyperlink r:id="rId101">
        <w:r w:rsidR="00E810C7" w:rsidRPr="008B637F">
          <w:rPr>
            <w:rFonts w:eastAsia="Times New Roman"/>
            <w:color w:val="1155CC"/>
            <w:sz w:val="24"/>
            <w:szCs w:val="24"/>
            <w:u w:val="single"/>
          </w:rPr>
          <w:t>https://www.mdpi.com/2079-8954/12/9/359</w:t>
        </w:r>
      </w:hyperlink>
      <w:r w:rsidRPr="008B637F">
        <w:rPr>
          <w:rFonts w:eastAsia="Times New Roman"/>
          <w:sz w:val="24"/>
          <w:szCs w:val="24"/>
        </w:rPr>
        <w:t xml:space="preserve"> </w:t>
      </w:r>
    </w:p>
    <w:p w14:paraId="2A07949E"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 xml:space="preserve">Vasikova, R.R. and </w:t>
      </w:r>
      <w:proofErr w:type="spellStart"/>
      <w:r w:rsidRPr="008B637F">
        <w:rPr>
          <w:rFonts w:eastAsia="Times New Roman"/>
          <w:sz w:val="24"/>
          <w:szCs w:val="24"/>
        </w:rPr>
        <w:t>Yudinab</w:t>
      </w:r>
      <w:proofErr w:type="spellEnd"/>
      <w:r w:rsidRPr="008B637F">
        <w:rPr>
          <w:rFonts w:eastAsia="Times New Roman"/>
          <w:sz w:val="24"/>
          <w:szCs w:val="24"/>
        </w:rPr>
        <w:t>, S.V., 2025. Centralization, Hierarchy and Management Control in Modern Corporate Groups. WORLD OF NEW ECONOMY, p.95.</w:t>
      </w:r>
      <w:hyperlink r:id="rId102" w:anchor="page=93">
        <w:r w:rsidR="00E810C7" w:rsidRPr="008B637F">
          <w:rPr>
            <w:rFonts w:eastAsia="Times New Roman"/>
            <w:sz w:val="24"/>
            <w:szCs w:val="24"/>
          </w:rPr>
          <w:t xml:space="preserve"> </w:t>
        </w:r>
      </w:hyperlink>
      <w:hyperlink r:id="rId103" w:anchor="page=93">
        <w:r w:rsidR="00E810C7" w:rsidRPr="008B637F">
          <w:rPr>
            <w:rFonts w:eastAsia="Times New Roman"/>
            <w:color w:val="1155CC"/>
            <w:sz w:val="24"/>
            <w:szCs w:val="24"/>
            <w:u w:val="single"/>
          </w:rPr>
          <w:t>https://wne.fa.ru/jour/issue/download/42/47#page=93</w:t>
        </w:r>
      </w:hyperlink>
      <w:r w:rsidRPr="008B637F">
        <w:rPr>
          <w:rFonts w:eastAsia="Times New Roman"/>
          <w:sz w:val="24"/>
          <w:szCs w:val="24"/>
        </w:rPr>
        <w:t xml:space="preserve"> </w:t>
      </w:r>
    </w:p>
    <w:p w14:paraId="7FDD435E"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Venna, S.R., 2024. Next-Generation Regulatory Operations: Trends in AI, Data, and Automation. Available at SSRN 5270687.</w:t>
      </w:r>
      <w:hyperlink r:id="rId104">
        <w:r w:rsidR="00E810C7" w:rsidRPr="008B637F">
          <w:rPr>
            <w:rFonts w:eastAsia="Times New Roman"/>
            <w:sz w:val="24"/>
            <w:szCs w:val="24"/>
          </w:rPr>
          <w:t xml:space="preserve"> </w:t>
        </w:r>
      </w:hyperlink>
      <w:hyperlink r:id="rId105">
        <w:r w:rsidR="00E810C7" w:rsidRPr="008B637F">
          <w:rPr>
            <w:rFonts w:eastAsia="Times New Roman"/>
            <w:color w:val="1155CC"/>
            <w:sz w:val="24"/>
            <w:szCs w:val="24"/>
            <w:u w:val="single"/>
          </w:rPr>
          <w:t>https://papers.ssrn.com/sol3/Delivery.cfm?abstractid=5270687</w:t>
        </w:r>
      </w:hyperlink>
      <w:r w:rsidRPr="008B637F">
        <w:rPr>
          <w:rFonts w:eastAsia="Times New Roman"/>
          <w:sz w:val="24"/>
          <w:szCs w:val="24"/>
        </w:rPr>
        <w:t xml:space="preserve">  </w:t>
      </w:r>
    </w:p>
    <w:p w14:paraId="666E6269" w14:textId="77777777" w:rsidR="00E810C7" w:rsidRPr="008B637F" w:rsidRDefault="00000000">
      <w:pPr>
        <w:spacing w:before="240" w:after="240" w:line="360" w:lineRule="auto"/>
        <w:jc w:val="both"/>
        <w:rPr>
          <w:rFonts w:eastAsia="Times New Roman"/>
          <w:sz w:val="24"/>
          <w:szCs w:val="24"/>
        </w:rPr>
      </w:pPr>
      <w:r w:rsidRPr="008B637F">
        <w:rPr>
          <w:rFonts w:eastAsia="Times New Roman"/>
          <w:sz w:val="24"/>
          <w:szCs w:val="24"/>
        </w:rPr>
        <w:t>Vyas, A., 2025. Revolutionizing Risk: The Role of Artificial Intelligence in Financial Risk Management, Forecasting, and Global Implementation. Forecasting, and Global Implementation (April 21, 2025).</w:t>
      </w:r>
      <w:hyperlink r:id="rId106">
        <w:r w:rsidR="00E810C7" w:rsidRPr="008B637F">
          <w:rPr>
            <w:rFonts w:eastAsia="Times New Roman"/>
            <w:sz w:val="24"/>
            <w:szCs w:val="24"/>
          </w:rPr>
          <w:t xml:space="preserve"> </w:t>
        </w:r>
      </w:hyperlink>
      <w:hyperlink r:id="rId107">
        <w:r w:rsidR="00E810C7" w:rsidRPr="008B637F">
          <w:rPr>
            <w:rFonts w:eastAsia="Times New Roman"/>
            <w:color w:val="1155CC"/>
            <w:sz w:val="24"/>
            <w:szCs w:val="24"/>
            <w:u w:val="single"/>
          </w:rPr>
          <w:t>https://papers.ssrn.com/sol3/Delivery.cfm?abstractid=5224657</w:t>
        </w:r>
      </w:hyperlink>
      <w:r w:rsidRPr="008B637F">
        <w:rPr>
          <w:rFonts w:eastAsia="Times New Roman"/>
          <w:sz w:val="24"/>
          <w:szCs w:val="24"/>
        </w:rPr>
        <w:t xml:space="preserve"> </w:t>
      </w:r>
    </w:p>
    <w:p w14:paraId="33C23A53" w14:textId="77777777" w:rsidR="00E810C7" w:rsidRPr="008B637F" w:rsidRDefault="00000000">
      <w:pPr>
        <w:spacing w:before="240" w:after="240" w:line="360" w:lineRule="auto"/>
        <w:jc w:val="both"/>
        <w:rPr>
          <w:rFonts w:eastAsia="Times New Roman"/>
          <w:sz w:val="24"/>
          <w:szCs w:val="24"/>
        </w:rPr>
      </w:pPr>
      <w:proofErr w:type="spellStart"/>
      <w:r w:rsidRPr="008B637F">
        <w:rPr>
          <w:rFonts w:eastAsia="Times New Roman"/>
          <w:sz w:val="24"/>
          <w:szCs w:val="24"/>
        </w:rPr>
        <w:t>Warsen</w:t>
      </w:r>
      <w:proofErr w:type="spellEnd"/>
      <w:r w:rsidRPr="008B637F">
        <w:rPr>
          <w:rFonts w:eastAsia="Times New Roman"/>
          <w:sz w:val="24"/>
          <w:szCs w:val="24"/>
        </w:rPr>
        <w:t>, R., 2021. Putting the pieces together: Combining contractual and relational governance for successful public-private partnerships.</w:t>
      </w:r>
      <w:hyperlink r:id="rId108">
        <w:r w:rsidR="00E810C7" w:rsidRPr="008B637F">
          <w:rPr>
            <w:rFonts w:eastAsia="Times New Roman"/>
            <w:sz w:val="24"/>
            <w:szCs w:val="24"/>
          </w:rPr>
          <w:t xml:space="preserve"> </w:t>
        </w:r>
      </w:hyperlink>
      <w:hyperlink r:id="rId109">
        <w:r w:rsidR="00E810C7" w:rsidRPr="008B637F">
          <w:rPr>
            <w:rFonts w:eastAsia="Times New Roman"/>
            <w:color w:val="1155CC"/>
            <w:sz w:val="24"/>
            <w:szCs w:val="24"/>
            <w:u w:val="single"/>
          </w:rPr>
          <w:t>https://repub.eur.nl/pub/131577/warsen-r-2021-putting-the-pieces-together-phd-dissertation.pdf</w:t>
        </w:r>
      </w:hyperlink>
      <w:r w:rsidRPr="008B637F">
        <w:rPr>
          <w:rFonts w:eastAsia="Times New Roman"/>
          <w:sz w:val="24"/>
          <w:szCs w:val="24"/>
        </w:rPr>
        <w:t xml:space="preserve"> </w:t>
      </w:r>
    </w:p>
    <w:p w14:paraId="3D44565F" w14:textId="77777777" w:rsidR="00E810C7" w:rsidRDefault="00E810C7">
      <w:pPr>
        <w:spacing w:before="240" w:after="240" w:line="360" w:lineRule="auto"/>
        <w:jc w:val="both"/>
        <w:rPr>
          <w:rFonts w:ascii="Times New Roman" w:eastAsia="Times New Roman" w:hAnsi="Times New Roman" w:cs="Times New Roman"/>
          <w:sz w:val="24"/>
          <w:szCs w:val="24"/>
        </w:rPr>
      </w:pPr>
    </w:p>
    <w:sectPr w:rsidR="00E810C7">
      <w:footerReference w:type="default" r:id="rId1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41CFCA" w14:textId="77777777" w:rsidR="00E03085" w:rsidRDefault="00E03085">
      <w:pPr>
        <w:spacing w:line="240" w:lineRule="auto"/>
      </w:pPr>
      <w:r>
        <w:separator/>
      </w:r>
    </w:p>
  </w:endnote>
  <w:endnote w:type="continuationSeparator" w:id="0">
    <w:p w14:paraId="5A748FF7" w14:textId="77777777" w:rsidR="00E03085" w:rsidRDefault="00E030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DEBEAC3F-8953-4391-822E-BB3D2E572BB7}"/>
  </w:font>
  <w:font w:name="Cambria">
    <w:panose1 w:val="02040503050406030204"/>
    <w:charset w:val="00"/>
    <w:family w:val="roman"/>
    <w:pitch w:val="variable"/>
    <w:sig w:usb0="E00006FF" w:usb1="420024FF" w:usb2="02000000" w:usb3="00000000" w:csb0="0000019F" w:csb1="00000000"/>
    <w:embedRegular r:id="rId2" w:fontKey="{E8FD3BE4-3B52-4479-8ABD-22A8CC7FBF6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CE9E6" w14:textId="77777777" w:rsidR="00E810C7" w:rsidRDefault="00000000">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0E1A08">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D07F83" w14:textId="77777777" w:rsidR="00E03085" w:rsidRDefault="00E03085">
      <w:pPr>
        <w:spacing w:line="240" w:lineRule="auto"/>
      </w:pPr>
      <w:r>
        <w:separator/>
      </w:r>
    </w:p>
  </w:footnote>
  <w:footnote w:type="continuationSeparator" w:id="0">
    <w:p w14:paraId="6E199363" w14:textId="77777777" w:rsidR="00E03085" w:rsidRDefault="00E0308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C4188"/>
    <w:multiLevelType w:val="multilevel"/>
    <w:tmpl w:val="8B547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B1875CD"/>
    <w:multiLevelType w:val="hybridMultilevel"/>
    <w:tmpl w:val="167863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852040E"/>
    <w:multiLevelType w:val="hybridMultilevel"/>
    <w:tmpl w:val="AA7861A0"/>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6E4F227F"/>
    <w:multiLevelType w:val="hybridMultilevel"/>
    <w:tmpl w:val="1D5CB5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83252938">
    <w:abstractNumId w:val="0"/>
  </w:num>
  <w:num w:numId="2" w16cid:durableId="1014501906">
    <w:abstractNumId w:val="3"/>
  </w:num>
  <w:num w:numId="3" w16cid:durableId="696854277">
    <w:abstractNumId w:val="1"/>
  </w:num>
  <w:num w:numId="4" w16cid:durableId="106210109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810C7"/>
    <w:rsid w:val="00027569"/>
    <w:rsid w:val="000E1A08"/>
    <w:rsid w:val="001231E8"/>
    <w:rsid w:val="00144E42"/>
    <w:rsid w:val="0027279F"/>
    <w:rsid w:val="002F79D4"/>
    <w:rsid w:val="00411EB4"/>
    <w:rsid w:val="004A18E8"/>
    <w:rsid w:val="005D38A6"/>
    <w:rsid w:val="006111CD"/>
    <w:rsid w:val="008B637F"/>
    <w:rsid w:val="008E72C3"/>
    <w:rsid w:val="009F39EB"/>
    <w:rsid w:val="00A77F34"/>
    <w:rsid w:val="00B03882"/>
    <w:rsid w:val="00E03085"/>
    <w:rsid w:val="00E810C7"/>
    <w:rsid w:val="00EF5711"/>
    <w:rsid w:val="00FA728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7EAAB"/>
  <w15:docId w15:val="{0FAB18A8-CB3F-4472-8B74-576051FF94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EF57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researchgate.net/profile/Tarun-Bose/publication/383820615_International_Family_Conglomerates_FCs_from_Emerging_Economies_Operations_across_Generations/links/66db14f3f84dd1716cd241cb/International-Family-Conglomerates-FCs-from-Emerging-Economies-Operations-across-Generations.pdf" TargetMode="External"/><Relationship Id="rId21" Type="http://schemas.openxmlformats.org/officeDocument/2006/relationships/hyperlink" Target="https://www.researchgate.net/profile/Kateryna-Bannikova/publication/394937907_Organisational_Culture_as_a_Tool_for_Shaping_Human_Capital_in_Times_of_Uncertainty/links/68acf353ca495d76982fe5e2/Organisational-Culture-as-a-Tool-for-Shaping-Human-Capital-in-Times-of-Uncertainty.pdf" TargetMode="External"/><Relationship Id="rId42" Type="http://schemas.openxmlformats.org/officeDocument/2006/relationships/hyperlink" Target="https://journals.sagepub.com/doi/pdf/10.1177/10888683231172252" TargetMode="External"/><Relationship Id="rId47" Type="http://schemas.openxmlformats.org/officeDocument/2006/relationships/hyperlink" Target="https://ums.iust.ac.in/UploadedDocuments/EmployeeDocuments/ResearchPapers/1325_EF2BYE.pdf" TargetMode="External"/><Relationship Id="rId63" Type="http://schemas.openxmlformats.org/officeDocument/2006/relationships/hyperlink" Target="https://www.researchgate.net/profile/Mujidat-Makinde/publication/392508461_Blockchain_Applications_in_Financial_Risk_Management/links/6845898bc33afe388acae0e1/Blockchain-Applications-in-Financial-Risk-Management.pdf" TargetMode="External"/><Relationship Id="rId68" Type="http://schemas.openxmlformats.org/officeDocument/2006/relationships/hyperlink" Target="https://papers.ssrn.com/sol3/Delivery.cfm?abstractid=5272841" TargetMode="External"/><Relationship Id="rId84" Type="http://schemas.openxmlformats.org/officeDocument/2006/relationships/hyperlink" Target="https://scholar.smu.edu/cgi/viewcontent.cgi?article=2156&amp;context=law_faculty" TargetMode="External"/><Relationship Id="rId89" Type="http://schemas.openxmlformats.org/officeDocument/2006/relationships/hyperlink" Target="https://www.researchgate.net/profile/Rashmi-Dwivedi-7/publication/391449704_IndIa's_presIdency_of_g20_Leading_the_World/links/68187d2960241d5140229dbc/IndIas-presIdency-of-g20-Leading-the-World.pdf" TargetMode="External"/><Relationship Id="rId112" Type="http://schemas.openxmlformats.org/officeDocument/2006/relationships/theme" Target="theme/theme1.xml"/><Relationship Id="rId16" Type="http://schemas.openxmlformats.org/officeDocument/2006/relationships/hyperlink" Target="https://www.researchgate.net/profile/Agboola-Apooyin/publication/388644613_Risk_Management_and_Compliance_in_a_Globalized_Economy_Navigating_Regulatory_Challenges_and_Strategic_Adaptations/links/67a0b3f452b58d39f267b958/Risk-Management-and-Compliance-in-a-Globalized-Economy-Navigating-Regulatory-Challenges-and-Strategic-Adaptations.pdf" TargetMode="External"/><Relationship Id="rId107" Type="http://schemas.openxmlformats.org/officeDocument/2006/relationships/hyperlink" Target="https://papers.ssrn.com/sol3/Delivery.cfm?abstractid=5224657" TargetMode="External"/><Relationship Id="rId11" Type="http://schemas.openxmlformats.org/officeDocument/2006/relationships/image" Target="media/image4.png"/><Relationship Id="rId32" Type="http://schemas.openxmlformats.org/officeDocument/2006/relationships/hyperlink" Target="https://elischolar.library.yale.edu/cgi/viewcontent.cgi?article=5735&amp;context=ypfs-documents2" TargetMode="External"/><Relationship Id="rId37" Type="http://schemas.openxmlformats.org/officeDocument/2006/relationships/hyperlink" Target="https://www.researchgate.net/profile/Anderson-Santanna-2/publication/382206570_Leadership_Styles_Across_Cultures_A_Comparative_Study_of_Western_and_Asian_Contexts_Through_Hofested_and_Deleuzian_Lenses/links/66916685c1cf0d77ffd27f10/Leadership-Styles-Across-Cultures-A-Comparative-Study-of-Western-and-Asian-Contexts-Through-Hofested-and-Deleuzian-Lenses.pdf" TargetMode="External"/><Relationship Id="rId53" Type="http://schemas.openxmlformats.org/officeDocument/2006/relationships/hyperlink" Target="https://www.jpmorganchase.com/about" TargetMode="External"/><Relationship Id="rId58" Type="http://schemas.openxmlformats.org/officeDocument/2006/relationships/hyperlink" Target="https://journaldtai.com/index.php/jdtai/article/download/95/88" TargetMode="External"/><Relationship Id="rId74" Type="http://schemas.openxmlformats.org/officeDocument/2006/relationships/hyperlink" Target="https://lawresearchreview.com/index.php/Journal/article/download/51/47" TargetMode="External"/><Relationship Id="rId79" Type="http://schemas.openxmlformats.org/officeDocument/2006/relationships/hyperlink" Target="https://ujcontent.uj.ac.za/view/pdfCoverPage?instCode=27UOJ_INST&amp;filePid=1312547850007691&amp;download=true" TargetMode="External"/><Relationship Id="rId102" Type="http://schemas.openxmlformats.org/officeDocument/2006/relationships/hyperlink" Target="https://wne.fa.ru/jour/issue/download/42/47" TargetMode="External"/><Relationship Id="rId5" Type="http://schemas.openxmlformats.org/officeDocument/2006/relationships/webSettings" Target="webSettings.xml"/><Relationship Id="rId90" Type="http://schemas.openxmlformats.org/officeDocument/2006/relationships/hyperlink" Target="https://papers.ssrn.com/sol3/Delivery.cfm?abstractid=5161209" TargetMode="External"/><Relationship Id="rId95" Type="http://schemas.openxmlformats.org/officeDocument/2006/relationships/hyperlink" Target="https://www.orfonline.org/public/uploads/posts/pdf/20230424134334.pdf" TargetMode="External"/><Relationship Id="rId22" Type="http://schemas.openxmlformats.org/officeDocument/2006/relationships/hyperlink" Target="https://digitalcommons.liberty.edu/cgi/viewcontent.cgi?article=7155&amp;context=doctoral" TargetMode="External"/><Relationship Id="rId27" Type="http://schemas.openxmlformats.org/officeDocument/2006/relationships/hyperlink" Target="https://www.researchgate.net/profile/Tarun-Bose/publication/383820615_International_Family_Conglomerates_FCs_from_Emerging_Economies_Operations_across_Generations/links/66db14f3f84dd1716cd241cb/International-Family-Conglomerates-FCs-from-Emerging-Economies-Operations-across-Generations.pdf" TargetMode="External"/><Relationship Id="rId43" Type="http://schemas.openxmlformats.org/officeDocument/2006/relationships/hyperlink" Target="https://journals.sagepub.com/doi/pdf/10.1177/10888683231172252" TargetMode="External"/><Relationship Id="rId48" Type="http://schemas.openxmlformats.org/officeDocument/2006/relationships/hyperlink" Target="https://ums.iust.ac.in/UploadedDocuments/EmployeeDocuments/ResearchPapers/1325_EF2BYE.pdf" TargetMode="External"/><Relationship Id="rId64" Type="http://schemas.openxmlformats.org/officeDocument/2006/relationships/hyperlink" Target="https://www.researchgate.net/profile/Mujidat-Makinde/publication/392508461_Blockchain_Applications_in_Financial_Risk_Management/links/6845898bc33afe388acae0e1/Blockchain-Applications-in-Financial-Risk-Management.pdf" TargetMode="External"/><Relationship Id="rId69" Type="http://schemas.openxmlformats.org/officeDocument/2006/relationships/hyperlink" Target="https://www.oecd.org/content/dam/oecd/en/publications/reports/2022/09/corporate-ownership-and-concentration_071a223d/bc3adca3-en.pdf" TargetMode="External"/><Relationship Id="rId80" Type="http://schemas.openxmlformats.org/officeDocument/2006/relationships/hyperlink" Target="https://ujcontent.uj.ac.za/view/pdfCoverPage?instCode=27UOJ_INST&amp;filePid=1312547850007691&amp;download=true" TargetMode="External"/><Relationship Id="rId85" Type="http://schemas.openxmlformats.org/officeDocument/2006/relationships/hyperlink" Target="https://repository.unescap.org/bitstream/handle/20.500.12870/3730/ESCAP-2021-WP-FDI-and-digital-economy.pdf?sequence=1" TargetMode="External"/><Relationship Id="rId12" Type="http://schemas.openxmlformats.org/officeDocument/2006/relationships/image" Target="media/image5.png"/><Relationship Id="rId17" Type="http://schemas.openxmlformats.org/officeDocument/2006/relationships/hyperlink" Target="https://www.researchgate.net/profile/Agboola-Apooyin/publication/388644613_Risk_Management_and_Compliance_in_a_Globalized_Economy_Navigating_Regulatory_Challenges_and_Strategic_Adaptations/links/67a0b3f452b58d39f267b958/Risk-Management-and-Compliance-in-a-Globalized-Economy-Navigating-Regulatory-Challenges-and-Strategic-Adaptations.pdf" TargetMode="External"/><Relationship Id="rId33" Type="http://schemas.openxmlformats.org/officeDocument/2006/relationships/hyperlink" Target="https://elischolar.library.yale.edu/cgi/viewcontent.cgi?article=5735&amp;context=ypfs-documents2" TargetMode="External"/><Relationship Id="rId38" Type="http://schemas.openxmlformats.org/officeDocument/2006/relationships/hyperlink" Target="https://www.e-bcrp.org/archive/view_article?pid=bcrp-6-1-38" TargetMode="External"/><Relationship Id="rId59" Type="http://schemas.openxmlformats.org/officeDocument/2006/relationships/hyperlink" Target="https://sarcouncil.com/download-article/SJECS-474-2025-331-347.pdf" TargetMode="External"/><Relationship Id="rId103" Type="http://schemas.openxmlformats.org/officeDocument/2006/relationships/hyperlink" Target="https://wne.fa.ru/jour/issue/download/42/47" TargetMode="External"/><Relationship Id="rId108" Type="http://schemas.openxmlformats.org/officeDocument/2006/relationships/hyperlink" Target="https://repub.eur.nl/pub/131577/warsen-r-2021-putting-the-pieces-together-phd-dissertation.pdf" TargetMode="External"/><Relationship Id="rId54" Type="http://schemas.openxmlformats.org/officeDocument/2006/relationships/hyperlink" Target="https://www.jpmorganchase.com/about" TargetMode="External"/><Relationship Id="rId70" Type="http://schemas.openxmlformats.org/officeDocument/2006/relationships/hyperlink" Target="https://www.oecd.org/content/dam/oecd/en/publications/reports/2022/09/corporate-ownership-and-concentration_071a223d/bc3adca3-en.pdf" TargetMode="External"/><Relationship Id="rId75" Type="http://schemas.openxmlformats.org/officeDocument/2006/relationships/hyperlink" Target="https://digitalcommons.acu.edu/cgi/viewcontent.cgi?article=1983&amp;context=etd" TargetMode="External"/><Relationship Id="rId91" Type="http://schemas.openxmlformats.org/officeDocument/2006/relationships/hyperlink" Target="https://papers.ssrn.com/sol3/Delivery.cfm?abstractid=5161209" TargetMode="External"/><Relationship Id="rId96" Type="http://schemas.openxmlformats.org/officeDocument/2006/relationships/hyperlink" Target="https://ora.ox.ac.uk/objects/uuid:093a236b-2bbf-4df2-91d8-444d2b412f53/files/rhx11xg08b"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igitalcommons.liberty.edu/cgi/viewcontent.cgi?article=7155&amp;context=doctoral" TargetMode="External"/><Relationship Id="rId28" Type="http://schemas.openxmlformats.org/officeDocument/2006/relationships/hyperlink" Target="https://pmc.ncbi.nlm.nih.gov/articles/PMC9030681/pdf/41267_2022_Article_521.pdf" TargetMode="External"/><Relationship Id="rId36" Type="http://schemas.openxmlformats.org/officeDocument/2006/relationships/hyperlink" Target="https://www.researchgate.net/profile/Anderson-Santanna-2/publication/382206570_Leadership_Styles_Across_Cultures_A_Comparative_Study_of_Western_and_Asian_Contexts_Through_Hofested_and_Deleuzian_Lenses/links/66916685c1cf0d77ffd27f10/Leadership-Styles-Across-Cultures-A-Comparative-Study-of-Western-and-Asian-Contexts-Through-Hofested-and-Deleuzian-Lenses.pdf" TargetMode="External"/><Relationship Id="rId49" Type="http://schemas.openxmlformats.org/officeDocument/2006/relationships/hyperlink" Target="https://ijirts.org/index.php/ijirts/article/download/13/88" TargetMode="External"/><Relationship Id="rId57" Type="http://schemas.openxmlformats.org/officeDocument/2006/relationships/hyperlink" Target="https://journaldtai.com/index.php/jdtai/article/download/95/88" TargetMode="External"/><Relationship Id="rId106" Type="http://schemas.openxmlformats.org/officeDocument/2006/relationships/hyperlink" Target="https://papers.ssrn.com/sol3/Delivery.cfm?abstractid=5224657" TargetMode="External"/><Relationship Id="rId10" Type="http://schemas.openxmlformats.org/officeDocument/2006/relationships/image" Target="media/image3.png"/><Relationship Id="rId31" Type="http://schemas.openxmlformats.org/officeDocument/2006/relationships/hyperlink" Target="https://pmc.ncbi.nlm.nih.gov/articles/PMC9030681/pdf/41267_2022_Article_521.pdf" TargetMode="External"/><Relationship Id="rId44" Type="http://schemas.openxmlformats.org/officeDocument/2006/relationships/hyperlink" Target="https://papers.ssrn.com/sol3/Delivery.cfm?abstractid=5287661" TargetMode="External"/><Relationship Id="rId52" Type="http://schemas.openxmlformats.org/officeDocument/2006/relationships/hyperlink" Target="https://www.jpmorganchase.com/" TargetMode="External"/><Relationship Id="rId60" Type="http://schemas.openxmlformats.org/officeDocument/2006/relationships/hyperlink" Target="https://sarcouncil.com/download-article/SJECS-474-2025-331-347.pdf" TargetMode="External"/><Relationship Id="rId65" Type="http://schemas.openxmlformats.org/officeDocument/2006/relationships/hyperlink" Target="https://www.researchgate.net/profile/Ifeoluwa-Oyeyipo/publication/390295391_A_Conceptual_Model_for_Global_Risk_Management_Compliance_and_Financial_Governance_in_Multinational_Corporations/links/67e85e3349e91c0feac6a88b/A-Conceptual-Model-for-Global-Risk-Management-Compliance-and-Financial-Governance-in-Multinational-Corporations.pdf" TargetMode="External"/><Relationship Id="rId73" Type="http://schemas.openxmlformats.org/officeDocument/2006/relationships/hyperlink" Target="https://lawresearchreview.com/index.php/Journal/article/download/51/47" TargetMode="External"/><Relationship Id="rId78" Type="http://schemas.openxmlformats.org/officeDocument/2006/relationships/hyperlink" Target="https://www.pib.gov.in/PressReleasePage.aspx?PRID=2079544" TargetMode="External"/><Relationship Id="rId81" Type="http://schemas.openxmlformats.org/officeDocument/2006/relationships/hyperlink" Target="https://www.pwc.com/sg/en/publications/assets/future-of-india-the-winning-leap.pdf" TargetMode="External"/><Relationship Id="rId86" Type="http://schemas.openxmlformats.org/officeDocument/2006/relationships/hyperlink" Target="https://repository.unescap.org/bitstream/handle/20.500.12870/3730/ESCAP-2021-WP-FDI-and-digital-economy.pdf?sequence=1" TargetMode="External"/><Relationship Id="rId94" Type="http://schemas.openxmlformats.org/officeDocument/2006/relationships/hyperlink" Target="https://www.orfonline.org/public/uploads/posts/pdf/20230424134334.pdf" TargetMode="External"/><Relationship Id="rId99" Type="http://schemas.openxmlformats.org/officeDocument/2006/relationships/hyperlink" Target="https://tradehorizons.com/market-entry-blog/2022/03/how-do-firms-go-international-closer-look-at-entry-strategies/" TargetMode="External"/><Relationship Id="rId101" Type="http://schemas.openxmlformats.org/officeDocument/2006/relationships/hyperlink" Target="https://www.mdpi.com/2079-8954/12/9/35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ijoeete.com/wp-content/uploads/2025/01/42-rajesh-kumar.pdf" TargetMode="External"/><Relationship Id="rId39" Type="http://schemas.openxmlformats.org/officeDocument/2006/relationships/hyperlink" Target="https://www.e-bcrp.org/archive/view_article?pid=bcrp-6-1-38" TargetMode="External"/><Relationship Id="rId109" Type="http://schemas.openxmlformats.org/officeDocument/2006/relationships/hyperlink" Target="https://repub.eur.nl/pub/131577/warsen-r-2021-putting-the-pieces-together-phd-dissertation.pdf" TargetMode="External"/><Relationship Id="rId34" Type="http://schemas.openxmlformats.org/officeDocument/2006/relationships/hyperlink" Target="https://papers.ssrn.com/sol3/Delivery.cfm?abstractid=3480373" TargetMode="External"/><Relationship Id="rId50" Type="http://schemas.openxmlformats.org/officeDocument/2006/relationships/hyperlink" Target="https://ijirts.org/index.php/ijirts/article/download/13/88" TargetMode="External"/><Relationship Id="rId55" Type="http://schemas.openxmlformats.org/officeDocument/2006/relationships/hyperlink" Target="https://www.jpmorganchase.com/content/dam/jpmc/jpmorgan-chase-and-co/investor-relations/documents/annualreport-2023.pdf" TargetMode="External"/><Relationship Id="rId76" Type="http://schemas.openxmlformats.org/officeDocument/2006/relationships/hyperlink" Target="https://digitalcommons.acu.edu/cgi/viewcontent.cgi?article=1983&amp;context=etd" TargetMode="External"/><Relationship Id="rId97" Type="http://schemas.openxmlformats.org/officeDocument/2006/relationships/hyperlink" Target="https://ora.ox.ac.uk/objects/uuid:093a236b-2bbf-4df2-91d8-444d2b412f53/files/rhx11xg08b" TargetMode="External"/><Relationship Id="rId104" Type="http://schemas.openxmlformats.org/officeDocument/2006/relationships/hyperlink" Target="https://papers.ssrn.com/sol3/Delivery.cfm?abstractid=5270687" TargetMode="External"/><Relationship Id="rId7" Type="http://schemas.openxmlformats.org/officeDocument/2006/relationships/endnotes" Target="endnotes.xml"/><Relationship Id="rId71" Type="http://schemas.openxmlformats.org/officeDocument/2006/relationships/hyperlink" Target="https://www.jpmorgan.com/insights/treasury/trade-working-capital/honeywell-frees-up-working-capital-with-record-scf-solution" TargetMode="External"/><Relationship Id="rId92" Type="http://schemas.openxmlformats.org/officeDocument/2006/relationships/hyperlink" Target="https://data.fca.org.uk/artefacts/NSM/Portal/NI-000126464/NI-000126464.pdf" TargetMode="External"/><Relationship Id="rId2" Type="http://schemas.openxmlformats.org/officeDocument/2006/relationships/numbering" Target="numbering.xml"/><Relationship Id="rId29" Type="http://schemas.openxmlformats.org/officeDocument/2006/relationships/hyperlink" Target="https://pmc.ncbi.nlm.nih.gov/articles/PMC9030681/pdf/41267_2022_Article_521.pdf" TargetMode="External"/><Relationship Id="rId24"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40" Type="http://schemas.openxmlformats.org/officeDocument/2006/relationships/hyperlink" Target="https://jyx.jyu.fi/bitstreams/a2551f6a-1031-4f23-8534-755df5f16648/download" TargetMode="External"/><Relationship Id="rId45" Type="http://schemas.openxmlformats.org/officeDocument/2006/relationships/hyperlink" Target="https://www.theculturefactor.com/country-comparison-tool?countries=india%2Cunited+states" TargetMode="External"/><Relationship Id="rId66" Type="http://schemas.openxmlformats.org/officeDocument/2006/relationships/hyperlink" Target="https://www.researchgate.net/profile/Ifeoluwa-Oyeyipo/publication/390295391_A_Conceptual_Model_for_Global_Risk_Management_Compliance_and_Financial_Governance_in_Multinational_Corporations/links/67e85e3349e91c0feac6a88b/A-Conceptual-Model-for-Global-Risk-Management-Compliance-and-Financial-Governance-in-Multinational-Corporations.pdf" TargetMode="External"/><Relationship Id="rId87" Type="http://schemas.openxmlformats.org/officeDocument/2006/relationships/hyperlink" Target="https://www.academia.edu/download/122820897/The_Role_of_Incentive_Structure_on_Employee_Performance_in_the_Sierra_Leone_Banking_Sector.pdf" TargetMode="External"/><Relationship Id="rId110" Type="http://schemas.openxmlformats.org/officeDocument/2006/relationships/footer" Target="footer1.xml"/><Relationship Id="rId61" Type="http://schemas.openxmlformats.org/officeDocument/2006/relationships/hyperlink" Target="https://www.sciencedirect.com/science/article/pii/S0308597X23001082" TargetMode="External"/><Relationship Id="rId82" Type="http://schemas.openxmlformats.org/officeDocument/2006/relationships/hyperlink" Target="https://www.pwc.com/sg/en/publications/assets/future-of-india-the-winning-leap.pdf" TargetMode="External"/><Relationship Id="rId19" Type="http://schemas.openxmlformats.org/officeDocument/2006/relationships/hyperlink" Target="https://ijoeete.com/wp-content/uploads/2025/01/42-rajesh-kumar.pdf" TargetMode="External"/><Relationship Id="rId14" Type="http://schemas.openxmlformats.org/officeDocument/2006/relationships/image" Target="media/image7.png"/><Relationship Id="rId30" Type="http://schemas.openxmlformats.org/officeDocument/2006/relationships/hyperlink" Target="https://corporatefinanceinstitute.com/resources/management/eclectic-paradigm/" TargetMode="External"/><Relationship Id="rId35" Type="http://schemas.openxmlformats.org/officeDocument/2006/relationships/hyperlink" Target="https://papers.ssrn.com/sol3/Delivery.cfm?abstractid=3480373" TargetMode="External"/><Relationship Id="rId56" Type="http://schemas.openxmlformats.org/officeDocument/2006/relationships/hyperlink" Target="https://www.jpmorganchase.com/content/dam/jpmc/jpmorgan-chase-and-co/investor-relations/documents/annualreport-2023.pdf" TargetMode="External"/><Relationship Id="rId77" Type="http://schemas.openxmlformats.org/officeDocument/2006/relationships/hyperlink" Target="https://www.pib.gov.in/PressReleasePage.aspx?PRID=2079544" TargetMode="External"/><Relationship Id="rId100" Type="http://schemas.openxmlformats.org/officeDocument/2006/relationships/hyperlink" Target="https://www.mdpi.com/2079-8954/12/9/359" TargetMode="External"/><Relationship Id="rId105" Type="http://schemas.openxmlformats.org/officeDocument/2006/relationships/hyperlink" Target="https://papers.ssrn.com/sol3/Delivery.cfm?abstractid=5270687" TargetMode="External"/><Relationship Id="rId8" Type="http://schemas.openxmlformats.org/officeDocument/2006/relationships/image" Target="media/image1.jpg"/><Relationship Id="rId51" Type="http://schemas.openxmlformats.org/officeDocument/2006/relationships/hyperlink" Target="https://www.jpmorganchase.com/" TargetMode="External"/><Relationship Id="rId72" Type="http://schemas.openxmlformats.org/officeDocument/2006/relationships/hyperlink" Target="https://www.jpmorgan.com/insights/treasury/trade-working-capital/honeywell-frees-up-working-capital-with-record-scf-solution" TargetMode="External"/><Relationship Id="rId93" Type="http://schemas.openxmlformats.org/officeDocument/2006/relationships/hyperlink" Target="https://data.fca.org.uk/artefacts/NSM/Portal/NI-000126464/NI-000126464.pdf" TargetMode="External"/><Relationship Id="rId98" Type="http://schemas.openxmlformats.org/officeDocument/2006/relationships/hyperlink" Target="https://tradehorizons.com/market-entry-blog/2022/03/how-do-firms-go-international-closer-look-at-entry-strategies/" TargetMode="External"/><Relationship Id="rId3" Type="http://schemas.openxmlformats.org/officeDocument/2006/relationships/styles" Target="styles.xml"/><Relationship Id="rId25" Type="http://schemas.openxmlformats.org/officeDocument/2006/relationships/hyperlink" Target="https://www.researchgate.net/profile/Claudia-Cruz-7/publication/329151644_The_Eclectic_Paradigm_as_a_Comprehensive_Model_to_Analyze_Subnational_Determinants_of_FDI/links/5f76e322a6fdcc0086502bc6/The-Eclectic-Paradigm-as-a-Comprehensive-Model-to-Analyze-Subnational-Determinants-of-FDI.pdf" TargetMode="External"/><Relationship Id="rId46" Type="http://schemas.openxmlformats.org/officeDocument/2006/relationships/hyperlink" Target="https://www.theculturefactor.com/country-comparison-tool?countries=india%2Cunited+states" TargetMode="External"/><Relationship Id="rId67" Type="http://schemas.openxmlformats.org/officeDocument/2006/relationships/hyperlink" Target="https://papers.ssrn.com/sol3/Delivery.cfm?abstractid=5272841" TargetMode="External"/><Relationship Id="rId20" Type="http://schemas.openxmlformats.org/officeDocument/2006/relationships/hyperlink" Target="https://www.researchgate.net/profile/Kateryna-Bannikova/publication/394937907_Organisational_Culture_as_a_Tool_for_Shaping_Human_Capital_in_Times_of_Uncertainty/links/68acf353ca495d76982fe5e2/Organisational-Culture-as-a-Tool-for-Shaping-Human-Capital-in-Times-of-Uncertainty.pdf" TargetMode="External"/><Relationship Id="rId41" Type="http://schemas.openxmlformats.org/officeDocument/2006/relationships/hyperlink" Target="https://jyx.jyu.fi/bitstreams/a2551f6a-1031-4f23-8534-755df5f16648/download" TargetMode="External"/><Relationship Id="rId62" Type="http://schemas.openxmlformats.org/officeDocument/2006/relationships/hyperlink" Target="https://www.sciencedirect.com/science/article/pii/S0308597X23001082" TargetMode="External"/><Relationship Id="rId83" Type="http://schemas.openxmlformats.org/officeDocument/2006/relationships/hyperlink" Target="https://scholar.smu.edu/cgi/viewcontent.cgi?article=2156&amp;context=law_faculty" TargetMode="External"/><Relationship Id="rId88" Type="http://schemas.openxmlformats.org/officeDocument/2006/relationships/hyperlink" Target="https://www.researchgate.net/profile/Rashmi-Dwivedi-7/publication/391449704_IndIa's_presIdency_of_g20_Leading_the_World/links/68187d2960241d5140229dbc/IndIas-presIdency-of-g20-Leading-the-World.pdf" TargetMode="External"/><Relationship Id="rId111"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CqAd8A7hoQPo6Pfd1QhGiMww6FA==">CgMxLjAyDmguazFvdzg3eGgza2hjMg5oLms1ZXlreDZrbHQ3YTIOaC5ibHl6enFkbmo3aGsyDmguNzQ5dGN5cXo1MXBjMg5oLnNnMDBiemFwc3RhNzIOaC51aTMwMXZxNDdmZ2syDmguaHJqcnBmZDJxb3J1Mg5oLjVybXkwZnJ4eTRjNTIOaC50MjR6ODJzNXd5ZDYyDmguY3MybGZobDEzb3BiMg5oLm1zcW1iaGxxN2F2YTINaC5lb3hjcGJocGZvajIOaC5maHkwODB5dWE2ZG0yDmguaWszM3E1d2U4NTFmMg5oLm1vbTJsYjRpOHhkeDIOaC43bmxjOG9yN2pvMWoyDmgudXBhYjN2aW00Y2hxMg5oLmNhbGFmN2U3ejBsNTIOaC5xNXIxczJmdjF5cmEyDmgucTFjNmFiemk0N3VvMg5oLjdkeWgyemNoMzk0ZjIOaC5zOXgxYjcyMXE0cXEyDmguOTdnNjZnMzkwZGlxMg5oLjZiaWxzeWw3eWZiejIOaC4xY3ExNDJ0YzZ4OTY4AHIhMXdwXzc3YkctYVl1RURrNzdSNG1TeGlqUVNrRU9Jd0sx</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30</Pages>
  <Words>9475</Words>
  <Characters>54013</Characters>
  <Application>Microsoft Office Word</Application>
  <DocSecurity>0</DocSecurity>
  <Lines>450</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Arwinder Kaur</cp:lastModifiedBy>
  <cp:revision>3</cp:revision>
  <dcterms:created xsi:type="dcterms:W3CDTF">2025-12-14T19:49:00Z</dcterms:created>
  <dcterms:modified xsi:type="dcterms:W3CDTF">2025-12-15T01:14:00Z</dcterms:modified>
</cp:coreProperties>
</file>