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DA7D43" w14:textId="77777777" w:rsidR="00503B1E" w:rsidRDefault="00503B1E" w:rsidP="00116727">
      <w:pPr>
        <w:rPr>
          <w:b/>
          <w:bCs/>
          <w:u w:val="single"/>
        </w:rPr>
      </w:pPr>
    </w:p>
    <w:p w14:paraId="1EBE5323" w14:textId="6A9BF5EE" w:rsidR="00503B1E" w:rsidRDefault="00503B1E" w:rsidP="00503B1E">
      <w:pPr>
        <w:jc w:val="center"/>
        <w:rPr>
          <w:b/>
          <w:bCs/>
          <w:sz w:val="52"/>
          <w:szCs w:val="52"/>
          <w:u w:val="single"/>
        </w:rPr>
      </w:pPr>
      <w:r>
        <w:rPr>
          <w:b/>
          <w:bCs/>
          <w:sz w:val="52"/>
          <w:szCs w:val="52"/>
          <w:u w:val="single"/>
        </w:rPr>
        <w:t>George Lumsdaine</w:t>
      </w:r>
    </w:p>
    <w:p w14:paraId="7C36AA89" w14:textId="7F017386" w:rsidR="00503B1E" w:rsidRDefault="00503B1E" w:rsidP="00503B1E">
      <w:pPr>
        <w:jc w:val="center"/>
        <w:rPr>
          <w:b/>
          <w:bCs/>
          <w:sz w:val="52"/>
          <w:szCs w:val="52"/>
          <w:u w:val="single"/>
        </w:rPr>
      </w:pPr>
      <w:r>
        <w:rPr>
          <w:b/>
          <w:bCs/>
          <w:sz w:val="52"/>
          <w:szCs w:val="52"/>
          <w:u w:val="single"/>
        </w:rPr>
        <w:t>1809700</w:t>
      </w:r>
    </w:p>
    <w:p w14:paraId="75B9C879" w14:textId="5336B793" w:rsidR="00503B1E" w:rsidRDefault="00503B1E" w:rsidP="00503B1E">
      <w:pPr>
        <w:jc w:val="center"/>
        <w:rPr>
          <w:b/>
          <w:bCs/>
          <w:sz w:val="52"/>
          <w:szCs w:val="52"/>
          <w:u w:val="single"/>
        </w:rPr>
      </w:pPr>
      <w:r>
        <w:rPr>
          <w:b/>
          <w:bCs/>
          <w:sz w:val="52"/>
          <w:szCs w:val="52"/>
          <w:u w:val="single"/>
        </w:rPr>
        <w:t>Quantity Surveying</w:t>
      </w:r>
    </w:p>
    <w:p w14:paraId="752D581E" w14:textId="1C7AEA29" w:rsidR="00503B1E" w:rsidRDefault="00503B1E" w:rsidP="00503B1E">
      <w:pPr>
        <w:jc w:val="center"/>
        <w:rPr>
          <w:b/>
          <w:bCs/>
          <w:sz w:val="52"/>
          <w:szCs w:val="52"/>
          <w:u w:val="single"/>
        </w:rPr>
      </w:pPr>
      <w:r>
        <w:rPr>
          <w:b/>
          <w:bCs/>
          <w:sz w:val="52"/>
          <w:szCs w:val="52"/>
          <w:u w:val="single"/>
        </w:rPr>
        <w:t>ACBA6000</w:t>
      </w:r>
    </w:p>
    <w:p w14:paraId="3275EEFA" w14:textId="715DBC9E" w:rsidR="00503B1E" w:rsidRDefault="00503B1E" w:rsidP="00503B1E">
      <w:pPr>
        <w:jc w:val="center"/>
        <w:rPr>
          <w:b/>
          <w:bCs/>
          <w:sz w:val="52"/>
          <w:szCs w:val="52"/>
          <w:u w:val="single"/>
        </w:rPr>
      </w:pPr>
    </w:p>
    <w:p w14:paraId="3419E466" w14:textId="605BDF37" w:rsidR="00503B1E" w:rsidRDefault="00503B1E" w:rsidP="00503B1E">
      <w:pPr>
        <w:jc w:val="center"/>
        <w:rPr>
          <w:b/>
          <w:bCs/>
          <w:sz w:val="52"/>
          <w:szCs w:val="52"/>
          <w:u w:val="single"/>
        </w:rPr>
      </w:pPr>
    </w:p>
    <w:p w14:paraId="3F8F29BB" w14:textId="7240C239" w:rsidR="00503B1E" w:rsidRDefault="00503B1E" w:rsidP="00503B1E">
      <w:pPr>
        <w:jc w:val="center"/>
        <w:rPr>
          <w:b/>
          <w:bCs/>
          <w:sz w:val="52"/>
          <w:szCs w:val="52"/>
          <w:u w:val="single"/>
        </w:rPr>
      </w:pPr>
    </w:p>
    <w:p w14:paraId="3967F600" w14:textId="64552A0D" w:rsidR="00503B1E" w:rsidRDefault="00503B1E" w:rsidP="00503B1E">
      <w:pPr>
        <w:jc w:val="center"/>
        <w:rPr>
          <w:b/>
          <w:bCs/>
          <w:sz w:val="52"/>
          <w:szCs w:val="52"/>
          <w:u w:val="single"/>
        </w:rPr>
      </w:pPr>
    </w:p>
    <w:p w14:paraId="323B1C93" w14:textId="20C403CD" w:rsidR="00503B1E" w:rsidRDefault="00503B1E" w:rsidP="00503B1E">
      <w:pPr>
        <w:jc w:val="center"/>
        <w:rPr>
          <w:b/>
          <w:bCs/>
          <w:sz w:val="52"/>
          <w:szCs w:val="52"/>
          <w:u w:val="single"/>
        </w:rPr>
      </w:pPr>
    </w:p>
    <w:p w14:paraId="1AD2A57E" w14:textId="1E239A55" w:rsidR="00503B1E" w:rsidRDefault="00503B1E" w:rsidP="00503B1E">
      <w:pPr>
        <w:jc w:val="center"/>
        <w:rPr>
          <w:b/>
          <w:bCs/>
          <w:sz w:val="52"/>
          <w:szCs w:val="52"/>
          <w:u w:val="single"/>
        </w:rPr>
      </w:pPr>
    </w:p>
    <w:p w14:paraId="56E47443" w14:textId="154D0FD3" w:rsidR="00503B1E" w:rsidRDefault="00503B1E" w:rsidP="00503B1E">
      <w:pPr>
        <w:jc w:val="center"/>
        <w:rPr>
          <w:b/>
          <w:bCs/>
          <w:sz w:val="52"/>
          <w:szCs w:val="52"/>
          <w:u w:val="single"/>
        </w:rPr>
      </w:pPr>
    </w:p>
    <w:p w14:paraId="4864D131" w14:textId="5EBA1FD6" w:rsidR="00503B1E" w:rsidRDefault="00503B1E" w:rsidP="00503B1E">
      <w:pPr>
        <w:jc w:val="center"/>
        <w:rPr>
          <w:b/>
          <w:bCs/>
          <w:sz w:val="52"/>
          <w:szCs w:val="52"/>
          <w:u w:val="single"/>
        </w:rPr>
      </w:pPr>
    </w:p>
    <w:p w14:paraId="2564492F" w14:textId="13584DE5" w:rsidR="00503B1E" w:rsidRDefault="00503B1E" w:rsidP="00503B1E">
      <w:pPr>
        <w:jc w:val="center"/>
        <w:rPr>
          <w:b/>
          <w:bCs/>
          <w:sz w:val="52"/>
          <w:szCs w:val="52"/>
          <w:u w:val="single"/>
        </w:rPr>
      </w:pPr>
    </w:p>
    <w:p w14:paraId="3DB0F80C" w14:textId="4928C47E" w:rsidR="00503B1E" w:rsidRDefault="00503B1E" w:rsidP="00503B1E">
      <w:pPr>
        <w:jc w:val="center"/>
        <w:rPr>
          <w:b/>
          <w:bCs/>
          <w:sz w:val="52"/>
          <w:szCs w:val="52"/>
          <w:u w:val="single"/>
        </w:rPr>
      </w:pPr>
    </w:p>
    <w:p w14:paraId="3C06F156" w14:textId="716548BB" w:rsidR="00503B1E" w:rsidRDefault="00503B1E" w:rsidP="00503B1E">
      <w:pPr>
        <w:jc w:val="center"/>
        <w:rPr>
          <w:b/>
          <w:bCs/>
          <w:sz w:val="52"/>
          <w:szCs w:val="52"/>
          <w:u w:val="single"/>
        </w:rPr>
      </w:pPr>
    </w:p>
    <w:p w14:paraId="0BFFEC83" w14:textId="42A51833" w:rsidR="00503B1E" w:rsidRDefault="00503B1E" w:rsidP="00116727">
      <w:pPr>
        <w:rPr>
          <w:b/>
          <w:bCs/>
          <w:sz w:val="52"/>
          <w:szCs w:val="52"/>
          <w:u w:val="single"/>
        </w:rPr>
      </w:pPr>
    </w:p>
    <w:p w14:paraId="17E87040" w14:textId="4B271447" w:rsidR="00AB41AD" w:rsidRDefault="00AB41AD" w:rsidP="009F4CB9">
      <w:pPr>
        <w:rPr>
          <w:b/>
          <w:bCs/>
        </w:rPr>
      </w:pPr>
    </w:p>
    <w:p w14:paraId="22333FA8" w14:textId="77777777" w:rsidR="00E70F8A" w:rsidRDefault="00E70F8A" w:rsidP="00E70F8A">
      <w:pPr>
        <w:rPr>
          <w:b/>
          <w:bCs/>
          <w:u w:val="single"/>
        </w:rPr>
      </w:pPr>
    </w:p>
    <w:p w14:paraId="231DC95A" w14:textId="77777777" w:rsidR="00E70F8A" w:rsidRDefault="00E70F8A" w:rsidP="00E70F8A">
      <w:pPr>
        <w:rPr>
          <w:b/>
          <w:bCs/>
          <w:u w:val="single"/>
        </w:rPr>
      </w:pPr>
      <w:r>
        <w:rPr>
          <w:b/>
          <w:bCs/>
          <w:u w:val="single"/>
        </w:rPr>
        <w:t>Contents</w:t>
      </w:r>
    </w:p>
    <w:p w14:paraId="48C259D0" w14:textId="77777777" w:rsidR="00E70F8A" w:rsidRDefault="00E70F8A" w:rsidP="00E70F8A">
      <w:pPr>
        <w:pStyle w:val="ListParagraph"/>
        <w:numPr>
          <w:ilvl w:val="0"/>
          <w:numId w:val="5"/>
        </w:numPr>
        <w:rPr>
          <w:b/>
          <w:bCs/>
        </w:rPr>
      </w:pPr>
      <w:r w:rsidRPr="00116727">
        <w:rPr>
          <w:b/>
          <w:bCs/>
        </w:rPr>
        <w:t>Introductio</w:t>
      </w:r>
      <w:r>
        <w:rPr>
          <w:b/>
          <w:bCs/>
        </w:rPr>
        <w:t>n</w:t>
      </w:r>
    </w:p>
    <w:p w14:paraId="62FC4B6A" w14:textId="77777777" w:rsidR="00E70F8A" w:rsidRDefault="00E70F8A" w:rsidP="00E70F8A">
      <w:pPr>
        <w:pStyle w:val="ListParagraph"/>
        <w:numPr>
          <w:ilvl w:val="0"/>
          <w:numId w:val="5"/>
        </w:numPr>
        <w:rPr>
          <w:b/>
          <w:bCs/>
        </w:rPr>
      </w:pPr>
      <w:r>
        <w:rPr>
          <w:b/>
          <w:bCs/>
        </w:rPr>
        <w:t>GANTT Chart</w:t>
      </w:r>
    </w:p>
    <w:p w14:paraId="03E60CF5" w14:textId="77777777" w:rsidR="00E70F8A" w:rsidRDefault="00E70F8A" w:rsidP="00E70F8A">
      <w:pPr>
        <w:pStyle w:val="ListParagraph"/>
        <w:numPr>
          <w:ilvl w:val="0"/>
          <w:numId w:val="5"/>
        </w:numPr>
        <w:rPr>
          <w:b/>
          <w:bCs/>
        </w:rPr>
      </w:pPr>
      <w:r>
        <w:rPr>
          <w:b/>
          <w:bCs/>
        </w:rPr>
        <w:t>Project Report</w:t>
      </w:r>
    </w:p>
    <w:p w14:paraId="2B8BD89D" w14:textId="77777777" w:rsidR="00E70F8A" w:rsidRDefault="00E70F8A" w:rsidP="00E70F8A">
      <w:pPr>
        <w:pStyle w:val="ListParagraph"/>
        <w:numPr>
          <w:ilvl w:val="0"/>
          <w:numId w:val="5"/>
        </w:numPr>
        <w:rPr>
          <w:b/>
          <w:bCs/>
        </w:rPr>
      </w:pPr>
      <w:r>
        <w:rPr>
          <w:b/>
          <w:bCs/>
        </w:rPr>
        <w:t>Incentives Introduction</w:t>
      </w:r>
    </w:p>
    <w:p w14:paraId="2F01CF0F" w14:textId="77777777" w:rsidR="00E70F8A" w:rsidRDefault="00E70F8A" w:rsidP="00E70F8A">
      <w:pPr>
        <w:pStyle w:val="ListParagraph"/>
        <w:numPr>
          <w:ilvl w:val="1"/>
          <w:numId w:val="5"/>
        </w:numPr>
        <w:rPr>
          <w:b/>
          <w:bCs/>
        </w:rPr>
      </w:pPr>
      <w:r>
        <w:rPr>
          <w:b/>
          <w:bCs/>
        </w:rPr>
        <w:t>Productivity issues</w:t>
      </w:r>
    </w:p>
    <w:p w14:paraId="73714BFC" w14:textId="3BD7EDB9" w:rsidR="00E70F8A" w:rsidRDefault="00E70F8A" w:rsidP="00E70F8A">
      <w:pPr>
        <w:pStyle w:val="ListParagraph"/>
        <w:numPr>
          <w:ilvl w:val="1"/>
          <w:numId w:val="5"/>
        </w:numPr>
        <w:rPr>
          <w:b/>
          <w:bCs/>
        </w:rPr>
      </w:pPr>
      <w:r>
        <w:rPr>
          <w:b/>
          <w:bCs/>
        </w:rPr>
        <w:t>Addressing Productivity issues</w:t>
      </w:r>
    </w:p>
    <w:p w14:paraId="65C7B21D" w14:textId="3B7D225B" w:rsidR="00E70F8A" w:rsidRDefault="00E70F8A" w:rsidP="00E70F8A">
      <w:pPr>
        <w:pStyle w:val="ListParagraph"/>
        <w:numPr>
          <w:ilvl w:val="1"/>
          <w:numId w:val="5"/>
        </w:numPr>
        <w:rPr>
          <w:b/>
          <w:bCs/>
        </w:rPr>
      </w:pPr>
      <w:r>
        <w:rPr>
          <w:b/>
          <w:bCs/>
        </w:rPr>
        <w:t>Incentives Conclusion</w:t>
      </w:r>
    </w:p>
    <w:p w14:paraId="5C7D0512" w14:textId="77777777" w:rsidR="00E70F8A" w:rsidRPr="00503B1E" w:rsidRDefault="00E70F8A" w:rsidP="00E70F8A">
      <w:pPr>
        <w:pStyle w:val="ListParagraph"/>
        <w:numPr>
          <w:ilvl w:val="0"/>
          <w:numId w:val="5"/>
        </w:numPr>
        <w:rPr>
          <w:b/>
          <w:bCs/>
        </w:rPr>
      </w:pPr>
      <w:r w:rsidRPr="00503B1E">
        <w:rPr>
          <w:b/>
          <w:bCs/>
        </w:rPr>
        <w:t>Site Set Up</w:t>
      </w:r>
    </w:p>
    <w:p w14:paraId="43386D90" w14:textId="77777777" w:rsidR="00E70F8A" w:rsidRPr="00503B1E" w:rsidRDefault="00E70F8A" w:rsidP="00E70F8A">
      <w:pPr>
        <w:pStyle w:val="ListParagraph"/>
        <w:numPr>
          <w:ilvl w:val="0"/>
          <w:numId w:val="5"/>
        </w:numPr>
        <w:rPr>
          <w:b/>
          <w:bCs/>
        </w:rPr>
      </w:pPr>
      <w:r>
        <w:rPr>
          <w:b/>
          <w:bCs/>
        </w:rPr>
        <w:t>References</w:t>
      </w:r>
    </w:p>
    <w:p w14:paraId="3541B725" w14:textId="351BC7A1" w:rsidR="00AB41AD" w:rsidRDefault="00AB41AD" w:rsidP="009F4CB9">
      <w:pPr>
        <w:rPr>
          <w:b/>
          <w:bCs/>
        </w:rPr>
      </w:pPr>
    </w:p>
    <w:p w14:paraId="05C64661" w14:textId="2286B761" w:rsidR="00AB41AD" w:rsidRDefault="00AB41AD" w:rsidP="009F4CB9">
      <w:pPr>
        <w:rPr>
          <w:b/>
          <w:bCs/>
        </w:rPr>
      </w:pPr>
    </w:p>
    <w:p w14:paraId="2535CA4C" w14:textId="1B9E9915" w:rsidR="00AB41AD" w:rsidRDefault="00AB41AD" w:rsidP="009F4CB9">
      <w:pPr>
        <w:rPr>
          <w:b/>
          <w:bCs/>
        </w:rPr>
      </w:pPr>
    </w:p>
    <w:p w14:paraId="2E637B71" w14:textId="39837C76" w:rsidR="00AB41AD" w:rsidRDefault="00AB41AD" w:rsidP="009F4CB9">
      <w:pPr>
        <w:rPr>
          <w:b/>
          <w:bCs/>
        </w:rPr>
      </w:pPr>
    </w:p>
    <w:p w14:paraId="044A8F9D" w14:textId="3B743E38" w:rsidR="00AB41AD" w:rsidRDefault="00AB41AD" w:rsidP="009F4CB9">
      <w:pPr>
        <w:rPr>
          <w:b/>
          <w:bCs/>
        </w:rPr>
      </w:pPr>
    </w:p>
    <w:p w14:paraId="7583CF6B" w14:textId="5CB93D59" w:rsidR="00AB41AD" w:rsidRDefault="00AB41AD" w:rsidP="009F4CB9">
      <w:pPr>
        <w:rPr>
          <w:b/>
          <w:bCs/>
        </w:rPr>
      </w:pPr>
    </w:p>
    <w:p w14:paraId="49735460" w14:textId="6878C6EE" w:rsidR="00AB41AD" w:rsidRDefault="00AB41AD" w:rsidP="009F4CB9">
      <w:pPr>
        <w:rPr>
          <w:b/>
          <w:bCs/>
        </w:rPr>
      </w:pPr>
    </w:p>
    <w:p w14:paraId="7C74936A" w14:textId="1F484C7C" w:rsidR="00AB41AD" w:rsidRDefault="00AB41AD" w:rsidP="009F4CB9">
      <w:pPr>
        <w:rPr>
          <w:b/>
          <w:bCs/>
        </w:rPr>
      </w:pPr>
    </w:p>
    <w:p w14:paraId="33AAF801" w14:textId="40F918BA" w:rsidR="00AB41AD" w:rsidRDefault="00AB41AD" w:rsidP="009F4CB9">
      <w:pPr>
        <w:rPr>
          <w:b/>
          <w:bCs/>
        </w:rPr>
      </w:pPr>
    </w:p>
    <w:p w14:paraId="2F3673A9" w14:textId="56FFD6EF" w:rsidR="00AB41AD" w:rsidRDefault="00AB41AD" w:rsidP="009F4CB9">
      <w:pPr>
        <w:rPr>
          <w:b/>
          <w:bCs/>
        </w:rPr>
      </w:pPr>
    </w:p>
    <w:p w14:paraId="2FE58609" w14:textId="1353E0BD" w:rsidR="00AB41AD" w:rsidRDefault="00AB41AD" w:rsidP="009F4CB9">
      <w:pPr>
        <w:rPr>
          <w:b/>
          <w:bCs/>
        </w:rPr>
      </w:pPr>
    </w:p>
    <w:p w14:paraId="13E1617E" w14:textId="4865E668" w:rsidR="00AB41AD" w:rsidRDefault="00AB41AD" w:rsidP="009F4CB9">
      <w:pPr>
        <w:rPr>
          <w:b/>
          <w:bCs/>
        </w:rPr>
      </w:pPr>
    </w:p>
    <w:p w14:paraId="0844F023" w14:textId="57BD25B6" w:rsidR="00AB41AD" w:rsidRDefault="00AB41AD" w:rsidP="009F4CB9">
      <w:pPr>
        <w:rPr>
          <w:b/>
          <w:bCs/>
        </w:rPr>
      </w:pPr>
    </w:p>
    <w:p w14:paraId="0E5C9D66" w14:textId="120F0336" w:rsidR="00AB41AD" w:rsidRDefault="00AB41AD" w:rsidP="009F4CB9">
      <w:pPr>
        <w:rPr>
          <w:b/>
          <w:bCs/>
        </w:rPr>
      </w:pPr>
    </w:p>
    <w:p w14:paraId="64FAE816" w14:textId="08A67A0C" w:rsidR="00AB41AD" w:rsidRDefault="00AB41AD" w:rsidP="009F4CB9">
      <w:pPr>
        <w:rPr>
          <w:b/>
          <w:bCs/>
        </w:rPr>
      </w:pPr>
    </w:p>
    <w:p w14:paraId="75A4E0F8" w14:textId="5157764A" w:rsidR="00AB41AD" w:rsidRDefault="00AB41AD" w:rsidP="009F4CB9">
      <w:pPr>
        <w:rPr>
          <w:b/>
          <w:bCs/>
        </w:rPr>
      </w:pPr>
    </w:p>
    <w:p w14:paraId="2361D9D0" w14:textId="7BEDCDBC" w:rsidR="00AB41AD" w:rsidRDefault="00AB41AD" w:rsidP="009F4CB9">
      <w:pPr>
        <w:rPr>
          <w:b/>
          <w:bCs/>
        </w:rPr>
      </w:pPr>
    </w:p>
    <w:p w14:paraId="6CFAA8F2" w14:textId="67302B4C" w:rsidR="00AB41AD" w:rsidRDefault="00AB41AD" w:rsidP="009F4CB9">
      <w:pPr>
        <w:rPr>
          <w:b/>
          <w:bCs/>
        </w:rPr>
      </w:pPr>
    </w:p>
    <w:p w14:paraId="3DF9E54A" w14:textId="36DE2A31" w:rsidR="00AB41AD" w:rsidRDefault="00AB41AD" w:rsidP="009F4CB9">
      <w:pPr>
        <w:rPr>
          <w:b/>
          <w:bCs/>
        </w:rPr>
      </w:pPr>
    </w:p>
    <w:p w14:paraId="04055945" w14:textId="5C3E59C5" w:rsidR="00AB41AD" w:rsidRDefault="00AB41AD" w:rsidP="009F4CB9">
      <w:pPr>
        <w:rPr>
          <w:b/>
          <w:bCs/>
        </w:rPr>
      </w:pPr>
    </w:p>
    <w:p w14:paraId="2E6A02F1" w14:textId="33FFA660" w:rsidR="00AB41AD" w:rsidRDefault="00AB41AD" w:rsidP="009F4CB9">
      <w:pPr>
        <w:rPr>
          <w:b/>
          <w:bCs/>
        </w:rPr>
      </w:pPr>
    </w:p>
    <w:p w14:paraId="719E8E02" w14:textId="77777777" w:rsidR="00AB41AD" w:rsidRDefault="00AB41AD" w:rsidP="009F4CB9">
      <w:pPr>
        <w:rPr>
          <w:b/>
          <w:bCs/>
        </w:rPr>
      </w:pPr>
    </w:p>
    <w:p w14:paraId="1030542A" w14:textId="478CBBAA" w:rsidR="009F4CB9" w:rsidRDefault="009F4CB9" w:rsidP="009F4CB9">
      <w:pPr>
        <w:pStyle w:val="ListParagraph"/>
        <w:numPr>
          <w:ilvl w:val="0"/>
          <w:numId w:val="6"/>
        </w:numPr>
        <w:rPr>
          <w:b/>
          <w:bCs/>
        </w:rPr>
      </w:pPr>
      <w:r w:rsidRPr="009F4CB9">
        <w:rPr>
          <w:b/>
          <w:bCs/>
        </w:rPr>
        <w:lastRenderedPageBreak/>
        <w:t>Introduction</w:t>
      </w:r>
    </w:p>
    <w:p w14:paraId="7D084118" w14:textId="24653C78" w:rsidR="009F4CB9" w:rsidRDefault="009F4CB9" w:rsidP="009F4CB9">
      <w:r>
        <w:t xml:space="preserve">The purpose of this report is to show the critical path of the tasks and works that need to be completed for the “Yr Fforwm” project and indicate the likely cost and duration of the project and the resources that are required. </w:t>
      </w:r>
    </w:p>
    <w:p w14:paraId="5ACD7C14" w14:textId="27DA6A5F" w:rsidR="009F4CB9" w:rsidRPr="00311BF2" w:rsidRDefault="00311BF2" w:rsidP="00311BF2">
      <w:pPr>
        <w:pStyle w:val="ListParagraph"/>
        <w:numPr>
          <w:ilvl w:val="0"/>
          <w:numId w:val="6"/>
        </w:numPr>
        <w:rPr>
          <w:b/>
          <w:bCs/>
        </w:rPr>
      </w:pPr>
      <w:r w:rsidRPr="00311BF2">
        <w:rPr>
          <w:b/>
          <w:bCs/>
        </w:rPr>
        <w:t>GANTT Chart</w:t>
      </w:r>
    </w:p>
    <w:p w14:paraId="4DA0AB5A" w14:textId="02E91808" w:rsidR="00311BF2" w:rsidRDefault="00311BF2" w:rsidP="00311BF2">
      <w:r>
        <w:t>The critical path of the works for the “Yr Fforwm” Project is shown in the GANTT Chart below.</w:t>
      </w:r>
    </w:p>
    <w:p w14:paraId="6BAB5CB7" w14:textId="44A6883D" w:rsidR="00311BF2" w:rsidRDefault="00311BF2" w:rsidP="00311BF2">
      <w:r>
        <w:rPr>
          <w:noProof/>
        </w:rPr>
        <w:drawing>
          <wp:inline distT="0" distB="0" distL="0" distR="0" wp14:anchorId="1F7E9C87" wp14:editId="6B9B6CB7">
            <wp:extent cx="4791075" cy="3105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40356" t="29557" r="21210" b="7488"/>
                    <a:stretch/>
                  </pic:blipFill>
                  <pic:spPr bwMode="auto">
                    <a:xfrm>
                      <a:off x="0" y="0"/>
                      <a:ext cx="4797048" cy="3109021"/>
                    </a:xfrm>
                    <a:prstGeom prst="rect">
                      <a:avLst/>
                    </a:prstGeom>
                    <a:ln>
                      <a:noFill/>
                    </a:ln>
                    <a:extLst>
                      <a:ext uri="{53640926-AAD7-44D8-BBD7-CCE9431645EC}">
                        <a14:shadowObscured xmlns:a14="http://schemas.microsoft.com/office/drawing/2010/main"/>
                      </a:ext>
                    </a:extLst>
                  </pic:spPr>
                </pic:pic>
              </a:graphicData>
            </a:graphic>
          </wp:inline>
        </w:drawing>
      </w:r>
    </w:p>
    <w:p w14:paraId="43C56B65" w14:textId="5300090F" w:rsidR="00397C78" w:rsidRDefault="00397C78" w:rsidP="00311BF2">
      <w:r>
        <w:rPr>
          <w:noProof/>
        </w:rPr>
        <w:drawing>
          <wp:inline distT="0" distB="0" distL="0" distR="0" wp14:anchorId="0A9160F8" wp14:editId="763E66F0">
            <wp:extent cx="5429250" cy="34474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9885" t="28964" r="11423" b="7193"/>
                    <a:stretch/>
                  </pic:blipFill>
                  <pic:spPr bwMode="auto">
                    <a:xfrm>
                      <a:off x="0" y="0"/>
                      <a:ext cx="5438249" cy="3453129"/>
                    </a:xfrm>
                    <a:prstGeom prst="rect">
                      <a:avLst/>
                    </a:prstGeom>
                    <a:ln>
                      <a:noFill/>
                    </a:ln>
                    <a:extLst>
                      <a:ext uri="{53640926-AAD7-44D8-BBD7-CCE9431645EC}">
                        <a14:shadowObscured xmlns:a14="http://schemas.microsoft.com/office/drawing/2010/main"/>
                      </a:ext>
                    </a:extLst>
                  </pic:spPr>
                </pic:pic>
              </a:graphicData>
            </a:graphic>
          </wp:inline>
        </w:drawing>
      </w:r>
    </w:p>
    <w:p w14:paraId="436878AA" w14:textId="3B524A9F" w:rsidR="00397C78" w:rsidRDefault="00397C78" w:rsidP="00311BF2">
      <w:r>
        <w:rPr>
          <w:noProof/>
        </w:rPr>
        <w:lastRenderedPageBreak/>
        <w:drawing>
          <wp:inline distT="0" distB="0" distL="0" distR="0" wp14:anchorId="5CF6179C" wp14:editId="0238F75D">
            <wp:extent cx="5347607" cy="28575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579" t="29556" r="4111" b="8375"/>
                    <a:stretch/>
                  </pic:blipFill>
                  <pic:spPr bwMode="auto">
                    <a:xfrm>
                      <a:off x="0" y="0"/>
                      <a:ext cx="5366015" cy="2867336"/>
                    </a:xfrm>
                    <a:prstGeom prst="rect">
                      <a:avLst/>
                    </a:prstGeom>
                    <a:ln>
                      <a:noFill/>
                    </a:ln>
                    <a:extLst>
                      <a:ext uri="{53640926-AAD7-44D8-BBD7-CCE9431645EC}">
                        <a14:shadowObscured xmlns:a14="http://schemas.microsoft.com/office/drawing/2010/main"/>
                      </a:ext>
                    </a:extLst>
                  </pic:spPr>
                </pic:pic>
              </a:graphicData>
            </a:graphic>
          </wp:inline>
        </w:drawing>
      </w:r>
    </w:p>
    <w:p w14:paraId="5F057753" w14:textId="7B4B44C6" w:rsidR="00D661F9" w:rsidRDefault="00D661F9" w:rsidP="00311BF2">
      <w:r>
        <w:t xml:space="preserve">However, there is a planned strike from the local concrete company lasting 2 weeks and if the client chooses to use the same concrete supplier and wait for the strike to end then the GANTT Chart and completion date will be affected. The effects of this delay </w:t>
      </w:r>
      <w:r w:rsidR="00DA30FA">
        <w:t>are</w:t>
      </w:r>
      <w:r>
        <w:t xml:space="preserve"> shown on the GANTT Chart below.</w:t>
      </w:r>
      <w:r w:rsidR="00AF27F3">
        <w:t xml:space="preserve"> The grey bar indicates the baseline of where the project was expected to be completed and the blue bar shows the affected critical path of when the project will be completed after the delay.</w:t>
      </w:r>
    </w:p>
    <w:p w14:paraId="2C9F5046" w14:textId="00ADC13F" w:rsidR="00D661F9" w:rsidRDefault="00D661F9" w:rsidP="00311BF2"/>
    <w:p w14:paraId="24DB36F3" w14:textId="526DFEDF" w:rsidR="00D661F9" w:rsidRDefault="00D661F9" w:rsidP="00311BF2">
      <w:r>
        <w:rPr>
          <w:noProof/>
        </w:rPr>
        <w:drawing>
          <wp:inline distT="0" distB="0" distL="0" distR="0" wp14:anchorId="541BC1D1" wp14:editId="4B749467">
            <wp:extent cx="5200650" cy="3190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3237" t="29557" r="23056" b="6010"/>
                    <a:stretch/>
                  </pic:blipFill>
                  <pic:spPr bwMode="auto">
                    <a:xfrm>
                      <a:off x="0" y="0"/>
                      <a:ext cx="5200650" cy="3190875"/>
                    </a:xfrm>
                    <a:prstGeom prst="rect">
                      <a:avLst/>
                    </a:prstGeom>
                    <a:ln>
                      <a:noFill/>
                    </a:ln>
                    <a:extLst>
                      <a:ext uri="{53640926-AAD7-44D8-BBD7-CCE9431645EC}">
                        <a14:shadowObscured xmlns:a14="http://schemas.microsoft.com/office/drawing/2010/main"/>
                      </a:ext>
                    </a:extLst>
                  </pic:spPr>
                </pic:pic>
              </a:graphicData>
            </a:graphic>
          </wp:inline>
        </w:drawing>
      </w:r>
    </w:p>
    <w:p w14:paraId="60D7877A" w14:textId="5ED21FB6" w:rsidR="00D661F9" w:rsidRDefault="00D661F9" w:rsidP="00311BF2">
      <w:r>
        <w:rPr>
          <w:noProof/>
        </w:rPr>
        <w:lastRenderedPageBreak/>
        <w:drawing>
          <wp:inline distT="0" distB="0" distL="0" distR="0" wp14:anchorId="3E178187" wp14:editId="25A6E5A1">
            <wp:extent cx="5438775" cy="38957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8389" t="28670" r="17239" b="10078"/>
                    <a:stretch/>
                  </pic:blipFill>
                  <pic:spPr bwMode="auto">
                    <a:xfrm>
                      <a:off x="0" y="0"/>
                      <a:ext cx="5463195" cy="3913217"/>
                    </a:xfrm>
                    <a:prstGeom prst="rect">
                      <a:avLst/>
                    </a:prstGeom>
                    <a:ln>
                      <a:noFill/>
                    </a:ln>
                    <a:extLst>
                      <a:ext uri="{53640926-AAD7-44D8-BBD7-CCE9431645EC}">
                        <a14:shadowObscured xmlns:a14="http://schemas.microsoft.com/office/drawing/2010/main"/>
                      </a:ext>
                    </a:extLst>
                  </pic:spPr>
                </pic:pic>
              </a:graphicData>
            </a:graphic>
          </wp:inline>
        </w:drawing>
      </w:r>
    </w:p>
    <w:p w14:paraId="5A641497" w14:textId="4C76DA61" w:rsidR="00D661F9" w:rsidRDefault="00D661F9" w:rsidP="00311BF2"/>
    <w:p w14:paraId="06A4A497" w14:textId="3411BD12" w:rsidR="00D661F9" w:rsidRDefault="00D11EE1" w:rsidP="00311BF2">
      <w:r>
        <w:rPr>
          <w:noProof/>
        </w:rPr>
        <w:drawing>
          <wp:inline distT="0" distB="0" distL="0" distR="0" wp14:anchorId="66264479" wp14:editId="4550491D">
            <wp:extent cx="5419725" cy="3000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3873" t="30148" b="7487"/>
                    <a:stretch/>
                  </pic:blipFill>
                  <pic:spPr bwMode="auto">
                    <a:xfrm>
                      <a:off x="0" y="0"/>
                      <a:ext cx="5419725" cy="3000375"/>
                    </a:xfrm>
                    <a:prstGeom prst="rect">
                      <a:avLst/>
                    </a:prstGeom>
                    <a:ln>
                      <a:noFill/>
                    </a:ln>
                    <a:extLst>
                      <a:ext uri="{53640926-AAD7-44D8-BBD7-CCE9431645EC}">
                        <a14:shadowObscured xmlns:a14="http://schemas.microsoft.com/office/drawing/2010/main"/>
                      </a:ext>
                    </a:extLst>
                  </pic:spPr>
                </pic:pic>
              </a:graphicData>
            </a:graphic>
          </wp:inline>
        </w:drawing>
      </w:r>
    </w:p>
    <w:p w14:paraId="278F25B8" w14:textId="415CAEEA" w:rsidR="00D11EE1" w:rsidRDefault="00D11EE1" w:rsidP="00311BF2">
      <w:r>
        <w:rPr>
          <w:noProof/>
        </w:rPr>
        <w:lastRenderedPageBreak/>
        <w:drawing>
          <wp:inline distT="0" distB="0" distL="0" distR="0" wp14:anchorId="1BAF105D" wp14:editId="112A9574">
            <wp:extent cx="5473065" cy="3105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742" t="30148" b="8374"/>
                    <a:stretch/>
                  </pic:blipFill>
                  <pic:spPr bwMode="auto">
                    <a:xfrm>
                      <a:off x="0" y="0"/>
                      <a:ext cx="5482754" cy="3110647"/>
                    </a:xfrm>
                    <a:prstGeom prst="rect">
                      <a:avLst/>
                    </a:prstGeom>
                    <a:ln>
                      <a:noFill/>
                    </a:ln>
                    <a:extLst>
                      <a:ext uri="{53640926-AAD7-44D8-BBD7-CCE9431645EC}">
                        <a14:shadowObscured xmlns:a14="http://schemas.microsoft.com/office/drawing/2010/main"/>
                      </a:ext>
                    </a:extLst>
                  </pic:spPr>
                </pic:pic>
              </a:graphicData>
            </a:graphic>
          </wp:inline>
        </w:drawing>
      </w:r>
    </w:p>
    <w:p w14:paraId="6C67363A" w14:textId="77777777" w:rsidR="00D661F9" w:rsidRDefault="00D661F9" w:rsidP="00311BF2"/>
    <w:p w14:paraId="59BCE85D" w14:textId="1E9F2981" w:rsidR="00397C78" w:rsidRPr="00CB7DF3" w:rsidRDefault="00397C78" w:rsidP="00397C78">
      <w:pPr>
        <w:pStyle w:val="ListParagraph"/>
        <w:numPr>
          <w:ilvl w:val="0"/>
          <w:numId w:val="6"/>
        </w:numPr>
        <w:rPr>
          <w:b/>
          <w:bCs/>
        </w:rPr>
      </w:pPr>
      <w:r w:rsidRPr="00CB7DF3">
        <w:rPr>
          <w:b/>
          <w:bCs/>
        </w:rPr>
        <w:t>Project Report</w:t>
      </w:r>
    </w:p>
    <w:p w14:paraId="1A4223B2" w14:textId="15FE7A72" w:rsidR="002242A9" w:rsidRDefault="00397C78" w:rsidP="00397C78">
      <w:r>
        <w:t>Firstly, t</w:t>
      </w:r>
      <w:r>
        <w:t>he start date of the project is the 6</w:t>
      </w:r>
      <w:r w:rsidRPr="00397C78">
        <w:rPr>
          <w:vertAlign w:val="superscript"/>
        </w:rPr>
        <w:t>th</w:t>
      </w:r>
      <w:r>
        <w:t xml:space="preserve"> of May 2021 and the completion date is February the 6</w:t>
      </w:r>
      <w:r w:rsidRPr="00397C78">
        <w:rPr>
          <w:vertAlign w:val="superscript"/>
        </w:rPr>
        <w:t>th</w:t>
      </w:r>
      <w:r>
        <w:t xml:space="preserve"> 2023</w:t>
      </w:r>
      <w:r>
        <w:t xml:space="preserve"> meaning the project should take 1 year and 8 months to finish if everything goes according to the plan.</w:t>
      </w:r>
      <w:r w:rsidR="00D11EE1">
        <w:t xml:space="preserve"> However, if the client uses the same local concrete supplier and therefore the </w:t>
      </w:r>
      <w:r w:rsidR="00DA30FA">
        <w:t>2-week</w:t>
      </w:r>
      <w:r w:rsidR="00D11EE1">
        <w:t xml:space="preserve"> delay interferes with the project then the new expected completion date is the 20</w:t>
      </w:r>
      <w:r w:rsidR="00D11EE1" w:rsidRPr="00D11EE1">
        <w:rPr>
          <w:vertAlign w:val="superscript"/>
        </w:rPr>
        <w:t>th</w:t>
      </w:r>
      <w:r w:rsidR="00D11EE1">
        <w:t xml:space="preserve"> of February 2023.</w:t>
      </w:r>
      <w:r>
        <w:t xml:space="preserve"> </w:t>
      </w:r>
      <w:r w:rsidR="002242A9">
        <w:t>From the GANTT Chart an expected total cost is able to be calculated and the cost overview is shown in the chart below. The total expected project cost is</w:t>
      </w:r>
      <w:r w:rsidR="00AF27F3">
        <w:t xml:space="preserve"> £519,871.02</w:t>
      </w:r>
      <w:r w:rsidR="002242A9">
        <w:t>. This cost is made up from the following:</w:t>
      </w:r>
    </w:p>
    <w:p w14:paraId="2D25BBA7" w14:textId="707112A2" w:rsidR="002242A9" w:rsidRDefault="00D661F9" w:rsidP="002242A9">
      <w:pPr>
        <w:pStyle w:val="ListParagraph"/>
        <w:numPr>
          <w:ilvl w:val="0"/>
          <w:numId w:val="7"/>
        </w:numPr>
      </w:pPr>
      <w:r>
        <w:t>Secure site = £12,118.34</w:t>
      </w:r>
    </w:p>
    <w:p w14:paraId="22EFB7C5" w14:textId="77777777" w:rsidR="00D661F9" w:rsidRDefault="00D661F9" w:rsidP="002242A9">
      <w:pPr>
        <w:pStyle w:val="ListParagraph"/>
        <w:numPr>
          <w:ilvl w:val="0"/>
          <w:numId w:val="7"/>
        </w:numPr>
      </w:pPr>
      <w:r>
        <w:t>Groundworks = £136,687.32</w:t>
      </w:r>
    </w:p>
    <w:p w14:paraId="2544FC08" w14:textId="77777777" w:rsidR="00D661F9" w:rsidRDefault="00D661F9" w:rsidP="002242A9">
      <w:pPr>
        <w:pStyle w:val="ListParagraph"/>
        <w:numPr>
          <w:ilvl w:val="0"/>
          <w:numId w:val="7"/>
        </w:numPr>
      </w:pPr>
      <w:r>
        <w:t>Super structure = £143,930.96</w:t>
      </w:r>
    </w:p>
    <w:p w14:paraId="3CE4BE66" w14:textId="44603EB4" w:rsidR="00D661F9" w:rsidRDefault="00D661F9" w:rsidP="002242A9">
      <w:pPr>
        <w:pStyle w:val="ListParagraph"/>
        <w:numPr>
          <w:ilvl w:val="0"/>
          <w:numId w:val="7"/>
        </w:numPr>
      </w:pPr>
      <w:r>
        <w:t xml:space="preserve">Internal fitting = £227,134.40 </w:t>
      </w:r>
    </w:p>
    <w:p w14:paraId="1F9B127D" w14:textId="297F4201" w:rsidR="00397C78" w:rsidRDefault="002242A9" w:rsidP="00397C78">
      <w:r>
        <w:rPr>
          <w:noProof/>
        </w:rPr>
        <w:drawing>
          <wp:inline distT="0" distB="0" distL="0" distR="0" wp14:anchorId="767E2405" wp14:editId="487FC26B">
            <wp:extent cx="5095875" cy="2716530"/>
            <wp:effectExtent l="0" t="0" r="9525"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13E7D9" w14:textId="26B4D439" w:rsidR="004A2386" w:rsidRDefault="004A2386" w:rsidP="00397C78">
      <w:r>
        <w:lastRenderedPageBreak/>
        <w:t xml:space="preserve">However, the total expected cost for the project would be affected if the client decides to bring in concrete from a different supplier in order to avoid the delay to the project. The current cost of concrete to the project is £38,250 at a rate of £75 per cubic metre. If the client was to source concrete from further away at an extra £1 per cubic </w:t>
      </w:r>
      <w:r w:rsidR="00AF27F3">
        <w:t>metre,</w:t>
      </w:r>
      <w:r>
        <w:t xml:space="preserve"> then the cost of concrete to the project would be £38,820 which brings the total expected cost to the project to </w:t>
      </w:r>
      <w:r w:rsidR="00AF27F3">
        <w:t>£520,441.02.</w:t>
      </w:r>
    </w:p>
    <w:p w14:paraId="66B43492" w14:textId="2452E2B5" w:rsidR="0009105C" w:rsidRDefault="0009105C" w:rsidP="00397C78">
      <w:r>
        <w:t>These costs are made up from the individual cost of each resource and hourly rate of the sub-contractors. The below chart indicates the cost of each resource to the project. The most expensive resource is the Groundworks SC at a cost of £54000 for their part of the works. The next highest costs to the project were the piling SC and the M&amp;E works. The hourly rates for these particular sub-contractors were higher as they accounted for the multiple jobs within the sub-contractor as a whole. For example</w:t>
      </w:r>
      <w:r w:rsidR="00AF27F3">
        <w:t xml:space="preserve">, </w:t>
      </w:r>
      <w:r>
        <w:t xml:space="preserve">the groundworks subcontractor included rates for a </w:t>
      </w:r>
      <w:r w:rsidR="004A2386">
        <w:t xml:space="preserve">qualified excavator and heavy machinery operator. </w:t>
      </w:r>
    </w:p>
    <w:p w14:paraId="0E377B45" w14:textId="0180B161" w:rsidR="0009105C" w:rsidRDefault="0009105C" w:rsidP="00397C78"/>
    <w:p w14:paraId="78B858AD" w14:textId="1AD00522" w:rsidR="0009105C" w:rsidRDefault="0009105C" w:rsidP="00397C78">
      <w:r>
        <w:rPr>
          <w:noProof/>
        </w:rPr>
        <w:drawing>
          <wp:inline distT="0" distB="0" distL="0" distR="0" wp14:anchorId="4A495E8F" wp14:editId="1E720D1F">
            <wp:extent cx="4676775" cy="36766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CE9B3C" w14:textId="222614E1" w:rsidR="0009105C" w:rsidRDefault="0009105C" w:rsidP="00397C78"/>
    <w:p w14:paraId="29FBCB8A" w14:textId="0CD26005" w:rsidR="0009105C" w:rsidRDefault="00AF27F3" w:rsidP="00397C78">
      <w:r>
        <w:t xml:space="preserve">The below chart indicates the usage of each resource by </w:t>
      </w:r>
      <w:r w:rsidR="00C37E30">
        <w:t xml:space="preserve">how many hours they contribute to the project. Labourers contribute the highest </w:t>
      </w:r>
      <w:r w:rsidR="00DA30FA">
        <w:t>number</w:t>
      </w:r>
      <w:r w:rsidR="00C37E30">
        <w:t xml:space="preserve"> of hours through the project with 5,252 hours and this because labourers are used alongside sub-contractors to assist on most tasks throughout the project. </w:t>
      </w:r>
    </w:p>
    <w:p w14:paraId="0CD26F52" w14:textId="77777777" w:rsidR="0009105C" w:rsidRDefault="0009105C" w:rsidP="00397C78"/>
    <w:p w14:paraId="723581D4" w14:textId="12A35048" w:rsidR="00D11EE1" w:rsidRDefault="00D11EE1" w:rsidP="00397C78">
      <w:r>
        <w:rPr>
          <w:noProof/>
        </w:rPr>
        <w:lastRenderedPageBreak/>
        <w:drawing>
          <wp:inline distT="0" distB="0" distL="0" distR="0" wp14:anchorId="0D5D28B4" wp14:editId="420AB9CB">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9B5798" w14:textId="42065E56" w:rsidR="00853E25" w:rsidRPr="00853E25" w:rsidRDefault="00853E25" w:rsidP="00853E25">
      <w:pPr>
        <w:rPr>
          <w:b/>
          <w:bCs/>
          <w:u w:val="single"/>
        </w:rPr>
      </w:pPr>
      <w:r>
        <w:t>4.0</w:t>
      </w:r>
      <w:r w:rsidR="00503B1E" w:rsidRPr="00503B1E">
        <w:rPr>
          <w:b/>
          <w:bCs/>
        </w:rPr>
        <w:t xml:space="preserve"> Incentives</w:t>
      </w:r>
      <w:r>
        <w:t xml:space="preserve"> </w:t>
      </w:r>
      <w:r w:rsidRPr="00CB7DF3">
        <w:rPr>
          <w:b/>
          <w:bCs/>
        </w:rPr>
        <w:t>Introduction</w:t>
      </w:r>
    </w:p>
    <w:p w14:paraId="007C3864" w14:textId="77777777" w:rsidR="00853E25" w:rsidRPr="00853E25" w:rsidRDefault="00853E25" w:rsidP="00853E25">
      <w:r w:rsidRPr="00853E25">
        <w:t>According to Mohd-Sanusi and Mohd- Iskandar 2007, incentives are used for the purpose of “increasing motivation” in order to encourage “the correct behaviour and increase effort”. Although the correct incentive is hard to measure, incentives are commonly used in the construction industry in order ensure a project is completed as efficiently as possible and to prevent delays or issues which can be costly. Incentives can include tangible goods such as monetary incentives or intangible assets such as job satisfaction through acts of goodwill.</w:t>
      </w:r>
    </w:p>
    <w:p w14:paraId="388C0375" w14:textId="2D852E38" w:rsidR="00853E25" w:rsidRPr="00853E25" w:rsidRDefault="00853E25" w:rsidP="00853E25">
      <w:pPr>
        <w:rPr>
          <w:b/>
          <w:bCs/>
        </w:rPr>
      </w:pPr>
      <w:r w:rsidRPr="00CB7DF3">
        <w:rPr>
          <w:b/>
          <w:bCs/>
        </w:rPr>
        <w:t xml:space="preserve">4.1 </w:t>
      </w:r>
      <w:r w:rsidRPr="00853E25">
        <w:rPr>
          <w:b/>
          <w:bCs/>
        </w:rPr>
        <w:t>Productivity Issues</w:t>
      </w:r>
    </w:p>
    <w:p w14:paraId="7A47D16B" w14:textId="311BE1AC" w:rsidR="00853E25" w:rsidRPr="00853E25" w:rsidRDefault="00853E25" w:rsidP="00853E25">
      <w:r w:rsidRPr="00853E25">
        <w:t>During the “Y</w:t>
      </w:r>
      <w:r w:rsidR="00503B1E">
        <w:t>r</w:t>
      </w:r>
      <w:r w:rsidRPr="00853E25">
        <w:t xml:space="preserve"> Fforwm” project, there are a number of productivity issues that could arise where incentives could be required in order to ensure the project is completed to the suitable quality and efficiently. For example, a number of different professions and sub-contractors must come together in order to complete the project. The construction industry is renowned for conflicts of interest between different stakeholders in a project and this was highlighted by both John Egan and Michael Latham in their influential reports on the collaborative efforts within the industry as the main factor of low productivity and performance on projects. As shown in the GANT chart for this project, there are seventeen different working parties on this project and often there is a lack of motivation for these sub-contractors to work together, sometimes due to poor relationships or because of a conflict of interests between benefitting the project and personal benefit. Another potential productivity issue during the “Y Fforwm” project could be down to the individual workers on site rather than the sub-contractors as a whole. For example ROSS 2020 (Resource Options Staffing Solutions) highlights that working on a construction site can be “extremely labour intensive” and construction workers are “often forced to deal with tight deadlines and high stress situations” which can “cause a significant mental and physical strain on an individual, affecting their motivation”.  Furthermore, Swansea based carpenter and owner of Pro-spec interiors David Sparks said that there are numerous motivational issues on site such as “adverse weather or boredom” and also said “it’s common for issues outside of the workplace to cause distraction”. </w:t>
      </w:r>
    </w:p>
    <w:p w14:paraId="3039F314" w14:textId="0A0BA379" w:rsidR="00853E25" w:rsidRPr="00853E25" w:rsidRDefault="00853E25" w:rsidP="00853E25">
      <w:pPr>
        <w:rPr>
          <w:b/>
          <w:bCs/>
          <w:u w:val="single"/>
        </w:rPr>
      </w:pPr>
      <w:r w:rsidRPr="00CB7DF3">
        <w:rPr>
          <w:b/>
          <w:bCs/>
        </w:rPr>
        <w:t>4.2</w:t>
      </w:r>
      <w:r>
        <w:rPr>
          <w:b/>
          <w:bCs/>
          <w:u w:val="single"/>
        </w:rPr>
        <w:t xml:space="preserve"> </w:t>
      </w:r>
      <w:r w:rsidRPr="00853E25">
        <w:rPr>
          <w:b/>
          <w:bCs/>
        </w:rPr>
        <w:t>Addressing Productivity Issues</w:t>
      </w:r>
    </w:p>
    <w:p w14:paraId="3A2F0DD3" w14:textId="262921E2" w:rsidR="00853E25" w:rsidRDefault="00853E25" w:rsidP="00853E25">
      <w:r w:rsidRPr="00853E25">
        <w:t xml:space="preserve">In order to address the key issue of the getting the numerous different subcontractors to achieve a high level of productivity and efficiency working as a collective, an incentive scheme within the </w:t>
      </w:r>
      <w:r w:rsidRPr="00853E25">
        <w:lastRenderedPageBreak/>
        <w:t xml:space="preserve">contract can be a useful option for the client. There is a selection of </w:t>
      </w:r>
      <w:r w:rsidR="00CB7DF3">
        <w:t>procurement routes</w:t>
      </w:r>
      <w:r w:rsidRPr="00853E25">
        <w:t xml:space="preserve"> which the client can choose which give the contractor an incentive to increase productivity.</w:t>
      </w:r>
      <w:r w:rsidR="00CB7DF3">
        <w:t xml:space="preserve"> These procurement routes include:</w:t>
      </w:r>
    </w:p>
    <w:p w14:paraId="792E3373" w14:textId="77777777" w:rsidR="00CB7DF3" w:rsidRDefault="00CB7DF3" w:rsidP="00853E25">
      <w:pPr>
        <w:pStyle w:val="ListParagraph"/>
        <w:numPr>
          <w:ilvl w:val="0"/>
          <w:numId w:val="10"/>
        </w:numPr>
      </w:pPr>
      <w:r>
        <w:t>Fixed Price Contract</w:t>
      </w:r>
    </w:p>
    <w:p w14:paraId="3A321D09" w14:textId="7C78AFF2" w:rsidR="00853E25" w:rsidRDefault="00853E25" w:rsidP="00CB7DF3">
      <w:pPr>
        <w:pStyle w:val="ListParagraph"/>
      </w:pPr>
      <w:r w:rsidRPr="00853E25">
        <w:t xml:space="preserve">One example is a fixed price contract which is defined by the CIOB 2009 as “a contract where the price is agreed and fixed before construction starts.” This contract can be useful for the client as it offers them cost certainty and also offers the contractor the incentive of finishing the project as quickly as possible as the cost is fixed, so the sooner the project is finished, the more profitable for the contractor. This would be useful for the client in the “Yr Fforwm” project as the library is an important and functioning building for the university, so it is important it is finished as close to on time as possible. However, the contractor’s incentive to complete the project as quickly as possible can cause problems for the client as the quality of the work may suffer if the contractor rushes to complete the works. This can cause problematic defects later down the line which can be costly for the client. </w:t>
      </w:r>
    </w:p>
    <w:p w14:paraId="35CC7C79" w14:textId="77777777" w:rsidR="00CB7DF3" w:rsidRDefault="00CB7DF3" w:rsidP="00853E25">
      <w:pPr>
        <w:pStyle w:val="ListParagraph"/>
        <w:numPr>
          <w:ilvl w:val="0"/>
          <w:numId w:val="10"/>
        </w:numPr>
      </w:pPr>
      <w:r>
        <w:t>Cost Plus Fixed Fee</w:t>
      </w:r>
    </w:p>
    <w:p w14:paraId="2F90C3C1" w14:textId="6CEC06C4" w:rsidR="00853E25" w:rsidRPr="00853E25" w:rsidRDefault="00853E25" w:rsidP="00CB7DF3">
      <w:pPr>
        <w:pStyle w:val="ListParagraph"/>
      </w:pPr>
      <w:r w:rsidRPr="00853E25">
        <w:t>Another contract incentivisation scheme that can be used by the client is a cost-plus method. For example, the client could opt for a cost-plus fixed fee contract. This is where the client will be reimbursed for cost of materials plus a fixed fee. This can be advantageous to the client in the sense that it offers the contractor the incentive of working to a higher quality as they know they can use higher quality and more expensive materials as they are being reimbursed for the cost. This can also be useful to the client as it can sometimes work out cheaper for the client because the contractor does not to charge higher rates on the works at tender stage to cover material costs. However, this contract can be problematic for the client as it offers no incentive for the project to be completed quickly which can cause some efficiency issues on site. Subcontractors and workers who are guaranteed to profit regardless of time completion can be prone to productivity issues which can cause delays in the completion of the project.</w:t>
      </w:r>
    </w:p>
    <w:p w14:paraId="7BA08111" w14:textId="77777777" w:rsidR="00CB7DF3" w:rsidRDefault="00853E25" w:rsidP="00853E25">
      <w:pPr>
        <w:pStyle w:val="ListParagraph"/>
        <w:numPr>
          <w:ilvl w:val="0"/>
          <w:numId w:val="10"/>
        </w:numPr>
      </w:pPr>
      <w:r w:rsidRPr="00853E25">
        <w:t>Cost plus incentive Fee</w:t>
      </w:r>
    </w:p>
    <w:p w14:paraId="5E4B1BB4" w14:textId="415882D8" w:rsidR="00853E25" w:rsidRPr="00853E25" w:rsidRDefault="00853E25" w:rsidP="00CB7DF3">
      <w:pPr>
        <w:pStyle w:val="ListParagraph"/>
      </w:pPr>
      <w:r w:rsidRPr="00853E25">
        <w:t xml:space="preserve">A cost plus incentive fee contract is arguably the most effective for both contractor and client and it where the contractor is reimbursed for all costs plus an incentive fee which is based upon meeting certain performance objectives which have been stipulated in the contract. The incentive fee is usually a percentage of the saving shared between the client and contractor and is calculated using an agreed formula. This can be seen as the most effective contract incentivisation scheme as it is beneficial for both client and contractor as they share a mutual goal. Furthermore, the contractor has the incentive of a share of saved costs meaning they are more likely to be motivated while working and therefore produce higher levels of productivity and be more likely to control costs and complete the project on time. Additionally, Badenfelt 2007 suggests that this form of contract is effective in producing increased productivity as he found that the higher the sharing ratio, the larger the incentive to control costs. However, a cost-plus incentive fee is not a simple or guaranteed successful method of increasing productivity. According to the 2001 CIRIA study trust and communication between parties is vital to ensuring that the contract is effective, and productivity is increased through the incentivisation and there must be “genuine commitment” from all parties involved. If, for example, there was to be a lack of communication or commitment from the contractor in the “Yr Fforwm” and therefore productivity is not increased despite the incentives then it can lead to increased costs for the client because according to the CIRIA 2001 these schemes require a high “level of </w:t>
      </w:r>
      <w:r w:rsidRPr="00853E25">
        <w:lastRenderedPageBreak/>
        <w:t xml:space="preserve">administrative effort” which will be more costly than a usual process and it is important that the scheme is effective in order to outweigh those added administrative costs. </w:t>
      </w:r>
    </w:p>
    <w:p w14:paraId="6EFE667A" w14:textId="77777777" w:rsidR="00CB7DF3" w:rsidRDefault="00853E25" w:rsidP="00853E25">
      <w:pPr>
        <w:pStyle w:val="ListParagraph"/>
        <w:numPr>
          <w:ilvl w:val="0"/>
          <w:numId w:val="10"/>
        </w:numPr>
      </w:pPr>
      <w:r w:rsidRPr="00853E25">
        <w:t>Partnering</w:t>
      </w:r>
    </w:p>
    <w:p w14:paraId="06C2F533" w14:textId="35894A91" w:rsidR="00853E25" w:rsidRDefault="00853E25" w:rsidP="00CB7DF3">
      <w:pPr>
        <w:pStyle w:val="ListParagraph"/>
      </w:pPr>
      <w:r w:rsidRPr="00853E25">
        <w:t xml:space="preserve">Partnering is a procurement method which can provide the contractor with an incentive to maintain a high level of productivity. Partnering is a procurement method which incentivises the contractor to work a high level of productivity and quality with the reward of gaining future work. The partnering route became popular after the Latham report 1994 and the Egan report 1998 supported the route and Egan in particular advised that the benefits of improved construction should be shared amongst both parties and says an “essential ingredient” of improved performance in other industries has been down to the “creation of long term relationships”.  This emphasised Himes 1995 findings that incentives should focus on the objectives of all parties in the same direction. This could be useful for the client in this scenario because the incentive of future contracts and work for the different sub-contractors can motivate them to work together effectively as a collective and ultimately complete the “Yr Fforwm” building to a high quality and on time. </w:t>
      </w:r>
    </w:p>
    <w:p w14:paraId="2C968FB7" w14:textId="4931D20E" w:rsidR="00DB0F27" w:rsidRDefault="00DB0F27" w:rsidP="00853E25">
      <w:r>
        <w:t xml:space="preserve">In order to tackle the issue of bringing out the best in each worker and induvial workers not being distracted and therefore not working productively, it is important the </w:t>
      </w:r>
      <w:r w:rsidR="00BB205E">
        <w:t>relevant managers on site are able to motivate the workers to work efficiently. Construction managers on site have been known to have a reputation for an autocratic style which a</w:t>
      </w:r>
      <w:r w:rsidR="00BB205E" w:rsidRPr="00755B1C">
        <w:t>ccording to Goethals 2004 this style of leadership relies primarily on the use of authority in groups and in organisations.</w:t>
      </w:r>
      <w:r w:rsidR="00BB205E">
        <w:t xml:space="preserve"> However, this style has been known to cause a lack of motivation on site and can lead to low productivity. Incentives can offer a solution to this problem. For example</w:t>
      </w:r>
      <w:r w:rsidR="00497CB5">
        <w:t xml:space="preserve">, the site is based in Swansea, which means conditions are likely to be </w:t>
      </w:r>
      <w:r w:rsidR="001C0A1E">
        <w:t>particularly</w:t>
      </w:r>
      <w:r w:rsidR="00497CB5">
        <w:t xml:space="preserve"> cold and wet</w:t>
      </w:r>
      <w:r w:rsidR="00BB205E">
        <w:t xml:space="preserve"> </w:t>
      </w:r>
      <w:r w:rsidR="001C0A1E">
        <w:t>which can lead the workers to losing motivation and reducing productivity</w:t>
      </w:r>
      <w:r w:rsidR="00BE09AC">
        <w:t xml:space="preserve">, therefore, the relevant manager could offer workers a half day or day off if a work target is met in an attempt to incentivise the workers to work efficiently. </w:t>
      </w:r>
    </w:p>
    <w:p w14:paraId="17543C67" w14:textId="3AF95412" w:rsidR="00E70F8A" w:rsidRPr="00E70F8A" w:rsidRDefault="00E70F8A" w:rsidP="00853E25">
      <w:pPr>
        <w:rPr>
          <w:b/>
          <w:bCs/>
        </w:rPr>
      </w:pPr>
      <w:r w:rsidRPr="00E70F8A">
        <w:rPr>
          <w:b/>
          <w:bCs/>
        </w:rPr>
        <w:t>4.3 Incentives conclusion</w:t>
      </w:r>
    </w:p>
    <w:p w14:paraId="469D63D7" w14:textId="0B46F2A9" w:rsidR="00E70F8A" w:rsidRPr="00853E25" w:rsidRDefault="00E70F8A" w:rsidP="00853E25">
      <w:pPr>
        <w:rPr>
          <w:b/>
          <w:bCs/>
        </w:rPr>
      </w:pPr>
      <w:r>
        <w:t>In conclusion, it is impossible to be sure of the correct incentive route to take as each situation and individual is different. However, it is an important for every client to consider the importance of incentivisation in order to maximise productivity from the outset. Furthermore, each client should be aware that modern construction Is beginning to focus on long term relationships, and this should be considered when choosing the incentivisation route.</w:t>
      </w:r>
    </w:p>
    <w:p w14:paraId="1E4B9E32" w14:textId="268A0A0C" w:rsidR="00C37E30" w:rsidRPr="00CB7DF3" w:rsidRDefault="00853E25" w:rsidP="00853E25">
      <w:pPr>
        <w:rPr>
          <w:b/>
          <w:bCs/>
        </w:rPr>
      </w:pPr>
      <w:r w:rsidRPr="00CB7DF3">
        <w:rPr>
          <w:b/>
          <w:bCs/>
        </w:rPr>
        <w:t>5.0 Site Set Up</w:t>
      </w:r>
    </w:p>
    <w:p w14:paraId="18E33D75" w14:textId="31CF9115" w:rsidR="00853E25" w:rsidRPr="00853E25" w:rsidRDefault="00853E25" w:rsidP="00853E25">
      <w:pPr>
        <w:rPr>
          <w:rFonts w:cstheme="minorHAnsi"/>
        </w:rPr>
      </w:pPr>
      <w:r w:rsidRPr="00853E25">
        <w:rPr>
          <w:rFonts w:cstheme="minorHAnsi"/>
        </w:rPr>
        <w:t xml:space="preserve">In order to complete this project safely the site will be set up and planned in accordance with the HSE and the health and safety act at work act 1974 and as the site will be active for more than 30 days the HSE will </w:t>
      </w:r>
      <w:r w:rsidRPr="00853E25">
        <w:rPr>
          <w:rFonts w:cstheme="minorHAnsi"/>
        </w:rPr>
        <w:t xml:space="preserve">have to </w:t>
      </w:r>
      <w:r w:rsidRPr="00853E25">
        <w:rPr>
          <w:rFonts w:cstheme="minorHAnsi"/>
        </w:rPr>
        <w:t>be notified.</w:t>
      </w:r>
      <w:r>
        <w:rPr>
          <w:rFonts w:cstheme="minorHAnsi"/>
        </w:rPr>
        <w:t xml:space="preserve"> The site is next to the open and functioning university IQ building and car parking space meaning appropriate temporary pedestrian crossings must be used in order to keep the public safe. The set up of the access to site and pedestrian crossings are shown in the image below.</w:t>
      </w:r>
    </w:p>
    <w:p w14:paraId="1AE1A031" w14:textId="02FDA43B" w:rsidR="00853E25" w:rsidRDefault="00853E25" w:rsidP="00853E25">
      <w:pPr>
        <w:rPr>
          <w:rFonts w:cstheme="minorHAnsi"/>
        </w:rPr>
      </w:pPr>
      <w:r>
        <w:rPr>
          <w:noProof/>
        </w:rPr>
        <w:lastRenderedPageBreak/>
        <w:drawing>
          <wp:inline distT="0" distB="0" distL="0" distR="0" wp14:anchorId="3E8CE30D" wp14:editId="0797C062">
            <wp:extent cx="5731510" cy="29718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7783"/>
                    <a:stretch/>
                  </pic:blipFill>
                  <pic:spPr bwMode="auto">
                    <a:xfrm>
                      <a:off x="0" y="0"/>
                      <a:ext cx="5731510" cy="2971800"/>
                    </a:xfrm>
                    <a:prstGeom prst="rect">
                      <a:avLst/>
                    </a:prstGeom>
                    <a:ln>
                      <a:noFill/>
                    </a:ln>
                    <a:extLst>
                      <a:ext uri="{53640926-AAD7-44D8-BBD7-CCE9431645EC}">
                        <a14:shadowObscured xmlns:a14="http://schemas.microsoft.com/office/drawing/2010/main"/>
                      </a:ext>
                    </a:extLst>
                  </pic:spPr>
                </pic:pic>
              </a:graphicData>
            </a:graphic>
          </wp:inline>
        </w:drawing>
      </w:r>
    </w:p>
    <w:p w14:paraId="5F512A80" w14:textId="77777777" w:rsidR="001E3188" w:rsidRPr="001E3188" w:rsidRDefault="001E3188" w:rsidP="001E3188">
      <w:r w:rsidRPr="001E3188">
        <w:rPr>
          <w:noProof/>
        </w:rPr>
        <mc:AlternateContent>
          <mc:Choice Requires="wps">
            <w:drawing>
              <wp:anchor distT="0" distB="0" distL="114300" distR="114300" simplePos="0" relativeHeight="251659264" behindDoc="0" locked="0" layoutInCell="1" allowOverlap="1" wp14:anchorId="3EB17BE1" wp14:editId="39EA3C3B">
                <wp:simplePos x="0" y="0"/>
                <wp:positionH relativeFrom="margin">
                  <wp:align>left</wp:align>
                </wp:positionH>
                <wp:positionV relativeFrom="paragraph">
                  <wp:posOffset>88265</wp:posOffset>
                </wp:positionV>
                <wp:extent cx="361950" cy="0"/>
                <wp:effectExtent l="0" t="38100" r="38100" b="38100"/>
                <wp:wrapNone/>
                <wp:docPr id="12" name="Straight Connector 7"/>
                <wp:cNvGraphicFramePr xmlns:a="http://schemas.openxmlformats.org/drawingml/2006/main">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61950" cy="0"/>
                        </a:xfrm>
                        <a:prstGeom prst="line">
                          <a:avLst/>
                        </a:prstGeom>
                        <a:noFill/>
                        <a:ln w="7620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01653F5" id="Straight Connector 7"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95pt" to="2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" strokecolor="red" strokeweight="6pt">
                <v:stroke joinstyle="miter"/>
                <o:lock v:ext="edit" shapetype="f"/>
                <w10:wrap anchorx="margin"/>
              </v:line>
            </w:pict>
          </mc:Fallback>
        </mc:AlternateContent>
      </w:r>
      <w:r w:rsidRPr="001E3188">
        <w:t xml:space="preserve">            Red Zone- University parking</w:t>
      </w:r>
    </w:p>
    <w:p w14:paraId="47D86A1C" w14:textId="77777777" w:rsidR="001E3188" w:rsidRPr="001E3188" w:rsidRDefault="001E3188" w:rsidP="001E3188">
      <w:r w:rsidRPr="001E3188">
        <w:rPr>
          <w:noProof/>
        </w:rPr>
        <mc:AlternateContent>
          <mc:Choice Requires="wps">
            <w:drawing>
              <wp:anchor distT="0" distB="0" distL="114300" distR="114300" simplePos="0" relativeHeight="251661312" behindDoc="0" locked="0" layoutInCell="1" allowOverlap="1" wp14:anchorId="6A1586F0" wp14:editId="56E6876B">
                <wp:simplePos x="0" y="0"/>
                <wp:positionH relativeFrom="column">
                  <wp:posOffset>0</wp:posOffset>
                </wp:positionH>
                <wp:positionV relativeFrom="paragraph">
                  <wp:posOffset>97790</wp:posOffset>
                </wp:positionV>
                <wp:extent cx="304800" cy="0"/>
                <wp:effectExtent l="0" t="38100" r="38100" b="38100"/>
                <wp:wrapNone/>
                <wp:docPr id="13" name="Straight Connector 13"/>
                <wp:cNvGraphicFramePr/>
                <a:graphic xmlns:a="http://schemas.openxmlformats.org/drawingml/2006/main">
                  <a:graphicData uri="http://schemas.microsoft.com/office/word/2010/wordprocessingShape">
                    <wps:wsp>
                      <wps:cNvCnPr/>
                      <wps:spPr>
                        <a:xfrm>
                          <a:off x="0" y="0"/>
                          <a:ext cx="304800" cy="0"/>
                        </a:xfrm>
                        <a:prstGeom prst="line">
                          <a:avLst/>
                        </a:prstGeom>
                        <a:noFill/>
                        <a:ln w="76200" cap="flat" cmpd="sng" algn="ctr">
                          <a:solidFill>
                            <a:srgbClr val="92D050"/>
                          </a:solidFill>
                          <a:prstDash val="solid"/>
                          <a:miter lim="800000"/>
                        </a:ln>
                        <a:effectLst/>
                      </wps:spPr>
                      <wps:bodyPr/>
                    </wps:wsp>
                  </a:graphicData>
                </a:graphic>
              </wp:anchor>
            </w:drawing>
          </mc:Choice>
          <mc:Fallback>
            <w:pict>
              <v:line w14:anchorId="6CB97313" id="Straight Connector 1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7.7pt" to="24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" strokecolor="#92d050" strokeweight="6pt">
                <v:stroke joinstyle="miter"/>
              </v:line>
            </w:pict>
          </mc:Fallback>
        </mc:AlternateContent>
      </w:r>
      <w:r w:rsidRPr="001E3188">
        <w:t xml:space="preserve">            Green Zone- University Building</w:t>
      </w:r>
    </w:p>
    <w:p w14:paraId="546B8671" w14:textId="77777777" w:rsidR="001E3188" w:rsidRPr="001E3188" w:rsidRDefault="001E3188" w:rsidP="001E3188">
      <w:r w:rsidRPr="001E3188">
        <w:rPr>
          <w:noProof/>
        </w:rPr>
        <mc:AlternateContent>
          <mc:Choice Requires="wps">
            <w:drawing>
              <wp:anchor distT="0" distB="0" distL="114300" distR="114300" simplePos="0" relativeHeight="251662336" behindDoc="0" locked="0" layoutInCell="1" allowOverlap="1" wp14:anchorId="64E5F2BA" wp14:editId="649DC81F">
                <wp:simplePos x="0" y="0"/>
                <wp:positionH relativeFrom="column">
                  <wp:posOffset>-85725</wp:posOffset>
                </wp:positionH>
                <wp:positionV relativeFrom="paragraph">
                  <wp:posOffset>240665</wp:posOffset>
                </wp:positionV>
                <wp:extent cx="447675" cy="239486"/>
                <wp:effectExtent l="0" t="19050" r="47625" b="46355"/>
                <wp:wrapNone/>
                <wp:docPr id="45" name="Arrow: Right 44">
                  <a:extLst xmlns:a="http://schemas.openxmlformats.org/drawingml/2006/main">
                    <a:ext uri="{FF2B5EF4-FFF2-40B4-BE49-F238E27FC236}">
                      <a16:creationId xmlns:a16="http://schemas.microsoft.com/office/drawing/2014/main" id="{E56A0A2E-0789-461F-96E4-E818675A2859}"/>
                    </a:ext>
                  </a:extLst>
                </wp:docPr>
                <wp:cNvGraphicFramePr/>
                <a:graphic xmlns:a="http://schemas.openxmlformats.org/drawingml/2006/main">
                  <a:graphicData uri="http://schemas.microsoft.com/office/word/2010/wordprocessingShape">
                    <wps:wsp>
                      <wps:cNvSpPr/>
                      <wps:spPr>
                        <a:xfrm>
                          <a:off x="0" y="0"/>
                          <a:ext cx="447675" cy="239486"/>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shapetype w14:anchorId="1290ED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4" o:spid="_x0000_s1026" type="#_x0000_t13" style="position:absolute;margin-left:-6.75pt;margin-top:18.95pt;width:35.25pt;height:1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" adj="15822" fillcolor="windowText" strokeweight="1pt"/>
            </w:pict>
          </mc:Fallback>
        </mc:AlternateContent>
      </w:r>
      <w:r w:rsidRPr="001E3188">
        <w:rPr>
          <w:noProof/>
        </w:rPr>
        <mc:AlternateContent>
          <mc:Choice Requires="wps">
            <w:drawing>
              <wp:anchor distT="0" distB="0" distL="114300" distR="114300" simplePos="0" relativeHeight="251660288" behindDoc="0" locked="0" layoutInCell="1" allowOverlap="1" wp14:anchorId="14134573" wp14:editId="425C0DBE">
                <wp:simplePos x="0" y="0"/>
                <wp:positionH relativeFrom="column">
                  <wp:posOffset>-9525</wp:posOffset>
                </wp:positionH>
                <wp:positionV relativeFrom="paragraph">
                  <wp:posOffset>69215</wp:posOffset>
                </wp:positionV>
                <wp:extent cx="342900" cy="0"/>
                <wp:effectExtent l="0" t="38100" r="38100" b="38100"/>
                <wp:wrapNone/>
                <wp:docPr id="14" name="Straight Connector 14"/>
                <wp:cNvGraphicFramePr/>
                <a:graphic xmlns:a="http://schemas.openxmlformats.org/drawingml/2006/main">
                  <a:graphicData uri="http://schemas.microsoft.com/office/word/2010/wordprocessingShape">
                    <wps:wsp>
                      <wps:cNvCnPr/>
                      <wps:spPr>
                        <a:xfrm flipV="1">
                          <a:off x="0" y="0"/>
                          <a:ext cx="342900" cy="0"/>
                        </a:xfrm>
                        <a:prstGeom prst="line">
                          <a:avLst/>
                        </a:prstGeom>
                        <a:noFill/>
                        <a:ln w="76200" cap="flat" cmpd="sng" algn="ctr">
                          <a:solidFill>
                            <a:srgbClr val="00B0F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F88322B" id="Straight Connector 1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5.45pt" to="26.2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" strokecolor="#00b0f0" strokeweight="6pt">
                <v:stroke joinstyle="miter"/>
              </v:line>
            </w:pict>
          </mc:Fallback>
        </mc:AlternateContent>
      </w:r>
      <w:r w:rsidRPr="001E3188">
        <w:t xml:space="preserve">            Blue Zone- Site Perimeter</w:t>
      </w:r>
    </w:p>
    <w:p w14:paraId="3C1187D3" w14:textId="77777777" w:rsidR="001E3188" w:rsidRPr="001E3188" w:rsidRDefault="001E3188" w:rsidP="001E3188">
      <w:r w:rsidRPr="001E3188">
        <w:t xml:space="preserve">             Access to Site</w:t>
      </w:r>
    </w:p>
    <w:p w14:paraId="07947D47" w14:textId="77777777" w:rsidR="001E3188" w:rsidRPr="001E3188" w:rsidRDefault="001E3188" w:rsidP="001E3188">
      <w:r w:rsidRPr="001E3188">
        <w:rPr>
          <w:noProof/>
        </w:rPr>
        <mc:AlternateContent>
          <mc:Choice Requires="wps">
            <w:drawing>
              <wp:anchor distT="0" distB="0" distL="114300" distR="114300" simplePos="0" relativeHeight="251663360" behindDoc="0" locked="0" layoutInCell="1" allowOverlap="1" wp14:anchorId="6087F801" wp14:editId="5B42313A">
                <wp:simplePos x="0" y="0"/>
                <wp:positionH relativeFrom="column">
                  <wp:posOffset>-85725</wp:posOffset>
                </wp:positionH>
                <wp:positionV relativeFrom="paragraph">
                  <wp:posOffset>107949</wp:posOffset>
                </wp:positionV>
                <wp:extent cx="390525" cy="0"/>
                <wp:effectExtent l="0" t="38100" r="47625" b="38100"/>
                <wp:wrapNone/>
                <wp:docPr id="15" name="Straight Connector 15"/>
                <wp:cNvGraphicFramePr/>
                <a:graphic xmlns:a="http://schemas.openxmlformats.org/drawingml/2006/main">
                  <a:graphicData uri="http://schemas.microsoft.com/office/word/2010/wordprocessingShape">
                    <wps:wsp>
                      <wps:cNvCnPr/>
                      <wps:spPr>
                        <a:xfrm flipV="1">
                          <a:off x="0" y="0"/>
                          <a:ext cx="390525" cy="0"/>
                        </a:xfrm>
                        <a:prstGeom prst="line">
                          <a:avLst/>
                        </a:prstGeom>
                        <a:noFill/>
                        <a:ln w="76200" cap="flat" cmpd="sng" algn="ctr">
                          <a:solidFill>
                            <a:srgbClr val="FFC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560E1B" id="Straight Connector 1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8.5pt" to="24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" strokecolor="#ffc000" strokeweight="6pt">
                <v:stroke joinstyle="miter"/>
              </v:line>
            </w:pict>
          </mc:Fallback>
        </mc:AlternateContent>
      </w:r>
      <w:r w:rsidRPr="001E3188">
        <w:t xml:space="preserve">            Temporary Pedestrian Crossing.</w:t>
      </w:r>
    </w:p>
    <w:p w14:paraId="6696B52D" w14:textId="77777777" w:rsidR="001E3188" w:rsidRPr="001E3188" w:rsidRDefault="001E3188" w:rsidP="001E3188">
      <w:pPr>
        <w:numPr>
          <w:ilvl w:val="0"/>
          <w:numId w:val="8"/>
        </w:numPr>
        <w:contextualSpacing/>
      </w:pPr>
      <w:r w:rsidRPr="001E3188">
        <w:t>Site Entrance</w:t>
      </w:r>
    </w:p>
    <w:p w14:paraId="5792177E" w14:textId="0EB4C5FF" w:rsidR="00853E25" w:rsidRDefault="00853E25" w:rsidP="00853E25">
      <w:pPr>
        <w:rPr>
          <w:rFonts w:cstheme="minorHAnsi"/>
        </w:rPr>
      </w:pPr>
    </w:p>
    <w:p w14:paraId="481C841B" w14:textId="7DB84FCE" w:rsidR="001E3188" w:rsidRDefault="001E3188" w:rsidP="00853E25">
      <w:pPr>
        <w:rPr>
          <w:rFonts w:cstheme="minorHAnsi"/>
        </w:rPr>
      </w:pPr>
      <w:r>
        <w:rPr>
          <w:rFonts w:cstheme="minorHAnsi"/>
        </w:rPr>
        <w:t>The below imagine is a more in detail image showing how the construction site itself will be set up during the project.</w:t>
      </w:r>
    </w:p>
    <w:p w14:paraId="0E90BAFD" w14:textId="3F9C58F6" w:rsidR="001E3188" w:rsidRDefault="001E3188" w:rsidP="00853E25">
      <w:pPr>
        <w:rPr>
          <w:rFonts w:cstheme="minorHAnsi"/>
        </w:rPr>
      </w:pPr>
      <w:r>
        <w:rPr>
          <w:noProof/>
        </w:rPr>
        <w:drawing>
          <wp:inline distT="0" distB="0" distL="0" distR="0" wp14:anchorId="5130A632" wp14:editId="360A2E3B">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6C93BF62" w14:textId="77777777" w:rsidR="001E3188" w:rsidRPr="001E3188" w:rsidRDefault="001E3188" w:rsidP="001E3188">
      <w:pPr>
        <w:numPr>
          <w:ilvl w:val="0"/>
          <w:numId w:val="9"/>
        </w:numPr>
        <w:contextualSpacing/>
      </w:pPr>
      <w:r w:rsidRPr="001E3188">
        <w:lastRenderedPageBreak/>
        <w:t xml:space="preserve">Site Entrance with secured vehicle gates </w:t>
      </w:r>
    </w:p>
    <w:p w14:paraId="7B21F7AD" w14:textId="77777777" w:rsidR="001E3188" w:rsidRPr="001E3188" w:rsidRDefault="001E3188" w:rsidP="001E3188">
      <w:pPr>
        <w:numPr>
          <w:ilvl w:val="0"/>
          <w:numId w:val="9"/>
        </w:numPr>
        <w:contextualSpacing/>
      </w:pPr>
      <w:r w:rsidRPr="001E3188">
        <w:t xml:space="preserve">Site security office for each entering person to sign in and follow relevant COVID </w:t>
      </w:r>
    </w:p>
    <w:p w14:paraId="6127A966" w14:textId="77777777" w:rsidR="001E3188" w:rsidRPr="001E3188" w:rsidRDefault="001E3188" w:rsidP="001E3188">
      <w:pPr>
        <w:numPr>
          <w:ilvl w:val="0"/>
          <w:numId w:val="9"/>
        </w:numPr>
        <w:contextualSpacing/>
      </w:pPr>
      <w:r w:rsidRPr="001E3188">
        <w:t>Site offices</w:t>
      </w:r>
    </w:p>
    <w:p w14:paraId="499A8A24" w14:textId="77777777" w:rsidR="001E3188" w:rsidRPr="001E3188" w:rsidRDefault="001E3188" w:rsidP="001E3188">
      <w:pPr>
        <w:numPr>
          <w:ilvl w:val="0"/>
          <w:numId w:val="9"/>
        </w:numPr>
        <w:contextualSpacing/>
      </w:pPr>
      <w:r w:rsidRPr="001E3188">
        <w:t>Welfare Facilities</w:t>
      </w:r>
    </w:p>
    <w:p w14:paraId="48B269FC" w14:textId="77777777" w:rsidR="001E3188" w:rsidRPr="001E3188" w:rsidRDefault="001E3188" w:rsidP="001E3188">
      <w:pPr>
        <w:numPr>
          <w:ilvl w:val="0"/>
          <w:numId w:val="9"/>
        </w:numPr>
        <w:contextualSpacing/>
      </w:pPr>
      <w:r w:rsidRPr="001E3188">
        <w:t xml:space="preserve">Workshop/Plant maintenance </w:t>
      </w:r>
    </w:p>
    <w:p w14:paraId="7F98B964" w14:textId="77777777" w:rsidR="001E3188" w:rsidRPr="001E3188" w:rsidRDefault="001E3188" w:rsidP="001E3188">
      <w:pPr>
        <w:numPr>
          <w:ilvl w:val="0"/>
          <w:numId w:val="9"/>
        </w:numPr>
        <w:contextualSpacing/>
      </w:pPr>
      <w:r w:rsidRPr="001E3188">
        <w:t>Site Parking</w:t>
      </w:r>
    </w:p>
    <w:p w14:paraId="210D3128" w14:textId="77777777" w:rsidR="001E3188" w:rsidRPr="001E3188" w:rsidRDefault="001E3188" w:rsidP="001E3188">
      <w:pPr>
        <w:numPr>
          <w:ilvl w:val="0"/>
          <w:numId w:val="9"/>
        </w:numPr>
        <w:contextualSpacing/>
      </w:pPr>
      <w:r w:rsidRPr="001E3188">
        <w:t>Crane</w:t>
      </w:r>
    </w:p>
    <w:p w14:paraId="1223A0E1" w14:textId="77777777" w:rsidR="001E3188" w:rsidRPr="001E3188" w:rsidRDefault="001E3188" w:rsidP="001E3188">
      <w:pPr>
        <w:numPr>
          <w:ilvl w:val="0"/>
          <w:numId w:val="9"/>
        </w:numPr>
        <w:contextualSpacing/>
      </w:pPr>
      <w:r w:rsidRPr="001E3188">
        <w:t>Storage Compound</w:t>
      </w:r>
    </w:p>
    <w:p w14:paraId="7BDF86F1" w14:textId="77777777" w:rsidR="001E3188" w:rsidRPr="001E3188" w:rsidRDefault="001E3188" w:rsidP="001E3188">
      <w:pPr>
        <w:numPr>
          <w:ilvl w:val="0"/>
          <w:numId w:val="9"/>
        </w:numPr>
        <w:contextualSpacing/>
      </w:pPr>
      <w:r w:rsidRPr="001E3188">
        <w:t>Waste Management</w:t>
      </w:r>
    </w:p>
    <w:p w14:paraId="4948B606" w14:textId="77777777" w:rsidR="001E3188" w:rsidRPr="001E3188" w:rsidRDefault="001E3188" w:rsidP="001E3188">
      <w:pPr>
        <w:numPr>
          <w:ilvl w:val="0"/>
          <w:numId w:val="9"/>
        </w:numPr>
        <w:contextualSpacing/>
      </w:pPr>
      <w:r w:rsidRPr="001E3188">
        <w:t>Silo</w:t>
      </w:r>
    </w:p>
    <w:p w14:paraId="057BE25E" w14:textId="77777777" w:rsidR="001E3188" w:rsidRPr="001E3188" w:rsidRDefault="001E3188" w:rsidP="001E3188">
      <w:pPr>
        <w:numPr>
          <w:ilvl w:val="0"/>
          <w:numId w:val="9"/>
        </w:numPr>
        <w:contextualSpacing/>
      </w:pPr>
      <w:r w:rsidRPr="001E3188">
        <w:t>Muck away operation</w:t>
      </w:r>
    </w:p>
    <w:p w14:paraId="7CA7EFFC" w14:textId="77777777" w:rsidR="001E3188" w:rsidRPr="001E3188" w:rsidRDefault="001E3188" w:rsidP="001E3188">
      <w:pPr>
        <w:numPr>
          <w:ilvl w:val="0"/>
          <w:numId w:val="9"/>
        </w:numPr>
        <w:contextualSpacing/>
      </w:pPr>
      <w:r w:rsidRPr="001E3188">
        <w:t>Wheel Wash</w:t>
      </w:r>
    </w:p>
    <w:p w14:paraId="51AE8D75" w14:textId="77777777" w:rsidR="001E3188" w:rsidRPr="001E3188" w:rsidRDefault="001E3188" w:rsidP="001E3188">
      <w:pPr>
        <w:ind w:left="720"/>
        <w:contextualSpacing/>
      </w:pPr>
      <w:r w:rsidRPr="001E3188">
        <w:rPr>
          <w:noProof/>
        </w:rPr>
        <mc:AlternateContent>
          <mc:Choice Requires="wps">
            <w:drawing>
              <wp:anchor distT="0" distB="0" distL="114300" distR="114300" simplePos="0" relativeHeight="251667456" behindDoc="0" locked="0" layoutInCell="1" allowOverlap="1" wp14:anchorId="69EBBE18" wp14:editId="13E89FE6">
                <wp:simplePos x="0" y="0"/>
                <wp:positionH relativeFrom="column">
                  <wp:posOffset>91758</wp:posOffset>
                </wp:positionH>
                <wp:positionV relativeFrom="paragraph">
                  <wp:posOffset>188594</wp:posOffset>
                </wp:positionV>
                <wp:extent cx="227330" cy="614362"/>
                <wp:effectExtent l="0" t="2858" r="17463" b="17462"/>
                <wp:wrapNone/>
                <wp:docPr id="44" name="Rectangle 43">
                  <a:extLst xmlns:a="http://schemas.openxmlformats.org/drawingml/2006/main">
                    <a:ext uri="{FF2B5EF4-FFF2-40B4-BE49-F238E27FC236}">
                      <a16:creationId xmlns:a16="http://schemas.microsoft.com/office/drawing/2014/main" id="{2B7E4232-9E5A-4277-9C4F-23790E1E396F}"/>
                    </a:ext>
                  </a:extLst>
                </wp:docPr>
                <wp:cNvGraphicFramePr/>
                <a:graphic xmlns:a="http://schemas.openxmlformats.org/drawingml/2006/main">
                  <a:graphicData uri="http://schemas.microsoft.com/office/word/2010/wordprocessingShape">
                    <wps:wsp>
                      <wps:cNvSpPr/>
                      <wps:spPr>
                        <a:xfrm rot="16200000">
                          <a:off x="0" y="0"/>
                          <a:ext cx="227330" cy="614362"/>
                        </a:xfrm>
                        <a:prstGeom prst="rect">
                          <a:avLst/>
                        </a:prstGeom>
                        <a:solidFill>
                          <a:srgbClr val="ED7D31">
                            <a:lumMod val="60000"/>
                            <a:lumOff val="40000"/>
                          </a:srgbClr>
                        </a:solidFill>
                        <a:ln w="12700" cap="flat" cmpd="sng" algn="ctr">
                          <a:solidFill>
                            <a:srgbClr val="4472C4">
                              <a:shade val="50000"/>
                            </a:srgbClr>
                          </a:solid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rect w14:anchorId="58A1FF80" id="Rectangle 43" o:spid="_x0000_s1026" style="position:absolute;margin-left:7.25pt;margin-top:14.85pt;width:17.9pt;height:48.35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" fillcolor="#f4b183" strokecolor="#2f528f" strokeweight="1pt"/>
            </w:pict>
          </mc:Fallback>
        </mc:AlternateContent>
      </w:r>
      <w:r w:rsidRPr="001E3188">
        <w:rPr>
          <w:noProof/>
        </w:rPr>
        <mc:AlternateContent>
          <mc:Choice Requires="wps">
            <w:drawing>
              <wp:anchor distT="0" distB="0" distL="114300" distR="114300" simplePos="0" relativeHeight="251665408" behindDoc="0" locked="0" layoutInCell="1" allowOverlap="1" wp14:anchorId="5E4AF3B9" wp14:editId="7C74F0BF">
                <wp:simplePos x="0" y="0"/>
                <wp:positionH relativeFrom="column">
                  <wp:posOffset>95250</wp:posOffset>
                </wp:positionH>
                <wp:positionV relativeFrom="paragraph">
                  <wp:posOffset>102235</wp:posOffset>
                </wp:positionV>
                <wp:extent cx="295275" cy="0"/>
                <wp:effectExtent l="0" t="38100" r="47625" b="38100"/>
                <wp:wrapNone/>
                <wp:docPr id="18" name="Straight Connector 18"/>
                <wp:cNvGraphicFramePr/>
                <a:graphic xmlns:a="http://schemas.openxmlformats.org/drawingml/2006/main">
                  <a:graphicData uri="http://schemas.microsoft.com/office/word/2010/wordprocessingShape">
                    <wps:wsp>
                      <wps:cNvCnPr/>
                      <wps:spPr>
                        <a:xfrm>
                          <a:off x="0" y="0"/>
                          <a:ext cx="295275" cy="0"/>
                        </a:xfrm>
                        <a:prstGeom prst="line">
                          <a:avLst/>
                        </a:prstGeom>
                        <a:noFill/>
                        <a:ln w="76200" cap="flat" cmpd="sng" algn="ctr">
                          <a:solidFill>
                            <a:srgbClr val="00B0F0"/>
                          </a:solidFill>
                          <a:prstDash val="solid"/>
                          <a:miter lim="800000"/>
                        </a:ln>
                        <a:effectLst/>
                      </wps:spPr>
                      <wps:bodyPr/>
                    </wps:wsp>
                  </a:graphicData>
                </a:graphic>
              </wp:anchor>
            </w:drawing>
          </mc:Choice>
          <mc:Fallback>
            <w:pict>
              <v:line w14:anchorId="62D175E9" id="Straight Connector 18"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5pt,8.05pt" to="30.75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" strokecolor="#00b0f0" strokeweight="6pt">
                <v:stroke joinstyle="miter"/>
              </v:line>
            </w:pict>
          </mc:Fallback>
        </mc:AlternateContent>
      </w:r>
      <w:r w:rsidRPr="001E3188">
        <w:t>Perimeter Fencing/Hoarding with “Yr Fforwm” advertisement and safety signs</w:t>
      </w:r>
    </w:p>
    <w:p w14:paraId="3075A589" w14:textId="77777777" w:rsidR="001E3188" w:rsidRPr="001E3188" w:rsidRDefault="001E3188" w:rsidP="001E3188">
      <w:pPr>
        <w:ind w:left="720"/>
        <w:contextualSpacing/>
      </w:pPr>
      <w:r w:rsidRPr="001E3188">
        <w:rPr>
          <w:noProof/>
        </w:rPr>
        <mc:AlternateContent>
          <mc:Choice Requires="wps">
            <w:drawing>
              <wp:anchor distT="0" distB="0" distL="114300" distR="114300" simplePos="0" relativeHeight="251666432" behindDoc="0" locked="0" layoutInCell="1" allowOverlap="1" wp14:anchorId="2D44C8D9" wp14:editId="42D9F13E">
                <wp:simplePos x="0" y="0"/>
                <wp:positionH relativeFrom="column">
                  <wp:posOffset>85725</wp:posOffset>
                </wp:positionH>
                <wp:positionV relativeFrom="paragraph">
                  <wp:posOffset>86360</wp:posOffset>
                </wp:positionV>
                <wp:extent cx="295275" cy="0"/>
                <wp:effectExtent l="0" t="38100" r="47625" b="38100"/>
                <wp:wrapNone/>
                <wp:docPr id="19" name="Straight Connector 19"/>
                <wp:cNvGraphicFramePr/>
                <a:graphic xmlns:a="http://schemas.openxmlformats.org/drawingml/2006/main">
                  <a:graphicData uri="http://schemas.microsoft.com/office/word/2010/wordprocessingShape">
                    <wps:wsp>
                      <wps:cNvCnPr/>
                      <wps:spPr>
                        <a:xfrm>
                          <a:off x="0" y="0"/>
                          <a:ext cx="295275" cy="0"/>
                        </a:xfrm>
                        <a:prstGeom prst="line">
                          <a:avLst/>
                        </a:prstGeom>
                        <a:noFill/>
                        <a:ln w="76200" cap="flat" cmpd="sng" algn="ctr">
                          <a:solidFill>
                            <a:srgbClr val="FFC000"/>
                          </a:solidFill>
                          <a:prstDash val="solid"/>
                          <a:miter lim="800000"/>
                        </a:ln>
                        <a:effectLst/>
                      </wps:spPr>
                      <wps:bodyPr/>
                    </wps:wsp>
                  </a:graphicData>
                </a:graphic>
              </wp:anchor>
            </w:drawing>
          </mc:Choice>
          <mc:Fallback>
            <w:pict>
              <v:line w14:anchorId="100E95BE" id="Straight Connector 1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6.75pt,6.8pt" to="30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" strokecolor="#ffc000" strokeweight="6pt">
                <v:stroke joinstyle="miter"/>
              </v:line>
            </w:pict>
          </mc:Fallback>
        </mc:AlternateContent>
      </w:r>
      <w:r w:rsidRPr="001E3188">
        <w:t>Worker/Pedestrian walkways</w:t>
      </w:r>
    </w:p>
    <w:p w14:paraId="2C5C3F0E" w14:textId="345E27CB" w:rsidR="001E3188" w:rsidRDefault="001E3188" w:rsidP="001E3188">
      <w:pPr>
        <w:ind w:left="720"/>
        <w:contextualSpacing/>
      </w:pPr>
      <w:r w:rsidRPr="001E3188">
        <w:rPr>
          <w:noProof/>
        </w:rPr>
        <mc:AlternateContent>
          <mc:Choice Requires="wps">
            <w:drawing>
              <wp:anchor distT="0" distB="0" distL="114300" distR="114300" simplePos="0" relativeHeight="251668480" behindDoc="0" locked="0" layoutInCell="1" allowOverlap="1" wp14:anchorId="3E08AB25" wp14:editId="6D9A7930">
                <wp:simplePos x="0" y="0"/>
                <wp:positionH relativeFrom="margin">
                  <wp:align>left</wp:align>
                </wp:positionH>
                <wp:positionV relativeFrom="paragraph">
                  <wp:posOffset>102235</wp:posOffset>
                </wp:positionV>
                <wp:extent cx="428625" cy="45719"/>
                <wp:effectExtent l="0" t="19050" r="47625" b="31115"/>
                <wp:wrapNone/>
                <wp:docPr id="20" name="Arrow: Right 20"/>
                <wp:cNvGraphicFramePr/>
                <a:graphic xmlns:a="http://schemas.openxmlformats.org/drawingml/2006/main">
                  <a:graphicData uri="http://schemas.microsoft.com/office/word/2010/wordprocessingShape">
                    <wps:wsp>
                      <wps:cNvSpPr/>
                      <wps:spPr>
                        <a:xfrm>
                          <a:off x="0" y="0"/>
                          <a:ext cx="428625" cy="45719"/>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FCAA2F" id="Arrow: Right 20" o:spid="_x0000_s1026" type="#_x0000_t13" style="position:absolute;margin-left:0;margin-top:8.05pt;width:33.75pt;height:3.6pt;z-index:25166848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" adj="20448" fillcolor="windowText" strokeweight="1pt">
                <w10:wrap anchorx="margin"/>
              </v:shape>
            </w:pict>
          </mc:Fallback>
        </mc:AlternateContent>
      </w:r>
      <w:r w:rsidRPr="001E3188">
        <w:t xml:space="preserve">   Vehicle Path in a </w:t>
      </w:r>
      <w:r w:rsidR="00503B1E" w:rsidRPr="001E3188">
        <w:t>one-way</w:t>
      </w:r>
      <w:r w:rsidRPr="001E3188">
        <w:t xml:space="preserve"> flow to help separate vehicles and workers</w:t>
      </w:r>
    </w:p>
    <w:p w14:paraId="6A649B3E" w14:textId="30A477A2" w:rsidR="001E3188" w:rsidRDefault="001E3188" w:rsidP="001E3188">
      <w:pPr>
        <w:ind w:left="720"/>
        <w:contextualSpacing/>
      </w:pPr>
    </w:p>
    <w:p w14:paraId="3E9C480E" w14:textId="5F217AC8" w:rsidR="001E3188" w:rsidRDefault="001E3188" w:rsidP="00CB7DF3">
      <w:pPr>
        <w:contextualSpacing/>
      </w:pPr>
    </w:p>
    <w:p w14:paraId="77C7FD66" w14:textId="77777777" w:rsidR="00503B1E" w:rsidRDefault="00503B1E" w:rsidP="00CB7DF3">
      <w:pPr>
        <w:contextualSpacing/>
        <w:rPr>
          <w:b/>
          <w:bCs/>
        </w:rPr>
      </w:pPr>
    </w:p>
    <w:p w14:paraId="1D636FE5" w14:textId="77777777" w:rsidR="00503B1E" w:rsidRDefault="00503B1E" w:rsidP="00CB7DF3">
      <w:pPr>
        <w:contextualSpacing/>
        <w:rPr>
          <w:b/>
          <w:bCs/>
        </w:rPr>
      </w:pPr>
    </w:p>
    <w:p w14:paraId="43A4239C" w14:textId="77777777" w:rsidR="00503B1E" w:rsidRDefault="00503B1E" w:rsidP="00CB7DF3">
      <w:pPr>
        <w:contextualSpacing/>
        <w:rPr>
          <w:b/>
          <w:bCs/>
        </w:rPr>
      </w:pPr>
    </w:p>
    <w:p w14:paraId="40AFC856" w14:textId="77777777" w:rsidR="00503B1E" w:rsidRDefault="00503B1E" w:rsidP="00CB7DF3">
      <w:pPr>
        <w:contextualSpacing/>
        <w:rPr>
          <w:b/>
          <w:bCs/>
        </w:rPr>
      </w:pPr>
    </w:p>
    <w:p w14:paraId="0ECD40AD" w14:textId="77777777" w:rsidR="00503B1E" w:rsidRDefault="00503B1E" w:rsidP="00CB7DF3">
      <w:pPr>
        <w:contextualSpacing/>
        <w:rPr>
          <w:b/>
          <w:bCs/>
        </w:rPr>
      </w:pPr>
    </w:p>
    <w:p w14:paraId="194618FA" w14:textId="77777777" w:rsidR="00503B1E" w:rsidRDefault="00503B1E" w:rsidP="00CB7DF3">
      <w:pPr>
        <w:contextualSpacing/>
        <w:rPr>
          <w:b/>
          <w:bCs/>
        </w:rPr>
      </w:pPr>
    </w:p>
    <w:p w14:paraId="6F9040CB" w14:textId="77777777" w:rsidR="00503B1E" w:rsidRDefault="00503B1E" w:rsidP="00CB7DF3">
      <w:pPr>
        <w:contextualSpacing/>
        <w:rPr>
          <w:b/>
          <w:bCs/>
        </w:rPr>
      </w:pPr>
    </w:p>
    <w:p w14:paraId="431C1DDF" w14:textId="77777777" w:rsidR="00503B1E" w:rsidRDefault="00503B1E" w:rsidP="00CB7DF3">
      <w:pPr>
        <w:contextualSpacing/>
        <w:rPr>
          <w:b/>
          <w:bCs/>
        </w:rPr>
      </w:pPr>
    </w:p>
    <w:p w14:paraId="6BE0F4C6" w14:textId="77777777" w:rsidR="00503B1E" w:rsidRDefault="00503B1E" w:rsidP="00CB7DF3">
      <w:pPr>
        <w:contextualSpacing/>
        <w:rPr>
          <w:b/>
          <w:bCs/>
        </w:rPr>
      </w:pPr>
    </w:p>
    <w:p w14:paraId="20ECB08D" w14:textId="77777777" w:rsidR="00503B1E" w:rsidRDefault="00503B1E" w:rsidP="00CB7DF3">
      <w:pPr>
        <w:contextualSpacing/>
        <w:rPr>
          <w:b/>
          <w:bCs/>
        </w:rPr>
      </w:pPr>
    </w:p>
    <w:p w14:paraId="6350FCF7" w14:textId="77777777" w:rsidR="00503B1E" w:rsidRDefault="00503B1E" w:rsidP="00CB7DF3">
      <w:pPr>
        <w:contextualSpacing/>
        <w:rPr>
          <w:b/>
          <w:bCs/>
        </w:rPr>
      </w:pPr>
    </w:p>
    <w:p w14:paraId="2EC09468" w14:textId="77777777" w:rsidR="00503B1E" w:rsidRDefault="00503B1E" w:rsidP="00CB7DF3">
      <w:pPr>
        <w:contextualSpacing/>
        <w:rPr>
          <w:b/>
          <w:bCs/>
        </w:rPr>
      </w:pPr>
    </w:p>
    <w:p w14:paraId="7979E2CE" w14:textId="77777777" w:rsidR="00503B1E" w:rsidRDefault="00503B1E" w:rsidP="00CB7DF3">
      <w:pPr>
        <w:contextualSpacing/>
        <w:rPr>
          <w:b/>
          <w:bCs/>
        </w:rPr>
      </w:pPr>
    </w:p>
    <w:p w14:paraId="22702EB0" w14:textId="2D0A26A9" w:rsidR="001E3188" w:rsidRPr="001E3188" w:rsidRDefault="00CB7DF3" w:rsidP="00CB7DF3">
      <w:pPr>
        <w:contextualSpacing/>
        <w:rPr>
          <w:b/>
          <w:bCs/>
        </w:rPr>
      </w:pPr>
      <w:r w:rsidRPr="00CB7DF3">
        <w:rPr>
          <w:b/>
          <w:bCs/>
        </w:rPr>
        <w:t>6.0 References</w:t>
      </w:r>
    </w:p>
    <w:p w14:paraId="29909B9B" w14:textId="77777777" w:rsidR="00503B1E" w:rsidRPr="00503B1E" w:rsidRDefault="00503B1E" w:rsidP="00853E25">
      <w:r w:rsidRPr="00503B1E">
        <w:t>Badenfelt, U. (2007), “The selection of sharing ratios in target cost contracts”, Engineering, Construction and Architectural Management, Vol. 15 No. 1, pp. 54-65.</w:t>
      </w:r>
    </w:p>
    <w:p w14:paraId="2BAE4BC6" w14:textId="77777777" w:rsidR="00503B1E" w:rsidRPr="002F28BC" w:rsidRDefault="00503B1E" w:rsidP="002F28BC">
      <w:pPr>
        <w:rPr>
          <w:rFonts w:cstheme="minorHAnsi"/>
        </w:rPr>
      </w:pPr>
      <w:r w:rsidRPr="002F28BC">
        <w:rPr>
          <w:rFonts w:cstheme="minorHAnsi"/>
        </w:rPr>
        <w:t>CIOB 2008 “Leadership in the construction industry”- (online) available at https://www.ciob.org/sites/default/files/CIOB%20research%20-%20Leadership%20in%20the%20Construction%20Industry%202008.pdf</w:t>
      </w:r>
    </w:p>
    <w:p w14:paraId="589DA2D3" w14:textId="77777777" w:rsidR="00503B1E" w:rsidRPr="00503B1E" w:rsidRDefault="00503B1E" w:rsidP="00853E25">
      <w:r w:rsidRPr="00503B1E">
        <w:t>CIRIA (2001), Construction Contract Incentivisation Schemes: Lessons from Experience, CIRIA, London.</w:t>
      </w:r>
    </w:p>
    <w:p w14:paraId="327C65D3" w14:textId="77777777" w:rsidR="00503B1E" w:rsidRPr="002F28BC" w:rsidRDefault="00503B1E" w:rsidP="002F28BC">
      <w:pPr>
        <w:rPr>
          <w:rFonts w:cstheme="minorHAnsi"/>
        </w:rPr>
      </w:pPr>
      <w:r w:rsidRPr="002F28BC">
        <w:rPr>
          <w:rFonts w:cstheme="minorHAnsi"/>
        </w:rPr>
        <w:t>David Sparks Pro-spec (2020)- Professional Discussion</w:t>
      </w:r>
    </w:p>
    <w:p w14:paraId="695B1C14" w14:textId="77777777" w:rsidR="00503B1E" w:rsidRPr="00503B1E" w:rsidRDefault="00503B1E" w:rsidP="00853E25">
      <w:r w:rsidRPr="00503B1E">
        <w:t xml:space="preserve">Egan, J. (1998), “Rethinking construction”, Department of the Environment, Transport and Regions, London, available at: </w:t>
      </w:r>
      <w:hyperlink r:id="rId17" w:history="1">
        <w:r w:rsidRPr="00503B1E">
          <w:rPr>
            <w:rStyle w:val="Hyperlink"/>
            <w:color w:val="auto"/>
            <w:u w:val="none"/>
          </w:rPr>
          <w:t>www.construction.detr.gov.uk/cis/rethink/</w:t>
        </w:r>
      </w:hyperlink>
    </w:p>
    <w:p w14:paraId="67510F98" w14:textId="77777777" w:rsidR="00503B1E" w:rsidRPr="002F28BC" w:rsidRDefault="00503B1E" w:rsidP="002F28BC">
      <w:pPr>
        <w:rPr>
          <w:rFonts w:cstheme="minorHAnsi"/>
          <w:shd w:val="clear" w:color="auto" w:fill="FFFFFF"/>
        </w:rPr>
      </w:pPr>
      <w:r w:rsidRPr="002F28BC">
        <w:rPr>
          <w:rFonts w:cstheme="minorHAnsi"/>
          <w:shd w:val="clear" w:color="auto" w:fill="FFFFFF"/>
        </w:rPr>
        <w:t xml:space="preserve">George R. Goethals, ‎Georgia Jones Sorenson, ‎James MacGregor Burns  (2004). “Encyclopedia of Leadership. </w:t>
      </w:r>
      <w:hyperlink r:id="rId18" w:anchor="v=onepage&amp;q=autocratic%20leadership%20in%20a%20crisis&amp;f=false" w:history="1">
        <w:r w:rsidRPr="002F28BC">
          <w:rPr>
            <w:rFonts w:cstheme="minorHAnsi"/>
            <w:bdr w:val="none" w:sz="0" w:space="0" w:color="auto" w:frame="1"/>
          </w:rPr>
          <w:t>Section on autocratic leadership</w:t>
        </w:r>
      </w:hyperlink>
      <w:r w:rsidRPr="002F28BC">
        <w:rPr>
          <w:rFonts w:cstheme="minorHAnsi"/>
        </w:rPr>
        <w:t>”</w:t>
      </w:r>
      <w:r w:rsidRPr="002F28BC">
        <w:rPr>
          <w:rFonts w:cstheme="minorHAnsi"/>
          <w:shd w:val="clear" w:color="auto" w:fill="FFFFFF"/>
        </w:rPr>
        <w:t>. A Google book review.</w:t>
      </w:r>
    </w:p>
    <w:p w14:paraId="2BD01C60" w14:textId="77777777" w:rsidR="00503B1E" w:rsidRPr="00503B1E" w:rsidRDefault="00503B1E" w:rsidP="00853E25">
      <w:pPr>
        <w:rPr>
          <w:rFonts w:cstheme="minorHAnsi"/>
        </w:rPr>
      </w:pPr>
      <w:r w:rsidRPr="00503B1E">
        <w:rPr>
          <w:rFonts w:cstheme="minorHAnsi"/>
        </w:rPr>
        <w:lastRenderedPageBreak/>
        <w:t xml:space="preserve">HSE 2020 “Site Organisation” (online) available at </w:t>
      </w:r>
      <w:hyperlink r:id="rId19" w:history="1">
        <w:r w:rsidRPr="00503B1E">
          <w:rPr>
            <w:rStyle w:val="Hyperlink"/>
            <w:rFonts w:cstheme="minorHAnsi"/>
            <w:color w:val="auto"/>
            <w:u w:val="none"/>
          </w:rPr>
          <w:t>https://www.hse.gov.uk/construction/safetytopics/siteorg.htm</w:t>
        </w:r>
      </w:hyperlink>
    </w:p>
    <w:p w14:paraId="69DD66C3" w14:textId="77777777" w:rsidR="00503B1E" w:rsidRPr="00503B1E" w:rsidRDefault="00503B1E" w:rsidP="00853E25">
      <w:r w:rsidRPr="00503B1E">
        <w:t>Latham, M. (1994), Constructing the Team, HMSO, London.</w:t>
      </w:r>
    </w:p>
    <w:p w14:paraId="6DBC4983" w14:textId="77777777" w:rsidR="00503B1E" w:rsidRPr="00503B1E" w:rsidRDefault="00503B1E" w:rsidP="00853E25">
      <w:r w:rsidRPr="00503B1E">
        <w:t>Mohd-Sanusi, Z. and Mohd-Iskandar, T. (2007), “Audit judgement performance: assessing the effect of performance incentives, effort and task complexity”, Managerial Auditing Journal, Vol. 22 No. 1, pp. 34-52.</w:t>
      </w:r>
    </w:p>
    <w:p w14:paraId="6B5D1E66" w14:textId="138B72C1" w:rsidR="00503B1E" w:rsidRPr="00503B1E" w:rsidRDefault="00503B1E" w:rsidP="00853E25">
      <w:pPr>
        <w:rPr>
          <w:rFonts w:cstheme="minorHAnsi"/>
        </w:rPr>
      </w:pPr>
      <w:r w:rsidRPr="00503B1E">
        <w:rPr>
          <w:rFonts w:cstheme="minorHAnsi"/>
        </w:rPr>
        <w:t xml:space="preserve">Resource Options Staffing Solutions 2020- “Construction site labourer” (online)- available at </w:t>
      </w:r>
      <w:r w:rsidRPr="00503B1E">
        <w:rPr>
          <w:rFonts w:cstheme="minorHAnsi"/>
        </w:rPr>
        <w:t>http://www.resourceoptions.com/job/141130</w:t>
      </w:r>
    </w:p>
    <w:sectPr w:rsidR="00503B1E" w:rsidRPr="00503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90FF9"/>
    <w:multiLevelType w:val="multilevel"/>
    <w:tmpl w:val="E16452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8055E9B"/>
    <w:multiLevelType w:val="multilevel"/>
    <w:tmpl w:val="699E37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B9C6707"/>
    <w:multiLevelType w:val="hybridMultilevel"/>
    <w:tmpl w:val="A1DA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436ED"/>
    <w:multiLevelType w:val="hybridMultilevel"/>
    <w:tmpl w:val="AF061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141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34E0532"/>
    <w:multiLevelType w:val="multilevel"/>
    <w:tmpl w:val="F5E055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3907545"/>
    <w:multiLevelType w:val="multilevel"/>
    <w:tmpl w:val="343C70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45E52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55A30D0"/>
    <w:multiLevelType w:val="hybridMultilevel"/>
    <w:tmpl w:val="CDD03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516E83"/>
    <w:multiLevelType w:val="hybridMultilevel"/>
    <w:tmpl w:val="C6CCF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EE0BD7"/>
    <w:multiLevelType w:val="multilevel"/>
    <w:tmpl w:val="343C70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7"/>
  </w:num>
  <w:num w:numId="2">
    <w:abstractNumId w:val="5"/>
  </w:num>
  <w:num w:numId="3">
    <w:abstractNumId w:val="4"/>
  </w:num>
  <w:num w:numId="4">
    <w:abstractNumId w:val="1"/>
  </w:num>
  <w:num w:numId="5">
    <w:abstractNumId w:val="0"/>
  </w:num>
  <w:num w:numId="6">
    <w:abstractNumId w:val="6"/>
  </w:num>
  <w:num w:numId="7">
    <w:abstractNumId w:val="2"/>
  </w:num>
  <w:num w:numId="8">
    <w:abstractNumId w:val="8"/>
  </w:num>
  <w:num w:numId="9">
    <w:abstractNumId w:val="9"/>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727"/>
    <w:rsid w:val="0009105C"/>
    <w:rsid w:val="00116727"/>
    <w:rsid w:val="001C0A1E"/>
    <w:rsid w:val="001E3188"/>
    <w:rsid w:val="002242A9"/>
    <w:rsid w:val="002F28BC"/>
    <w:rsid w:val="00311BF2"/>
    <w:rsid w:val="00397C78"/>
    <w:rsid w:val="00497CB5"/>
    <w:rsid w:val="004A2386"/>
    <w:rsid w:val="00503B1E"/>
    <w:rsid w:val="005149E8"/>
    <w:rsid w:val="00786EF7"/>
    <w:rsid w:val="00853E25"/>
    <w:rsid w:val="009F4CB9"/>
    <w:rsid w:val="00AB41AD"/>
    <w:rsid w:val="00AF27F3"/>
    <w:rsid w:val="00BB205E"/>
    <w:rsid w:val="00BE09AC"/>
    <w:rsid w:val="00C37E30"/>
    <w:rsid w:val="00CB7DF3"/>
    <w:rsid w:val="00D11EE1"/>
    <w:rsid w:val="00D661F9"/>
    <w:rsid w:val="00DA30FA"/>
    <w:rsid w:val="00DB0F27"/>
    <w:rsid w:val="00E70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94B25"/>
  <w15:chartTrackingRefBased/>
  <w15:docId w15:val="{E090A33A-BE0D-41EA-B811-B315986A5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727"/>
    <w:pPr>
      <w:ind w:left="720"/>
      <w:contextualSpacing/>
    </w:pPr>
  </w:style>
  <w:style w:type="character" w:styleId="Hyperlink">
    <w:name w:val="Hyperlink"/>
    <w:basedOn w:val="DefaultParagraphFont"/>
    <w:uiPriority w:val="99"/>
    <w:unhideWhenUsed/>
    <w:rsid w:val="00CB7DF3"/>
    <w:rPr>
      <w:color w:val="0563C1" w:themeColor="hyperlink"/>
      <w:u w:val="single"/>
    </w:rPr>
  </w:style>
  <w:style w:type="character" w:styleId="UnresolvedMention">
    <w:name w:val="Unresolved Mention"/>
    <w:basedOn w:val="DefaultParagraphFont"/>
    <w:uiPriority w:val="99"/>
    <w:semiHidden/>
    <w:unhideWhenUsed/>
    <w:rsid w:val="00CB7D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hart" Target="charts/chart2.xml"/><Relationship Id="rId18" Type="http://schemas.openxmlformats.org/officeDocument/2006/relationships/hyperlink" Target="http://books.google.com/books?id=kjLspnsZS4UC&amp;pg=PA68&amp;lpg=PA68&amp;dq=autocratic+leadership+in+a+crisis&amp;source=bl&amp;ots=mcE-WrLTq-&amp;sig=lDVcwS3jvKMnLMGpUBaOMRuCeEg&amp;hl=en&amp;sa=X&amp;ei=0SX2U_SFO4ipogT03YDwBA&amp;ved=0CFcQ6AEwC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chart" Target="charts/chart1.xml"/><Relationship Id="rId17" Type="http://schemas.openxmlformats.org/officeDocument/2006/relationships/hyperlink" Target="http://www.construction.detr.gov.uk/cis/rethink/"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image" Target="media/image6.png"/><Relationship Id="rId19" Type="http://schemas.openxmlformats.org/officeDocument/2006/relationships/hyperlink" Target="https://www.hse.gov.uk/construction/safetytopics/siteorg.ht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5"/>
              <c:pt idx="0">
                <c:v>Access Site</c:v>
              </c:pt>
              <c:pt idx="1">
                <c:v>Secure Site</c:v>
              </c:pt>
              <c:pt idx="2">
                <c:v>Groundworks</c:v>
              </c:pt>
              <c:pt idx="3">
                <c:v>Super Structure</c:v>
              </c:pt>
              <c:pt idx="4">
                <c:v>Internal Fitting</c:v>
              </c:pt>
            </c:strLit>
          </c:cat>
          <c:val>
            <c:numLit>
              <c:formatCode>\£#,##0.00</c:formatCode>
              <c:ptCount val="5"/>
              <c:pt idx="0">
                <c:v>0</c:v>
              </c:pt>
              <c:pt idx="1">
                <c:v>0</c:v>
              </c:pt>
              <c:pt idx="2">
                <c:v>0</c:v>
              </c:pt>
              <c:pt idx="3">
                <c:v>0</c:v>
              </c:pt>
              <c:pt idx="4">
                <c:v>0</c:v>
              </c:pt>
            </c:numLit>
          </c:val>
          <c:extLst>
            <c:ext xmlns:c16="http://schemas.microsoft.com/office/drawing/2014/chart" uri="{C3380CC4-5D6E-409C-BE32-E72D297353CC}">
              <c16:uniqueId val="{00000000-C4AB-42A3-8BAC-CB6AC9F2025B}"/>
            </c:ext>
          </c:extLst>
        </c:ser>
        <c:ser>
          <c:idx val="1"/>
          <c:order val="1"/>
          <c:tx>
            <c:v>Remaining Cost</c:v>
          </c:tx>
          <c:spPr>
            <a:solidFill>
              <a:schemeClr val="accent2"/>
            </a:solidFill>
            <a:ln>
              <a:noFill/>
            </a:ln>
            <a:effectLst/>
          </c:spPr>
          <c:invertIfNegative val="0"/>
          <c:cat>
            <c:strLit>
              <c:ptCount val="5"/>
              <c:pt idx="0">
                <c:v>Access Site</c:v>
              </c:pt>
              <c:pt idx="1">
                <c:v>Secure Site</c:v>
              </c:pt>
              <c:pt idx="2">
                <c:v>Groundworks</c:v>
              </c:pt>
              <c:pt idx="3">
                <c:v>Super Structure</c:v>
              </c:pt>
              <c:pt idx="4">
                <c:v>Internal Fitting</c:v>
              </c:pt>
            </c:strLit>
          </c:cat>
          <c:val>
            <c:numLit>
              <c:formatCode>\£#,##0.00</c:formatCode>
              <c:ptCount val="5"/>
              <c:pt idx="0">
                <c:v>0</c:v>
              </c:pt>
              <c:pt idx="1">
                <c:v>12118.24</c:v>
              </c:pt>
              <c:pt idx="2">
                <c:v>136687.32</c:v>
              </c:pt>
              <c:pt idx="3">
                <c:v>143930.96</c:v>
              </c:pt>
              <c:pt idx="4">
                <c:v>227134.4</c:v>
              </c:pt>
            </c:numLit>
          </c:val>
          <c:extLst>
            <c:ext xmlns:c16="http://schemas.microsoft.com/office/drawing/2014/chart" uri="{C3380CC4-5D6E-409C-BE32-E72D297353CC}">
              <c16:uniqueId val="{00000001-C4AB-42A3-8BAC-CB6AC9F2025B}"/>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5"/>
              <c:pt idx="0">
                <c:v>Access Site</c:v>
              </c:pt>
              <c:pt idx="1">
                <c:v>Secure Site</c:v>
              </c:pt>
              <c:pt idx="2">
                <c:v>Groundworks</c:v>
              </c:pt>
              <c:pt idx="3">
                <c:v>Super Structure</c:v>
              </c:pt>
              <c:pt idx="4">
                <c:v>Internal Fitting</c:v>
              </c:pt>
            </c:strLit>
          </c:cat>
          <c:val>
            <c:numLit>
              <c:formatCode>\£#,##0.00</c:formatCode>
              <c:ptCount val="5"/>
              <c:pt idx="0">
                <c:v>0</c:v>
              </c:pt>
              <c:pt idx="1">
                <c:v>12118.24</c:v>
              </c:pt>
              <c:pt idx="2">
                <c:v>136687.32</c:v>
              </c:pt>
              <c:pt idx="3">
                <c:v>143930.96</c:v>
              </c:pt>
              <c:pt idx="4">
                <c:v>227134.4</c:v>
              </c:pt>
            </c:numLit>
          </c:val>
          <c:smooth val="0"/>
          <c:extLst>
            <c:ext xmlns:c16="http://schemas.microsoft.com/office/drawing/2014/chart" uri="{C3380CC4-5D6E-409C-BE32-E72D297353CC}">
              <c16:uniqueId val="{00000002-C4AB-42A3-8BAC-CB6AC9F2025B}"/>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396175783526041"/>
          <c:y val="5.6161702613260298E-2"/>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\£#,##0.00</c:formatCode>
              <c:ptCount val="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numLit>
          </c:val>
          <c:extLst>
            <c:ext xmlns:c16="http://schemas.microsoft.com/office/drawing/2014/chart" uri="{C3380CC4-5D6E-409C-BE32-E72D297353CC}">
              <c16:uniqueId val="{00000000-6FAE-4A35-99D3-7FD20146D57B}"/>
            </c:ext>
          </c:extLst>
        </c:ser>
        <c:ser>
          <c:idx val="1"/>
          <c:order val="1"/>
          <c:tx>
            <c:v>Remaining Cost</c:v>
          </c:tx>
          <c:spPr>
            <a:solidFill>
              <a:schemeClr val="accent2"/>
            </a:solidFill>
            <a:ln>
              <a:noFill/>
            </a:ln>
            <a:effectLst/>
          </c:spPr>
          <c:invertIfNegative val="0"/>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\£#,##0.00</c:formatCode>
              <c:ptCount val="21"/>
              <c:pt idx="0">
                <c:v>43118.920000000013</c:v>
              </c:pt>
              <c:pt idx="1">
                <c:v>54000</c:v>
              </c:pt>
              <c:pt idx="2">
                <c:v>52580</c:v>
              </c:pt>
              <c:pt idx="3">
                <c:v>11136</c:v>
              </c:pt>
              <c:pt idx="4">
                <c:v>36320</c:v>
              </c:pt>
              <c:pt idx="5">
                <c:v>30720.000000000004</c:v>
              </c:pt>
              <c:pt idx="6">
                <c:v>26880</c:v>
              </c:pt>
              <c:pt idx="7">
                <c:v>2352.0000000000005</c:v>
              </c:pt>
              <c:pt idx="8">
                <c:v>9520.0000000000018</c:v>
              </c:pt>
              <c:pt idx="9">
                <c:v>47040</c:v>
              </c:pt>
              <c:pt idx="10">
                <c:v>53760</c:v>
              </c:pt>
              <c:pt idx="11">
                <c:v>1680</c:v>
              </c:pt>
              <c:pt idx="12">
                <c:v>10400.000000000002</c:v>
              </c:pt>
              <c:pt idx="13">
                <c:v>14400</c:v>
              </c:pt>
              <c:pt idx="14">
                <c:v>15600</c:v>
              </c:pt>
              <c:pt idx="15">
                <c:v>21280</c:v>
              </c:pt>
              <c:pt idx="16">
                <c:v>17664</c:v>
              </c:pt>
              <c:pt idx="17">
                <c:v>1680</c:v>
              </c:pt>
              <c:pt idx="18">
                <c:v>27040</c:v>
              </c:pt>
              <c:pt idx="19">
                <c:v>1024</c:v>
              </c:pt>
              <c:pt idx="20">
                <c:v>22176</c:v>
              </c:pt>
            </c:numLit>
          </c:val>
          <c:extLst>
            <c:ext xmlns:c16="http://schemas.microsoft.com/office/drawing/2014/chart" uri="{C3380CC4-5D6E-409C-BE32-E72D297353CC}">
              <c16:uniqueId val="{00000001-6FAE-4A35-99D3-7FD20146D57B}"/>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\£#,##0.00</c:formatCode>
              <c:ptCount val="21"/>
              <c:pt idx="0">
                <c:v>43118.920000000013</c:v>
              </c:pt>
              <c:pt idx="1">
                <c:v>54000</c:v>
              </c:pt>
              <c:pt idx="2">
                <c:v>52580</c:v>
              </c:pt>
              <c:pt idx="3">
                <c:v>11136</c:v>
              </c:pt>
              <c:pt idx="4">
                <c:v>36320</c:v>
              </c:pt>
              <c:pt idx="5">
                <c:v>30720.000000000004</c:v>
              </c:pt>
              <c:pt idx="6">
                <c:v>26880</c:v>
              </c:pt>
              <c:pt idx="7">
                <c:v>2352.0000000000005</c:v>
              </c:pt>
              <c:pt idx="8">
                <c:v>9520.0000000000018</c:v>
              </c:pt>
              <c:pt idx="9">
                <c:v>47040</c:v>
              </c:pt>
              <c:pt idx="10">
                <c:v>53760</c:v>
              </c:pt>
              <c:pt idx="11">
                <c:v>1680</c:v>
              </c:pt>
              <c:pt idx="12">
                <c:v>10400.000000000002</c:v>
              </c:pt>
              <c:pt idx="13">
                <c:v>14400</c:v>
              </c:pt>
              <c:pt idx="14">
                <c:v>15600</c:v>
              </c:pt>
              <c:pt idx="15">
                <c:v>21280</c:v>
              </c:pt>
              <c:pt idx="16">
                <c:v>17664</c:v>
              </c:pt>
              <c:pt idx="17">
                <c:v>1680</c:v>
              </c:pt>
              <c:pt idx="18">
                <c:v>27040</c:v>
              </c:pt>
              <c:pt idx="19">
                <c:v>1024</c:v>
              </c:pt>
              <c:pt idx="20">
                <c:v>22176</c:v>
              </c:pt>
            </c:numLit>
          </c:val>
          <c:smooth val="0"/>
          <c:extLst>
            <c:ext xmlns:c16="http://schemas.microsoft.com/office/drawing/2014/chart" uri="{C3380CC4-5D6E-409C-BE32-E72D297353CC}">
              <c16:uniqueId val="{00000002-6FAE-4A35-99D3-7FD20146D57B}"/>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b"/>
      <c:layout>
        <c:manualLayout>
          <c:xMode val="edge"/>
          <c:yMode val="edge"/>
          <c:x val="0.12120595923472906"/>
          <c:y val="0.92924483624329568"/>
          <c:w val="0.73517898497981871"/>
          <c:h val="7.075521220224829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#,##0_ "hrs"</c:formatCode>
              <c:ptCount val="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numLit>
          </c:val>
          <c:extLst>
            <c:ext xmlns:c16="http://schemas.microsoft.com/office/drawing/2014/chart" uri="{C3380CC4-5D6E-409C-BE32-E72D297353CC}">
              <c16:uniqueId val="{00000000-79BB-4275-858D-F4EA9925600F}"/>
            </c:ext>
          </c:extLst>
        </c:ser>
        <c:ser>
          <c:idx val="1"/>
          <c:order val="1"/>
          <c:tx>
            <c:v>Remaining Work</c:v>
          </c:tx>
          <c:spPr>
            <a:solidFill>
              <a:schemeClr val="accent2"/>
            </a:solidFill>
            <a:ln>
              <a:noFill/>
            </a:ln>
            <a:effectLst/>
          </c:spPr>
          <c:invertIfNegative val="0"/>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#,##0_ "hrs"</c:formatCode>
              <c:ptCount val="21"/>
              <c:pt idx="0">
                <c:v>5252</c:v>
              </c:pt>
              <c:pt idx="1">
                <c:v>1080</c:v>
              </c:pt>
              <c:pt idx="2">
                <c:v>956</c:v>
              </c:pt>
              <c:pt idx="3">
                <c:v>696</c:v>
              </c:pt>
              <c:pt idx="4">
                <c:v>1816</c:v>
              </c:pt>
              <c:pt idx="5">
                <c:v>1920</c:v>
              </c:pt>
              <c:pt idx="6">
                <c:v>1920</c:v>
              </c:pt>
              <c:pt idx="7">
                <c:v>168</c:v>
              </c:pt>
              <c:pt idx="8">
                <c:v>560</c:v>
              </c:pt>
              <c:pt idx="9">
                <c:v>2352</c:v>
              </c:pt>
              <c:pt idx="10">
                <c:v>1536</c:v>
              </c:pt>
              <c:pt idx="11">
                <c:v>168</c:v>
              </c:pt>
              <c:pt idx="12">
                <c:v>800</c:v>
              </c:pt>
              <c:pt idx="13">
                <c:v>960</c:v>
              </c:pt>
              <c:pt idx="14">
                <c:v>1200</c:v>
              </c:pt>
              <c:pt idx="15">
                <c:v>1520</c:v>
              </c:pt>
              <c:pt idx="16">
                <c:v>1104</c:v>
              </c:pt>
              <c:pt idx="17">
                <c:v>112</c:v>
              </c:pt>
              <c:pt idx="18">
                <c:v>2080</c:v>
              </c:pt>
              <c:pt idx="19">
                <c:v>64</c:v>
              </c:pt>
              <c:pt idx="20">
                <c:v>1008</c:v>
              </c:pt>
            </c:numLit>
          </c:val>
          <c:extLst>
            <c:ext xmlns:c16="http://schemas.microsoft.com/office/drawing/2014/chart" uri="{C3380CC4-5D6E-409C-BE32-E72D297353CC}">
              <c16:uniqueId val="{00000001-79BB-4275-858D-F4EA9925600F}"/>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21"/>
              <c:pt idx="0">
                <c:v>Labourer</c:v>
              </c:pt>
              <c:pt idx="1">
                <c:v>Groundworks SC</c:v>
              </c:pt>
              <c:pt idx="2">
                <c:v>Piling SC</c:v>
              </c:pt>
              <c:pt idx="3">
                <c:v>Scaffolding SC</c:v>
              </c:pt>
              <c:pt idx="4">
                <c:v>Steel frame SC</c:v>
              </c:pt>
              <c:pt idx="5">
                <c:v>Roofing SC</c:v>
              </c:pt>
              <c:pt idx="6">
                <c:v>Bricklaying SC</c:v>
              </c:pt>
              <c:pt idx="7">
                <c:v>Windows and Doors SC</c:v>
              </c:pt>
              <c:pt idx="8">
                <c:v>Curtain Walling SC</c:v>
              </c:pt>
              <c:pt idx="9">
                <c:v>Carpentary SC</c:v>
              </c:pt>
              <c:pt idx="10">
                <c:v>M&amp;E SC</c:v>
              </c:pt>
              <c:pt idx="11">
                <c:v>Fire Protection SC</c:v>
              </c:pt>
              <c:pt idx="12">
                <c:v>Drylining SC</c:v>
              </c:pt>
              <c:pt idx="13">
                <c:v>Plastering SC</c:v>
              </c:pt>
              <c:pt idx="14">
                <c:v>Décor SC</c:v>
              </c:pt>
              <c:pt idx="15">
                <c:v>Flooring SC</c:v>
              </c:pt>
              <c:pt idx="16">
                <c:v>Plumbing SC</c:v>
              </c:pt>
              <c:pt idx="17">
                <c:v>Health and safety manager</c:v>
              </c:pt>
              <c:pt idx="18">
                <c:v>Building SC</c:v>
              </c:pt>
              <c:pt idx="19">
                <c:v>Crane SC</c:v>
              </c:pt>
              <c:pt idx="20">
                <c:v>Lift installation SC</c:v>
              </c:pt>
            </c:strLit>
          </c:cat>
          <c:val>
            <c:numLit>
              <c:formatCode>#,##0_ "hrs"</c:formatCode>
              <c:ptCount val="21"/>
              <c:pt idx="0">
                <c:v>5252</c:v>
              </c:pt>
              <c:pt idx="1">
                <c:v>1080</c:v>
              </c:pt>
              <c:pt idx="2">
                <c:v>956</c:v>
              </c:pt>
              <c:pt idx="3">
                <c:v>696</c:v>
              </c:pt>
              <c:pt idx="4">
                <c:v>1816</c:v>
              </c:pt>
              <c:pt idx="5">
                <c:v>1920</c:v>
              </c:pt>
              <c:pt idx="6">
                <c:v>1920</c:v>
              </c:pt>
              <c:pt idx="7">
                <c:v>168</c:v>
              </c:pt>
              <c:pt idx="8">
                <c:v>560</c:v>
              </c:pt>
              <c:pt idx="9">
                <c:v>2352</c:v>
              </c:pt>
              <c:pt idx="10">
                <c:v>1536</c:v>
              </c:pt>
              <c:pt idx="11">
                <c:v>168</c:v>
              </c:pt>
              <c:pt idx="12">
                <c:v>800</c:v>
              </c:pt>
              <c:pt idx="13">
                <c:v>960</c:v>
              </c:pt>
              <c:pt idx="14">
                <c:v>1200</c:v>
              </c:pt>
              <c:pt idx="15">
                <c:v>1520</c:v>
              </c:pt>
              <c:pt idx="16">
                <c:v>1104</c:v>
              </c:pt>
              <c:pt idx="17">
                <c:v>112</c:v>
              </c:pt>
              <c:pt idx="18">
                <c:v>2080</c:v>
              </c:pt>
              <c:pt idx="19">
                <c:v>64</c:v>
              </c:pt>
              <c:pt idx="20">
                <c:v>1008</c:v>
              </c:pt>
            </c:numLit>
          </c:val>
          <c:smooth val="0"/>
          <c:extLst>
            <c:ext xmlns:c16="http://schemas.microsoft.com/office/drawing/2014/chart" uri="{C3380CC4-5D6E-409C-BE32-E72D297353CC}">
              <c16:uniqueId val="{00000002-79BB-4275-858D-F4EA9925600F}"/>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2325</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3</cp:revision>
  <dcterms:created xsi:type="dcterms:W3CDTF">2020-12-08T23:11:00Z</dcterms:created>
  <dcterms:modified xsi:type="dcterms:W3CDTF">2020-12-08T23:21:00Z</dcterms:modified>
</cp:coreProperties>
</file>