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9D1F5" w14:textId="3199AAF9" w:rsidR="00A0557F" w:rsidRDefault="00A0557F">
      <w:pPr>
        <w:rPr>
          <w:rFonts w:ascii="Arial" w:hAnsi="Arial" w:cs="Arial"/>
          <w:sz w:val="24"/>
          <w:szCs w:val="24"/>
        </w:rPr>
      </w:pPr>
    </w:p>
    <w:p w14:paraId="6F40E0AE" w14:textId="26F86554" w:rsidR="00840FFE" w:rsidRDefault="00840FFE">
      <w:pPr>
        <w:rPr>
          <w:rFonts w:ascii="Arial" w:hAnsi="Arial" w:cs="Arial"/>
          <w:sz w:val="24"/>
          <w:szCs w:val="24"/>
        </w:rPr>
      </w:pPr>
    </w:p>
    <w:p w14:paraId="22541392" w14:textId="0E7F8988" w:rsidR="00840FFE" w:rsidRDefault="00840FFE">
      <w:pPr>
        <w:rPr>
          <w:rFonts w:ascii="Arial" w:hAnsi="Arial" w:cs="Arial"/>
          <w:sz w:val="24"/>
          <w:szCs w:val="24"/>
        </w:rPr>
      </w:pPr>
    </w:p>
    <w:p w14:paraId="4DCBD071" w14:textId="1F085512" w:rsidR="00840FFE" w:rsidRDefault="00840FFE">
      <w:pPr>
        <w:rPr>
          <w:rFonts w:ascii="Arial" w:hAnsi="Arial" w:cs="Arial"/>
          <w:sz w:val="24"/>
          <w:szCs w:val="24"/>
        </w:rPr>
      </w:pPr>
    </w:p>
    <w:p w14:paraId="1DB45B19" w14:textId="2B179378" w:rsidR="00840FFE" w:rsidRDefault="00840FFE">
      <w:pPr>
        <w:rPr>
          <w:rFonts w:ascii="Arial" w:hAnsi="Arial" w:cs="Arial"/>
          <w:sz w:val="24"/>
          <w:szCs w:val="24"/>
        </w:rPr>
      </w:pPr>
    </w:p>
    <w:p w14:paraId="42811DB6" w14:textId="6E5DB504" w:rsidR="00840FFE" w:rsidRDefault="00840FFE">
      <w:pPr>
        <w:rPr>
          <w:rFonts w:ascii="Arial" w:hAnsi="Arial" w:cs="Arial"/>
          <w:sz w:val="24"/>
          <w:szCs w:val="24"/>
        </w:rPr>
      </w:pPr>
    </w:p>
    <w:p w14:paraId="26022648" w14:textId="77777777" w:rsidR="00840FFE" w:rsidRPr="00840FFE" w:rsidRDefault="00840FFE" w:rsidP="00840FFE">
      <w:pPr>
        <w:jc w:val="right"/>
        <w:rPr>
          <w:rFonts w:ascii="Arial" w:hAnsi="Arial" w:cs="Arial"/>
          <w:b/>
          <w:bCs/>
          <w:sz w:val="48"/>
          <w:szCs w:val="48"/>
        </w:rPr>
      </w:pPr>
      <w:r w:rsidRPr="00840FFE">
        <w:rPr>
          <w:rFonts w:ascii="Arial" w:hAnsi="Arial" w:cs="Arial"/>
          <w:b/>
          <w:bCs/>
          <w:sz w:val="48"/>
          <w:szCs w:val="48"/>
        </w:rPr>
        <w:t xml:space="preserve">How to engage employees throughout </w:t>
      </w:r>
    </w:p>
    <w:p w14:paraId="1BF65BDB" w14:textId="3B837033" w:rsidR="00840FFE" w:rsidRDefault="00840FFE" w:rsidP="00840FFE">
      <w:pPr>
        <w:jc w:val="right"/>
        <w:rPr>
          <w:rFonts w:ascii="Arial" w:hAnsi="Arial" w:cs="Arial"/>
          <w:b/>
          <w:bCs/>
          <w:sz w:val="48"/>
          <w:szCs w:val="48"/>
        </w:rPr>
      </w:pPr>
      <w:r w:rsidRPr="00840FFE">
        <w:rPr>
          <w:rFonts w:ascii="Arial" w:hAnsi="Arial" w:cs="Arial"/>
          <w:b/>
          <w:bCs/>
          <w:sz w:val="48"/>
          <w:szCs w:val="48"/>
        </w:rPr>
        <w:t>the employee lifecycle</w:t>
      </w:r>
    </w:p>
    <w:p w14:paraId="3C74186A" w14:textId="4CD963B6" w:rsidR="00840FFE" w:rsidRDefault="00840FFE" w:rsidP="00840FFE">
      <w:pPr>
        <w:jc w:val="right"/>
        <w:rPr>
          <w:rFonts w:ascii="Arial" w:hAnsi="Arial" w:cs="Arial"/>
          <w:b/>
          <w:bCs/>
          <w:sz w:val="48"/>
          <w:szCs w:val="48"/>
        </w:rPr>
      </w:pPr>
    </w:p>
    <w:p w14:paraId="4AD328B7" w14:textId="21CDC807" w:rsidR="00840FFE" w:rsidRDefault="00840FFE" w:rsidP="00840FFE">
      <w:pPr>
        <w:jc w:val="right"/>
        <w:rPr>
          <w:rFonts w:ascii="Arial" w:hAnsi="Arial" w:cs="Arial"/>
          <w:b/>
          <w:bCs/>
          <w:sz w:val="48"/>
          <w:szCs w:val="48"/>
        </w:rPr>
      </w:pPr>
    </w:p>
    <w:p w14:paraId="6E7F7C52" w14:textId="2BD15671" w:rsidR="00840FFE" w:rsidRDefault="00840FFE" w:rsidP="00840FFE">
      <w:pPr>
        <w:jc w:val="center"/>
        <w:rPr>
          <w:rFonts w:ascii="Arial" w:hAnsi="Arial" w:cs="Arial"/>
          <w:b/>
          <w:bCs/>
          <w:sz w:val="32"/>
          <w:szCs w:val="32"/>
        </w:rPr>
      </w:pPr>
    </w:p>
    <w:p w14:paraId="18EE023F" w14:textId="7DD8F284" w:rsidR="00840FFE" w:rsidRDefault="00840FFE" w:rsidP="00840FFE">
      <w:pPr>
        <w:jc w:val="center"/>
        <w:rPr>
          <w:rFonts w:ascii="Arial" w:hAnsi="Arial" w:cs="Arial"/>
          <w:b/>
          <w:bCs/>
          <w:sz w:val="32"/>
          <w:szCs w:val="32"/>
        </w:rPr>
      </w:pPr>
    </w:p>
    <w:p w14:paraId="06DCA4AC" w14:textId="59A6118E" w:rsidR="00840FFE" w:rsidRDefault="00840FFE" w:rsidP="00840FFE">
      <w:pPr>
        <w:jc w:val="center"/>
        <w:rPr>
          <w:rFonts w:ascii="Arial" w:hAnsi="Arial" w:cs="Arial"/>
          <w:b/>
          <w:bCs/>
          <w:sz w:val="28"/>
          <w:szCs w:val="28"/>
        </w:rPr>
      </w:pPr>
    </w:p>
    <w:p w14:paraId="52FC61D5" w14:textId="618E4F44" w:rsidR="00840FFE" w:rsidRPr="00840FFE" w:rsidRDefault="00840FFE" w:rsidP="00840FFE">
      <w:pPr>
        <w:jc w:val="center"/>
        <w:rPr>
          <w:rFonts w:ascii="Arial" w:hAnsi="Arial" w:cs="Arial"/>
          <w:b/>
          <w:bCs/>
          <w:sz w:val="36"/>
          <w:szCs w:val="36"/>
        </w:rPr>
      </w:pPr>
      <w:r w:rsidRPr="00840FFE">
        <w:rPr>
          <w:rFonts w:ascii="Arial" w:hAnsi="Arial" w:cs="Arial"/>
          <w:b/>
          <w:bCs/>
          <w:sz w:val="36"/>
          <w:szCs w:val="36"/>
        </w:rPr>
        <w:t>Carmen Neagu</w:t>
      </w:r>
    </w:p>
    <w:p w14:paraId="2B83C6B0" w14:textId="6A61B48C" w:rsidR="00840FFE" w:rsidRDefault="00840FFE" w:rsidP="00840FFE">
      <w:pPr>
        <w:jc w:val="center"/>
        <w:rPr>
          <w:rFonts w:ascii="Arial" w:hAnsi="Arial" w:cs="Arial"/>
          <w:b/>
          <w:bCs/>
          <w:sz w:val="32"/>
          <w:szCs w:val="32"/>
        </w:rPr>
      </w:pPr>
      <w:r>
        <w:rPr>
          <w:rFonts w:ascii="Arial" w:hAnsi="Arial" w:cs="Arial"/>
          <w:b/>
          <w:bCs/>
          <w:sz w:val="32"/>
          <w:szCs w:val="32"/>
        </w:rPr>
        <w:t>BMIH 5005</w:t>
      </w:r>
    </w:p>
    <w:p w14:paraId="41584FA0" w14:textId="6C6669E3" w:rsidR="00840FFE" w:rsidRDefault="00840FFE" w:rsidP="00840FFE">
      <w:pPr>
        <w:jc w:val="center"/>
        <w:rPr>
          <w:rFonts w:ascii="Arial" w:hAnsi="Arial" w:cs="Arial"/>
          <w:b/>
          <w:bCs/>
          <w:sz w:val="32"/>
          <w:szCs w:val="32"/>
        </w:rPr>
      </w:pPr>
      <w:r>
        <w:rPr>
          <w:rFonts w:ascii="Arial" w:hAnsi="Arial" w:cs="Arial"/>
          <w:b/>
          <w:bCs/>
          <w:sz w:val="32"/>
          <w:szCs w:val="32"/>
        </w:rPr>
        <w:t>Personnel Resourcing and Development</w:t>
      </w:r>
    </w:p>
    <w:p w14:paraId="570E385B" w14:textId="6414779B" w:rsidR="00840FFE" w:rsidRDefault="00840FFE" w:rsidP="00840FFE">
      <w:pPr>
        <w:jc w:val="center"/>
        <w:rPr>
          <w:rFonts w:ascii="Arial" w:hAnsi="Arial" w:cs="Arial"/>
          <w:b/>
          <w:bCs/>
          <w:sz w:val="32"/>
          <w:szCs w:val="32"/>
        </w:rPr>
      </w:pPr>
      <w:r>
        <w:rPr>
          <w:rFonts w:ascii="Arial" w:hAnsi="Arial" w:cs="Arial"/>
          <w:b/>
          <w:bCs/>
          <w:sz w:val="32"/>
          <w:szCs w:val="32"/>
        </w:rPr>
        <w:t>Kathryn Roberts, Emma Roberts</w:t>
      </w:r>
    </w:p>
    <w:p w14:paraId="003D5A2B" w14:textId="4CB8C377" w:rsidR="00840FFE" w:rsidRDefault="00840FFE" w:rsidP="00840FFE">
      <w:pPr>
        <w:jc w:val="center"/>
        <w:rPr>
          <w:rFonts w:ascii="Arial" w:hAnsi="Arial" w:cs="Arial"/>
          <w:b/>
          <w:bCs/>
          <w:sz w:val="32"/>
          <w:szCs w:val="32"/>
        </w:rPr>
      </w:pPr>
    </w:p>
    <w:p w14:paraId="672F8DA3" w14:textId="2659938A" w:rsidR="00840FFE" w:rsidRDefault="00840FFE" w:rsidP="00840FFE">
      <w:pPr>
        <w:jc w:val="center"/>
        <w:rPr>
          <w:rFonts w:ascii="Arial" w:hAnsi="Arial" w:cs="Arial"/>
          <w:b/>
          <w:bCs/>
          <w:sz w:val="32"/>
          <w:szCs w:val="32"/>
        </w:rPr>
      </w:pPr>
    </w:p>
    <w:p w14:paraId="557DC922" w14:textId="5599F970" w:rsidR="00840FFE" w:rsidRDefault="00840FFE" w:rsidP="00840FFE">
      <w:pPr>
        <w:jc w:val="center"/>
        <w:rPr>
          <w:rFonts w:ascii="Arial" w:hAnsi="Arial" w:cs="Arial"/>
          <w:b/>
          <w:bCs/>
          <w:sz w:val="32"/>
          <w:szCs w:val="32"/>
        </w:rPr>
      </w:pPr>
    </w:p>
    <w:p w14:paraId="0F032099" w14:textId="06063812" w:rsidR="00840FFE" w:rsidRDefault="00840FFE" w:rsidP="00840FFE">
      <w:pPr>
        <w:jc w:val="center"/>
        <w:rPr>
          <w:rFonts w:ascii="Arial" w:hAnsi="Arial" w:cs="Arial"/>
          <w:b/>
          <w:bCs/>
          <w:sz w:val="32"/>
          <w:szCs w:val="32"/>
        </w:rPr>
      </w:pPr>
    </w:p>
    <w:p w14:paraId="37A1BDA4" w14:textId="52F511C5" w:rsidR="00840FFE" w:rsidRDefault="00840FFE" w:rsidP="00840FFE">
      <w:pPr>
        <w:jc w:val="center"/>
        <w:rPr>
          <w:rFonts w:ascii="Arial" w:hAnsi="Arial" w:cs="Arial"/>
          <w:b/>
          <w:bCs/>
          <w:sz w:val="32"/>
          <w:szCs w:val="32"/>
        </w:rPr>
      </w:pPr>
    </w:p>
    <w:p w14:paraId="1EB7A090" w14:textId="059780AB" w:rsidR="00840FFE" w:rsidRDefault="00840FFE" w:rsidP="00840FFE">
      <w:pPr>
        <w:jc w:val="center"/>
        <w:rPr>
          <w:rFonts w:ascii="Arial" w:hAnsi="Arial" w:cs="Arial"/>
          <w:b/>
          <w:bCs/>
          <w:sz w:val="32"/>
          <w:szCs w:val="32"/>
        </w:rPr>
      </w:pPr>
    </w:p>
    <w:p w14:paraId="202FD71F" w14:textId="665C802C" w:rsidR="00840FFE" w:rsidRDefault="00840FFE" w:rsidP="00840FFE">
      <w:pPr>
        <w:jc w:val="center"/>
        <w:rPr>
          <w:rFonts w:ascii="Arial" w:hAnsi="Arial" w:cs="Arial"/>
          <w:b/>
          <w:bCs/>
          <w:sz w:val="32"/>
          <w:szCs w:val="32"/>
        </w:rPr>
      </w:pPr>
    </w:p>
    <w:p w14:paraId="74AA27F3" w14:textId="2B911DA8" w:rsidR="00840FFE" w:rsidRDefault="00840FFE" w:rsidP="00840FFE">
      <w:pPr>
        <w:rPr>
          <w:rFonts w:ascii="Arial" w:hAnsi="Arial" w:cs="Arial"/>
          <w:b/>
          <w:bCs/>
          <w:sz w:val="32"/>
          <w:szCs w:val="32"/>
        </w:rPr>
      </w:pPr>
    </w:p>
    <w:p w14:paraId="36483940" w14:textId="77777777" w:rsidR="00CD6351" w:rsidRPr="00CD6351" w:rsidRDefault="00CD6351" w:rsidP="005640D5">
      <w:pPr>
        <w:spacing w:line="360" w:lineRule="auto"/>
        <w:ind w:firstLine="1418"/>
        <w:jc w:val="both"/>
        <w:rPr>
          <w:rFonts w:ascii="Arial" w:hAnsi="Arial" w:cs="Arial"/>
          <w:sz w:val="24"/>
          <w:szCs w:val="24"/>
        </w:rPr>
      </w:pPr>
      <w:r w:rsidRPr="00CD6351">
        <w:rPr>
          <w:rFonts w:ascii="Arial" w:hAnsi="Arial" w:cs="Arial"/>
          <w:sz w:val="24"/>
          <w:szCs w:val="24"/>
        </w:rPr>
        <w:t>The performance, success, and implicitly the amount of money that enters a company depend decisively on the quality and implication of the employees.</w:t>
      </w:r>
    </w:p>
    <w:p w14:paraId="0BC9202C" w14:textId="77777777" w:rsidR="00CD6351" w:rsidRPr="00CD6351" w:rsidRDefault="00CD6351" w:rsidP="005640D5">
      <w:pPr>
        <w:spacing w:line="360" w:lineRule="auto"/>
        <w:ind w:firstLine="1418"/>
        <w:jc w:val="both"/>
        <w:rPr>
          <w:rFonts w:ascii="Arial" w:hAnsi="Arial" w:cs="Arial"/>
          <w:sz w:val="24"/>
          <w:szCs w:val="24"/>
        </w:rPr>
      </w:pPr>
      <w:r w:rsidRPr="00CD6351">
        <w:rPr>
          <w:rFonts w:ascii="Arial" w:hAnsi="Arial" w:cs="Arial"/>
          <w:sz w:val="24"/>
          <w:szCs w:val="24"/>
        </w:rPr>
        <w:t>Employee engagement is considered one of the main underlying factors that influence the constant exceeding of proposed targets and objectives, and great increases in productivity, with performance beyond expectations and exceptional results.</w:t>
      </w:r>
    </w:p>
    <w:p w14:paraId="2B453208" w14:textId="5A716154" w:rsidR="00CD6351" w:rsidRDefault="00CD6351" w:rsidP="005640D5">
      <w:pPr>
        <w:spacing w:line="360" w:lineRule="auto"/>
        <w:ind w:firstLine="1418"/>
        <w:jc w:val="both"/>
        <w:rPr>
          <w:rFonts w:ascii="Arial" w:hAnsi="Arial" w:cs="Arial"/>
          <w:sz w:val="24"/>
          <w:szCs w:val="24"/>
        </w:rPr>
      </w:pPr>
      <w:r w:rsidRPr="00CD6351">
        <w:rPr>
          <w:rFonts w:ascii="Arial" w:hAnsi="Arial" w:cs="Arial"/>
          <w:sz w:val="24"/>
          <w:szCs w:val="24"/>
        </w:rPr>
        <w:t xml:space="preserve">Companies and their leaders have started to view employee engagement as a strategic objective. </w:t>
      </w:r>
      <w:r w:rsidR="00F6626C" w:rsidRPr="00F6626C">
        <w:rPr>
          <w:rFonts w:ascii="Arial" w:hAnsi="Arial" w:cs="Arial"/>
          <w:sz w:val="24"/>
          <w:szCs w:val="24"/>
        </w:rPr>
        <w:t>(Ncube and Jerie, 2012)</w:t>
      </w:r>
      <w:r w:rsidR="00F6626C">
        <w:rPr>
          <w:rFonts w:ascii="Arial" w:hAnsi="Arial" w:cs="Arial"/>
          <w:sz w:val="24"/>
          <w:szCs w:val="24"/>
        </w:rPr>
        <w:t xml:space="preserve"> </w:t>
      </w:r>
      <w:r w:rsidRPr="00CD6351">
        <w:rPr>
          <w:rFonts w:ascii="Arial" w:hAnsi="Arial" w:cs="Arial"/>
          <w:sz w:val="24"/>
          <w:szCs w:val="24"/>
        </w:rPr>
        <w:t xml:space="preserve">Now, more than ever, one of the questions that should be always on their board is </w:t>
      </w:r>
      <w:r w:rsidR="00F6626C">
        <w:rPr>
          <w:rFonts w:ascii="Arial" w:hAnsi="Arial" w:cs="Arial"/>
          <w:sz w:val="24"/>
          <w:szCs w:val="24"/>
        </w:rPr>
        <w:t>h</w:t>
      </w:r>
      <w:r w:rsidRPr="00CD6351">
        <w:rPr>
          <w:rFonts w:ascii="Arial" w:hAnsi="Arial" w:cs="Arial"/>
          <w:sz w:val="24"/>
          <w:szCs w:val="24"/>
        </w:rPr>
        <w:t xml:space="preserve">ow can </w:t>
      </w:r>
      <w:r w:rsidR="00F6626C">
        <w:rPr>
          <w:rFonts w:ascii="Arial" w:hAnsi="Arial" w:cs="Arial"/>
          <w:sz w:val="24"/>
          <w:szCs w:val="24"/>
        </w:rPr>
        <w:t>they</w:t>
      </w:r>
      <w:r w:rsidRPr="00CD6351">
        <w:rPr>
          <w:rFonts w:ascii="Arial" w:hAnsi="Arial" w:cs="Arial"/>
          <w:sz w:val="24"/>
          <w:szCs w:val="24"/>
        </w:rPr>
        <w:t xml:space="preserve"> drive better employee engagement</w:t>
      </w:r>
      <w:r w:rsidR="00F6626C">
        <w:rPr>
          <w:rFonts w:ascii="Arial" w:hAnsi="Arial" w:cs="Arial"/>
          <w:sz w:val="24"/>
          <w:szCs w:val="24"/>
        </w:rPr>
        <w:t>.</w:t>
      </w:r>
      <w:r w:rsidRPr="00CD6351">
        <w:rPr>
          <w:rFonts w:ascii="Arial" w:hAnsi="Arial" w:cs="Arial"/>
          <w:sz w:val="24"/>
          <w:szCs w:val="24"/>
        </w:rPr>
        <w:t xml:space="preserve"> Many companies misunderstand the entire notion of employee engagement. A large part of them confuses satisfaction with employee engagement. Therefore, to improve their engagement, they might try adding more benefits to their package in hopes of attracting and retaining more talent. Those benefits may include free medical insurance, salary increases, and bonus schemes. On a similar note, many employers believe that engagement comes with employee passion and energy, but once these enthusiastic employees start working, the company needs to support them in a way that keeps them engaged. Resources, communication, support, and encouragement are what keep employees engaged.</w:t>
      </w:r>
    </w:p>
    <w:p w14:paraId="214224BB" w14:textId="77777777" w:rsidR="00CD6351" w:rsidRPr="00CD6351" w:rsidRDefault="00CD6351" w:rsidP="005640D5">
      <w:pPr>
        <w:spacing w:line="360" w:lineRule="auto"/>
        <w:ind w:firstLine="1418"/>
        <w:jc w:val="both"/>
        <w:rPr>
          <w:rFonts w:ascii="Arial" w:hAnsi="Arial" w:cs="Arial"/>
          <w:sz w:val="24"/>
          <w:szCs w:val="24"/>
        </w:rPr>
      </w:pPr>
      <w:r w:rsidRPr="00CD6351">
        <w:rPr>
          <w:rFonts w:ascii="Arial" w:hAnsi="Arial" w:cs="Arial"/>
          <w:sz w:val="24"/>
          <w:szCs w:val="24"/>
        </w:rPr>
        <w:t>It is necessary to say that a satisfied employee is not the same as an engaged employee. It should be noted that the simple qualification of a satisfied employee does not guarantee the employer's performance. The former does his job reasonably, to deserve his salary and benefits, the latter is more than an executor of assigned tasks: he is an enthusiastic member of the family business, passionate, aligned with values ​​and dedicated to driving its growth, convinced of the fact that it will grow with her. A company needs these engaged employees who have developed a strong emotional connection with their activity because emotional engagement ultimately translates into increased productivity on an individual level, a team level, and, implicitly, on a company level.</w:t>
      </w:r>
    </w:p>
    <w:p w14:paraId="4F1FC2C9" w14:textId="0187CDB7" w:rsidR="00F15025" w:rsidRDefault="00CD6351" w:rsidP="005640D5">
      <w:pPr>
        <w:spacing w:line="360" w:lineRule="auto"/>
        <w:ind w:firstLine="1418"/>
        <w:jc w:val="both"/>
        <w:rPr>
          <w:rFonts w:ascii="Arial" w:hAnsi="Arial" w:cs="Arial"/>
          <w:sz w:val="24"/>
          <w:szCs w:val="24"/>
        </w:rPr>
      </w:pPr>
      <w:r w:rsidRPr="00CD6351">
        <w:rPr>
          <w:rFonts w:ascii="Arial" w:hAnsi="Arial" w:cs="Arial"/>
          <w:sz w:val="24"/>
          <w:szCs w:val="24"/>
        </w:rPr>
        <w:t>It is very important for teams in a workplace to be engaged. That is why strategies to keep people engaged in teams high should be among the priorities of any organization, more exactly, of the human resources department. In a team where each member feels involved in the work they do, the organizational culture is more stable and better defined, relationships between colleagues or employee-client develop, and profits increase. Dedicated employees are happy employees who give you the assurance that they will not leave the company when given the opportunity.</w:t>
      </w:r>
    </w:p>
    <w:p w14:paraId="0FD57E88" w14:textId="473117AF" w:rsidR="005640D5" w:rsidRP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As stated in the beginning, most companies have started to put a great accent on the employees' engagement with the organization. Hospitality is not an exception to the rule. Massive companies such as Hilton implemented employee engagement strategies and models. Following the concepts of the IES model of engagement, Hilton values their employee’s job satisfaction by offering perks and benefits to every employee.</w:t>
      </w:r>
      <w:r w:rsidR="00AD6285">
        <w:rPr>
          <w:rFonts w:ascii="Arial" w:hAnsi="Arial" w:cs="Arial"/>
          <w:sz w:val="24"/>
          <w:szCs w:val="24"/>
        </w:rPr>
        <w:t xml:space="preserve"> </w:t>
      </w:r>
      <w:r w:rsidR="00AD6285" w:rsidRPr="00AD6285">
        <w:rPr>
          <w:rFonts w:ascii="Arial" w:hAnsi="Arial" w:cs="Arial"/>
          <w:sz w:val="24"/>
          <w:szCs w:val="24"/>
        </w:rPr>
        <w:t>(Robinson, Perryman and Hayday, 2004)</w:t>
      </w:r>
      <w:r w:rsidRPr="005640D5">
        <w:rPr>
          <w:rFonts w:ascii="Arial" w:hAnsi="Arial" w:cs="Arial"/>
          <w:sz w:val="24"/>
          <w:szCs w:val="24"/>
        </w:rPr>
        <w:t xml:space="preserve"> The company is family-friendly, Hilton offers family support to their personnel such as four weeks of parental paid leave (including fathers), financial assistance for adoption, and the possibility for new moms to ship breast milk for their babies at home. Hilton offers their staff the possibility to learn and develop through resources such as Hilton University which is a collection of over 25000 free online courses, videos, and books; apps like LinkedIn, and SkillSoft; free courses from the Cornell University, and tuition reimbursement programs. The hospitality company believes in the making of leaders through its Lead@Hilton framework and the General Manager Academy.  (Hilton.com, 2022)</w:t>
      </w:r>
    </w:p>
    <w:p w14:paraId="05A158A2" w14:textId="0C63F1F7" w:rsidR="00095BCE"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Another great example of an employee engagement strategy in the hospitality industry is Accor Group. The company launched the Accor Live Limitless (ALL), a new identity that circles around the fact that talent is the core of their entire activity. Therefore they encourage talent to flourish within their company in order to create maximized performance and satisfied customers. Accor encourages diversity, leadership, personal and collective development, and success. (Accor.com, 2019)</w:t>
      </w:r>
    </w:p>
    <w:p w14:paraId="7A2BFB63" w14:textId="77777777" w:rsidR="00F15025" w:rsidRDefault="00F15025" w:rsidP="005640D5">
      <w:pPr>
        <w:spacing w:line="360" w:lineRule="auto"/>
        <w:ind w:firstLine="1418"/>
        <w:jc w:val="both"/>
        <w:rPr>
          <w:rFonts w:ascii="Arial" w:hAnsi="Arial" w:cs="Arial"/>
          <w:sz w:val="24"/>
          <w:szCs w:val="24"/>
        </w:rPr>
      </w:pPr>
    </w:p>
    <w:p w14:paraId="6BA949D2" w14:textId="77777777" w:rsidR="005640D5" w:rsidRP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Employee engagement has numerous benefits for the entire personnel and, without a doubt, for the hotel. If the hotel’s staff is engaged, they tend to have a better relationship with the customers. A hotel is a business based on the customers that choose its services and the customers they attract. For that reason, if the employees believe in their work, and they relate to it and to the company, they will definitely show that when they come into contact with customers. An engaged employee will do their best to inspire confidence in customers and convince them of the services offered by the hotel they work for.</w:t>
      </w:r>
    </w:p>
    <w:p w14:paraId="5881DF25" w14:textId="77777777" w:rsidR="005640D5" w:rsidRP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 xml:space="preserve">A benefit that influences directly the organization is the productivity increase of the engaged staff. An employee that enjoys his job and feels related to his workplace will show it through the quality of his work. His work will definitely be improved, and faster and will contribute highly to the entire productivity of the hotel. </w:t>
      </w:r>
    </w:p>
    <w:p w14:paraId="1A6D90BA" w14:textId="77777777" w:rsid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Engaged employees become loyal employees as well. A low level of interest and passion may lead to a reduced employee retention rate. Particularly a company in the hospitality sector of the economy should take much interest in this statement, given the fact that it is a very demanding industry with a high rate of dismissals amongst the non-management positions. Even employees that are not actively looking for a new job might accept a better job opportunity if they receive a better offer from a competitor hotel. However, if the employees care about the work they do in the organization and if they are aware of the significance they have in creating success, the likelihood of them leaving is significantly smaller, and they will be inclined to remain part of the team.</w:t>
      </w:r>
    </w:p>
    <w:p w14:paraId="0EC72014" w14:textId="779F9FDA" w:rsidR="005640D5" w:rsidRP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A hotel, like any other company, cares about making a profit. Every corporation tries to maximize its profit with the resources it has. Among these assets is the human resource, which, if feeling engaged in the work it does, will not only carry out its tasks but will reach high performance. Surely better technologies, digitization, or adopted strategies are essential factors that influence the results achieved by a hotel, but the work is mainly done by people, and they need to believe in it in order to achieve performance.</w:t>
      </w:r>
    </w:p>
    <w:p w14:paraId="08264808" w14:textId="77777777" w:rsidR="005640D5" w:rsidRP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The management team must always keep in mind that a high employee engagement rate leads to more productivity, greater customer satisfaction, and, of course, an increase in sales, implicitly profit.</w:t>
      </w:r>
    </w:p>
    <w:p w14:paraId="328A7C51" w14:textId="77777777" w:rsid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To summarise everything that was mentioned earlier, an engaged employee will manifest certain behavioral characteristics, such as an increased level of effort, persistence in solving difficult problems and tasks, exceeding management expectations (such as investing one's own time for personal development), supporting recommendations for activity improvements, carrying out additional tasks, outside the current role, at the request of the team or colleagues, and fast adaptation to changes or even supporting them.</w:t>
      </w:r>
    </w:p>
    <w:p w14:paraId="5A24A2C1" w14:textId="41C46EFF" w:rsidR="005640D5" w:rsidRP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As I said at the beginning of this paper, being a satisfied employee does not mean that he is an engaged one too. But an engaged employee is most definitely satisfied and motivated by his workplace. Employee involvement is therefore a broader concept, which actually combines employee motivation and employee satisfaction, without which it is difficult to assume that an employee would show involvement and dedication in solving the company's problems and obtaining results beyond expectations.</w:t>
      </w:r>
    </w:p>
    <w:p w14:paraId="4A84AF3D" w14:textId="77777777" w:rsidR="005640D5" w:rsidRP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 xml:space="preserve">It is certain that at the base of employee engagement lies the company’s culture. The company culture is a set of shared values, goals, attitudes, and practices that characterize the organization. The connection between employee engagement and the company can easily be made. It actually represents the employee's adherence to the set of values ​​and objectives, and to the team. </w:t>
      </w:r>
    </w:p>
    <w:p w14:paraId="4EA6E4BB" w14:textId="77777777" w:rsid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It is necessary that the Human Resources departments take measures the introduction of more best practices that ultimately aim to improve employee engagement and unlock more of existing talent potential. When the values ​​and practices, behaviors, and rules of a company culture align with the staff’s own values, there will most definitely be a commitment from employees beyond the bare minimum of responsibilities.</w:t>
      </w:r>
    </w:p>
    <w:p w14:paraId="1B915126" w14:textId="483BDEBC" w:rsidR="005640D5" w:rsidRP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 xml:space="preserve">There are many actions that need to be taken by a hotel, especially the Human Resource Department. The conditions that will be listed are the same that I would take in order to raise employee engagement in my team. Firstly, the organization should promote strong and authentic values. The HR needs to make sure that every employee in the hotel has the trust that the relationship between the management and subordinates is fair and full of respect. Another important condition in creating employee engagement is to always make sure the performance-reward-performance circle is complete. Being able to support desirable behaviors and always have positive examples is certainly beneficial. It should also be noted that hard-working employees who show exceptional results will be even more engaged if those will be communicated and appreciated publicly. One thing that holds quite a big importance is maintaining a level of employee engagement through every stage of the employee lifecycle. As it is widely known, the employee lifecycle has six main stages and those are as follows: attraction, recruitment, onboarding, development, retention, and separation. It is important and necessary to start creating employee engagement the second they see the job advertisement and increase it until the staff reaches the last phase of their employment cycle. This can be achieved by presenting sincerely the company and everything it stands by and making it easy and interactive for the interested party to apply. During the employee’s period of time with the company, they should be given the chance to identify themselves with the organization’s values and objectives, as well as the opportunity to bring changes within the culture in order to better suit the entire staff and ultimately the customers. </w:t>
      </w:r>
      <w:r w:rsidR="00F6626C">
        <w:rPr>
          <w:rFonts w:ascii="Arial" w:hAnsi="Arial" w:cs="Arial"/>
          <w:sz w:val="24"/>
          <w:szCs w:val="24"/>
        </w:rPr>
        <w:t>(</w:t>
      </w:r>
      <w:r w:rsidR="00F6626C" w:rsidRPr="00F6626C">
        <w:rPr>
          <w:rFonts w:ascii="Arial" w:hAnsi="Arial" w:cs="Arial"/>
          <w:sz w:val="24"/>
          <w:szCs w:val="24"/>
        </w:rPr>
        <w:t>Gatling and Kim, 2019)</w:t>
      </w:r>
    </w:p>
    <w:p w14:paraId="009885FD" w14:textId="2594C848" w:rsidR="00F470C1"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Another very important thing to be taken into consideration by the human resources department is the voice of the employee. This means the creation of mechanisms, formal or informal, qualitative or quantitative, for example, an internal questionnaire. The most important thing is that these mechanisms are read, listened to, and understood in order to be integrated into practice. This way, the company creates a favorable environment for employees to allow them to come up with good ideas on their own initiative.</w:t>
      </w:r>
      <w:r>
        <w:rPr>
          <w:rFonts w:ascii="Arial" w:hAnsi="Arial" w:cs="Arial"/>
          <w:sz w:val="24"/>
          <w:szCs w:val="24"/>
        </w:rPr>
        <w:t xml:space="preserve"> </w:t>
      </w:r>
      <w:r w:rsidRPr="005640D5">
        <w:rPr>
          <w:rFonts w:ascii="Arial" w:hAnsi="Arial" w:cs="Arial"/>
          <w:sz w:val="24"/>
          <w:szCs w:val="24"/>
        </w:rPr>
        <w:t>(Robinson, n.d.)</w:t>
      </w:r>
    </w:p>
    <w:p w14:paraId="4D6D75C0" w14:textId="77777777" w:rsidR="00F470C1" w:rsidRDefault="00F470C1" w:rsidP="005640D5">
      <w:pPr>
        <w:spacing w:line="360" w:lineRule="auto"/>
        <w:ind w:firstLine="1418"/>
        <w:jc w:val="both"/>
        <w:rPr>
          <w:rFonts w:ascii="Arial" w:hAnsi="Arial" w:cs="Arial"/>
          <w:sz w:val="24"/>
          <w:szCs w:val="24"/>
        </w:rPr>
      </w:pPr>
    </w:p>
    <w:p w14:paraId="3696795D" w14:textId="77777777" w:rsidR="005640D5" w:rsidRP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 xml:space="preserve">In conclusion, nothing is more vital in a company's life than the individuals who work for it. Therefore, recruiting the finest, keeping the talent, and ensuring employee well-being must be a continual priority of the HR department, particularly now when the industry is facing a large shortage of specialists. </w:t>
      </w:r>
    </w:p>
    <w:p w14:paraId="45BAC687" w14:textId="77777777" w:rsidR="005640D5" w:rsidRP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Maintaining constant employee engagement may be hard for the human resources department, but it is mandatory in order to to keep employees motivated and involved. When employees are involved, they tend to have even more confidence in their voice and offer feedback, ask questions, ask for feedback and be open to change.</w:t>
      </w:r>
    </w:p>
    <w:p w14:paraId="295F1431" w14:textId="77777777" w:rsidR="005640D5" w:rsidRPr="005640D5"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People require more than great pay and decent working conditions in order to be engaged in their profession and the organization to which they belong. They require meaning, perspective, faith in leaders, assurance that their skills and abilities are respected and that their accomplishments are valued, as well as the capacity to identify with the organization's values and goals.</w:t>
      </w:r>
    </w:p>
    <w:p w14:paraId="5DA7F86B" w14:textId="3F966BE6" w:rsidR="00EF7D87" w:rsidRDefault="005640D5" w:rsidP="005640D5">
      <w:pPr>
        <w:spacing w:line="360" w:lineRule="auto"/>
        <w:ind w:firstLine="1418"/>
        <w:jc w:val="both"/>
        <w:rPr>
          <w:rFonts w:ascii="Arial" w:hAnsi="Arial" w:cs="Arial"/>
          <w:sz w:val="24"/>
          <w:szCs w:val="24"/>
        </w:rPr>
      </w:pPr>
      <w:r w:rsidRPr="005640D5">
        <w:rPr>
          <w:rFonts w:ascii="Arial" w:hAnsi="Arial" w:cs="Arial"/>
          <w:sz w:val="24"/>
          <w:szCs w:val="24"/>
        </w:rPr>
        <w:t>In very few words, employee engagement is an emotional and intellectual state that drives people to give their best in regard to their professional capacity. Therefore, employee engagement isn’t optional, it is necessary for every company.</w:t>
      </w:r>
    </w:p>
    <w:p w14:paraId="5E7A91AC" w14:textId="733D8CC7" w:rsidR="00145D1A" w:rsidRPr="00840FFE" w:rsidRDefault="00145D1A" w:rsidP="00840FFE">
      <w:pPr>
        <w:jc w:val="both"/>
        <w:rPr>
          <w:rFonts w:ascii="Arial" w:hAnsi="Arial" w:cs="Arial"/>
          <w:sz w:val="24"/>
          <w:szCs w:val="24"/>
        </w:rPr>
      </w:pPr>
    </w:p>
    <w:p w14:paraId="1FB76074" w14:textId="4CE0B7F5" w:rsidR="00840FFE" w:rsidRDefault="00840FFE" w:rsidP="00840FFE">
      <w:pPr>
        <w:jc w:val="center"/>
        <w:rPr>
          <w:rFonts w:ascii="Arial" w:hAnsi="Arial" w:cs="Arial"/>
          <w:b/>
          <w:bCs/>
          <w:sz w:val="32"/>
          <w:szCs w:val="32"/>
        </w:rPr>
      </w:pPr>
    </w:p>
    <w:p w14:paraId="63FDFF1A" w14:textId="22308521" w:rsidR="005640D5" w:rsidRDefault="005640D5" w:rsidP="00840FFE">
      <w:pPr>
        <w:jc w:val="center"/>
        <w:rPr>
          <w:rFonts w:ascii="Arial" w:hAnsi="Arial" w:cs="Arial"/>
          <w:b/>
          <w:bCs/>
          <w:sz w:val="32"/>
          <w:szCs w:val="32"/>
        </w:rPr>
      </w:pPr>
    </w:p>
    <w:p w14:paraId="3A70000E" w14:textId="75BEF458" w:rsidR="005640D5" w:rsidRDefault="005640D5" w:rsidP="00840FFE">
      <w:pPr>
        <w:jc w:val="center"/>
        <w:rPr>
          <w:rFonts w:ascii="Arial" w:hAnsi="Arial" w:cs="Arial"/>
          <w:b/>
          <w:bCs/>
          <w:sz w:val="32"/>
          <w:szCs w:val="32"/>
        </w:rPr>
      </w:pPr>
    </w:p>
    <w:p w14:paraId="39B0DD50" w14:textId="51271DF4" w:rsidR="005640D5" w:rsidRDefault="005640D5" w:rsidP="00840FFE">
      <w:pPr>
        <w:jc w:val="center"/>
        <w:rPr>
          <w:rFonts w:ascii="Arial" w:hAnsi="Arial" w:cs="Arial"/>
          <w:b/>
          <w:bCs/>
          <w:sz w:val="32"/>
          <w:szCs w:val="32"/>
        </w:rPr>
      </w:pPr>
    </w:p>
    <w:p w14:paraId="64B4F5F3" w14:textId="0D4C6317" w:rsidR="005640D5" w:rsidRDefault="005640D5" w:rsidP="00840FFE">
      <w:pPr>
        <w:jc w:val="center"/>
        <w:rPr>
          <w:rFonts w:ascii="Arial" w:hAnsi="Arial" w:cs="Arial"/>
          <w:b/>
          <w:bCs/>
          <w:sz w:val="32"/>
          <w:szCs w:val="32"/>
        </w:rPr>
      </w:pPr>
    </w:p>
    <w:p w14:paraId="46822DD7" w14:textId="0B256BB3" w:rsidR="005640D5" w:rsidRDefault="005640D5" w:rsidP="00840FFE">
      <w:pPr>
        <w:jc w:val="center"/>
        <w:rPr>
          <w:rFonts w:ascii="Arial" w:hAnsi="Arial" w:cs="Arial"/>
          <w:b/>
          <w:bCs/>
          <w:sz w:val="32"/>
          <w:szCs w:val="32"/>
        </w:rPr>
      </w:pPr>
    </w:p>
    <w:p w14:paraId="35A1564B" w14:textId="097851CB" w:rsidR="005640D5" w:rsidRDefault="005640D5" w:rsidP="00840FFE">
      <w:pPr>
        <w:jc w:val="center"/>
        <w:rPr>
          <w:rFonts w:ascii="Arial" w:hAnsi="Arial" w:cs="Arial"/>
          <w:b/>
          <w:bCs/>
          <w:sz w:val="32"/>
          <w:szCs w:val="32"/>
        </w:rPr>
      </w:pPr>
    </w:p>
    <w:p w14:paraId="67E6845A" w14:textId="117065F6" w:rsidR="005640D5" w:rsidRDefault="005640D5" w:rsidP="00840FFE">
      <w:pPr>
        <w:jc w:val="center"/>
        <w:rPr>
          <w:rFonts w:ascii="Arial" w:hAnsi="Arial" w:cs="Arial"/>
          <w:b/>
          <w:bCs/>
          <w:sz w:val="32"/>
          <w:szCs w:val="32"/>
        </w:rPr>
      </w:pPr>
    </w:p>
    <w:p w14:paraId="20044C1C" w14:textId="5FE89B6C" w:rsidR="005640D5" w:rsidRDefault="005640D5" w:rsidP="00840FFE">
      <w:pPr>
        <w:jc w:val="center"/>
        <w:rPr>
          <w:rFonts w:ascii="Arial" w:hAnsi="Arial" w:cs="Arial"/>
          <w:b/>
          <w:bCs/>
          <w:sz w:val="32"/>
          <w:szCs w:val="32"/>
        </w:rPr>
      </w:pPr>
    </w:p>
    <w:p w14:paraId="799F627C" w14:textId="72923098" w:rsidR="005640D5" w:rsidRDefault="005640D5" w:rsidP="00840FFE">
      <w:pPr>
        <w:jc w:val="center"/>
        <w:rPr>
          <w:rFonts w:ascii="Arial" w:hAnsi="Arial" w:cs="Arial"/>
          <w:b/>
          <w:bCs/>
          <w:sz w:val="32"/>
          <w:szCs w:val="32"/>
        </w:rPr>
      </w:pPr>
    </w:p>
    <w:p w14:paraId="6D5F39AB" w14:textId="79343819" w:rsidR="005640D5" w:rsidRDefault="005640D5" w:rsidP="00840FFE">
      <w:pPr>
        <w:jc w:val="center"/>
        <w:rPr>
          <w:rFonts w:ascii="Arial" w:hAnsi="Arial" w:cs="Arial"/>
          <w:b/>
          <w:bCs/>
          <w:sz w:val="32"/>
          <w:szCs w:val="32"/>
        </w:rPr>
      </w:pPr>
    </w:p>
    <w:p w14:paraId="63591556" w14:textId="6B9460A0" w:rsidR="005640D5" w:rsidRDefault="005640D5" w:rsidP="00840FFE">
      <w:pPr>
        <w:jc w:val="center"/>
        <w:rPr>
          <w:rFonts w:ascii="Arial" w:hAnsi="Arial" w:cs="Arial"/>
          <w:b/>
          <w:bCs/>
          <w:sz w:val="32"/>
          <w:szCs w:val="32"/>
        </w:rPr>
      </w:pPr>
    </w:p>
    <w:p w14:paraId="364BD8E8" w14:textId="16CCFCA6" w:rsidR="005640D5" w:rsidRDefault="005640D5" w:rsidP="00840FFE">
      <w:pPr>
        <w:jc w:val="center"/>
        <w:rPr>
          <w:rFonts w:ascii="Arial" w:hAnsi="Arial" w:cs="Arial"/>
          <w:b/>
          <w:bCs/>
          <w:sz w:val="32"/>
          <w:szCs w:val="32"/>
        </w:rPr>
      </w:pPr>
    </w:p>
    <w:p w14:paraId="510520E7" w14:textId="4CCC2B63" w:rsidR="005640D5" w:rsidRDefault="005640D5" w:rsidP="00840FFE">
      <w:pPr>
        <w:jc w:val="center"/>
        <w:rPr>
          <w:rFonts w:ascii="Arial" w:hAnsi="Arial" w:cs="Arial"/>
          <w:b/>
          <w:bCs/>
          <w:sz w:val="32"/>
          <w:szCs w:val="32"/>
        </w:rPr>
      </w:pPr>
    </w:p>
    <w:p w14:paraId="4FA95D44" w14:textId="2F6BCD8D" w:rsidR="005640D5" w:rsidRDefault="005640D5" w:rsidP="00840FFE">
      <w:pPr>
        <w:jc w:val="center"/>
        <w:rPr>
          <w:rFonts w:ascii="Arial" w:hAnsi="Arial" w:cs="Arial"/>
          <w:b/>
          <w:bCs/>
          <w:sz w:val="32"/>
          <w:szCs w:val="32"/>
        </w:rPr>
      </w:pPr>
    </w:p>
    <w:p w14:paraId="55B95783" w14:textId="425F2CC2" w:rsidR="005640D5" w:rsidRDefault="005640D5" w:rsidP="00840FFE">
      <w:pPr>
        <w:jc w:val="center"/>
        <w:rPr>
          <w:rFonts w:ascii="Arial" w:hAnsi="Arial" w:cs="Arial"/>
          <w:b/>
          <w:bCs/>
          <w:sz w:val="32"/>
          <w:szCs w:val="32"/>
        </w:rPr>
      </w:pPr>
    </w:p>
    <w:p w14:paraId="5844E518" w14:textId="6615A2A8" w:rsidR="005640D5" w:rsidRDefault="005640D5" w:rsidP="00840FFE">
      <w:pPr>
        <w:jc w:val="center"/>
        <w:rPr>
          <w:rFonts w:ascii="Arial" w:hAnsi="Arial" w:cs="Arial"/>
          <w:b/>
          <w:bCs/>
          <w:sz w:val="32"/>
          <w:szCs w:val="32"/>
        </w:rPr>
      </w:pPr>
    </w:p>
    <w:p w14:paraId="670DF82C" w14:textId="1DF69477" w:rsidR="005640D5" w:rsidRDefault="005640D5" w:rsidP="00840FFE">
      <w:pPr>
        <w:jc w:val="center"/>
        <w:rPr>
          <w:rFonts w:ascii="Arial" w:hAnsi="Arial" w:cs="Arial"/>
          <w:b/>
          <w:bCs/>
          <w:sz w:val="32"/>
          <w:szCs w:val="32"/>
        </w:rPr>
      </w:pPr>
    </w:p>
    <w:p w14:paraId="17AA62F6" w14:textId="7EA34703" w:rsidR="005640D5" w:rsidRDefault="005640D5" w:rsidP="00840FFE">
      <w:pPr>
        <w:jc w:val="center"/>
        <w:rPr>
          <w:rFonts w:ascii="Arial" w:hAnsi="Arial" w:cs="Arial"/>
          <w:b/>
          <w:bCs/>
          <w:sz w:val="32"/>
          <w:szCs w:val="32"/>
        </w:rPr>
      </w:pPr>
    </w:p>
    <w:p w14:paraId="58E84183" w14:textId="61262F81" w:rsidR="005640D5" w:rsidRDefault="005640D5" w:rsidP="00840FFE">
      <w:pPr>
        <w:jc w:val="center"/>
        <w:rPr>
          <w:rFonts w:ascii="Arial" w:hAnsi="Arial" w:cs="Arial"/>
          <w:b/>
          <w:bCs/>
          <w:sz w:val="32"/>
          <w:szCs w:val="32"/>
        </w:rPr>
      </w:pPr>
    </w:p>
    <w:p w14:paraId="6C37DB8A" w14:textId="58A25B04" w:rsidR="00AD6285" w:rsidRDefault="00AD6285" w:rsidP="00AD6285">
      <w:pPr>
        <w:pStyle w:val="NormalWeb"/>
        <w:spacing w:line="360" w:lineRule="auto"/>
        <w:rPr>
          <w:rFonts w:ascii="Arial" w:hAnsi="Arial" w:cs="Arial"/>
          <w:color w:val="000000"/>
        </w:rPr>
      </w:pPr>
    </w:p>
    <w:p w14:paraId="16C46485" w14:textId="77777777" w:rsidR="00AD6285" w:rsidRPr="00AD6285" w:rsidRDefault="00AD6285" w:rsidP="00AD6285">
      <w:pPr>
        <w:pStyle w:val="ListParagraph"/>
        <w:spacing w:line="360" w:lineRule="auto"/>
        <w:rPr>
          <w:rFonts w:ascii="Arial" w:hAnsi="Arial" w:cs="Arial"/>
          <w:b/>
          <w:bCs/>
          <w:sz w:val="24"/>
          <w:szCs w:val="24"/>
        </w:rPr>
      </w:pPr>
      <w:r w:rsidRPr="00AD6285">
        <w:rPr>
          <w:rFonts w:ascii="Arial" w:hAnsi="Arial" w:cs="Arial"/>
          <w:b/>
          <w:bCs/>
          <w:sz w:val="24"/>
          <w:szCs w:val="24"/>
        </w:rPr>
        <w:t>References list</w:t>
      </w:r>
    </w:p>
    <w:p w14:paraId="678A8B48" w14:textId="77777777" w:rsidR="00AD6285" w:rsidRPr="00AD6285" w:rsidRDefault="00AD6285" w:rsidP="00AD6285">
      <w:pPr>
        <w:pStyle w:val="NormalWeb"/>
        <w:spacing w:line="360" w:lineRule="auto"/>
        <w:rPr>
          <w:rFonts w:ascii="Arial" w:hAnsi="Arial" w:cs="Arial"/>
          <w:color w:val="000000"/>
        </w:rPr>
      </w:pPr>
    </w:p>
    <w:p w14:paraId="3530F61D" w14:textId="77777777" w:rsidR="00F6626C" w:rsidRPr="00F6626C" w:rsidRDefault="00F6626C" w:rsidP="00F6626C">
      <w:pPr>
        <w:pStyle w:val="NormalWeb"/>
        <w:numPr>
          <w:ilvl w:val="0"/>
          <w:numId w:val="1"/>
        </w:numPr>
        <w:spacing w:before="0" w:beforeAutospacing="0" w:after="0" w:afterAutospacing="0" w:line="360" w:lineRule="auto"/>
        <w:rPr>
          <w:rFonts w:ascii="Arial" w:hAnsi="Arial" w:cs="Arial"/>
          <w:color w:val="000000"/>
        </w:rPr>
      </w:pPr>
      <w:r w:rsidRPr="00F6626C">
        <w:rPr>
          <w:rFonts w:ascii="Arial" w:hAnsi="Arial" w:cs="Arial"/>
          <w:color w:val="000000"/>
        </w:rPr>
        <w:t>‌ Robinson, D., Perryman, S. and Hayday, S. (2004). </w:t>
      </w:r>
      <w:r w:rsidRPr="00F6626C">
        <w:rPr>
          <w:rFonts w:ascii="Arial" w:hAnsi="Arial" w:cs="Arial"/>
          <w:i/>
          <w:iCs/>
          <w:color w:val="000000"/>
        </w:rPr>
        <w:t>The drivers of employee engagement</w:t>
      </w:r>
      <w:r w:rsidRPr="00F6626C">
        <w:rPr>
          <w:rFonts w:ascii="Arial" w:hAnsi="Arial" w:cs="Arial"/>
          <w:color w:val="000000"/>
        </w:rPr>
        <w:t>. Brighton: Institute For Employment Studies.</w:t>
      </w:r>
    </w:p>
    <w:p w14:paraId="325E807E" w14:textId="77777777" w:rsidR="00F6626C" w:rsidRPr="00F6626C" w:rsidRDefault="00F6626C" w:rsidP="00F6626C">
      <w:pPr>
        <w:pStyle w:val="NormalWeb"/>
        <w:numPr>
          <w:ilvl w:val="0"/>
          <w:numId w:val="1"/>
        </w:numPr>
        <w:spacing w:before="0" w:beforeAutospacing="0" w:after="0" w:afterAutospacing="0" w:line="360" w:lineRule="auto"/>
        <w:rPr>
          <w:rFonts w:ascii="Arial" w:hAnsi="Arial" w:cs="Arial"/>
          <w:color w:val="000000"/>
        </w:rPr>
      </w:pPr>
      <w:r w:rsidRPr="00F6626C">
        <w:rPr>
          <w:rFonts w:ascii="Arial" w:hAnsi="Arial" w:cs="Arial"/>
          <w:color w:val="000000"/>
        </w:rPr>
        <w:t>‌ Valamis. (2020). </w:t>
      </w:r>
      <w:r w:rsidRPr="00F6626C">
        <w:rPr>
          <w:rFonts w:ascii="Arial" w:hAnsi="Arial" w:cs="Arial"/>
          <w:i/>
          <w:iCs/>
          <w:color w:val="000000"/>
        </w:rPr>
        <w:t>What is Employee Engagement? Strategies, Best Practices &amp; Ideas</w:t>
      </w:r>
      <w:r w:rsidRPr="00F6626C">
        <w:rPr>
          <w:rFonts w:ascii="Arial" w:hAnsi="Arial" w:cs="Arial"/>
          <w:color w:val="000000"/>
        </w:rPr>
        <w:t xml:space="preserve">. [online] Available at: </w:t>
      </w:r>
      <w:hyperlink r:id="rId5" w:history="1">
        <w:r w:rsidRPr="00F6626C">
          <w:rPr>
            <w:rStyle w:val="Hyperlink"/>
            <w:rFonts w:ascii="Arial" w:hAnsi="Arial" w:cs="Arial"/>
          </w:rPr>
          <w:t>https://www.valamis.com/hub/employee-engagement</w:t>
        </w:r>
      </w:hyperlink>
      <w:r w:rsidRPr="00F6626C">
        <w:rPr>
          <w:rFonts w:ascii="Arial" w:hAnsi="Arial" w:cs="Arial"/>
          <w:color w:val="000000"/>
        </w:rPr>
        <w:t>.</w:t>
      </w:r>
    </w:p>
    <w:p w14:paraId="6E741FF6" w14:textId="77777777" w:rsidR="00F6626C" w:rsidRPr="00F6626C" w:rsidRDefault="00F6626C" w:rsidP="00F6626C">
      <w:pPr>
        <w:pStyle w:val="ListParagraph"/>
        <w:numPr>
          <w:ilvl w:val="0"/>
          <w:numId w:val="1"/>
        </w:numPr>
        <w:spacing w:line="360" w:lineRule="auto"/>
        <w:jc w:val="both"/>
        <w:rPr>
          <w:rFonts w:ascii="Arial" w:hAnsi="Arial" w:cs="Arial"/>
          <w:sz w:val="24"/>
          <w:szCs w:val="24"/>
        </w:rPr>
      </w:pPr>
      <w:r w:rsidRPr="00F6626C">
        <w:rPr>
          <w:rFonts w:ascii="Arial" w:hAnsi="Arial" w:cs="Arial"/>
          <w:sz w:val="24"/>
          <w:szCs w:val="24"/>
        </w:rPr>
        <w:t>‌Accor.com. (2019). The new Accor strategy. [online] Available at: https://group.accor.com/en/Actualites/2019/03/strategy-all-accor-live-limitless-sebastien-bazin.</w:t>
      </w:r>
    </w:p>
    <w:p w14:paraId="77FB176D" w14:textId="77777777" w:rsidR="00F6626C" w:rsidRPr="00F6626C" w:rsidRDefault="00F6626C" w:rsidP="00F6626C">
      <w:pPr>
        <w:pStyle w:val="NormalWeb"/>
        <w:numPr>
          <w:ilvl w:val="0"/>
          <w:numId w:val="1"/>
        </w:numPr>
        <w:spacing w:before="0" w:beforeAutospacing="0" w:after="0" w:afterAutospacing="0" w:line="360" w:lineRule="auto"/>
        <w:rPr>
          <w:rFonts w:ascii="Arial" w:hAnsi="Arial" w:cs="Arial"/>
          <w:color w:val="000000"/>
        </w:rPr>
      </w:pPr>
      <w:r w:rsidRPr="00F6626C">
        <w:rPr>
          <w:rFonts w:ascii="Arial" w:hAnsi="Arial" w:cs="Arial"/>
          <w:color w:val="000000"/>
        </w:rPr>
        <w:t>Book, L., Gatling, A. and Kim, J. (Sunny) (2019). The effects of leadership satisfaction on employee engagement, loyalty, and retention in the hospitality industry. </w:t>
      </w:r>
      <w:r w:rsidRPr="00F6626C">
        <w:rPr>
          <w:rFonts w:ascii="Arial" w:hAnsi="Arial" w:cs="Arial"/>
          <w:i/>
          <w:iCs/>
          <w:color w:val="000000"/>
        </w:rPr>
        <w:t>Journal of Human Resources in Hospitality &amp; Tourism</w:t>
      </w:r>
      <w:r w:rsidRPr="00F6626C">
        <w:rPr>
          <w:rFonts w:ascii="Arial" w:hAnsi="Arial" w:cs="Arial"/>
          <w:color w:val="000000"/>
        </w:rPr>
        <w:t>, 18(3), pp.368–393. doi:10.1080/15332845.2019.1599787.</w:t>
      </w:r>
    </w:p>
    <w:p w14:paraId="76BEA290" w14:textId="77777777" w:rsidR="00F6626C" w:rsidRPr="00F6626C" w:rsidRDefault="00F6626C" w:rsidP="00F6626C">
      <w:pPr>
        <w:pStyle w:val="ListParagraph"/>
        <w:numPr>
          <w:ilvl w:val="0"/>
          <w:numId w:val="1"/>
        </w:numPr>
        <w:spacing w:line="360" w:lineRule="auto"/>
        <w:jc w:val="both"/>
        <w:rPr>
          <w:rFonts w:ascii="Arial" w:hAnsi="Arial" w:cs="Arial"/>
          <w:sz w:val="24"/>
          <w:szCs w:val="24"/>
        </w:rPr>
      </w:pPr>
      <w:r w:rsidRPr="00F6626C">
        <w:rPr>
          <w:rFonts w:ascii="Arial" w:hAnsi="Arial" w:cs="Arial"/>
          <w:sz w:val="24"/>
          <w:szCs w:val="24"/>
        </w:rPr>
        <w:t>‌Hilton.com. (2022).We are in the business of people serving people. [online] Available at: https://cr.hilton.com/wp-content/uploads/2020/04/Hilton-Team-Member-Engagement.pdf.</w:t>
      </w:r>
    </w:p>
    <w:p w14:paraId="0A6F52CC" w14:textId="77777777" w:rsidR="00F6626C" w:rsidRPr="00F6626C" w:rsidRDefault="00F6626C" w:rsidP="00F6626C">
      <w:pPr>
        <w:pStyle w:val="ListParagraph"/>
        <w:numPr>
          <w:ilvl w:val="0"/>
          <w:numId w:val="1"/>
        </w:numPr>
        <w:spacing w:line="360" w:lineRule="auto"/>
        <w:jc w:val="both"/>
        <w:rPr>
          <w:rFonts w:ascii="Arial" w:hAnsi="Arial" w:cs="Arial"/>
          <w:sz w:val="24"/>
          <w:szCs w:val="24"/>
        </w:rPr>
      </w:pPr>
      <w:r w:rsidRPr="00F6626C">
        <w:rPr>
          <w:rFonts w:ascii="Arial" w:hAnsi="Arial" w:cs="Arial"/>
          <w:sz w:val="24"/>
          <w:szCs w:val="24"/>
        </w:rPr>
        <w:t xml:space="preserve">‌Hospitality For All. (n.d.). [online] Available at: </w:t>
      </w:r>
      <w:hyperlink r:id="rId6" w:history="1">
        <w:r w:rsidRPr="00F6626C">
          <w:rPr>
            <w:rStyle w:val="Hyperlink"/>
            <w:rFonts w:ascii="Arial" w:hAnsi="Arial" w:cs="Arial"/>
            <w:sz w:val="24"/>
            <w:szCs w:val="24"/>
          </w:rPr>
          <w:t>https://www.greatplacetowork.com/images/reports/2018-GPTW-Profile-Series-_Hilton_Hospitality_For_All.pdf</w:t>
        </w:r>
      </w:hyperlink>
      <w:r w:rsidRPr="00F6626C">
        <w:rPr>
          <w:rFonts w:ascii="Arial" w:hAnsi="Arial" w:cs="Arial"/>
          <w:sz w:val="24"/>
          <w:szCs w:val="24"/>
        </w:rPr>
        <w:t>.</w:t>
      </w:r>
    </w:p>
    <w:p w14:paraId="6BC7FF8C" w14:textId="77777777" w:rsidR="00F6626C" w:rsidRPr="00F6626C" w:rsidRDefault="00F6626C" w:rsidP="00F6626C">
      <w:pPr>
        <w:pStyle w:val="ListParagraph"/>
        <w:numPr>
          <w:ilvl w:val="0"/>
          <w:numId w:val="1"/>
        </w:numPr>
        <w:spacing w:line="360" w:lineRule="auto"/>
        <w:jc w:val="both"/>
        <w:rPr>
          <w:rFonts w:ascii="Arial" w:hAnsi="Arial" w:cs="Arial"/>
          <w:sz w:val="24"/>
          <w:szCs w:val="24"/>
        </w:rPr>
      </w:pPr>
      <w:r w:rsidRPr="00F6626C">
        <w:rPr>
          <w:rFonts w:ascii="Arial" w:hAnsi="Arial" w:cs="Arial"/>
          <w:sz w:val="24"/>
          <w:szCs w:val="24"/>
        </w:rPr>
        <w:t>Lamo, E. (2019). The Center of Success: A Case Study on Hilton’s Company Culture A Senior Project presented to. [online] Available at: https://digitalcommons.calpoly.edu/cgi/viewcontent.cgi?article=1002&amp;context=expindsp.</w:t>
      </w:r>
    </w:p>
    <w:p w14:paraId="72A39AD6" w14:textId="77777777" w:rsidR="00F6626C" w:rsidRPr="00F6626C" w:rsidRDefault="00F6626C" w:rsidP="00F6626C">
      <w:pPr>
        <w:pStyle w:val="NormalWeb"/>
        <w:numPr>
          <w:ilvl w:val="0"/>
          <w:numId w:val="1"/>
        </w:numPr>
        <w:spacing w:before="0" w:beforeAutospacing="0" w:after="0" w:afterAutospacing="0" w:line="360" w:lineRule="auto"/>
        <w:rPr>
          <w:rFonts w:ascii="Arial" w:hAnsi="Arial" w:cs="Arial"/>
          <w:color w:val="000000"/>
        </w:rPr>
      </w:pPr>
      <w:r w:rsidRPr="00F6626C">
        <w:rPr>
          <w:rFonts w:ascii="Arial" w:hAnsi="Arial" w:cs="Arial"/>
          <w:color w:val="000000"/>
        </w:rPr>
        <w:t>‌Ncube, F. and Jerie, S. (2012). Leveraging employee engagement for competitive advantage in the hospitality industry. A comparative study of hotels A and B in Zimbabwe. </w:t>
      </w:r>
      <w:r w:rsidRPr="00F6626C">
        <w:rPr>
          <w:rFonts w:ascii="Arial" w:hAnsi="Arial" w:cs="Arial"/>
          <w:i/>
          <w:iCs/>
          <w:color w:val="000000"/>
        </w:rPr>
        <w:t>Journal of Emerging Trends in Economics and Management Sciences</w:t>
      </w:r>
      <w:r w:rsidRPr="00F6626C">
        <w:rPr>
          <w:rFonts w:ascii="Arial" w:hAnsi="Arial" w:cs="Arial"/>
          <w:color w:val="000000"/>
        </w:rPr>
        <w:t>, [online] 3(4), pp.380–388. doi:10.10520/EJC126570.</w:t>
      </w:r>
    </w:p>
    <w:p w14:paraId="0978030D" w14:textId="77777777" w:rsidR="00F6626C" w:rsidRPr="00F6626C" w:rsidRDefault="00F6626C" w:rsidP="00F6626C">
      <w:pPr>
        <w:pStyle w:val="NormalWeb"/>
        <w:numPr>
          <w:ilvl w:val="0"/>
          <w:numId w:val="1"/>
        </w:numPr>
        <w:spacing w:before="0" w:beforeAutospacing="0" w:after="0" w:afterAutospacing="0" w:line="360" w:lineRule="auto"/>
        <w:rPr>
          <w:rFonts w:ascii="Arial" w:hAnsi="Arial" w:cs="Arial"/>
          <w:color w:val="000000"/>
        </w:rPr>
      </w:pPr>
      <w:r w:rsidRPr="00F6626C">
        <w:rPr>
          <w:rFonts w:ascii="Arial" w:hAnsi="Arial" w:cs="Arial"/>
          <w:color w:val="000000"/>
        </w:rPr>
        <w:t>REISSOVÁ, A., ŠIMSOVÁ, J. and FRIČKOVÁ, K. (2019). INFLUENCE OF EMPLOYEE ENGAGEMENT AND EMPLOYEE BENEFIT SCHEMES ON JOB SATISFACTION. </w:t>
      </w:r>
      <w:r w:rsidRPr="00F6626C">
        <w:rPr>
          <w:rFonts w:ascii="Arial" w:hAnsi="Arial" w:cs="Arial"/>
          <w:i/>
          <w:iCs/>
          <w:color w:val="000000"/>
        </w:rPr>
        <w:t>AD ALTA: 09/02</w:t>
      </w:r>
      <w:r w:rsidRPr="00F6626C">
        <w:rPr>
          <w:rFonts w:ascii="Arial" w:hAnsi="Arial" w:cs="Arial"/>
          <w:color w:val="000000"/>
        </w:rPr>
        <w:t>, 9(2), pp.288–292. doi:10.33543/0902288292.</w:t>
      </w:r>
    </w:p>
    <w:p w14:paraId="5C19AE36" w14:textId="77777777" w:rsidR="00F6626C" w:rsidRPr="00F6626C" w:rsidRDefault="00F6626C" w:rsidP="00F6626C">
      <w:pPr>
        <w:pStyle w:val="NormalWeb"/>
        <w:numPr>
          <w:ilvl w:val="0"/>
          <w:numId w:val="1"/>
        </w:numPr>
        <w:spacing w:before="0" w:beforeAutospacing="0" w:after="0" w:afterAutospacing="0" w:line="360" w:lineRule="auto"/>
        <w:rPr>
          <w:rFonts w:ascii="Arial" w:hAnsi="Arial" w:cs="Arial"/>
          <w:color w:val="000000"/>
        </w:rPr>
      </w:pPr>
      <w:r w:rsidRPr="00F6626C">
        <w:rPr>
          <w:rFonts w:ascii="Arial" w:hAnsi="Arial" w:cs="Arial"/>
          <w:color w:val="000000"/>
        </w:rPr>
        <w:t>Robinson, D. (n.d.). </w:t>
      </w:r>
      <w:r w:rsidRPr="00F6626C">
        <w:rPr>
          <w:rFonts w:ascii="Arial" w:hAnsi="Arial" w:cs="Arial"/>
          <w:i/>
          <w:iCs/>
          <w:color w:val="000000"/>
        </w:rPr>
        <w:t>Employee engagement</w:t>
      </w:r>
      <w:r w:rsidRPr="00F6626C">
        <w:rPr>
          <w:rFonts w:ascii="Arial" w:hAnsi="Arial" w:cs="Arial"/>
          <w:color w:val="000000"/>
        </w:rPr>
        <w:t xml:space="preserve">. [online] Available at: </w:t>
      </w:r>
      <w:hyperlink r:id="rId7" w:history="1">
        <w:r w:rsidRPr="00F6626C">
          <w:rPr>
            <w:rStyle w:val="Hyperlink"/>
            <w:rFonts w:ascii="Arial" w:hAnsi="Arial" w:cs="Arial"/>
          </w:rPr>
          <w:t>https://www.employment-studies.co.uk/system/files/resources/files/op11.pdf</w:t>
        </w:r>
      </w:hyperlink>
      <w:r w:rsidRPr="00F6626C">
        <w:rPr>
          <w:rFonts w:ascii="Arial" w:hAnsi="Arial" w:cs="Arial"/>
          <w:color w:val="000000"/>
        </w:rPr>
        <w:t>.</w:t>
      </w:r>
    </w:p>
    <w:p w14:paraId="603D3910" w14:textId="77777777" w:rsidR="00F6626C" w:rsidRPr="00F6626C" w:rsidRDefault="00F6626C" w:rsidP="00F6626C">
      <w:pPr>
        <w:pStyle w:val="NormalWeb"/>
        <w:numPr>
          <w:ilvl w:val="0"/>
          <w:numId w:val="1"/>
        </w:numPr>
        <w:spacing w:before="0" w:beforeAutospacing="0" w:after="0" w:afterAutospacing="0" w:line="360" w:lineRule="auto"/>
        <w:rPr>
          <w:rFonts w:ascii="Arial" w:hAnsi="Arial" w:cs="Arial"/>
          <w:color w:val="000000"/>
        </w:rPr>
      </w:pPr>
      <w:r w:rsidRPr="00F6626C">
        <w:rPr>
          <w:rFonts w:ascii="Arial" w:hAnsi="Arial" w:cs="Arial"/>
          <w:color w:val="000000"/>
        </w:rPr>
        <w:t>Rodrigues da Costa, L. and Maria Correia Loureiro, S. (2019). The Importance of Employees’ Engagement on the Organizational Success. </w:t>
      </w:r>
      <w:r w:rsidRPr="00F6626C">
        <w:rPr>
          <w:rFonts w:ascii="Arial" w:hAnsi="Arial" w:cs="Arial"/>
          <w:i/>
          <w:iCs/>
          <w:color w:val="000000"/>
        </w:rPr>
        <w:t>Journal of Promotion Management</w:t>
      </w:r>
      <w:r w:rsidRPr="00F6626C">
        <w:rPr>
          <w:rFonts w:ascii="Arial" w:hAnsi="Arial" w:cs="Arial"/>
          <w:color w:val="000000"/>
        </w:rPr>
        <w:t>, [online] 25(3), pp.328–336. doi:10.1080/10496491.2019.1557811.</w:t>
      </w:r>
    </w:p>
    <w:p w14:paraId="27C306C9" w14:textId="77777777" w:rsidR="00F6626C" w:rsidRPr="00F6626C" w:rsidRDefault="00F6626C" w:rsidP="00F6626C">
      <w:pPr>
        <w:pStyle w:val="ListParagraph"/>
        <w:numPr>
          <w:ilvl w:val="0"/>
          <w:numId w:val="1"/>
        </w:numPr>
        <w:spacing w:line="360" w:lineRule="auto"/>
        <w:jc w:val="both"/>
        <w:rPr>
          <w:rFonts w:ascii="Arial" w:hAnsi="Arial" w:cs="Arial"/>
          <w:sz w:val="24"/>
          <w:szCs w:val="24"/>
        </w:rPr>
      </w:pPr>
      <w:r w:rsidRPr="00F6626C">
        <w:rPr>
          <w:rFonts w:ascii="Arial" w:hAnsi="Arial" w:cs="Arial"/>
          <w:sz w:val="24"/>
          <w:szCs w:val="24"/>
        </w:rPr>
        <w:t xml:space="preserve">‌Sitel Group. (n.d.). Accor Hotels Enhances Employee Engagement to Create Customer Connections. [online] Available at: https://www.sitel.com/client-stories/accor-hotels-enhancing-employee-engagement-to-create-customer-connections/ </w:t>
      </w:r>
    </w:p>
    <w:p w14:paraId="7FE81D0A" w14:textId="77777777" w:rsidR="00F6626C" w:rsidRPr="00F6626C" w:rsidRDefault="00F6626C" w:rsidP="00F6626C">
      <w:pPr>
        <w:pStyle w:val="NormalWeb"/>
        <w:numPr>
          <w:ilvl w:val="0"/>
          <w:numId w:val="1"/>
        </w:numPr>
        <w:spacing w:before="0" w:beforeAutospacing="0" w:after="0" w:afterAutospacing="0" w:line="360" w:lineRule="auto"/>
        <w:rPr>
          <w:rFonts w:ascii="Arial" w:hAnsi="Arial" w:cs="Arial"/>
          <w:color w:val="000000"/>
        </w:rPr>
      </w:pPr>
      <w:r w:rsidRPr="00F6626C">
        <w:rPr>
          <w:rFonts w:ascii="Arial" w:hAnsi="Arial" w:cs="Arial"/>
          <w:color w:val="000000"/>
        </w:rPr>
        <w:t>www.proquest.com. (n.d.). </w:t>
      </w:r>
      <w:r w:rsidRPr="00F6626C">
        <w:rPr>
          <w:rFonts w:ascii="Arial" w:hAnsi="Arial" w:cs="Arial"/>
          <w:i/>
          <w:iCs/>
          <w:color w:val="000000"/>
        </w:rPr>
        <w:t>Measuring the Benefits of Employee Engagement - ProQuest</w:t>
      </w:r>
      <w:r w:rsidRPr="00F6626C">
        <w:rPr>
          <w:rFonts w:ascii="Arial" w:hAnsi="Arial" w:cs="Arial"/>
          <w:color w:val="000000"/>
        </w:rPr>
        <w:t>. [online] Available at: https://www.proquest.com/openview/ce53a01fd86905764ba4ec20d6bafc0f/1?pq-origsite=gscholar&amp;cbl=26142.</w:t>
      </w:r>
    </w:p>
    <w:p w14:paraId="06AF088A" w14:textId="77777777" w:rsidR="00F6626C" w:rsidRPr="00F6626C" w:rsidRDefault="00F6626C" w:rsidP="00F6626C">
      <w:pPr>
        <w:pStyle w:val="ListParagraph"/>
        <w:numPr>
          <w:ilvl w:val="0"/>
          <w:numId w:val="1"/>
        </w:numPr>
        <w:spacing w:line="360" w:lineRule="auto"/>
        <w:jc w:val="both"/>
        <w:rPr>
          <w:rFonts w:ascii="Arial" w:hAnsi="Arial" w:cs="Arial"/>
          <w:sz w:val="24"/>
          <w:szCs w:val="24"/>
        </w:rPr>
      </w:pPr>
      <w:r w:rsidRPr="00F6626C">
        <w:rPr>
          <w:rFonts w:ascii="Arial" w:hAnsi="Arial" w:cs="Arial"/>
          <w:sz w:val="24"/>
          <w:szCs w:val="24"/>
        </w:rPr>
        <w:t xml:space="preserve">‌www.vantagecircle.com. (n.d.). Employee Engagement Success Story | Accor Hotels x Vantage Circle. [online] Available at: https://www.vantagecircle.com/case-study/accor-hotels/ </w:t>
      </w:r>
    </w:p>
    <w:p w14:paraId="042989B1" w14:textId="4AAFB812" w:rsidR="00F6626C" w:rsidRDefault="00F6626C" w:rsidP="00F6626C">
      <w:pPr>
        <w:pStyle w:val="NormalWeb"/>
        <w:rPr>
          <w:rFonts w:ascii="Calibri" w:hAnsi="Calibri" w:cs="Calibri"/>
          <w:color w:val="000000"/>
          <w:sz w:val="27"/>
          <w:szCs w:val="27"/>
        </w:rPr>
      </w:pPr>
    </w:p>
    <w:p w14:paraId="3B3A0C56" w14:textId="4893F2F0" w:rsidR="00AD6285" w:rsidRDefault="00AD6285" w:rsidP="00F6626C">
      <w:pPr>
        <w:pStyle w:val="NormalWeb"/>
        <w:ind w:left="720"/>
        <w:rPr>
          <w:rFonts w:ascii="Calibri" w:hAnsi="Calibri" w:cs="Calibri"/>
          <w:color w:val="000000"/>
          <w:sz w:val="27"/>
          <w:szCs w:val="27"/>
        </w:rPr>
      </w:pPr>
    </w:p>
    <w:p w14:paraId="255CBB49" w14:textId="77777777" w:rsidR="00AD6285" w:rsidRPr="00AD6285" w:rsidRDefault="00AD6285" w:rsidP="00F6626C">
      <w:pPr>
        <w:pStyle w:val="ListParagraph"/>
        <w:spacing w:line="360" w:lineRule="auto"/>
        <w:jc w:val="both"/>
        <w:rPr>
          <w:rFonts w:ascii="Arial" w:hAnsi="Arial" w:cs="Arial"/>
          <w:sz w:val="24"/>
          <w:szCs w:val="24"/>
        </w:rPr>
      </w:pPr>
    </w:p>
    <w:p w14:paraId="0CFD4C08" w14:textId="77777777" w:rsidR="00AD6285" w:rsidRDefault="00AD6285" w:rsidP="00AD6285">
      <w:pPr>
        <w:pStyle w:val="NormalWeb"/>
        <w:rPr>
          <w:rFonts w:ascii="Calibri" w:hAnsi="Calibri" w:cs="Calibri"/>
          <w:color w:val="000000"/>
          <w:sz w:val="27"/>
          <w:szCs w:val="27"/>
        </w:rPr>
      </w:pPr>
      <w:r>
        <w:rPr>
          <w:rFonts w:ascii="Calibri" w:hAnsi="Calibri" w:cs="Calibri"/>
          <w:color w:val="000000"/>
          <w:sz w:val="27"/>
          <w:szCs w:val="27"/>
        </w:rPr>
        <w:t>‌</w:t>
      </w:r>
    </w:p>
    <w:p w14:paraId="23A29CF9" w14:textId="77777777" w:rsidR="00AD6285" w:rsidRDefault="00AD6285" w:rsidP="00AD6285">
      <w:pPr>
        <w:pStyle w:val="NormalWeb"/>
        <w:spacing w:before="0" w:beforeAutospacing="0" w:after="0" w:afterAutospacing="0" w:line="360" w:lineRule="atLeast"/>
        <w:rPr>
          <w:rFonts w:ascii="Calibri" w:hAnsi="Calibri" w:cs="Calibri"/>
          <w:color w:val="000000"/>
          <w:sz w:val="27"/>
          <w:szCs w:val="27"/>
        </w:rPr>
      </w:pPr>
    </w:p>
    <w:p w14:paraId="2CD7DCC7" w14:textId="77777777" w:rsidR="00AD6285" w:rsidRDefault="00AD6285" w:rsidP="00AD6285">
      <w:pPr>
        <w:pStyle w:val="NormalWeb"/>
        <w:rPr>
          <w:rFonts w:ascii="Calibri" w:hAnsi="Calibri" w:cs="Calibri"/>
          <w:color w:val="000000"/>
          <w:sz w:val="27"/>
          <w:szCs w:val="27"/>
        </w:rPr>
      </w:pPr>
      <w:r>
        <w:rPr>
          <w:rFonts w:ascii="Calibri" w:hAnsi="Calibri" w:cs="Calibri"/>
          <w:color w:val="000000"/>
          <w:sz w:val="27"/>
          <w:szCs w:val="27"/>
        </w:rPr>
        <w:t>‌</w:t>
      </w:r>
    </w:p>
    <w:p w14:paraId="21D66826" w14:textId="703D8566" w:rsidR="00AD6285" w:rsidRDefault="00AD6285" w:rsidP="00AD6285">
      <w:pPr>
        <w:pStyle w:val="NormalWeb"/>
        <w:rPr>
          <w:rFonts w:ascii="Calibri" w:hAnsi="Calibri" w:cs="Calibri"/>
          <w:color w:val="000000"/>
          <w:sz w:val="27"/>
          <w:szCs w:val="27"/>
        </w:rPr>
      </w:pPr>
    </w:p>
    <w:p w14:paraId="48D955DD" w14:textId="39662D22" w:rsidR="005640D5" w:rsidRDefault="005640D5" w:rsidP="005640D5">
      <w:pPr>
        <w:pStyle w:val="NormalWeb"/>
        <w:rPr>
          <w:rFonts w:ascii="Calibri" w:hAnsi="Calibri" w:cs="Calibri"/>
          <w:color w:val="000000"/>
          <w:sz w:val="27"/>
          <w:szCs w:val="27"/>
        </w:rPr>
      </w:pPr>
    </w:p>
    <w:p w14:paraId="25597D85" w14:textId="77777777" w:rsidR="005640D5" w:rsidRPr="005640D5" w:rsidRDefault="005640D5" w:rsidP="005640D5">
      <w:pPr>
        <w:jc w:val="both"/>
        <w:rPr>
          <w:rFonts w:ascii="Arial" w:hAnsi="Arial" w:cs="Arial"/>
          <w:sz w:val="24"/>
          <w:szCs w:val="24"/>
        </w:rPr>
      </w:pPr>
    </w:p>
    <w:p w14:paraId="55581C94" w14:textId="304D36FA" w:rsidR="00840FFE" w:rsidRDefault="00840FFE" w:rsidP="00840FFE">
      <w:pPr>
        <w:jc w:val="center"/>
        <w:rPr>
          <w:rFonts w:ascii="Arial" w:hAnsi="Arial" w:cs="Arial"/>
          <w:b/>
          <w:bCs/>
          <w:sz w:val="32"/>
          <w:szCs w:val="32"/>
        </w:rPr>
      </w:pPr>
    </w:p>
    <w:p w14:paraId="1D42ED2A" w14:textId="77777777" w:rsidR="00840FFE" w:rsidRPr="00840FFE" w:rsidRDefault="00840FFE" w:rsidP="00840FFE">
      <w:pPr>
        <w:jc w:val="both"/>
        <w:rPr>
          <w:rFonts w:ascii="Arial" w:hAnsi="Arial" w:cs="Arial"/>
          <w:sz w:val="24"/>
          <w:szCs w:val="24"/>
        </w:rPr>
      </w:pPr>
    </w:p>
    <w:sectPr w:rsidR="00840FFE" w:rsidRPr="00840F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90B69"/>
    <w:multiLevelType w:val="hybridMultilevel"/>
    <w:tmpl w:val="CEF06B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2120099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FFE"/>
    <w:rsid w:val="00056423"/>
    <w:rsid w:val="00095BCE"/>
    <w:rsid w:val="000F0C5F"/>
    <w:rsid w:val="00145D1A"/>
    <w:rsid w:val="001A4B9F"/>
    <w:rsid w:val="00337EE1"/>
    <w:rsid w:val="003A1E57"/>
    <w:rsid w:val="003A50F4"/>
    <w:rsid w:val="004312C8"/>
    <w:rsid w:val="004C7823"/>
    <w:rsid w:val="005640D5"/>
    <w:rsid w:val="005F28B9"/>
    <w:rsid w:val="00603220"/>
    <w:rsid w:val="006F6DD4"/>
    <w:rsid w:val="00777572"/>
    <w:rsid w:val="00840FFE"/>
    <w:rsid w:val="00A0557F"/>
    <w:rsid w:val="00A5487C"/>
    <w:rsid w:val="00AC2C85"/>
    <w:rsid w:val="00AC361C"/>
    <w:rsid w:val="00AD6285"/>
    <w:rsid w:val="00B21EA3"/>
    <w:rsid w:val="00BF066F"/>
    <w:rsid w:val="00C566F8"/>
    <w:rsid w:val="00C84B1B"/>
    <w:rsid w:val="00CD6351"/>
    <w:rsid w:val="00CD6DE9"/>
    <w:rsid w:val="00DD6E0A"/>
    <w:rsid w:val="00DF17AE"/>
    <w:rsid w:val="00E51A1C"/>
    <w:rsid w:val="00EF06A0"/>
    <w:rsid w:val="00EF7D87"/>
    <w:rsid w:val="00F15025"/>
    <w:rsid w:val="00F470C1"/>
    <w:rsid w:val="00F6626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0E3EF"/>
  <w15:chartTrackingRefBased/>
  <w15:docId w15:val="{0992C87A-7DD6-4474-A404-DC726FFCC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40D5"/>
    <w:rPr>
      <w:color w:val="0563C1" w:themeColor="hyperlink"/>
      <w:u w:val="single"/>
    </w:rPr>
  </w:style>
  <w:style w:type="character" w:styleId="UnresolvedMention">
    <w:name w:val="Unresolved Mention"/>
    <w:basedOn w:val="DefaultParagraphFont"/>
    <w:uiPriority w:val="99"/>
    <w:semiHidden/>
    <w:unhideWhenUsed/>
    <w:rsid w:val="005640D5"/>
    <w:rPr>
      <w:color w:val="605E5C"/>
      <w:shd w:val="clear" w:color="auto" w:fill="E1DFDD"/>
    </w:rPr>
  </w:style>
  <w:style w:type="paragraph" w:styleId="NormalWeb">
    <w:name w:val="Normal (Web)"/>
    <w:basedOn w:val="Normal"/>
    <w:uiPriority w:val="99"/>
    <w:semiHidden/>
    <w:unhideWhenUsed/>
    <w:rsid w:val="005640D5"/>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ListParagraph">
    <w:name w:val="List Paragraph"/>
    <w:basedOn w:val="Normal"/>
    <w:uiPriority w:val="34"/>
    <w:qFormat/>
    <w:rsid w:val="00AD62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53018">
      <w:bodyDiv w:val="1"/>
      <w:marLeft w:val="0"/>
      <w:marRight w:val="0"/>
      <w:marTop w:val="0"/>
      <w:marBottom w:val="0"/>
      <w:divBdr>
        <w:top w:val="none" w:sz="0" w:space="0" w:color="auto"/>
        <w:left w:val="none" w:sz="0" w:space="0" w:color="auto"/>
        <w:bottom w:val="none" w:sz="0" w:space="0" w:color="auto"/>
        <w:right w:val="none" w:sz="0" w:space="0" w:color="auto"/>
      </w:divBdr>
    </w:div>
    <w:div w:id="216741566">
      <w:bodyDiv w:val="1"/>
      <w:marLeft w:val="0"/>
      <w:marRight w:val="0"/>
      <w:marTop w:val="0"/>
      <w:marBottom w:val="0"/>
      <w:divBdr>
        <w:top w:val="none" w:sz="0" w:space="0" w:color="auto"/>
        <w:left w:val="none" w:sz="0" w:space="0" w:color="auto"/>
        <w:bottom w:val="none" w:sz="0" w:space="0" w:color="auto"/>
        <w:right w:val="none" w:sz="0" w:space="0" w:color="auto"/>
      </w:divBdr>
    </w:div>
    <w:div w:id="404258749">
      <w:bodyDiv w:val="1"/>
      <w:marLeft w:val="0"/>
      <w:marRight w:val="0"/>
      <w:marTop w:val="0"/>
      <w:marBottom w:val="0"/>
      <w:divBdr>
        <w:top w:val="none" w:sz="0" w:space="0" w:color="auto"/>
        <w:left w:val="none" w:sz="0" w:space="0" w:color="auto"/>
        <w:bottom w:val="none" w:sz="0" w:space="0" w:color="auto"/>
        <w:right w:val="none" w:sz="0" w:space="0" w:color="auto"/>
      </w:divBdr>
    </w:div>
    <w:div w:id="556934140">
      <w:bodyDiv w:val="1"/>
      <w:marLeft w:val="0"/>
      <w:marRight w:val="0"/>
      <w:marTop w:val="0"/>
      <w:marBottom w:val="0"/>
      <w:divBdr>
        <w:top w:val="none" w:sz="0" w:space="0" w:color="auto"/>
        <w:left w:val="none" w:sz="0" w:space="0" w:color="auto"/>
        <w:bottom w:val="none" w:sz="0" w:space="0" w:color="auto"/>
        <w:right w:val="none" w:sz="0" w:space="0" w:color="auto"/>
      </w:divBdr>
    </w:div>
    <w:div w:id="791821958">
      <w:bodyDiv w:val="1"/>
      <w:marLeft w:val="0"/>
      <w:marRight w:val="0"/>
      <w:marTop w:val="0"/>
      <w:marBottom w:val="0"/>
      <w:divBdr>
        <w:top w:val="none" w:sz="0" w:space="0" w:color="auto"/>
        <w:left w:val="none" w:sz="0" w:space="0" w:color="auto"/>
        <w:bottom w:val="none" w:sz="0" w:space="0" w:color="auto"/>
        <w:right w:val="none" w:sz="0" w:space="0" w:color="auto"/>
      </w:divBdr>
    </w:div>
    <w:div w:id="1122923733">
      <w:bodyDiv w:val="1"/>
      <w:marLeft w:val="0"/>
      <w:marRight w:val="0"/>
      <w:marTop w:val="0"/>
      <w:marBottom w:val="0"/>
      <w:divBdr>
        <w:top w:val="none" w:sz="0" w:space="0" w:color="auto"/>
        <w:left w:val="none" w:sz="0" w:space="0" w:color="auto"/>
        <w:bottom w:val="none" w:sz="0" w:space="0" w:color="auto"/>
        <w:right w:val="none" w:sz="0" w:space="0" w:color="auto"/>
      </w:divBdr>
    </w:div>
    <w:div w:id="1275819395">
      <w:bodyDiv w:val="1"/>
      <w:marLeft w:val="0"/>
      <w:marRight w:val="0"/>
      <w:marTop w:val="0"/>
      <w:marBottom w:val="0"/>
      <w:divBdr>
        <w:top w:val="none" w:sz="0" w:space="0" w:color="auto"/>
        <w:left w:val="none" w:sz="0" w:space="0" w:color="auto"/>
        <w:bottom w:val="none" w:sz="0" w:space="0" w:color="auto"/>
        <w:right w:val="none" w:sz="0" w:space="0" w:color="auto"/>
      </w:divBdr>
    </w:div>
    <w:div w:id="1611820855">
      <w:bodyDiv w:val="1"/>
      <w:marLeft w:val="0"/>
      <w:marRight w:val="0"/>
      <w:marTop w:val="0"/>
      <w:marBottom w:val="0"/>
      <w:divBdr>
        <w:top w:val="none" w:sz="0" w:space="0" w:color="auto"/>
        <w:left w:val="none" w:sz="0" w:space="0" w:color="auto"/>
        <w:bottom w:val="none" w:sz="0" w:space="0" w:color="auto"/>
        <w:right w:val="none" w:sz="0" w:space="0" w:color="auto"/>
      </w:divBdr>
    </w:div>
    <w:div w:id="1763530186">
      <w:bodyDiv w:val="1"/>
      <w:marLeft w:val="0"/>
      <w:marRight w:val="0"/>
      <w:marTop w:val="0"/>
      <w:marBottom w:val="0"/>
      <w:divBdr>
        <w:top w:val="none" w:sz="0" w:space="0" w:color="auto"/>
        <w:left w:val="none" w:sz="0" w:space="0" w:color="auto"/>
        <w:bottom w:val="none" w:sz="0" w:space="0" w:color="auto"/>
        <w:right w:val="none" w:sz="0" w:space="0" w:color="auto"/>
      </w:divBdr>
    </w:div>
    <w:div w:id="1813864951">
      <w:bodyDiv w:val="1"/>
      <w:marLeft w:val="0"/>
      <w:marRight w:val="0"/>
      <w:marTop w:val="0"/>
      <w:marBottom w:val="0"/>
      <w:divBdr>
        <w:top w:val="none" w:sz="0" w:space="0" w:color="auto"/>
        <w:left w:val="none" w:sz="0" w:space="0" w:color="auto"/>
        <w:bottom w:val="none" w:sz="0" w:space="0" w:color="auto"/>
        <w:right w:val="none" w:sz="0" w:space="0" w:color="auto"/>
      </w:divBdr>
    </w:div>
    <w:div w:id="185506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employment-studies.co.uk/system/files/resources/files/op11.pdf"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greatplacetowork.com/images/reports/2018-GPTW-Profile-Series-_Hilton_Hospitality_For_All.pdf" TargetMode="External" /><Relationship Id="rId5" Type="http://schemas.openxmlformats.org/officeDocument/2006/relationships/hyperlink" Target="https://www.valamis.com/hub/employee-engagement" TargetMode="Externa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2298</Words>
  <Characters>13102</Characters>
  <Application>Microsoft Office Word</Application>
  <DocSecurity>0</DocSecurity>
  <Lines>109</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Lacatus</dc:creator>
  <cp:keywords/>
  <dc:description/>
  <cp:lastModifiedBy>447508473953</cp:lastModifiedBy>
  <cp:revision>2</cp:revision>
  <dcterms:created xsi:type="dcterms:W3CDTF">2022-10-25T19:40:00Z</dcterms:created>
  <dcterms:modified xsi:type="dcterms:W3CDTF">2022-10-25T19:40:00Z</dcterms:modified>
</cp:coreProperties>
</file>