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443A21" w14:textId="77777777" w:rsidR="003D15D7" w:rsidRDefault="003D15D7" w:rsidP="00453AD6"/>
    <w:p w14:paraId="7076E924" w14:textId="77777777" w:rsidR="003D15D7" w:rsidRDefault="003D15D7" w:rsidP="003D15D7">
      <w:pPr>
        <w:spacing w:line="360" w:lineRule="auto"/>
        <w:jc w:val="center"/>
        <w:rPr>
          <w:rFonts w:ascii="Times New Roman" w:hAnsi="Times New Roman" w:cs="Times New Roman"/>
          <w:b/>
          <w:sz w:val="32"/>
          <w:szCs w:val="32"/>
        </w:rPr>
      </w:pPr>
    </w:p>
    <w:p w14:paraId="1CDAEC29" w14:textId="77777777" w:rsidR="003D15D7" w:rsidRDefault="003D15D7" w:rsidP="003D15D7">
      <w:pPr>
        <w:spacing w:line="360" w:lineRule="auto"/>
        <w:jc w:val="center"/>
        <w:rPr>
          <w:rFonts w:ascii="Times New Roman" w:hAnsi="Times New Roman" w:cs="Times New Roman"/>
          <w:b/>
          <w:sz w:val="32"/>
          <w:szCs w:val="32"/>
        </w:rPr>
      </w:pPr>
    </w:p>
    <w:p w14:paraId="15A2B1E5" w14:textId="77777777" w:rsidR="003D15D7" w:rsidRDefault="003D15D7" w:rsidP="003D15D7">
      <w:pPr>
        <w:spacing w:line="360" w:lineRule="auto"/>
        <w:jc w:val="center"/>
        <w:rPr>
          <w:rFonts w:ascii="Times New Roman" w:hAnsi="Times New Roman" w:cs="Times New Roman"/>
          <w:b/>
          <w:sz w:val="32"/>
          <w:szCs w:val="32"/>
        </w:rPr>
      </w:pPr>
    </w:p>
    <w:p w14:paraId="1D8F5F3B" w14:textId="77777777" w:rsidR="003D15D7" w:rsidRDefault="003D15D7" w:rsidP="003D15D7">
      <w:pPr>
        <w:spacing w:line="360" w:lineRule="auto"/>
        <w:jc w:val="center"/>
        <w:rPr>
          <w:rFonts w:ascii="Times New Roman" w:hAnsi="Times New Roman" w:cs="Times New Roman"/>
          <w:b/>
          <w:sz w:val="32"/>
          <w:szCs w:val="32"/>
        </w:rPr>
      </w:pPr>
    </w:p>
    <w:p w14:paraId="20452763" w14:textId="77777777" w:rsidR="003D15D7" w:rsidRDefault="003D15D7" w:rsidP="003D15D7">
      <w:pPr>
        <w:spacing w:line="360" w:lineRule="auto"/>
        <w:jc w:val="center"/>
        <w:rPr>
          <w:rFonts w:ascii="Times New Roman" w:hAnsi="Times New Roman" w:cs="Times New Roman"/>
          <w:b/>
          <w:sz w:val="32"/>
          <w:szCs w:val="32"/>
        </w:rPr>
      </w:pPr>
    </w:p>
    <w:p w14:paraId="1804C959" w14:textId="77777777" w:rsidR="003D15D7" w:rsidRDefault="003D15D7" w:rsidP="003D15D7">
      <w:pPr>
        <w:spacing w:line="360" w:lineRule="auto"/>
        <w:jc w:val="center"/>
        <w:rPr>
          <w:rFonts w:ascii="Times New Roman" w:hAnsi="Times New Roman" w:cs="Times New Roman"/>
          <w:b/>
          <w:sz w:val="32"/>
          <w:szCs w:val="32"/>
        </w:rPr>
      </w:pPr>
    </w:p>
    <w:p w14:paraId="0AAD20A5" w14:textId="77777777" w:rsidR="003D15D7" w:rsidRDefault="003D15D7" w:rsidP="003D15D7">
      <w:pPr>
        <w:spacing w:line="360" w:lineRule="auto"/>
        <w:jc w:val="center"/>
        <w:rPr>
          <w:rFonts w:ascii="Times New Roman" w:hAnsi="Times New Roman" w:cs="Times New Roman"/>
          <w:b/>
          <w:sz w:val="32"/>
          <w:szCs w:val="32"/>
        </w:rPr>
      </w:pPr>
    </w:p>
    <w:p w14:paraId="2ECA0E18" w14:textId="153DDAFC" w:rsidR="003D15D7" w:rsidRPr="003D15D7" w:rsidRDefault="00453AD6" w:rsidP="003D15D7">
      <w:pPr>
        <w:spacing w:line="360" w:lineRule="auto"/>
        <w:jc w:val="center"/>
        <w:rPr>
          <w:rFonts w:ascii="Times New Roman" w:hAnsi="Times New Roman" w:cs="Times New Roman"/>
          <w:b/>
          <w:sz w:val="32"/>
          <w:szCs w:val="32"/>
        </w:rPr>
      </w:pPr>
      <w:r>
        <w:rPr>
          <w:rFonts w:ascii="Times New Roman" w:hAnsi="Times New Roman" w:cs="Times New Roman"/>
          <w:b/>
          <w:sz w:val="32"/>
          <w:szCs w:val="32"/>
        </w:rPr>
        <w:t xml:space="preserve">EU </w:t>
      </w:r>
      <w:r w:rsidR="003D15D7" w:rsidRPr="003D15D7">
        <w:rPr>
          <w:rFonts w:ascii="Times New Roman" w:hAnsi="Times New Roman" w:cs="Times New Roman"/>
          <w:b/>
          <w:sz w:val="32"/>
          <w:szCs w:val="32"/>
        </w:rPr>
        <w:t>ASSIGNMENT</w:t>
      </w:r>
      <w:r w:rsidR="003D15D7" w:rsidRPr="003D15D7">
        <w:rPr>
          <w:rFonts w:ascii="Times New Roman" w:hAnsi="Times New Roman" w:cs="Times New Roman"/>
          <w:b/>
          <w:sz w:val="32"/>
          <w:szCs w:val="32"/>
        </w:rPr>
        <w:br w:type="page"/>
      </w:r>
    </w:p>
    <w:p w14:paraId="188B7262" w14:textId="77777777" w:rsidR="004F6F04" w:rsidRPr="003D15D7" w:rsidRDefault="005E48CB" w:rsidP="003D15D7">
      <w:pPr>
        <w:pStyle w:val="Heading1"/>
      </w:pPr>
      <w:r>
        <w:lastRenderedPageBreak/>
        <w:t>Democratic</w:t>
      </w:r>
      <w:r w:rsidR="004F6F04" w:rsidRPr="003D15D7">
        <w:t xml:space="preserve"> deficit</w:t>
      </w:r>
    </w:p>
    <w:p w14:paraId="38AFCDE7" w14:textId="3A3C82E1" w:rsidR="00E23936" w:rsidRPr="003D15D7" w:rsidRDefault="004E2C50" w:rsidP="004E2C50">
      <w:pPr>
        <w:spacing w:line="360" w:lineRule="auto"/>
        <w:jc w:val="both"/>
        <w:rPr>
          <w:rFonts w:ascii="Times New Roman" w:hAnsi="Times New Roman" w:cs="Times New Roman"/>
          <w:sz w:val="24"/>
          <w:szCs w:val="24"/>
        </w:rPr>
      </w:pPr>
      <w:r w:rsidRPr="00B45B89">
        <w:rPr>
          <w:rFonts w:ascii="Times New Roman" w:hAnsi="Times New Roman" w:cs="Times New Roman"/>
          <w:sz w:val="24"/>
          <w:szCs w:val="24"/>
        </w:rPr>
        <w:t>Democracy deficit arises when apparently democratic organisations or institutions (especially legislatures) fall short of satisfying the norms of democracies in their activities or operations where representational and connected parliamentary integrity is commonly addressed. It has been suggested that the UN Legislative Council may be used to remedy a lack of democracy in the U</w:t>
      </w:r>
      <w:r w:rsidR="0044084F">
        <w:rPr>
          <w:rFonts w:ascii="Times New Roman" w:hAnsi="Times New Roman" w:cs="Times New Roman"/>
          <w:sz w:val="24"/>
          <w:szCs w:val="24"/>
        </w:rPr>
        <w:t>N</w:t>
      </w:r>
      <w:r w:rsidRPr="00B45B89">
        <w:rPr>
          <w:rFonts w:ascii="Times New Roman" w:hAnsi="Times New Roman" w:cs="Times New Roman"/>
          <w:sz w:val="24"/>
          <w:szCs w:val="24"/>
        </w:rPr>
        <w:t xml:space="preserve"> System</w:t>
      </w:r>
      <w:r w:rsidR="0044084F">
        <w:rPr>
          <w:rFonts w:ascii="Times New Roman" w:hAnsi="Times New Roman" w:cs="Times New Roman"/>
          <w:sz w:val="24"/>
          <w:szCs w:val="24"/>
        </w:rPr>
        <w:t xml:space="preserve"> (Campbell &amp; Wiles 1975)</w:t>
      </w:r>
      <w:r w:rsidRPr="00B45B89">
        <w:rPr>
          <w:rFonts w:ascii="Times New Roman" w:hAnsi="Times New Roman" w:cs="Times New Roman"/>
          <w:sz w:val="24"/>
          <w:szCs w:val="24"/>
        </w:rPr>
        <w:t xml:space="preserve">. In certain academic circles, confirmation of EU treaties through multiple constitutional changes, such as those conducted in Ireland for such "Nice and Lisbon treaties", has been linked to a lack of democratic participation in the process. </w:t>
      </w:r>
      <w:r w:rsidR="00E23936" w:rsidRPr="003D15D7">
        <w:rPr>
          <w:rFonts w:ascii="Times New Roman" w:hAnsi="Times New Roman" w:cs="Times New Roman"/>
          <w:sz w:val="24"/>
          <w:szCs w:val="24"/>
        </w:rPr>
        <w:t>Political structures and processes that falls short of the concept of democracy in terms of their degree of openness and transparency.</w:t>
      </w:r>
    </w:p>
    <w:p w14:paraId="4B7AE884" w14:textId="1750594B" w:rsidR="008F5E33" w:rsidRPr="003D15D7" w:rsidRDefault="00E23936" w:rsidP="003D15D7">
      <w:pPr>
        <w:spacing w:line="360" w:lineRule="auto"/>
        <w:jc w:val="both"/>
        <w:rPr>
          <w:rFonts w:ascii="Times New Roman" w:hAnsi="Times New Roman" w:cs="Times New Roman"/>
          <w:sz w:val="24"/>
          <w:szCs w:val="24"/>
        </w:rPr>
      </w:pPr>
      <w:r w:rsidRPr="003D15D7">
        <w:rPr>
          <w:rFonts w:ascii="Times New Roman" w:hAnsi="Times New Roman" w:cs="Times New Roman"/>
          <w:sz w:val="24"/>
          <w:szCs w:val="24"/>
        </w:rPr>
        <w:t xml:space="preserve">Lack of democratic systems or their backwardness may be described by the term "democratic deficit" but it can also refer to the diverse ways where these organizations may fail to operate adequately in their current form (e.g., lacking the transparency, any type of decision making, inadequate involvement of the citizens in shaping the policies etc). Procedural characteristics, like as participation and decision-making systems, are used to assess the amount of democratic deficit in a certain </w:t>
      </w:r>
      <w:proofErr w:type="gramStart"/>
      <w:r w:rsidRPr="003D15D7">
        <w:rPr>
          <w:rFonts w:ascii="Times New Roman" w:hAnsi="Times New Roman" w:cs="Times New Roman"/>
          <w:sz w:val="24"/>
          <w:szCs w:val="24"/>
        </w:rPr>
        <w:t>country</w:t>
      </w:r>
      <w:r w:rsidR="0044084F">
        <w:rPr>
          <w:rFonts w:ascii="Times New Roman" w:hAnsi="Times New Roman" w:cs="Times New Roman"/>
          <w:sz w:val="24"/>
          <w:szCs w:val="24"/>
        </w:rPr>
        <w:t>(</w:t>
      </w:r>
      <w:proofErr w:type="spellStart"/>
      <w:proofErr w:type="gramEnd"/>
      <w:r w:rsidR="0044084F">
        <w:rPr>
          <w:rFonts w:ascii="Times New Roman" w:hAnsi="Times New Roman" w:cs="Times New Roman"/>
          <w:sz w:val="24"/>
          <w:szCs w:val="24"/>
        </w:rPr>
        <w:t>Sloam</w:t>
      </w:r>
      <w:proofErr w:type="spellEnd"/>
      <w:r w:rsidR="0044084F">
        <w:rPr>
          <w:rFonts w:ascii="Times New Roman" w:hAnsi="Times New Roman" w:cs="Times New Roman"/>
          <w:sz w:val="24"/>
          <w:szCs w:val="24"/>
        </w:rPr>
        <w:t xml:space="preserve"> 2007)</w:t>
      </w:r>
      <w:r w:rsidRPr="003D15D7">
        <w:rPr>
          <w:rFonts w:ascii="Times New Roman" w:hAnsi="Times New Roman" w:cs="Times New Roman"/>
          <w:sz w:val="24"/>
          <w:szCs w:val="24"/>
        </w:rPr>
        <w:t>. Because of this, the term "democratic deficit" incorporates the inefficiencies in the transfer of influence between people and government</w:t>
      </w:r>
      <w:r w:rsidR="006E68CB" w:rsidRPr="003D15D7">
        <w:rPr>
          <w:rFonts w:ascii="Times New Roman" w:hAnsi="Times New Roman" w:cs="Times New Roman"/>
          <w:sz w:val="24"/>
          <w:szCs w:val="24"/>
        </w:rPr>
        <w:t xml:space="preserve"> (</w:t>
      </w:r>
      <w:r w:rsidR="006E68CB" w:rsidRPr="003D15D7">
        <w:rPr>
          <w:rFonts w:ascii="Times New Roman" w:hAnsi="Times New Roman" w:cs="Times New Roman"/>
          <w:color w:val="222222"/>
          <w:sz w:val="24"/>
          <w:szCs w:val="24"/>
          <w:shd w:val="clear" w:color="auto" w:fill="FFFFFF"/>
        </w:rPr>
        <w:t xml:space="preserve">Montiel-Rojas </w:t>
      </w:r>
      <w:r w:rsidR="006E68CB" w:rsidRPr="003D15D7">
        <w:rPr>
          <w:rFonts w:ascii="Times New Roman" w:hAnsi="Times New Roman" w:cs="Times New Roman"/>
          <w:i/>
          <w:color w:val="222222"/>
          <w:sz w:val="24"/>
          <w:szCs w:val="24"/>
          <w:shd w:val="clear" w:color="auto" w:fill="FFFFFF"/>
        </w:rPr>
        <w:t>et al.</w:t>
      </w:r>
      <w:r w:rsidR="006E68CB" w:rsidRPr="003D15D7">
        <w:rPr>
          <w:rFonts w:ascii="Times New Roman" w:hAnsi="Times New Roman" w:cs="Times New Roman"/>
          <w:color w:val="222222"/>
          <w:sz w:val="24"/>
          <w:szCs w:val="24"/>
          <w:shd w:val="clear" w:color="auto" w:fill="FFFFFF"/>
        </w:rPr>
        <w:t>2020</w:t>
      </w:r>
      <w:r w:rsidR="006E68CB" w:rsidRPr="003D15D7">
        <w:rPr>
          <w:rFonts w:ascii="Times New Roman" w:hAnsi="Times New Roman" w:cs="Times New Roman"/>
          <w:sz w:val="24"/>
          <w:szCs w:val="24"/>
        </w:rPr>
        <w:t>)</w:t>
      </w:r>
      <w:r w:rsidRPr="003D15D7">
        <w:rPr>
          <w:rFonts w:ascii="Times New Roman" w:hAnsi="Times New Roman" w:cs="Times New Roman"/>
          <w:sz w:val="24"/>
          <w:szCs w:val="24"/>
        </w:rPr>
        <w:t>. As a result, it is directly linked to the question of democratic legitimacy.</w:t>
      </w:r>
    </w:p>
    <w:p w14:paraId="4536E260" w14:textId="77777777" w:rsidR="008A6E73" w:rsidRPr="003D15D7" w:rsidRDefault="008A6E73" w:rsidP="003D15D7">
      <w:pPr>
        <w:spacing w:line="360" w:lineRule="auto"/>
        <w:jc w:val="both"/>
        <w:rPr>
          <w:rFonts w:ascii="Times New Roman" w:hAnsi="Times New Roman" w:cs="Times New Roman"/>
          <w:sz w:val="24"/>
          <w:szCs w:val="24"/>
        </w:rPr>
      </w:pPr>
      <w:r w:rsidRPr="003D15D7">
        <w:rPr>
          <w:rFonts w:ascii="Times New Roman" w:hAnsi="Times New Roman" w:cs="Times New Roman"/>
          <w:sz w:val="24"/>
          <w:szCs w:val="24"/>
        </w:rPr>
        <w:t>Articles 10 of the TEU are that discuss about democratic system in EU are summarized below:</w:t>
      </w:r>
    </w:p>
    <w:p w14:paraId="65974F38" w14:textId="77777777" w:rsidR="008A6E73" w:rsidRPr="003D15D7" w:rsidRDefault="008A6E73" w:rsidP="003D15D7">
      <w:pPr>
        <w:pStyle w:val="ListParagraph"/>
        <w:numPr>
          <w:ilvl w:val="0"/>
          <w:numId w:val="2"/>
        </w:numPr>
        <w:spacing w:line="360" w:lineRule="auto"/>
        <w:jc w:val="both"/>
        <w:rPr>
          <w:rFonts w:ascii="Times New Roman" w:hAnsi="Times New Roman" w:cs="Times New Roman"/>
          <w:sz w:val="24"/>
          <w:szCs w:val="24"/>
        </w:rPr>
      </w:pPr>
      <w:r w:rsidRPr="003D15D7">
        <w:rPr>
          <w:rFonts w:ascii="Times New Roman" w:hAnsi="Times New Roman" w:cs="Times New Roman"/>
          <w:sz w:val="24"/>
          <w:szCs w:val="24"/>
        </w:rPr>
        <w:t>Representative democracy system will be the foundation on which the whole Union is built.</w:t>
      </w:r>
    </w:p>
    <w:p w14:paraId="78C70915" w14:textId="77777777" w:rsidR="008A6E73" w:rsidRPr="003D15D7" w:rsidRDefault="008A6E73" w:rsidP="003D15D7">
      <w:pPr>
        <w:pStyle w:val="ListParagraph"/>
        <w:numPr>
          <w:ilvl w:val="0"/>
          <w:numId w:val="2"/>
        </w:numPr>
        <w:spacing w:line="360" w:lineRule="auto"/>
        <w:jc w:val="both"/>
        <w:rPr>
          <w:rFonts w:ascii="Times New Roman" w:hAnsi="Times New Roman" w:cs="Times New Roman"/>
          <w:sz w:val="24"/>
          <w:szCs w:val="24"/>
        </w:rPr>
      </w:pPr>
      <w:r w:rsidRPr="003D15D7">
        <w:rPr>
          <w:rFonts w:ascii="Times New Roman" w:hAnsi="Times New Roman" w:cs="Times New Roman"/>
          <w:sz w:val="24"/>
          <w:szCs w:val="24"/>
        </w:rPr>
        <w:t>The Parliament of EU represents the interests of the whole "European Union".</w:t>
      </w:r>
    </w:p>
    <w:p w14:paraId="06B4607F" w14:textId="77777777" w:rsidR="008A6E73" w:rsidRPr="003D15D7" w:rsidRDefault="008A6E73" w:rsidP="003D15D7">
      <w:pPr>
        <w:pStyle w:val="ListParagraph"/>
        <w:numPr>
          <w:ilvl w:val="0"/>
          <w:numId w:val="2"/>
        </w:numPr>
        <w:spacing w:line="360" w:lineRule="auto"/>
        <w:jc w:val="both"/>
        <w:rPr>
          <w:rFonts w:ascii="Times New Roman" w:hAnsi="Times New Roman" w:cs="Times New Roman"/>
          <w:sz w:val="24"/>
          <w:szCs w:val="24"/>
        </w:rPr>
      </w:pPr>
      <w:r w:rsidRPr="003D15D7">
        <w:rPr>
          <w:rFonts w:ascii="Times New Roman" w:hAnsi="Times New Roman" w:cs="Times New Roman"/>
          <w:sz w:val="24"/>
          <w:szCs w:val="24"/>
        </w:rPr>
        <w:t>It is the administrations of each member state that speak for their countries in the "European Council" as well as their legislative bodies, which are both publicly responsible to their voters.</w:t>
      </w:r>
    </w:p>
    <w:p w14:paraId="50E690F9" w14:textId="77777777" w:rsidR="008A6E73" w:rsidRPr="003D15D7" w:rsidRDefault="008A6E73" w:rsidP="003D15D7">
      <w:pPr>
        <w:pStyle w:val="ListParagraph"/>
        <w:numPr>
          <w:ilvl w:val="0"/>
          <w:numId w:val="2"/>
        </w:numPr>
        <w:spacing w:line="360" w:lineRule="auto"/>
        <w:jc w:val="both"/>
        <w:rPr>
          <w:rFonts w:ascii="Times New Roman" w:hAnsi="Times New Roman" w:cs="Times New Roman"/>
          <w:sz w:val="24"/>
          <w:szCs w:val="24"/>
        </w:rPr>
      </w:pPr>
      <w:r w:rsidRPr="003D15D7">
        <w:rPr>
          <w:rFonts w:ascii="Times New Roman" w:hAnsi="Times New Roman" w:cs="Times New Roman"/>
          <w:sz w:val="24"/>
          <w:szCs w:val="24"/>
        </w:rPr>
        <w:t>The Union's democratic process should be easily accessible to the public. With as much transparency as feasible, decisions will be made.</w:t>
      </w:r>
    </w:p>
    <w:p w14:paraId="38547A12" w14:textId="77777777" w:rsidR="008A6E73" w:rsidRPr="003D15D7" w:rsidRDefault="008A6E73" w:rsidP="003D15D7">
      <w:pPr>
        <w:pStyle w:val="ListParagraph"/>
        <w:numPr>
          <w:ilvl w:val="0"/>
          <w:numId w:val="2"/>
        </w:numPr>
        <w:spacing w:line="360" w:lineRule="auto"/>
        <w:jc w:val="both"/>
        <w:rPr>
          <w:rFonts w:ascii="Times New Roman" w:hAnsi="Times New Roman" w:cs="Times New Roman"/>
          <w:sz w:val="24"/>
          <w:szCs w:val="24"/>
        </w:rPr>
      </w:pPr>
      <w:r w:rsidRPr="003D15D7">
        <w:rPr>
          <w:rFonts w:ascii="Times New Roman" w:hAnsi="Times New Roman" w:cs="Times New Roman"/>
          <w:sz w:val="24"/>
          <w:szCs w:val="24"/>
        </w:rPr>
        <w:t>Euro political awareness is formed and people' desires are expressed via European political groups.</w:t>
      </w:r>
    </w:p>
    <w:p w14:paraId="1BDBE7AC" w14:textId="77777777" w:rsidR="003E588C" w:rsidRPr="003D15D7" w:rsidRDefault="003E588C" w:rsidP="003D15D7">
      <w:pPr>
        <w:spacing w:line="360" w:lineRule="auto"/>
        <w:jc w:val="both"/>
        <w:rPr>
          <w:rFonts w:ascii="Times New Roman" w:hAnsi="Times New Roman" w:cs="Times New Roman"/>
          <w:sz w:val="24"/>
          <w:szCs w:val="24"/>
        </w:rPr>
      </w:pPr>
      <w:r w:rsidRPr="003D15D7">
        <w:rPr>
          <w:rFonts w:ascii="Times New Roman" w:hAnsi="Times New Roman" w:cs="Times New Roman"/>
          <w:sz w:val="24"/>
          <w:szCs w:val="24"/>
        </w:rPr>
        <w:t>Articles 11 of the TEU are that discuss about democratic system in EU are summarized below:</w:t>
      </w:r>
    </w:p>
    <w:p w14:paraId="5E5370DF" w14:textId="77777777" w:rsidR="003E588C" w:rsidRPr="003D15D7" w:rsidRDefault="003E588C" w:rsidP="003D15D7">
      <w:pPr>
        <w:pStyle w:val="ListParagraph"/>
        <w:numPr>
          <w:ilvl w:val="0"/>
          <w:numId w:val="3"/>
        </w:numPr>
        <w:spacing w:line="360" w:lineRule="auto"/>
        <w:jc w:val="both"/>
        <w:rPr>
          <w:rFonts w:ascii="Times New Roman" w:hAnsi="Times New Roman" w:cs="Times New Roman"/>
          <w:sz w:val="24"/>
          <w:szCs w:val="24"/>
        </w:rPr>
      </w:pPr>
      <w:r w:rsidRPr="003D15D7">
        <w:rPr>
          <w:rFonts w:ascii="Times New Roman" w:hAnsi="Times New Roman" w:cs="Times New Roman"/>
          <w:sz w:val="24"/>
          <w:szCs w:val="24"/>
        </w:rPr>
        <w:lastRenderedPageBreak/>
        <w:t>It is the responsibility of the entities to provide people and organisations with suitable ways of expressing and exchanging their opinions on all aspects of Union activities.</w:t>
      </w:r>
    </w:p>
    <w:p w14:paraId="421E0E7A" w14:textId="77777777" w:rsidR="003E588C" w:rsidRPr="003D15D7" w:rsidRDefault="003E588C" w:rsidP="003D15D7">
      <w:pPr>
        <w:pStyle w:val="ListParagraph"/>
        <w:numPr>
          <w:ilvl w:val="0"/>
          <w:numId w:val="3"/>
        </w:numPr>
        <w:spacing w:line="360" w:lineRule="auto"/>
        <w:jc w:val="both"/>
        <w:rPr>
          <w:rFonts w:ascii="Times New Roman" w:hAnsi="Times New Roman" w:cs="Times New Roman"/>
          <w:sz w:val="24"/>
          <w:szCs w:val="24"/>
        </w:rPr>
      </w:pPr>
      <w:r w:rsidRPr="003D15D7">
        <w:rPr>
          <w:rFonts w:ascii="Times New Roman" w:hAnsi="Times New Roman" w:cs="Times New Roman"/>
          <w:sz w:val="24"/>
          <w:szCs w:val="24"/>
        </w:rPr>
        <w:t>Institutions and society organizations should have open, comprehensive, and frequent communication.</w:t>
      </w:r>
    </w:p>
    <w:p w14:paraId="161E34A4" w14:textId="77777777" w:rsidR="003E588C" w:rsidRPr="003D15D7" w:rsidRDefault="003E588C" w:rsidP="003D15D7">
      <w:pPr>
        <w:pStyle w:val="ListParagraph"/>
        <w:numPr>
          <w:ilvl w:val="0"/>
          <w:numId w:val="3"/>
        </w:numPr>
        <w:spacing w:line="360" w:lineRule="auto"/>
        <w:jc w:val="both"/>
        <w:rPr>
          <w:rFonts w:ascii="Times New Roman" w:hAnsi="Times New Roman" w:cs="Times New Roman"/>
          <w:sz w:val="24"/>
          <w:szCs w:val="24"/>
        </w:rPr>
      </w:pPr>
      <w:r w:rsidRPr="003D15D7">
        <w:rPr>
          <w:rFonts w:ascii="Times New Roman" w:hAnsi="Times New Roman" w:cs="Times New Roman"/>
          <w:sz w:val="24"/>
          <w:szCs w:val="24"/>
        </w:rPr>
        <w:t>A wide range of stakeholders will be consulted by the "European Commission" in order to guarantee that Union measures are coherent</w:t>
      </w:r>
      <w:r w:rsidR="006E68CB" w:rsidRPr="003D15D7">
        <w:rPr>
          <w:rFonts w:ascii="Times New Roman" w:hAnsi="Times New Roman" w:cs="Times New Roman"/>
          <w:sz w:val="24"/>
          <w:szCs w:val="24"/>
        </w:rPr>
        <w:t xml:space="preserve"> (</w:t>
      </w:r>
      <w:r w:rsidR="006E68CB" w:rsidRPr="003D15D7">
        <w:rPr>
          <w:rFonts w:ascii="Times New Roman" w:hAnsi="Times New Roman" w:cs="Times New Roman"/>
          <w:color w:val="222222"/>
          <w:sz w:val="24"/>
          <w:szCs w:val="24"/>
          <w:shd w:val="clear" w:color="auto" w:fill="FFFFFF"/>
        </w:rPr>
        <w:t xml:space="preserve">Bogaert </w:t>
      </w:r>
      <w:r w:rsidR="006E68CB" w:rsidRPr="003D15D7">
        <w:rPr>
          <w:rFonts w:ascii="Times New Roman" w:hAnsi="Times New Roman" w:cs="Times New Roman"/>
          <w:i/>
          <w:color w:val="222222"/>
          <w:sz w:val="24"/>
          <w:szCs w:val="24"/>
          <w:shd w:val="clear" w:color="auto" w:fill="FFFFFF"/>
        </w:rPr>
        <w:t>et al.</w:t>
      </w:r>
      <w:r w:rsidR="006E68CB" w:rsidRPr="003D15D7">
        <w:rPr>
          <w:rFonts w:ascii="Times New Roman" w:hAnsi="Times New Roman" w:cs="Times New Roman"/>
          <w:color w:val="222222"/>
          <w:sz w:val="24"/>
          <w:szCs w:val="24"/>
          <w:shd w:val="clear" w:color="auto" w:fill="FFFFFF"/>
        </w:rPr>
        <w:t>2018</w:t>
      </w:r>
      <w:r w:rsidR="006E68CB" w:rsidRPr="003D15D7">
        <w:rPr>
          <w:rFonts w:ascii="Times New Roman" w:hAnsi="Times New Roman" w:cs="Times New Roman"/>
          <w:sz w:val="24"/>
          <w:szCs w:val="24"/>
        </w:rPr>
        <w:t>)</w:t>
      </w:r>
      <w:r w:rsidRPr="003D15D7">
        <w:rPr>
          <w:rFonts w:ascii="Times New Roman" w:hAnsi="Times New Roman" w:cs="Times New Roman"/>
          <w:sz w:val="24"/>
          <w:szCs w:val="24"/>
        </w:rPr>
        <w:t>.</w:t>
      </w:r>
    </w:p>
    <w:p w14:paraId="1FD634A6" w14:textId="77777777" w:rsidR="003E588C" w:rsidRPr="003D15D7" w:rsidRDefault="003E588C" w:rsidP="003D15D7">
      <w:pPr>
        <w:pStyle w:val="ListParagraph"/>
        <w:numPr>
          <w:ilvl w:val="0"/>
          <w:numId w:val="3"/>
        </w:numPr>
        <w:spacing w:line="360" w:lineRule="auto"/>
        <w:jc w:val="both"/>
        <w:rPr>
          <w:rFonts w:ascii="Times New Roman" w:hAnsi="Times New Roman" w:cs="Times New Roman"/>
          <w:sz w:val="24"/>
          <w:szCs w:val="24"/>
        </w:rPr>
      </w:pPr>
      <w:r w:rsidRPr="003D15D7">
        <w:rPr>
          <w:rFonts w:ascii="Times New Roman" w:hAnsi="Times New Roman" w:cs="Times New Roman"/>
          <w:sz w:val="24"/>
          <w:szCs w:val="24"/>
        </w:rPr>
        <w:t>Citizens of a substantial Member State, numbering at least 1 million, can take initiative to request that perhaps the Eu Commission, acting within the scope of its powers, accept any wonderful opportunity with regard to issues in which EU citizens believe that a law basically of the Confederation is necessary for the implementation of the Treaties.</w:t>
      </w:r>
    </w:p>
    <w:p w14:paraId="77AE7933" w14:textId="77777777" w:rsidR="004F6F04" w:rsidRPr="003D15D7" w:rsidRDefault="00F02759" w:rsidP="003D15D7">
      <w:pPr>
        <w:spacing w:line="360" w:lineRule="auto"/>
        <w:jc w:val="both"/>
        <w:rPr>
          <w:rFonts w:ascii="Times New Roman" w:hAnsi="Times New Roman" w:cs="Times New Roman"/>
          <w:sz w:val="24"/>
          <w:szCs w:val="24"/>
        </w:rPr>
      </w:pPr>
      <w:r w:rsidRPr="003D15D7">
        <w:rPr>
          <w:rFonts w:ascii="Times New Roman" w:hAnsi="Times New Roman" w:cs="Times New Roman"/>
          <w:sz w:val="24"/>
          <w:szCs w:val="24"/>
        </w:rPr>
        <w:t>Articles 12 of the TEU are that discuss about democratic system in EU are summarized below:</w:t>
      </w:r>
    </w:p>
    <w:p w14:paraId="7B6CA2DE" w14:textId="77777777" w:rsidR="00F02759" w:rsidRPr="003D15D7" w:rsidRDefault="00F02759" w:rsidP="003D15D7">
      <w:pPr>
        <w:spacing w:line="360" w:lineRule="auto"/>
        <w:jc w:val="both"/>
        <w:rPr>
          <w:rFonts w:ascii="Times New Roman" w:hAnsi="Times New Roman" w:cs="Times New Roman"/>
          <w:sz w:val="24"/>
          <w:szCs w:val="24"/>
        </w:rPr>
      </w:pPr>
      <w:r w:rsidRPr="003D15D7">
        <w:rPr>
          <w:rFonts w:ascii="Times New Roman" w:hAnsi="Times New Roman" w:cs="Times New Roman"/>
          <w:sz w:val="24"/>
          <w:szCs w:val="24"/>
        </w:rPr>
        <w:t>National parliaments play an important role in the Union's smooth operation in following measures:</w:t>
      </w:r>
    </w:p>
    <w:p w14:paraId="11B11CE8" w14:textId="77777777" w:rsidR="00F02759" w:rsidRPr="003D15D7" w:rsidRDefault="00F02759" w:rsidP="003D15D7">
      <w:pPr>
        <w:pStyle w:val="ListParagraph"/>
        <w:numPr>
          <w:ilvl w:val="0"/>
          <w:numId w:val="4"/>
        </w:numPr>
        <w:spacing w:line="360" w:lineRule="auto"/>
        <w:jc w:val="both"/>
        <w:rPr>
          <w:rFonts w:ascii="Times New Roman" w:hAnsi="Times New Roman" w:cs="Times New Roman"/>
          <w:sz w:val="24"/>
          <w:szCs w:val="24"/>
        </w:rPr>
      </w:pPr>
      <w:r w:rsidRPr="003D15D7">
        <w:rPr>
          <w:rFonts w:ascii="Times New Roman" w:hAnsi="Times New Roman" w:cs="Times New Roman"/>
          <w:sz w:val="24"/>
          <w:szCs w:val="24"/>
        </w:rPr>
        <w:t>By receiving information from the Union's institutions and draught legislative measures, as required by the Treaty on the Responsibility of Parliaments inside the "European Union", have been sent to them;</w:t>
      </w:r>
    </w:p>
    <w:p w14:paraId="52AEA64E" w14:textId="77777777" w:rsidR="00F02759" w:rsidRPr="003D15D7" w:rsidRDefault="00F02759" w:rsidP="003D15D7">
      <w:pPr>
        <w:pStyle w:val="ListParagraph"/>
        <w:numPr>
          <w:ilvl w:val="0"/>
          <w:numId w:val="4"/>
        </w:numPr>
        <w:spacing w:line="360" w:lineRule="auto"/>
        <w:jc w:val="both"/>
        <w:rPr>
          <w:rFonts w:ascii="Times New Roman" w:hAnsi="Times New Roman" w:cs="Times New Roman"/>
          <w:sz w:val="24"/>
          <w:szCs w:val="24"/>
        </w:rPr>
      </w:pPr>
      <w:r w:rsidRPr="003D15D7">
        <w:rPr>
          <w:rFonts w:ascii="Times New Roman" w:hAnsi="Times New Roman" w:cs="Times New Roman"/>
          <w:sz w:val="24"/>
          <w:szCs w:val="24"/>
        </w:rPr>
        <w:t>To ensure the concept of decentralization is maintained in line with the processes laid forth in the Agreement on the implementation of the theory of decentralization as well as proportionality</w:t>
      </w:r>
    </w:p>
    <w:p w14:paraId="112ED6C1" w14:textId="77777777" w:rsidR="00F02759" w:rsidRPr="003D15D7" w:rsidRDefault="004F6F04" w:rsidP="003D15D7">
      <w:pPr>
        <w:pStyle w:val="ListParagraph"/>
        <w:numPr>
          <w:ilvl w:val="0"/>
          <w:numId w:val="4"/>
        </w:numPr>
        <w:spacing w:line="360" w:lineRule="auto"/>
        <w:jc w:val="both"/>
        <w:rPr>
          <w:rFonts w:ascii="Times New Roman" w:hAnsi="Times New Roman" w:cs="Times New Roman"/>
          <w:sz w:val="24"/>
          <w:szCs w:val="24"/>
        </w:rPr>
      </w:pPr>
      <w:r w:rsidRPr="003D15D7">
        <w:rPr>
          <w:rFonts w:ascii="Times New Roman" w:hAnsi="Times New Roman" w:cs="Times New Roman"/>
          <w:sz w:val="24"/>
          <w:szCs w:val="24"/>
        </w:rPr>
        <w:t>T</w:t>
      </w:r>
      <w:r w:rsidR="00F02759" w:rsidRPr="003D15D7">
        <w:rPr>
          <w:rFonts w:ascii="Times New Roman" w:hAnsi="Times New Roman" w:cs="Times New Roman"/>
          <w:sz w:val="24"/>
          <w:szCs w:val="24"/>
        </w:rPr>
        <w:t>he assessment processes for EU policies in this area, according to Article number 70 of such Convention On The "Functioning Of The EU", and by involvement in the political surveillance of Europol's operations and assessment of Eurojust's actions in compliance with that of Article number 88 as well as 85 of such an Agreement</w:t>
      </w:r>
      <w:r w:rsidR="006E68CB" w:rsidRPr="003D15D7">
        <w:rPr>
          <w:rFonts w:ascii="Times New Roman" w:hAnsi="Times New Roman" w:cs="Times New Roman"/>
          <w:sz w:val="24"/>
          <w:szCs w:val="24"/>
        </w:rPr>
        <w:t xml:space="preserve"> (</w:t>
      </w:r>
      <w:proofErr w:type="spellStart"/>
      <w:r w:rsidR="006E68CB" w:rsidRPr="003D15D7">
        <w:rPr>
          <w:rFonts w:ascii="Times New Roman" w:hAnsi="Times New Roman" w:cs="Times New Roman"/>
          <w:color w:val="222222"/>
          <w:sz w:val="24"/>
          <w:szCs w:val="24"/>
          <w:shd w:val="clear" w:color="auto" w:fill="FFFFFF"/>
        </w:rPr>
        <w:t>Kassim</w:t>
      </w:r>
      <w:proofErr w:type="spellEnd"/>
      <w:r w:rsidR="006E68CB" w:rsidRPr="003D15D7">
        <w:rPr>
          <w:rFonts w:ascii="Times New Roman" w:hAnsi="Times New Roman" w:cs="Times New Roman"/>
          <w:color w:val="222222"/>
          <w:sz w:val="24"/>
          <w:szCs w:val="24"/>
          <w:shd w:val="clear" w:color="auto" w:fill="FFFFFF"/>
        </w:rPr>
        <w:t xml:space="preserve"> and </w:t>
      </w:r>
      <w:proofErr w:type="spellStart"/>
      <w:r w:rsidR="006E68CB" w:rsidRPr="003D15D7">
        <w:rPr>
          <w:rFonts w:ascii="Times New Roman" w:hAnsi="Times New Roman" w:cs="Times New Roman"/>
          <w:color w:val="222222"/>
          <w:sz w:val="24"/>
          <w:szCs w:val="24"/>
          <w:shd w:val="clear" w:color="auto" w:fill="FFFFFF"/>
        </w:rPr>
        <w:t>Tholoniat</w:t>
      </w:r>
      <w:proofErr w:type="spellEnd"/>
      <w:r w:rsidR="006E68CB" w:rsidRPr="003D15D7">
        <w:rPr>
          <w:rFonts w:ascii="Times New Roman" w:hAnsi="Times New Roman" w:cs="Times New Roman"/>
          <w:color w:val="222222"/>
          <w:sz w:val="24"/>
          <w:szCs w:val="24"/>
          <w:shd w:val="clear" w:color="auto" w:fill="FFFFFF"/>
        </w:rPr>
        <w:t>, 2021</w:t>
      </w:r>
      <w:r w:rsidR="006E68CB" w:rsidRPr="003D15D7">
        <w:rPr>
          <w:rFonts w:ascii="Times New Roman" w:hAnsi="Times New Roman" w:cs="Times New Roman"/>
          <w:sz w:val="24"/>
          <w:szCs w:val="24"/>
        </w:rPr>
        <w:t>)</w:t>
      </w:r>
      <w:r w:rsidR="00F02759" w:rsidRPr="003D15D7">
        <w:rPr>
          <w:rFonts w:ascii="Times New Roman" w:hAnsi="Times New Roman" w:cs="Times New Roman"/>
          <w:sz w:val="24"/>
          <w:szCs w:val="24"/>
        </w:rPr>
        <w:t>;</w:t>
      </w:r>
    </w:p>
    <w:p w14:paraId="4CF16A7A" w14:textId="77777777" w:rsidR="00F02759" w:rsidRPr="003D15D7" w:rsidRDefault="00F02759" w:rsidP="003D15D7">
      <w:pPr>
        <w:pStyle w:val="ListParagraph"/>
        <w:numPr>
          <w:ilvl w:val="0"/>
          <w:numId w:val="4"/>
        </w:numPr>
        <w:spacing w:line="360" w:lineRule="auto"/>
        <w:jc w:val="both"/>
        <w:rPr>
          <w:rFonts w:ascii="Times New Roman" w:hAnsi="Times New Roman" w:cs="Times New Roman"/>
          <w:sz w:val="24"/>
          <w:szCs w:val="24"/>
        </w:rPr>
      </w:pPr>
      <w:r w:rsidRPr="003D15D7">
        <w:rPr>
          <w:rFonts w:ascii="Times New Roman" w:hAnsi="Times New Roman" w:cs="Times New Roman"/>
          <w:sz w:val="24"/>
          <w:szCs w:val="24"/>
        </w:rPr>
        <w:t>Under Various provisions of this Treaty, by participating in treaty revision processes</w:t>
      </w:r>
    </w:p>
    <w:p w14:paraId="648EA548" w14:textId="77777777" w:rsidR="00F02759" w:rsidRPr="003D15D7" w:rsidRDefault="00F02759" w:rsidP="003D15D7">
      <w:pPr>
        <w:pStyle w:val="ListParagraph"/>
        <w:numPr>
          <w:ilvl w:val="0"/>
          <w:numId w:val="4"/>
        </w:numPr>
        <w:spacing w:line="360" w:lineRule="auto"/>
        <w:jc w:val="both"/>
        <w:rPr>
          <w:rFonts w:ascii="Times New Roman" w:hAnsi="Times New Roman" w:cs="Times New Roman"/>
          <w:sz w:val="24"/>
          <w:szCs w:val="24"/>
        </w:rPr>
      </w:pPr>
      <w:r w:rsidRPr="003D15D7">
        <w:rPr>
          <w:rFonts w:ascii="Times New Roman" w:hAnsi="Times New Roman" w:cs="Times New Roman"/>
          <w:sz w:val="24"/>
          <w:szCs w:val="24"/>
        </w:rPr>
        <w:t>According to this Agreement's provisions relating to notification of Union membership requests,</w:t>
      </w:r>
    </w:p>
    <w:p w14:paraId="4F67A8A0" w14:textId="77777777" w:rsidR="003E588C" w:rsidRPr="003D15D7" w:rsidRDefault="00F02759" w:rsidP="003D15D7">
      <w:pPr>
        <w:pStyle w:val="ListParagraph"/>
        <w:numPr>
          <w:ilvl w:val="0"/>
          <w:numId w:val="1"/>
        </w:numPr>
        <w:spacing w:line="360" w:lineRule="auto"/>
        <w:jc w:val="both"/>
        <w:rPr>
          <w:rFonts w:ascii="Times New Roman" w:hAnsi="Times New Roman" w:cs="Times New Roman"/>
          <w:sz w:val="24"/>
          <w:szCs w:val="24"/>
        </w:rPr>
      </w:pPr>
      <w:r w:rsidRPr="003D15D7">
        <w:rPr>
          <w:rFonts w:ascii="Times New Roman" w:hAnsi="Times New Roman" w:cs="Times New Roman"/>
          <w:sz w:val="24"/>
          <w:szCs w:val="24"/>
        </w:rPr>
        <w:t>According to convention on country parliament's participation in the EU, by establishing inter-parliamentary collaboration among legislative bodies and the European Parliament.</w:t>
      </w:r>
    </w:p>
    <w:p w14:paraId="56BCEA6D" w14:textId="77777777" w:rsidR="001E46AA" w:rsidRPr="003D15D7" w:rsidRDefault="003E588C" w:rsidP="003D15D7">
      <w:pPr>
        <w:spacing w:line="360" w:lineRule="auto"/>
        <w:jc w:val="both"/>
        <w:rPr>
          <w:rFonts w:ascii="Times New Roman" w:hAnsi="Times New Roman" w:cs="Times New Roman"/>
          <w:sz w:val="24"/>
          <w:szCs w:val="24"/>
        </w:rPr>
      </w:pPr>
      <w:r w:rsidRPr="003D15D7">
        <w:rPr>
          <w:rFonts w:ascii="Times New Roman" w:hAnsi="Times New Roman" w:cs="Times New Roman"/>
          <w:sz w:val="24"/>
          <w:szCs w:val="24"/>
        </w:rPr>
        <w:lastRenderedPageBreak/>
        <w:t xml:space="preserve">In accordance with Article number 24 of the Treaties on the "Functioning of the European Union", the processes and criteria for </w:t>
      </w:r>
      <w:r w:rsidR="004F6F04" w:rsidRPr="003D15D7">
        <w:rPr>
          <w:rFonts w:ascii="Times New Roman" w:hAnsi="Times New Roman" w:cs="Times New Roman"/>
          <w:sz w:val="24"/>
          <w:szCs w:val="24"/>
        </w:rPr>
        <w:t>this</w:t>
      </w:r>
      <w:r w:rsidRPr="003D15D7">
        <w:rPr>
          <w:rFonts w:ascii="Times New Roman" w:hAnsi="Times New Roman" w:cs="Times New Roman"/>
          <w:sz w:val="24"/>
          <w:szCs w:val="24"/>
        </w:rPr>
        <w:t xml:space="preserve"> people's proposal should be defined.</w:t>
      </w:r>
    </w:p>
    <w:p w14:paraId="287A2B72" w14:textId="77777777" w:rsidR="004F6F04" w:rsidRPr="003D15D7" w:rsidRDefault="004F6F04" w:rsidP="003D15D7">
      <w:pPr>
        <w:pStyle w:val="Heading1"/>
      </w:pPr>
      <w:r w:rsidRPr="003D15D7">
        <w:t>Commission of EU</w:t>
      </w:r>
    </w:p>
    <w:p w14:paraId="71E171B4" w14:textId="1AAF3248" w:rsidR="00C87AC0" w:rsidRPr="003D15D7" w:rsidRDefault="00C87AC0" w:rsidP="003D15D7">
      <w:pPr>
        <w:spacing w:line="360" w:lineRule="auto"/>
        <w:jc w:val="both"/>
        <w:rPr>
          <w:rFonts w:ascii="Times New Roman" w:hAnsi="Times New Roman" w:cs="Times New Roman"/>
          <w:sz w:val="24"/>
          <w:szCs w:val="24"/>
        </w:rPr>
      </w:pPr>
      <w:r w:rsidRPr="003D15D7">
        <w:rPr>
          <w:rFonts w:ascii="Times New Roman" w:hAnsi="Times New Roman" w:cs="Times New Roman"/>
          <w:sz w:val="24"/>
          <w:szCs w:val="24"/>
        </w:rPr>
        <w:t>The EU's executive branch is administered by the Commissioners of the "European Union" (EC). Thus, the EU's policies and initiatives are managed by the European Un</w:t>
      </w:r>
      <w:r w:rsidR="004F6F04" w:rsidRPr="003D15D7">
        <w:rPr>
          <w:rFonts w:ascii="Times New Roman" w:hAnsi="Times New Roman" w:cs="Times New Roman"/>
          <w:sz w:val="24"/>
          <w:szCs w:val="24"/>
        </w:rPr>
        <w:t xml:space="preserve">ion Commission (EU Commission). </w:t>
      </w:r>
      <w:r w:rsidRPr="003D15D7">
        <w:rPr>
          <w:rFonts w:ascii="Times New Roman" w:hAnsi="Times New Roman" w:cs="Times New Roman"/>
          <w:sz w:val="24"/>
          <w:szCs w:val="24"/>
        </w:rPr>
        <w:t>Its headquarters are in Brussels and this is maintained by 27 members, 1 of each of the Eu states. Applications for "European Commissioners" are submitted by each state party, but it must be confirmed by that of Eu Parliament. The "European Committee's" Chairman should be approved by the European Legislature</w:t>
      </w:r>
      <w:r w:rsidR="0044084F">
        <w:rPr>
          <w:rFonts w:ascii="Times New Roman" w:hAnsi="Times New Roman" w:cs="Times New Roman"/>
          <w:sz w:val="24"/>
          <w:szCs w:val="24"/>
        </w:rPr>
        <w:t xml:space="preserve"> (Davidson &amp; </w:t>
      </w:r>
      <w:proofErr w:type="spellStart"/>
      <w:r w:rsidR="0044084F">
        <w:rPr>
          <w:rFonts w:ascii="Times New Roman" w:hAnsi="Times New Roman" w:cs="Times New Roman"/>
          <w:sz w:val="24"/>
          <w:szCs w:val="24"/>
        </w:rPr>
        <w:t>Elstub</w:t>
      </w:r>
      <w:proofErr w:type="spellEnd"/>
      <w:r w:rsidR="0044084F">
        <w:rPr>
          <w:rFonts w:ascii="Times New Roman" w:hAnsi="Times New Roman" w:cs="Times New Roman"/>
          <w:sz w:val="24"/>
          <w:szCs w:val="24"/>
        </w:rPr>
        <w:t xml:space="preserve"> 2014)</w:t>
      </w:r>
      <w:r w:rsidRPr="003D15D7">
        <w:rPr>
          <w:rFonts w:ascii="Times New Roman" w:hAnsi="Times New Roman" w:cs="Times New Roman"/>
          <w:sz w:val="24"/>
          <w:szCs w:val="24"/>
        </w:rPr>
        <w:t xml:space="preserve">. The Council </w:t>
      </w:r>
      <w:r w:rsidR="006E68CB" w:rsidRPr="003D15D7">
        <w:rPr>
          <w:rFonts w:ascii="Times New Roman" w:hAnsi="Times New Roman" w:cs="Times New Roman"/>
          <w:sz w:val="24"/>
          <w:szCs w:val="24"/>
        </w:rPr>
        <w:t>of</w:t>
      </w:r>
      <w:r w:rsidRPr="003D15D7">
        <w:rPr>
          <w:rFonts w:ascii="Times New Roman" w:hAnsi="Times New Roman" w:cs="Times New Roman"/>
          <w:sz w:val="24"/>
          <w:szCs w:val="24"/>
        </w:rPr>
        <w:t xml:space="preserve"> the EU nominates a head of the Commissioners following each European vote. There should be a 2/3 majority in parliament for this nomination to be accepted.</w:t>
      </w:r>
    </w:p>
    <w:p w14:paraId="70D3F68E" w14:textId="77777777" w:rsidR="00C87AC0" w:rsidRPr="003D15D7" w:rsidRDefault="00C87AC0" w:rsidP="003D15D7">
      <w:pPr>
        <w:spacing w:line="360" w:lineRule="auto"/>
        <w:jc w:val="both"/>
        <w:rPr>
          <w:rFonts w:ascii="Times New Roman" w:hAnsi="Times New Roman" w:cs="Times New Roman"/>
          <w:sz w:val="24"/>
          <w:szCs w:val="24"/>
        </w:rPr>
      </w:pPr>
      <w:r w:rsidRPr="003D15D7">
        <w:rPr>
          <w:rFonts w:ascii="Times New Roman" w:hAnsi="Times New Roman" w:cs="Times New Roman"/>
          <w:sz w:val="24"/>
          <w:szCs w:val="24"/>
        </w:rPr>
        <w:t>The Parliament then nominates the EU commissioners, who must also be authorised. Each State gov</w:t>
      </w:r>
      <w:r w:rsidR="004F6F04" w:rsidRPr="003D15D7">
        <w:rPr>
          <w:rFonts w:ascii="Times New Roman" w:hAnsi="Times New Roman" w:cs="Times New Roman"/>
          <w:sz w:val="24"/>
          <w:szCs w:val="24"/>
        </w:rPr>
        <w:t>ernmen</w:t>
      </w:r>
      <w:r w:rsidRPr="003D15D7">
        <w:rPr>
          <w:rFonts w:ascii="Times New Roman" w:hAnsi="Times New Roman" w:cs="Times New Roman"/>
          <w:sz w:val="24"/>
          <w:szCs w:val="24"/>
        </w:rPr>
        <w:t>t appoints a member. Individual commissioners are scrutinised by the European Legislature's relevant party before House votes. Each commission is assigned a specific are</w:t>
      </w:r>
      <w:r w:rsidR="006E68CB" w:rsidRPr="003D15D7">
        <w:rPr>
          <w:rFonts w:ascii="Times New Roman" w:hAnsi="Times New Roman" w:cs="Times New Roman"/>
          <w:sz w:val="24"/>
          <w:szCs w:val="24"/>
        </w:rPr>
        <w:t xml:space="preserve">a of duty known as a "portfolio". </w:t>
      </w:r>
      <w:r w:rsidRPr="003D15D7">
        <w:rPr>
          <w:rFonts w:ascii="Times New Roman" w:hAnsi="Times New Roman" w:cs="Times New Roman"/>
          <w:sz w:val="24"/>
          <w:szCs w:val="24"/>
        </w:rPr>
        <w:t xml:space="preserve">The </w:t>
      </w:r>
      <w:r w:rsidR="004F6F04" w:rsidRPr="003D15D7">
        <w:rPr>
          <w:rFonts w:ascii="Times New Roman" w:hAnsi="Times New Roman" w:cs="Times New Roman"/>
          <w:sz w:val="24"/>
          <w:szCs w:val="24"/>
        </w:rPr>
        <w:t>President has</w:t>
      </w:r>
      <w:r w:rsidRPr="003D15D7">
        <w:rPr>
          <w:rFonts w:ascii="Times New Roman" w:hAnsi="Times New Roman" w:cs="Times New Roman"/>
          <w:sz w:val="24"/>
          <w:szCs w:val="24"/>
        </w:rPr>
        <w:t xml:space="preserve"> the authority to designate which commissioners will be in charge of particular policy areas or portfolios, and to alter these assignments at any time of the contract of the Council</w:t>
      </w:r>
      <w:r w:rsidR="006E68CB" w:rsidRPr="003D15D7">
        <w:rPr>
          <w:rFonts w:ascii="Times New Roman" w:hAnsi="Times New Roman" w:cs="Times New Roman"/>
          <w:sz w:val="24"/>
          <w:szCs w:val="24"/>
        </w:rPr>
        <w:t xml:space="preserve"> (</w:t>
      </w:r>
      <w:r w:rsidR="006E68CB" w:rsidRPr="003D15D7">
        <w:rPr>
          <w:rFonts w:ascii="Times New Roman" w:hAnsi="Times New Roman" w:cs="Times New Roman"/>
          <w:color w:val="222222"/>
          <w:sz w:val="24"/>
          <w:szCs w:val="24"/>
          <w:shd w:val="clear" w:color="auto" w:fill="FFFFFF"/>
        </w:rPr>
        <w:t>Carbone, 2019</w:t>
      </w:r>
      <w:r w:rsidR="006E68CB" w:rsidRPr="003D15D7">
        <w:rPr>
          <w:rFonts w:ascii="Times New Roman" w:hAnsi="Times New Roman" w:cs="Times New Roman"/>
          <w:sz w:val="24"/>
          <w:szCs w:val="24"/>
        </w:rPr>
        <w:t>)</w:t>
      </w:r>
      <w:r w:rsidRPr="003D15D7">
        <w:rPr>
          <w:rFonts w:ascii="Times New Roman" w:hAnsi="Times New Roman" w:cs="Times New Roman"/>
          <w:sz w:val="24"/>
          <w:szCs w:val="24"/>
        </w:rPr>
        <w:t>. It is up to the EU's commissioner to work for the benefit of the Union. They need not speak for their own country's citizens.</w:t>
      </w:r>
    </w:p>
    <w:p w14:paraId="0EA6A2A5" w14:textId="1CDB72C9" w:rsidR="004F6F04" w:rsidRPr="003D15D7" w:rsidRDefault="00C87AC0" w:rsidP="003D15D7">
      <w:pPr>
        <w:spacing w:line="360" w:lineRule="auto"/>
        <w:jc w:val="both"/>
        <w:rPr>
          <w:rFonts w:ascii="Times New Roman" w:hAnsi="Times New Roman" w:cs="Times New Roman"/>
          <w:sz w:val="24"/>
          <w:szCs w:val="24"/>
        </w:rPr>
      </w:pPr>
      <w:r w:rsidRPr="003D15D7">
        <w:rPr>
          <w:rFonts w:ascii="Times New Roman" w:hAnsi="Times New Roman" w:cs="Times New Roman"/>
          <w:sz w:val="24"/>
          <w:szCs w:val="24"/>
        </w:rPr>
        <w:t>The President, in conjunction with the participating states, picks a group of commissions from th</w:t>
      </w:r>
      <w:r w:rsidR="001C7350" w:rsidRPr="003D15D7">
        <w:rPr>
          <w:rFonts w:ascii="Times New Roman" w:hAnsi="Times New Roman" w:cs="Times New Roman"/>
          <w:sz w:val="24"/>
          <w:szCs w:val="24"/>
        </w:rPr>
        <w:t>e candidates. Afterwards, the EU</w:t>
      </w:r>
      <w:r w:rsidRPr="003D15D7">
        <w:rPr>
          <w:rFonts w:ascii="Times New Roman" w:hAnsi="Times New Roman" w:cs="Times New Roman"/>
          <w:sz w:val="24"/>
          <w:szCs w:val="24"/>
        </w:rPr>
        <w:t xml:space="preserve"> Parliament makes recommendations to interview the candidates and decide on their overall appropriateness. If any members of the group are judged to be unsuitable, the President should either rearrange the group or seek a new nominee from that of the member state, or else the Committee would be voted out of existence altogether</w:t>
      </w:r>
      <w:r w:rsidR="0044084F">
        <w:rPr>
          <w:rFonts w:ascii="Times New Roman" w:hAnsi="Times New Roman" w:cs="Times New Roman"/>
          <w:sz w:val="24"/>
          <w:szCs w:val="24"/>
        </w:rPr>
        <w:t xml:space="preserve"> (Kirton 2015)</w:t>
      </w:r>
      <w:r w:rsidRPr="003D15D7">
        <w:rPr>
          <w:rFonts w:ascii="Times New Roman" w:hAnsi="Times New Roman" w:cs="Times New Roman"/>
          <w:sz w:val="24"/>
          <w:szCs w:val="24"/>
        </w:rPr>
        <w:t>. A settlement is frequently reached, in which the poorest applicants are dismissed but minor concerns are ignored or addressed with by rearranging portfolios, so that the Commission may assume office. In order to become a full member of the EU, a team must be authorized by the EU Parl</w:t>
      </w:r>
      <w:r w:rsidR="001C7350" w:rsidRPr="003D15D7">
        <w:rPr>
          <w:rFonts w:ascii="Times New Roman" w:hAnsi="Times New Roman" w:cs="Times New Roman"/>
          <w:sz w:val="24"/>
          <w:szCs w:val="24"/>
        </w:rPr>
        <w:t>iament (TEU Article</w:t>
      </w:r>
      <w:r w:rsidRPr="003D15D7">
        <w:rPr>
          <w:rFonts w:ascii="Times New Roman" w:hAnsi="Times New Roman" w:cs="Times New Roman"/>
          <w:sz w:val="24"/>
          <w:szCs w:val="24"/>
        </w:rPr>
        <w:t>)</w:t>
      </w:r>
      <w:r w:rsidR="004F6F04" w:rsidRPr="003D15D7">
        <w:rPr>
          <w:rFonts w:ascii="Times New Roman" w:hAnsi="Times New Roman" w:cs="Times New Roman"/>
          <w:sz w:val="24"/>
          <w:szCs w:val="24"/>
        </w:rPr>
        <w:t xml:space="preserve">. </w:t>
      </w:r>
    </w:p>
    <w:p w14:paraId="29BA4D90" w14:textId="77777777" w:rsidR="004F6F04" w:rsidRPr="003D15D7" w:rsidRDefault="004872AD" w:rsidP="003D15D7">
      <w:pPr>
        <w:pStyle w:val="Heading1"/>
      </w:pPr>
      <w:r>
        <w:lastRenderedPageBreak/>
        <w:t>Democratic</w:t>
      </w:r>
      <w:r w:rsidR="004F6F04" w:rsidRPr="003D15D7">
        <w:t xml:space="preserve"> deficit in EU</w:t>
      </w:r>
    </w:p>
    <w:p w14:paraId="6B3E5AF0" w14:textId="77777777" w:rsidR="00D0492C" w:rsidRPr="003D15D7" w:rsidRDefault="00D0492C" w:rsidP="003D15D7">
      <w:pPr>
        <w:spacing w:line="360" w:lineRule="auto"/>
        <w:jc w:val="both"/>
        <w:rPr>
          <w:rFonts w:ascii="Times New Roman" w:hAnsi="Times New Roman" w:cs="Times New Roman"/>
          <w:sz w:val="24"/>
          <w:szCs w:val="24"/>
        </w:rPr>
      </w:pPr>
      <w:r w:rsidRPr="003D15D7">
        <w:rPr>
          <w:rFonts w:ascii="Times New Roman" w:hAnsi="Times New Roman" w:cs="Times New Roman"/>
          <w:sz w:val="24"/>
          <w:szCs w:val="24"/>
        </w:rPr>
        <w:t>According to some who say that EU institutions and its judgement processes lack democracy, the phrase 'democratic deficit' has been used to describe the complexity of the EU's structures and processes. The lack of European affairs appears to be the actual EU democracy deficiency. Citizens in the EU don't believe they have such a meaningful option to influence the direction of political affairs by effectively dismissing a "government" they dislike. Europe's present governance model does not have a 'government' in it. Even while the people is also still overwhelmingly pro-European, they have no idea what kind of political structure t</w:t>
      </w:r>
      <w:r w:rsidR="004F6F04" w:rsidRPr="003D15D7">
        <w:rPr>
          <w:rFonts w:ascii="Times New Roman" w:hAnsi="Times New Roman" w:cs="Times New Roman"/>
          <w:sz w:val="24"/>
          <w:szCs w:val="24"/>
        </w:rPr>
        <w:t xml:space="preserve">hreatens their style of living. </w:t>
      </w:r>
      <w:r w:rsidRPr="003D15D7">
        <w:rPr>
          <w:rFonts w:ascii="Times New Roman" w:hAnsi="Times New Roman" w:cs="Times New Roman"/>
          <w:sz w:val="24"/>
          <w:szCs w:val="24"/>
        </w:rPr>
        <w:t>There is a growing sense of disillusionment towards Europe, as seen by historically low voter participation in Elections, which hit an as usual low of only 43 percentage points in 2009</w:t>
      </w:r>
      <w:r w:rsidR="006E68CB" w:rsidRPr="003D15D7">
        <w:rPr>
          <w:rFonts w:ascii="Times New Roman" w:hAnsi="Times New Roman" w:cs="Times New Roman"/>
          <w:sz w:val="24"/>
          <w:szCs w:val="24"/>
        </w:rPr>
        <w:t xml:space="preserve"> (</w:t>
      </w:r>
      <w:proofErr w:type="spellStart"/>
      <w:r w:rsidR="006E68CB" w:rsidRPr="003D15D7">
        <w:rPr>
          <w:rFonts w:ascii="Times New Roman" w:hAnsi="Times New Roman" w:cs="Times New Roman"/>
          <w:color w:val="222222"/>
          <w:sz w:val="24"/>
          <w:szCs w:val="24"/>
          <w:shd w:val="clear" w:color="auto" w:fill="FFFFFF"/>
        </w:rPr>
        <w:t>Baciu</w:t>
      </w:r>
      <w:proofErr w:type="spellEnd"/>
      <w:r w:rsidR="006E68CB" w:rsidRPr="003D15D7">
        <w:rPr>
          <w:rFonts w:ascii="Times New Roman" w:hAnsi="Times New Roman" w:cs="Times New Roman"/>
          <w:color w:val="222222"/>
          <w:sz w:val="24"/>
          <w:szCs w:val="24"/>
          <w:shd w:val="clear" w:color="auto" w:fill="FFFFFF"/>
        </w:rPr>
        <w:t xml:space="preserve"> and </w:t>
      </w:r>
      <w:proofErr w:type="spellStart"/>
      <w:r w:rsidR="006E68CB" w:rsidRPr="003D15D7">
        <w:rPr>
          <w:rFonts w:ascii="Times New Roman" w:hAnsi="Times New Roman" w:cs="Times New Roman"/>
          <w:color w:val="222222"/>
          <w:sz w:val="24"/>
          <w:szCs w:val="24"/>
          <w:shd w:val="clear" w:color="auto" w:fill="FFFFFF"/>
        </w:rPr>
        <w:t>Iftimoaei</w:t>
      </w:r>
      <w:proofErr w:type="spellEnd"/>
      <w:r w:rsidR="006E68CB" w:rsidRPr="003D15D7">
        <w:rPr>
          <w:rFonts w:ascii="Times New Roman" w:hAnsi="Times New Roman" w:cs="Times New Roman"/>
          <w:color w:val="222222"/>
          <w:sz w:val="24"/>
          <w:szCs w:val="24"/>
          <w:shd w:val="clear" w:color="auto" w:fill="FFFFFF"/>
        </w:rPr>
        <w:t>, 2018</w:t>
      </w:r>
      <w:r w:rsidR="006E68CB" w:rsidRPr="003D15D7">
        <w:rPr>
          <w:rFonts w:ascii="Times New Roman" w:hAnsi="Times New Roman" w:cs="Times New Roman"/>
          <w:sz w:val="24"/>
          <w:szCs w:val="24"/>
        </w:rPr>
        <w:t>)</w:t>
      </w:r>
      <w:r w:rsidRPr="003D15D7">
        <w:rPr>
          <w:rFonts w:ascii="Times New Roman" w:hAnsi="Times New Roman" w:cs="Times New Roman"/>
          <w:sz w:val="24"/>
          <w:szCs w:val="24"/>
        </w:rPr>
        <w:t>. At every step of the “European integration process”</w:t>
      </w:r>
      <w:r w:rsidR="001C7350" w:rsidRPr="003D15D7">
        <w:rPr>
          <w:rFonts w:ascii="Times New Roman" w:hAnsi="Times New Roman" w:cs="Times New Roman"/>
          <w:sz w:val="24"/>
          <w:szCs w:val="24"/>
        </w:rPr>
        <w:t>, the concern</w:t>
      </w:r>
      <w:r w:rsidRPr="003D15D7">
        <w:rPr>
          <w:rFonts w:ascii="Times New Roman" w:hAnsi="Times New Roman" w:cs="Times New Roman"/>
          <w:sz w:val="24"/>
          <w:szCs w:val="24"/>
        </w:rPr>
        <w:t xml:space="preserve"> of </w:t>
      </w:r>
      <w:r w:rsidR="001C7350" w:rsidRPr="003D15D7">
        <w:rPr>
          <w:rFonts w:ascii="Times New Roman" w:hAnsi="Times New Roman" w:cs="Times New Roman"/>
          <w:sz w:val="24"/>
          <w:szCs w:val="24"/>
        </w:rPr>
        <w:t>“</w:t>
      </w:r>
      <w:r w:rsidRPr="003D15D7">
        <w:rPr>
          <w:rFonts w:ascii="Times New Roman" w:hAnsi="Times New Roman" w:cs="Times New Roman"/>
          <w:sz w:val="24"/>
          <w:szCs w:val="24"/>
        </w:rPr>
        <w:t>democratic legitimacy</w:t>
      </w:r>
      <w:r w:rsidR="001C7350" w:rsidRPr="003D15D7">
        <w:rPr>
          <w:rFonts w:ascii="Times New Roman" w:hAnsi="Times New Roman" w:cs="Times New Roman"/>
          <w:sz w:val="24"/>
          <w:szCs w:val="24"/>
        </w:rPr>
        <w:t>”</w:t>
      </w:r>
      <w:r w:rsidRPr="003D15D7">
        <w:rPr>
          <w:rFonts w:ascii="Times New Roman" w:hAnsi="Times New Roman" w:cs="Times New Roman"/>
          <w:sz w:val="24"/>
          <w:szCs w:val="24"/>
        </w:rPr>
        <w:t xml:space="preserve"> has been a major concern. While </w:t>
      </w:r>
      <w:r w:rsidR="001C7350" w:rsidRPr="003D15D7">
        <w:rPr>
          <w:rFonts w:ascii="Times New Roman" w:hAnsi="Times New Roman" w:cs="Times New Roman"/>
          <w:sz w:val="24"/>
          <w:szCs w:val="24"/>
        </w:rPr>
        <w:t>the Amsterdam</w:t>
      </w:r>
      <w:r w:rsidRPr="003D15D7">
        <w:rPr>
          <w:rFonts w:ascii="Times New Roman" w:hAnsi="Times New Roman" w:cs="Times New Roman"/>
          <w:sz w:val="24"/>
          <w:szCs w:val="24"/>
        </w:rPr>
        <w:t>, and Good Treaty multilateral meetings, it was decided to give the Eu Parliament (EP) additional authority and to expand its domains of joint decision-making with both the Councils. Consequently, the EP has gone from a m</w:t>
      </w:r>
      <w:r w:rsidR="004F6F04" w:rsidRPr="003D15D7">
        <w:rPr>
          <w:rFonts w:ascii="Times New Roman" w:hAnsi="Times New Roman" w:cs="Times New Roman"/>
          <w:sz w:val="24"/>
          <w:szCs w:val="24"/>
        </w:rPr>
        <w:t xml:space="preserve">ere advisory body to a founder. </w:t>
      </w:r>
      <w:r w:rsidRPr="003D15D7">
        <w:rPr>
          <w:rFonts w:ascii="Times New Roman" w:hAnsi="Times New Roman" w:cs="Times New Roman"/>
          <w:sz w:val="24"/>
          <w:szCs w:val="24"/>
        </w:rPr>
        <w:t>With the signing o</w:t>
      </w:r>
      <w:r w:rsidR="001C7350" w:rsidRPr="003D15D7">
        <w:rPr>
          <w:rFonts w:ascii="Times New Roman" w:hAnsi="Times New Roman" w:cs="Times New Roman"/>
          <w:sz w:val="24"/>
          <w:szCs w:val="24"/>
        </w:rPr>
        <w:t xml:space="preserve">f the "Treaty Of </w:t>
      </w:r>
      <w:proofErr w:type="spellStart"/>
      <w:r w:rsidR="001C7350" w:rsidRPr="003D15D7">
        <w:rPr>
          <w:rFonts w:ascii="Times New Roman" w:hAnsi="Times New Roman" w:cs="Times New Roman"/>
          <w:sz w:val="24"/>
          <w:szCs w:val="24"/>
        </w:rPr>
        <w:t>lisbon</w:t>
      </w:r>
      <w:proofErr w:type="spellEnd"/>
      <w:r w:rsidR="001C7350" w:rsidRPr="003D15D7">
        <w:rPr>
          <w:rFonts w:ascii="Times New Roman" w:hAnsi="Times New Roman" w:cs="Times New Roman"/>
          <w:sz w:val="24"/>
          <w:szCs w:val="24"/>
        </w:rPr>
        <w:t>", the EU</w:t>
      </w:r>
      <w:r w:rsidRPr="003D15D7">
        <w:rPr>
          <w:rFonts w:ascii="Times New Roman" w:hAnsi="Times New Roman" w:cs="Times New Roman"/>
          <w:sz w:val="24"/>
          <w:szCs w:val="24"/>
        </w:rPr>
        <w:t xml:space="preserve"> Parliament's budgetary, administrative, and regulatory powers have been bolstered to unprecedented levels</w:t>
      </w:r>
      <w:r w:rsidR="006E68CB" w:rsidRPr="003D15D7">
        <w:rPr>
          <w:rFonts w:ascii="Times New Roman" w:hAnsi="Times New Roman" w:cs="Times New Roman"/>
          <w:sz w:val="24"/>
          <w:szCs w:val="24"/>
        </w:rPr>
        <w:t xml:space="preserve"> (</w:t>
      </w:r>
      <w:proofErr w:type="spellStart"/>
      <w:r w:rsidR="006E68CB" w:rsidRPr="003D15D7">
        <w:rPr>
          <w:rFonts w:ascii="Times New Roman" w:hAnsi="Times New Roman" w:cs="Times New Roman"/>
          <w:color w:val="222222"/>
          <w:sz w:val="24"/>
          <w:szCs w:val="24"/>
          <w:shd w:val="clear" w:color="auto" w:fill="FFFFFF"/>
        </w:rPr>
        <w:t>Rauh</w:t>
      </w:r>
      <w:proofErr w:type="spellEnd"/>
      <w:r w:rsidR="006E68CB" w:rsidRPr="003D15D7">
        <w:rPr>
          <w:rFonts w:ascii="Times New Roman" w:hAnsi="Times New Roman" w:cs="Times New Roman"/>
          <w:color w:val="222222"/>
          <w:sz w:val="24"/>
          <w:szCs w:val="24"/>
          <w:shd w:val="clear" w:color="auto" w:fill="FFFFFF"/>
        </w:rPr>
        <w:t>, 2019</w:t>
      </w:r>
      <w:r w:rsidR="006E68CB" w:rsidRPr="003D15D7">
        <w:rPr>
          <w:rFonts w:ascii="Times New Roman" w:hAnsi="Times New Roman" w:cs="Times New Roman"/>
          <w:sz w:val="24"/>
          <w:szCs w:val="24"/>
        </w:rPr>
        <w:t>)</w:t>
      </w:r>
      <w:r w:rsidRPr="003D15D7">
        <w:rPr>
          <w:rFonts w:ascii="Times New Roman" w:hAnsi="Times New Roman" w:cs="Times New Roman"/>
          <w:sz w:val="24"/>
          <w:szCs w:val="24"/>
        </w:rPr>
        <w:t>. The EP now has significant influence over who gets appointed to the Committee and who gets appointed as its chairperson.</w:t>
      </w:r>
    </w:p>
    <w:p w14:paraId="523389EB" w14:textId="77777777" w:rsidR="00D0492C" w:rsidRPr="003D15D7" w:rsidRDefault="00D0492C" w:rsidP="003D15D7">
      <w:pPr>
        <w:spacing w:line="360" w:lineRule="auto"/>
        <w:jc w:val="both"/>
        <w:rPr>
          <w:rFonts w:ascii="Times New Roman" w:hAnsi="Times New Roman" w:cs="Times New Roman"/>
          <w:sz w:val="24"/>
          <w:szCs w:val="24"/>
        </w:rPr>
      </w:pPr>
      <w:r w:rsidRPr="003D15D7">
        <w:rPr>
          <w:rFonts w:ascii="Times New Roman" w:hAnsi="Times New Roman" w:cs="Times New Roman"/>
          <w:sz w:val="24"/>
          <w:szCs w:val="24"/>
        </w:rPr>
        <w:t>It was also acknowledged that democratic society as well as the European authorities needed to work together in order to achieve their common goals. Finally, in order to further educate the public, recordings of several Council meetings hav</w:t>
      </w:r>
      <w:r w:rsidR="001C7350" w:rsidRPr="003D15D7">
        <w:rPr>
          <w:rFonts w:ascii="Times New Roman" w:hAnsi="Times New Roman" w:cs="Times New Roman"/>
          <w:sz w:val="24"/>
          <w:szCs w:val="24"/>
        </w:rPr>
        <w:t>e been made available online</w:t>
      </w:r>
      <w:r w:rsidRPr="003D15D7">
        <w:rPr>
          <w:rFonts w:ascii="Times New Roman" w:hAnsi="Times New Roman" w:cs="Times New Roman"/>
          <w:sz w:val="24"/>
          <w:szCs w:val="24"/>
        </w:rPr>
        <w:t>. The dispute is not just wide-ranging, but it has developed as the Euro government structure has changed. The standard version of a lack of democracy" had firs</w:t>
      </w:r>
      <w:r w:rsidR="006250DC">
        <w:rPr>
          <w:rFonts w:ascii="Times New Roman" w:hAnsi="Times New Roman" w:cs="Times New Roman"/>
          <w:sz w:val="24"/>
          <w:szCs w:val="24"/>
        </w:rPr>
        <w:t xml:space="preserve">t been produced in the 1990s. </w:t>
      </w:r>
      <w:r w:rsidRPr="003D15D7">
        <w:rPr>
          <w:rFonts w:ascii="Times New Roman" w:hAnsi="Times New Roman" w:cs="Times New Roman"/>
          <w:sz w:val="24"/>
          <w:szCs w:val="24"/>
        </w:rPr>
        <w:t>This reinforces the idea that "Eu members" have delegated authority to the EU's supranational structure, and as a result, such authorities are no longer subject to the oversight of national parliaments. Because of the European Legislature's ineffectiveness</w:t>
      </w:r>
      <w:r w:rsidR="004F6F04" w:rsidRPr="003D15D7">
        <w:rPr>
          <w:rFonts w:ascii="Times New Roman" w:hAnsi="Times New Roman" w:cs="Times New Roman"/>
          <w:sz w:val="24"/>
          <w:szCs w:val="24"/>
        </w:rPr>
        <w:t>, the case was made much worse</w:t>
      </w:r>
      <w:r w:rsidR="006E68CB" w:rsidRPr="003D15D7">
        <w:rPr>
          <w:rFonts w:ascii="Times New Roman" w:hAnsi="Times New Roman" w:cs="Times New Roman"/>
          <w:sz w:val="24"/>
          <w:szCs w:val="24"/>
        </w:rPr>
        <w:t xml:space="preserve"> (</w:t>
      </w:r>
      <w:r w:rsidR="006E68CB" w:rsidRPr="003D15D7">
        <w:rPr>
          <w:rFonts w:ascii="Times New Roman" w:hAnsi="Times New Roman" w:cs="Times New Roman"/>
          <w:color w:val="222222"/>
          <w:sz w:val="24"/>
          <w:szCs w:val="24"/>
          <w:shd w:val="clear" w:color="auto" w:fill="FFFFFF"/>
        </w:rPr>
        <w:t xml:space="preserve">Cooley </w:t>
      </w:r>
      <w:r w:rsidR="006E68CB" w:rsidRPr="003D15D7">
        <w:rPr>
          <w:rFonts w:ascii="Times New Roman" w:hAnsi="Times New Roman" w:cs="Times New Roman"/>
          <w:i/>
          <w:color w:val="222222"/>
          <w:sz w:val="24"/>
          <w:szCs w:val="24"/>
          <w:shd w:val="clear" w:color="auto" w:fill="FFFFFF"/>
        </w:rPr>
        <w:t xml:space="preserve">et al </w:t>
      </w:r>
      <w:r w:rsidR="006E68CB" w:rsidRPr="003D15D7">
        <w:rPr>
          <w:rFonts w:ascii="Times New Roman" w:hAnsi="Times New Roman" w:cs="Times New Roman"/>
          <w:color w:val="222222"/>
          <w:sz w:val="24"/>
          <w:szCs w:val="24"/>
          <w:shd w:val="clear" w:color="auto" w:fill="FFFFFF"/>
        </w:rPr>
        <w:t>2019</w:t>
      </w:r>
      <w:r w:rsidR="006E68CB" w:rsidRPr="003D15D7">
        <w:rPr>
          <w:rFonts w:ascii="Times New Roman" w:hAnsi="Times New Roman" w:cs="Times New Roman"/>
          <w:sz w:val="24"/>
          <w:szCs w:val="24"/>
        </w:rPr>
        <w:t>)</w:t>
      </w:r>
      <w:r w:rsidR="004F6F04" w:rsidRPr="003D15D7">
        <w:rPr>
          <w:rFonts w:ascii="Times New Roman" w:hAnsi="Times New Roman" w:cs="Times New Roman"/>
          <w:sz w:val="24"/>
          <w:szCs w:val="24"/>
        </w:rPr>
        <w:t>. T</w:t>
      </w:r>
      <w:r w:rsidRPr="003D15D7">
        <w:rPr>
          <w:rFonts w:ascii="Times New Roman" w:hAnsi="Times New Roman" w:cs="Times New Roman"/>
          <w:sz w:val="24"/>
          <w:szCs w:val="24"/>
        </w:rPr>
        <w:t xml:space="preserve">he EU's parliamentary democracy has still been perceived as lacking on some accounts, for simply referring to both interactive and representative government, even though this no longer represents as an appropriate benchmark of assessment and indication for the liberal democracies of the EU ever since 2000s. This may come as any surprise to some, given the EU's attempts at making the EU more "democratic," particularly after and through the "Maastricht Treaty". For example, the "European Citizenship </w:t>
      </w:r>
      <w:r w:rsidRPr="003D15D7">
        <w:rPr>
          <w:rFonts w:ascii="Times New Roman" w:hAnsi="Times New Roman" w:cs="Times New Roman"/>
          <w:sz w:val="24"/>
          <w:szCs w:val="24"/>
        </w:rPr>
        <w:lastRenderedPageBreak/>
        <w:t>Initiative" (ECI), a new mechanism, was launched, strengthening the capacity of national legislative bodies in EU governance. Thus, the argument on lack of democracy is not simply theoretical but also takes part in the political sphere. Because treaty changes are replicated in this modification</w:t>
      </w:r>
      <w:r w:rsidR="004F6F04" w:rsidRPr="003D15D7">
        <w:rPr>
          <w:rFonts w:ascii="Times New Roman" w:hAnsi="Times New Roman" w:cs="Times New Roman"/>
          <w:sz w:val="24"/>
          <w:szCs w:val="24"/>
        </w:rPr>
        <w:t xml:space="preserve">, it is significant and useful. </w:t>
      </w:r>
      <w:r w:rsidRPr="003D15D7">
        <w:rPr>
          <w:rFonts w:ascii="Times New Roman" w:hAnsi="Times New Roman" w:cs="Times New Roman"/>
          <w:sz w:val="24"/>
          <w:szCs w:val="24"/>
        </w:rPr>
        <w:t xml:space="preserve">At this point, these tools seem to be lacking, at least as far as </w:t>
      </w:r>
      <w:r w:rsidR="006E68CB" w:rsidRPr="003D15D7">
        <w:rPr>
          <w:rFonts w:ascii="Times New Roman" w:hAnsi="Times New Roman" w:cs="Times New Roman"/>
          <w:sz w:val="24"/>
          <w:szCs w:val="24"/>
        </w:rPr>
        <w:t>it is told</w:t>
      </w:r>
      <w:r w:rsidRPr="003D15D7">
        <w:rPr>
          <w:rFonts w:ascii="Times New Roman" w:hAnsi="Times New Roman" w:cs="Times New Roman"/>
          <w:sz w:val="24"/>
          <w:szCs w:val="24"/>
        </w:rPr>
        <w:t>. The managing of expectations is one possible explanation. A lot of "heavy" language seems to be employed. For instan</w:t>
      </w:r>
      <w:r w:rsidR="001C7350" w:rsidRPr="003D15D7">
        <w:rPr>
          <w:rFonts w:ascii="Times New Roman" w:hAnsi="Times New Roman" w:cs="Times New Roman"/>
          <w:sz w:val="24"/>
          <w:szCs w:val="24"/>
        </w:rPr>
        <w:t>ce, the idea that perhaps the EU</w:t>
      </w:r>
      <w:r w:rsidRPr="003D15D7">
        <w:rPr>
          <w:rFonts w:ascii="Times New Roman" w:hAnsi="Times New Roman" w:cs="Times New Roman"/>
          <w:sz w:val="24"/>
          <w:szCs w:val="24"/>
        </w:rPr>
        <w:t xml:space="preserve"> is a democracy with elected representatives is used</w:t>
      </w:r>
      <w:r w:rsidR="006E68CB" w:rsidRPr="003D15D7">
        <w:rPr>
          <w:rFonts w:ascii="Times New Roman" w:hAnsi="Times New Roman" w:cs="Times New Roman"/>
          <w:sz w:val="24"/>
          <w:szCs w:val="24"/>
        </w:rPr>
        <w:t xml:space="preserve"> (</w:t>
      </w:r>
      <w:proofErr w:type="spellStart"/>
      <w:r w:rsidR="006E68CB" w:rsidRPr="003D15D7">
        <w:rPr>
          <w:rFonts w:ascii="Times New Roman" w:hAnsi="Times New Roman" w:cs="Times New Roman"/>
          <w:color w:val="222222"/>
          <w:sz w:val="24"/>
          <w:szCs w:val="24"/>
          <w:shd w:val="clear" w:color="auto" w:fill="FFFFFF"/>
        </w:rPr>
        <w:t>Seabrooke</w:t>
      </w:r>
      <w:proofErr w:type="spellEnd"/>
      <w:r w:rsidR="006E68CB" w:rsidRPr="003D15D7">
        <w:rPr>
          <w:rFonts w:ascii="Times New Roman" w:hAnsi="Times New Roman" w:cs="Times New Roman"/>
          <w:color w:val="222222"/>
          <w:sz w:val="24"/>
          <w:szCs w:val="24"/>
          <w:shd w:val="clear" w:color="auto" w:fill="FFFFFF"/>
        </w:rPr>
        <w:t xml:space="preserve"> </w:t>
      </w:r>
      <w:r w:rsidR="006E68CB" w:rsidRPr="003D15D7">
        <w:rPr>
          <w:rFonts w:ascii="Times New Roman" w:hAnsi="Times New Roman" w:cs="Times New Roman"/>
          <w:i/>
          <w:color w:val="222222"/>
          <w:sz w:val="24"/>
          <w:szCs w:val="24"/>
          <w:shd w:val="clear" w:color="auto" w:fill="FFFFFF"/>
        </w:rPr>
        <w:t>et al.</w:t>
      </w:r>
      <w:r w:rsidR="006E68CB" w:rsidRPr="003D15D7">
        <w:rPr>
          <w:rFonts w:ascii="Times New Roman" w:hAnsi="Times New Roman" w:cs="Times New Roman"/>
          <w:color w:val="222222"/>
          <w:sz w:val="24"/>
          <w:szCs w:val="24"/>
          <w:shd w:val="clear" w:color="auto" w:fill="FFFFFF"/>
        </w:rPr>
        <w:t>2020</w:t>
      </w:r>
      <w:r w:rsidR="006E68CB" w:rsidRPr="003D15D7">
        <w:rPr>
          <w:rFonts w:ascii="Times New Roman" w:hAnsi="Times New Roman" w:cs="Times New Roman"/>
          <w:sz w:val="24"/>
          <w:szCs w:val="24"/>
        </w:rPr>
        <w:t>)</w:t>
      </w:r>
      <w:r w:rsidRPr="003D15D7">
        <w:rPr>
          <w:rFonts w:ascii="Times New Roman" w:hAnsi="Times New Roman" w:cs="Times New Roman"/>
          <w:sz w:val="24"/>
          <w:szCs w:val="24"/>
        </w:rPr>
        <w:t>. Fragmented reform also results in a variety of representational models. It is possible that the democratic deficit will be worsened, even if some of these goals have been met (for instance by extending access to individual parties in the judgement process). "At the local and state level, illiberal democracy has emerged as part of a "traditional" discussion on the "democratic deficit".</w:t>
      </w:r>
    </w:p>
    <w:p w14:paraId="1E3EE965" w14:textId="77777777" w:rsidR="004F7B92" w:rsidRPr="003D15D7" w:rsidRDefault="00D0492C" w:rsidP="003D15D7">
      <w:pPr>
        <w:spacing w:line="360" w:lineRule="auto"/>
        <w:jc w:val="both"/>
        <w:rPr>
          <w:rFonts w:ascii="Times New Roman" w:hAnsi="Times New Roman" w:cs="Times New Roman"/>
          <w:sz w:val="24"/>
          <w:szCs w:val="24"/>
        </w:rPr>
      </w:pPr>
      <w:r w:rsidRPr="003D15D7">
        <w:rPr>
          <w:rFonts w:ascii="Times New Roman" w:hAnsi="Times New Roman" w:cs="Times New Roman"/>
          <w:sz w:val="24"/>
          <w:szCs w:val="24"/>
        </w:rPr>
        <w:t>In order for the EU to become really democratic, new models of citizen, participation, and judgement must be developed. This was predicted over two decades ago. However, the application of far-reaching and prescriptive conceptions and concepts is destined to fall lacking in a constantly changing, highly varied organization, such as the EU.</w:t>
      </w:r>
      <w:r w:rsidR="004F6F04" w:rsidRPr="003D15D7">
        <w:rPr>
          <w:rFonts w:ascii="Times New Roman" w:hAnsi="Times New Roman" w:cs="Times New Roman"/>
          <w:sz w:val="24"/>
          <w:szCs w:val="24"/>
        </w:rPr>
        <w:t xml:space="preserve"> </w:t>
      </w:r>
      <w:r w:rsidR="004F7B92" w:rsidRPr="003D15D7">
        <w:rPr>
          <w:rFonts w:ascii="Times New Roman" w:hAnsi="Times New Roman" w:cs="Times New Roman"/>
          <w:sz w:val="24"/>
          <w:szCs w:val="24"/>
        </w:rPr>
        <w:t>Because of this, future rounds of substantial Treaty revisions anticipated that strengthening the EP's powers would address any democratic shortfalls that may have arisen. Assuming that the democratic mandate was produced by the EU transferring competences away from government legislative bodies, a democratically accountable Eu Parliament may remedy the shortfall</w:t>
      </w:r>
      <w:r w:rsidR="006E68CB" w:rsidRPr="003D15D7">
        <w:rPr>
          <w:rFonts w:ascii="Times New Roman" w:hAnsi="Times New Roman" w:cs="Times New Roman"/>
          <w:sz w:val="24"/>
          <w:szCs w:val="24"/>
        </w:rPr>
        <w:t xml:space="preserve"> (</w:t>
      </w:r>
      <w:proofErr w:type="spellStart"/>
      <w:r w:rsidR="006E68CB" w:rsidRPr="003D15D7">
        <w:rPr>
          <w:rFonts w:ascii="Times New Roman" w:hAnsi="Times New Roman" w:cs="Times New Roman"/>
          <w:color w:val="222222"/>
          <w:sz w:val="24"/>
          <w:szCs w:val="24"/>
          <w:shd w:val="clear" w:color="auto" w:fill="FFFFFF"/>
        </w:rPr>
        <w:t>Poortinga</w:t>
      </w:r>
      <w:proofErr w:type="spellEnd"/>
      <w:r w:rsidR="006E68CB" w:rsidRPr="003D15D7">
        <w:rPr>
          <w:rFonts w:ascii="Times New Roman" w:hAnsi="Times New Roman" w:cs="Times New Roman"/>
          <w:color w:val="222222"/>
          <w:sz w:val="24"/>
          <w:szCs w:val="24"/>
          <w:shd w:val="clear" w:color="auto" w:fill="FFFFFF"/>
        </w:rPr>
        <w:t xml:space="preserve"> </w:t>
      </w:r>
      <w:r w:rsidR="006E68CB" w:rsidRPr="003D15D7">
        <w:rPr>
          <w:rFonts w:ascii="Times New Roman" w:hAnsi="Times New Roman" w:cs="Times New Roman"/>
          <w:i/>
          <w:color w:val="222222"/>
          <w:sz w:val="24"/>
          <w:szCs w:val="24"/>
          <w:shd w:val="clear" w:color="auto" w:fill="FFFFFF"/>
        </w:rPr>
        <w:t>et al.</w:t>
      </w:r>
      <w:r w:rsidR="006E68CB" w:rsidRPr="003D15D7">
        <w:rPr>
          <w:rFonts w:ascii="Times New Roman" w:hAnsi="Times New Roman" w:cs="Times New Roman"/>
          <w:color w:val="222222"/>
          <w:sz w:val="24"/>
          <w:szCs w:val="24"/>
          <w:shd w:val="clear" w:color="auto" w:fill="FFFFFF"/>
        </w:rPr>
        <w:t>2019</w:t>
      </w:r>
      <w:r w:rsidR="006E68CB" w:rsidRPr="003D15D7">
        <w:rPr>
          <w:rFonts w:ascii="Times New Roman" w:hAnsi="Times New Roman" w:cs="Times New Roman"/>
          <w:sz w:val="24"/>
          <w:szCs w:val="24"/>
        </w:rPr>
        <w:t>)</w:t>
      </w:r>
      <w:r w:rsidR="004F7B92" w:rsidRPr="003D15D7">
        <w:rPr>
          <w:rFonts w:ascii="Times New Roman" w:hAnsi="Times New Roman" w:cs="Times New Roman"/>
          <w:sz w:val="24"/>
          <w:szCs w:val="24"/>
        </w:rPr>
        <w:t xml:space="preserve">. Upon Lisbon's signing in 2009, Article number 10 of "EU Treaty" claimed that the Federation had a dual representative system, with "Citizens being straightforwardly displayed in the National Assembly" and "Member States" state head or administration being symbolised in the Eu Commission and their legislature bodies inside the Council, each of whom are responsible in a democratic way should be able to either the parliaments or “Council of the </w:t>
      </w:r>
      <w:proofErr w:type="spellStart"/>
      <w:r w:rsidR="004F7B92" w:rsidRPr="003D15D7">
        <w:rPr>
          <w:rFonts w:ascii="Times New Roman" w:hAnsi="Times New Roman" w:cs="Times New Roman"/>
          <w:sz w:val="24"/>
          <w:szCs w:val="24"/>
        </w:rPr>
        <w:t>Eu</w:t>
      </w:r>
      <w:r w:rsidR="004F6F04" w:rsidRPr="003D15D7">
        <w:rPr>
          <w:rFonts w:ascii="Times New Roman" w:hAnsi="Times New Roman" w:cs="Times New Roman"/>
          <w:sz w:val="24"/>
          <w:szCs w:val="24"/>
        </w:rPr>
        <w:t>”.</w:t>
      </w:r>
      <w:r w:rsidR="004F7B92" w:rsidRPr="003D15D7">
        <w:rPr>
          <w:rFonts w:ascii="Times New Roman" w:hAnsi="Times New Roman" w:cs="Times New Roman"/>
          <w:sz w:val="24"/>
          <w:szCs w:val="24"/>
        </w:rPr>
        <w:t>In</w:t>
      </w:r>
      <w:proofErr w:type="spellEnd"/>
      <w:r w:rsidR="004F7B92" w:rsidRPr="003D15D7">
        <w:rPr>
          <w:rFonts w:ascii="Times New Roman" w:hAnsi="Times New Roman" w:cs="Times New Roman"/>
          <w:sz w:val="24"/>
          <w:szCs w:val="24"/>
        </w:rPr>
        <w:t xml:space="preserve"> a nation, such a dual structure of participation would not be novel. In reality, the "European Union" is a political structure made up of several states, democracies, and peoples that wields authority from outside the nation without actually being a state.</w:t>
      </w:r>
    </w:p>
    <w:p w14:paraId="6E8C862E" w14:textId="4F3BA979" w:rsidR="001C7350" w:rsidRPr="003D15D7" w:rsidRDefault="004F7B92" w:rsidP="003D15D7">
      <w:pPr>
        <w:spacing w:line="360" w:lineRule="auto"/>
        <w:jc w:val="both"/>
        <w:rPr>
          <w:rFonts w:ascii="Times New Roman" w:hAnsi="Times New Roman" w:cs="Times New Roman"/>
          <w:sz w:val="24"/>
          <w:szCs w:val="24"/>
        </w:rPr>
      </w:pPr>
      <w:r w:rsidRPr="003D15D7">
        <w:rPr>
          <w:rFonts w:ascii="Times New Roman" w:hAnsi="Times New Roman" w:cs="Times New Roman"/>
          <w:sz w:val="24"/>
          <w:szCs w:val="24"/>
        </w:rPr>
        <w:t>Criticism has been levelled at the Eu Union's capacity to create its very own structure of representative government outside the state. In their opinion, it was a fallacy to believe that perhaps the Union would capable of building its very own model of democratic participation at any time in its history. Democracy necessitates the existence of a government. Citizenship is necessary for democracy. Both are absent from the "Euro</w:t>
      </w:r>
      <w:r w:rsidR="004F6F04" w:rsidRPr="003D15D7">
        <w:rPr>
          <w:rFonts w:ascii="Times New Roman" w:hAnsi="Times New Roman" w:cs="Times New Roman"/>
          <w:sz w:val="24"/>
          <w:szCs w:val="24"/>
        </w:rPr>
        <w:t>pean Union's" national borders</w:t>
      </w:r>
      <w:r w:rsidR="002B0064">
        <w:rPr>
          <w:rFonts w:ascii="Times New Roman" w:hAnsi="Times New Roman" w:cs="Times New Roman"/>
          <w:sz w:val="24"/>
          <w:szCs w:val="24"/>
        </w:rPr>
        <w:t xml:space="preserve"> (Christiansen &amp; Fromage 2019)</w:t>
      </w:r>
      <w:r w:rsidR="004F6F04" w:rsidRPr="003D15D7">
        <w:rPr>
          <w:rFonts w:ascii="Times New Roman" w:hAnsi="Times New Roman" w:cs="Times New Roman"/>
          <w:sz w:val="24"/>
          <w:szCs w:val="24"/>
        </w:rPr>
        <w:t xml:space="preserve">. </w:t>
      </w:r>
      <w:r w:rsidRPr="003D15D7">
        <w:rPr>
          <w:rFonts w:ascii="Times New Roman" w:hAnsi="Times New Roman" w:cs="Times New Roman"/>
          <w:sz w:val="24"/>
          <w:szCs w:val="24"/>
        </w:rPr>
        <w:t xml:space="preserve">A 'Potemkin village,' opponents claim, has resulted from </w:t>
      </w:r>
      <w:r w:rsidRPr="003D15D7">
        <w:rPr>
          <w:rFonts w:ascii="Times New Roman" w:hAnsi="Times New Roman" w:cs="Times New Roman"/>
          <w:sz w:val="24"/>
          <w:szCs w:val="24"/>
        </w:rPr>
        <w:lastRenderedPageBreak/>
        <w:t>efforts to overlook these prerequisites for democracy as well as democratic political systems. In other words, people were given the false impression that they can influence the creation, amendment, and government of Eu legislation through elected members they vote into office to the Eu Parliament. As a result of this lack of competitiveness for the people's vote, the Union's fundamental powers have not been exercised in the Elections</w:t>
      </w:r>
      <w:r w:rsidR="006E68CB" w:rsidRPr="003D15D7">
        <w:rPr>
          <w:rFonts w:ascii="Times New Roman" w:hAnsi="Times New Roman" w:cs="Times New Roman"/>
          <w:sz w:val="24"/>
          <w:szCs w:val="24"/>
        </w:rPr>
        <w:t xml:space="preserve"> (</w:t>
      </w:r>
      <w:r w:rsidR="006E68CB" w:rsidRPr="003D15D7">
        <w:rPr>
          <w:rFonts w:ascii="Times New Roman" w:hAnsi="Times New Roman" w:cs="Times New Roman"/>
          <w:color w:val="222222"/>
          <w:sz w:val="24"/>
          <w:szCs w:val="24"/>
          <w:shd w:val="clear" w:color="auto" w:fill="FFFFFF"/>
        </w:rPr>
        <w:t xml:space="preserve">Liang </w:t>
      </w:r>
      <w:r w:rsidR="006E68CB" w:rsidRPr="003D15D7">
        <w:rPr>
          <w:rFonts w:ascii="Times New Roman" w:hAnsi="Times New Roman" w:cs="Times New Roman"/>
          <w:i/>
          <w:color w:val="222222"/>
          <w:sz w:val="24"/>
          <w:szCs w:val="24"/>
          <w:shd w:val="clear" w:color="auto" w:fill="FFFFFF"/>
        </w:rPr>
        <w:t>et al.</w:t>
      </w:r>
      <w:r w:rsidR="006E68CB" w:rsidRPr="003D15D7">
        <w:rPr>
          <w:rFonts w:ascii="Times New Roman" w:hAnsi="Times New Roman" w:cs="Times New Roman"/>
          <w:color w:val="222222"/>
          <w:sz w:val="24"/>
          <w:szCs w:val="24"/>
          <w:shd w:val="clear" w:color="auto" w:fill="FFFFFF"/>
        </w:rPr>
        <w:t>2019</w:t>
      </w:r>
      <w:r w:rsidR="006E68CB" w:rsidRPr="003D15D7">
        <w:rPr>
          <w:rFonts w:ascii="Times New Roman" w:hAnsi="Times New Roman" w:cs="Times New Roman"/>
          <w:sz w:val="24"/>
          <w:szCs w:val="24"/>
        </w:rPr>
        <w:t>)</w:t>
      </w:r>
      <w:r w:rsidRPr="003D15D7">
        <w:rPr>
          <w:rFonts w:ascii="Times New Roman" w:hAnsi="Times New Roman" w:cs="Times New Roman"/>
          <w:sz w:val="24"/>
          <w:szCs w:val="24"/>
        </w:rPr>
        <w:t>. A confederal parliament that focuses on improving cross-party alliances and cross-institutional alliances, protected from much connection among both their opportunities for electoral victory and their own track within last legislature or commitments for next legislature, yet nervous to implore party leaders that regulate their career paths, Eu members form exactly what on</w:t>
      </w:r>
      <w:r w:rsidR="004F6F04" w:rsidRPr="003D15D7">
        <w:rPr>
          <w:rFonts w:ascii="Times New Roman" w:hAnsi="Times New Roman" w:cs="Times New Roman"/>
          <w:sz w:val="24"/>
          <w:szCs w:val="24"/>
        </w:rPr>
        <w:t>e might anticipate from a supra-</w:t>
      </w:r>
      <w:r w:rsidRPr="003D15D7">
        <w:rPr>
          <w:rFonts w:ascii="Times New Roman" w:hAnsi="Times New Roman" w:cs="Times New Roman"/>
          <w:sz w:val="24"/>
          <w:szCs w:val="24"/>
        </w:rPr>
        <w:t>national legislature.</w:t>
      </w:r>
    </w:p>
    <w:p w14:paraId="20047F49" w14:textId="77777777" w:rsidR="003D15D7" w:rsidRPr="003D15D7" w:rsidRDefault="003D15D7" w:rsidP="003D15D7">
      <w:pPr>
        <w:spacing w:line="360" w:lineRule="auto"/>
        <w:jc w:val="both"/>
        <w:rPr>
          <w:rFonts w:ascii="Times New Roman" w:hAnsi="Times New Roman" w:cs="Times New Roman"/>
          <w:sz w:val="24"/>
          <w:szCs w:val="24"/>
        </w:rPr>
      </w:pPr>
      <w:r w:rsidRPr="003D15D7">
        <w:rPr>
          <w:rFonts w:ascii="Times New Roman" w:hAnsi="Times New Roman" w:cs="Times New Roman"/>
          <w:sz w:val="24"/>
          <w:szCs w:val="24"/>
        </w:rPr>
        <w:br w:type="page"/>
      </w:r>
    </w:p>
    <w:p w14:paraId="6793CEA3" w14:textId="77777777" w:rsidR="003D15D7" w:rsidRDefault="003D15D7" w:rsidP="003D15D7">
      <w:pPr>
        <w:pStyle w:val="Heading1"/>
        <w:rPr>
          <w:shd w:val="clear" w:color="auto" w:fill="FFFFFF"/>
        </w:rPr>
      </w:pPr>
      <w:r>
        <w:rPr>
          <w:shd w:val="clear" w:color="auto" w:fill="FFFFFF"/>
        </w:rPr>
        <w:lastRenderedPageBreak/>
        <w:t>Reference List</w:t>
      </w:r>
    </w:p>
    <w:p w14:paraId="08CAD87C" w14:textId="77777777" w:rsidR="002B0064" w:rsidRPr="002B0064" w:rsidRDefault="002B0064" w:rsidP="003D15D7">
      <w:pPr>
        <w:spacing w:line="360" w:lineRule="auto"/>
        <w:jc w:val="both"/>
        <w:rPr>
          <w:rFonts w:ascii="Times New Roman" w:hAnsi="Times New Roman" w:cs="Times New Roman"/>
          <w:color w:val="222222"/>
          <w:sz w:val="24"/>
          <w:szCs w:val="24"/>
          <w:shd w:val="clear" w:color="auto" w:fill="FFFFFF"/>
        </w:rPr>
      </w:pPr>
      <w:proofErr w:type="spellStart"/>
      <w:r w:rsidRPr="002B0064">
        <w:rPr>
          <w:rFonts w:ascii="Times New Roman" w:hAnsi="Times New Roman" w:cs="Times New Roman"/>
          <w:color w:val="222222"/>
          <w:sz w:val="24"/>
          <w:szCs w:val="24"/>
          <w:shd w:val="clear" w:color="auto" w:fill="FFFFFF"/>
        </w:rPr>
        <w:t>Baciu</w:t>
      </w:r>
      <w:proofErr w:type="spellEnd"/>
      <w:r w:rsidRPr="002B0064">
        <w:rPr>
          <w:rFonts w:ascii="Times New Roman" w:hAnsi="Times New Roman" w:cs="Times New Roman"/>
          <w:color w:val="222222"/>
          <w:sz w:val="24"/>
          <w:szCs w:val="24"/>
          <w:shd w:val="clear" w:color="auto" w:fill="FFFFFF"/>
        </w:rPr>
        <w:t xml:space="preserve">, I.C. and </w:t>
      </w:r>
      <w:proofErr w:type="spellStart"/>
      <w:r w:rsidRPr="002B0064">
        <w:rPr>
          <w:rFonts w:ascii="Times New Roman" w:hAnsi="Times New Roman" w:cs="Times New Roman"/>
          <w:color w:val="222222"/>
          <w:sz w:val="24"/>
          <w:szCs w:val="24"/>
          <w:shd w:val="clear" w:color="auto" w:fill="FFFFFF"/>
        </w:rPr>
        <w:t>Iftimoaei</w:t>
      </w:r>
      <w:proofErr w:type="spellEnd"/>
      <w:r w:rsidRPr="002B0064">
        <w:rPr>
          <w:rFonts w:ascii="Times New Roman" w:hAnsi="Times New Roman" w:cs="Times New Roman"/>
          <w:color w:val="222222"/>
          <w:sz w:val="24"/>
          <w:szCs w:val="24"/>
          <w:shd w:val="clear" w:color="auto" w:fill="FFFFFF"/>
        </w:rPr>
        <w:t>, C.C., 2018. Statistical analysis of the socio-democratic and economic characteristics of rural areas in Romania after Eu accession. In </w:t>
      </w:r>
      <w:r w:rsidRPr="002B0064">
        <w:rPr>
          <w:rFonts w:ascii="Times New Roman" w:hAnsi="Times New Roman" w:cs="Times New Roman"/>
          <w:i/>
          <w:iCs/>
          <w:color w:val="222222"/>
          <w:sz w:val="24"/>
          <w:szCs w:val="24"/>
          <w:shd w:val="clear" w:color="auto" w:fill="FFFFFF"/>
        </w:rPr>
        <w:t>Agrarian Economy and Rural Development-Realities and Perspectives for Romania. 9th Edition of the International Symposium, November 2018, Bucharest</w:t>
      </w:r>
      <w:r w:rsidRPr="002B0064">
        <w:rPr>
          <w:rFonts w:ascii="Times New Roman" w:hAnsi="Times New Roman" w:cs="Times New Roman"/>
          <w:color w:val="222222"/>
          <w:sz w:val="24"/>
          <w:szCs w:val="24"/>
          <w:shd w:val="clear" w:color="auto" w:fill="FFFFFF"/>
        </w:rPr>
        <w:t> (pp. 62-69). Bucharest: The Research Institute for Agricultural Economy and Rural Development (ICEADR</w:t>
      </w:r>
      <w:proofErr w:type="gramStart"/>
      <w:r w:rsidRPr="002B0064">
        <w:rPr>
          <w:rFonts w:ascii="Times New Roman" w:hAnsi="Times New Roman" w:cs="Times New Roman"/>
          <w:color w:val="222222"/>
          <w:sz w:val="24"/>
          <w:szCs w:val="24"/>
          <w:shd w:val="clear" w:color="auto" w:fill="FFFFFF"/>
        </w:rPr>
        <w:t>).+</w:t>
      </w:r>
      <w:proofErr w:type="gramEnd"/>
      <w:r w:rsidRPr="002B0064">
        <w:rPr>
          <w:rFonts w:ascii="Times New Roman" w:hAnsi="Times New Roman" w:cs="Times New Roman"/>
          <w:color w:val="222222"/>
          <w:sz w:val="24"/>
          <w:szCs w:val="24"/>
          <w:shd w:val="clear" w:color="auto" w:fill="FFFFFF"/>
        </w:rPr>
        <w:t>+</w:t>
      </w:r>
    </w:p>
    <w:p w14:paraId="68DFC817" w14:textId="77777777" w:rsidR="002B0064" w:rsidRPr="002B0064" w:rsidRDefault="002B0064" w:rsidP="003D15D7">
      <w:pPr>
        <w:spacing w:line="360" w:lineRule="auto"/>
        <w:jc w:val="both"/>
        <w:rPr>
          <w:rFonts w:ascii="Times New Roman" w:hAnsi="Times New Roman" w:cs="Times New Roman"/>
          <w:color w:val="222222"/>
          <w:sz w:val="24"/>
          <w:szCs w:val="24"/>
          <w:shd w:val="clear" w:color="auto" w:fill="FFFFFF"/>
        </w:rPr>
      </w:pPr>
      <w:r w:rsidRPr="002B0064">
        <w:rPr>
          <w:rFonts w:ascii="Times New Roman" w:hAnsi="Times New Roman" w:cs="Times New Roman"/>
          <w:color w:val="222222"/>
          <w:sz w:val="24"/>
          <w:szCs w:val="24"/>
          <w:shd w:val="clear" w:color="auto" w:fill="FFFFFF"/>
        </w:rPr>
        <w:t xml:space="preserve">Bogaert, P., Van Oyen, H., </w:t>
      </w:r>
      <w:proofErr w:type="spellStart"/>
      <w:r w:rsidRPr="002B0064">
        <w:rPr>
          <w:rFonts w:ascii="Times New Roman" w:hAnsi="Times New Roman" w:cs="Times New Roman"/>
          <w:color w:val="222222"/>
          <w:sz w:val="24"/>
          <w:szCs w:val="24"/>
          <w:shd w:val="clear" w:color="auto" w:fill="FFFFFF"/>
        </w:rPr>
        <w:t>Beluche</w:t>
      </w:r>
      <w:proofErr w:type="spellEnd"/>
      <w:r w:rsidRPr="002B0064">
        <w:rPr>
          <w:rFonts w:ascii="Times New Roman" w:hAnsi="Times New Roman" w:cs="Times New Roman"/>
          <w:color w:val="222222"/>
          <w:sz w:val="24"/>
          <w:szCs w:val="24"/>
          <w:shd w:val="clear" w:color="auto" w:fill="FFFFFF"/>
        </w:rPr>
        <w:t xml:space="preserve">, I., </w:t>
      </w:r>
      <w:proofErr w:type="spellStart"/>
      <w:r w:rsidRPr="002B0064">
        <w:rPr>
          <w:rFonts w:ascii="Times New Roman" w:hAnsi="Times New Roman" w:cs="Times New Roman"/>
          <w:color w:val="222222"/>
          <w:sz w:val="24"/>
          <w:szCs w:val="24"/>
          <w:shd w:val="clear" w:color="auto" w:fill="FFFFFF"/>
        </w:rPr>
        <w:t>Cambois</w:t>
      </w:r>
      <w:proofErr w:type="spellEnd"/>
      <w:r w:rsidRPr="002B0064">
        <w:rPr>
          <w:rFonts w:ascii="Times New Roman" w:hAnsi="Times New Roman" w:cs="Times New Roman"/>
          <w:color w:val="222222"/>
          <w:sz w:val="24"/>
          <w:szCs w:val="24"/>
          <w:shd w:val="clear" w:color="auto" w:fill="FFFFFF"/>
        </w:rPr>
        <w:t xml:space="preserve">, E. and </w:t>
      </w:r>
      <w:proofErr w:type="spellStart"/>
      <w:r w:rsidRPr="002B0064">
        <w:rPr>
          <w:rFonts w:ascii="Times New Roman" w:hAnsi="Times New Roman" w:cs="Times New Roman"/>
          <w:color w:val="222222"/>
          <w:sz w:val="24"/>
          <w:szCs w:val="24"/>
          <w:shd w:val="clear" w:color="auto" w:fill="FFFFFF"/>
        </w:rPr>
        <w:t>Robine</w:t>
      </w:r>
      <w:proofErr w:type="spellEnd"/>
      <w:r w:rsidRPr="002B0064">
        <w:rPr>
          <w:rFonts w:ascii="Times New Roman" w:hAnsi="Times New Roman" w:cs="Times New Roman"/>
          <w:color w:val="222222"/>
          <w:sz w:val="24"/>
          <w:szCs w:val="24"/>
          <w:shd w:val="clear" w:color="auto" w:fill="FFFFFF"/>
        </w:rPr>
        <w:t>, J.M., 2018. The use of the global activity limitation Indicator and healthy life years by member states and the European Commission. </w:t>
      </w:r>
      <w:r w:rsidRPr="002B0064">
        <w:rPr>
          <w:rFonts w:ascii="Times New Roman" w:hAnsi="Times New Roman" w:cs="Times New Roman"/>
          <w:i/>
          <w:iCs/>
          <w:color w:val="222222"/>
          <w:sz w:val="24"/>
          <w:szCs w:val="24"/>
          <w:shd w:val="clear" w:color="auto" w:fill="FFFFFF"/>
        </w:rPr>
        <w:t>Archives of Public Health</w:t>
      </w:r>
      <w:r w:rsidRPr="002B0064">
        <w:rPr>
          <w:rFonts w:ascii="Times New Roman" w:hAnsi="Times New Roman" w:cs="Times New Roman"/>
          <w:color w:val="222222"/>
          <w:sz w:val="24"/>
          <w:szCs w:val="24"/>
          <w:shd w:val="clear" w:color="auto" w:fill="FFFFFF"/>
        </w:rPr>
        <w:t>, </w:t>
      </w:r>
      <w:r w:rsidRPr="002B0064">
        <w:rPr>
          <w:rFonts w:ascii="Times New Roman" w:hAnsi="Times New Roman" w:cs="Times New Roman"/>
          <w:i/>
          <w:iCs/>
          <w:color w:val="222222"/>
          <w:sz w:val="24"/>
          <w:szCs w:val="24"/>
          <w:shd w:val="clear" w:color="auto" w:fill="FFFFFF"/>
        </w:rPr>
        <w:t>76</w:t>
      </w:r>
      <w:r w:rsidRPr="002B0064">
        <w:rPr>
          <w:rFonts w:ascii="Times New Roman" w:hAnsi="Times New Roman" w:cs="Times New Roman"/>
          <w:color w:val="222222"/>
          <w:sz w:val="24"/>
          <w:szCs w:val="24"/>
          <w:shd w:val="clear" w:color="auto" w:fill="FFFFFF"/>
        </w:rPr>
        <w:t>(1), pp.1-7.</w:t>
      </w:r>
    </w:p>
    <w:p w14:paraId="6C0BF94A" w14:textId="77777777" w:rsidR="002B0064" w:rsidRPr="002B0064" w:rsidRDefault="002B0064" w:rsidP="002B0064">
      <w:pPr>
        <w:spacing w:after="160" w:line="259" w:lineRule="auto"/>
        <w:rPr>
          <w:rFonts w:ascii="Times New Roman" w:eastAsia="Calibri" w:hAnsi="Times New Roman" w:cs="Times New Roman"/>
          <w:color w:val="222222"/>
          <w:sz w:val="24"/>
          <w:szCs w:val="24"/>
          <w:shd w:val="clear" w:color="auto" w:fill="FFFFFF"/>
          <w:lang w:val="en-US"/>
        </w:rPr>
      </w:pPr>
      <w:r w:rsidRPr="002B0064">
        <w:rPr>
          <w:rFonts w:ascii="Times New Roman" w:eastAsia="Calibri" w:hAnsi="Times New Roman" w:cs="Times New Roman"/>
          <w:color w:val="222222"/>
          <w:sz w:val="24"/>
          <w:szCs w:val="24"/>
          <w:shd w:val="clear" w:color="auto" w:fill="FFFFFF"/>
          <w:lang w:val="en-US"/>
        </w:rPr>
        <w:t>Campbell, C.M. and Wiles, P., 1975. The study of law in society in Britain. </w:t>
      </w:r>
      <w:r w:rsidRPr="002B0064">
        <w:rPr>
          <w:rFonts w:ascii="Times New Roman" w:eastAsia="Calibri" w:hAnsi="Times New Roman" w:cs="Times New Roman"/>
          <w:i/>
          <w:iCs/>
          <w:color w:val="222222"/>
          <w:sz w:val="24"/>
          <w:szCs w:val="24"/>
          <w:shd w:val="clear" w:color="auto" w:fill="FFFFFF"/>
          <w:lang w:val="en-US"/>
        </w:rPr>
        <w:t>Law &amp; Soc'y Rev.</w:t>
      </w:r>
      <w:r w:rsidRPr="002B0064">
        <w:rPr>
          <w:rFonts w:ascii="Times New Roman" w:eastAsia="Calibri" w:hAnsi="Times New Roman" w:cs="Times New Roman"/>
          <w:color w:val="222222"/>
          <w:sz w:val="24"/>
          <w:szCs w:val="24"/>
          <w:shd w:val="clear" w:color="auto" w:fill="FFFFFF"/>
          <w:lang w:val="en-US"/>
        </w:rPr>
        <w:t>, </w:t>
      </w:r>
      <w:r w:rsidRPr="002B0064">
        <w:rPr>
          <w:rFonts w:ascii="Times New Roman" w:eastAsia="Calibri" w:hAnsi="Times New Roman" w:cs="Times New Roman"/>
          <w:i/>
          <w:iCs/>
          <w:color w:val="222222"/>
          <w:sz w:val="24"/>
          <w:szCs w:val="24"/>
          <w:shd w:val="clear" w:color="auto" w:fill="FFFFFF"/>
          <w:lang w:val="en-US"/>
        </w:rPr>
        <w:t>10</w:t>
      </w:r>
      <w:r w:rsidRPr="002B0064">
        <w:rPr>
          <w:rFonts w:ascii="Times New Roman" w:eastAsia="Calibri" w:hAnsi="Times New Roman" w:cs="Times New Roman"/>
          <w:color w:val="222222"/>
          <w:sz w:val="24"/>
          <w:szCs w:val="24"/>
          <w:shd w:val="clear" w:color="auto" w:fill="FFFFFF"/>
          <w:lang w:val="en-US"/>
        </w:rPr>
        <w:t>, p.551.</w:t>
      </w:r>
    </w:p>
    <w:p w14:paraId="22676B0B" w14:textId="77777777" w:rsidR="002B0064" w:rsidRPr="002B0064" w:rsidRDefault="002B0064" w:rsidP="003D15D7">
      <w:pPr>
        <w:spacing w:line="360" w:lineRule="auto"/>
        <w:jc w:val="both"/>
        <w:rPr>
          <w:rFonts w:ascii="Times New Roman" w:hAnsi="Times New Roman" w:cs="Times New Roman"/>
          <w:color w:val="222222"/>
          <w:sz w:val="24"/>
          <w:szCs w:val="24"/>
          <w:shd w:val="clear" w:color="auto" w:fill="FFFFFF"/>
        </w:rPr>
      </w:pPr>
      <w:r w:rsidRPr="002B0064">
        <w:rPr>
          <w:rFonts w:ascii="Times New Roman" w:hAnsi="Times New Roman" w:cs="Times New Roman"/>
          <w:color w:val="222222"/>
          <w:sz w:val="24"/>
          <w:szCs w:val="24"/>
          <w:shd w:val="clear" w:color="auto" w:fill="FFFFFF"/>
        </w:rPr>
        <w:t>Carbone, M., 2019. Purposefully triggering unintended consequences: The European Commission and the uncertain future of the EU-ACP partnership. </w:t>
      </w:r>
      <w:r w:rsidRPr="002B0064">
        <w:rPr>
          <w:rFonts w:ascii="Times New Roman" w:hAnsi="Times New Roman" w:cs="Times New Roman"/>
          <w:i/>
          <w:iCs/>
          <w:color w:val="222222"/>
          <w:sz w:val="24"/>
          <w:szCs w:val="24"/>
          <w:shd w:val="clear" w:color="auto" w:fill="FFFFFF"/>
        </w:rPr>
        <w:t>The International Spectator</w:t>
      </w:r>
      <w:r w:rsidRPr="002B0064">
        <w:rPr>
          <w:rFonts w:ascii="Times New Roman" w:hAnsi="Times New Roman" w:cs="Times New Roman"/>
          <w:color w:val="222222"/>
          <w:sz w:val="24"/>
          <w:szCs w:val="24"/>
          <w:shd w:val="clear" w:color="auto" w:fill="FFFFFF"/>
        </w:rPr>
        <w:t>, </w:t>
      </w:r>
      <w:r w:rsidRPr="002B0064">
        <w:rPr>
          <w:rFonts w:ascii="Times New Roman" w:hAnsi="Times New Roman" w:cs="Times New Roman"/>
          <w:i/>
          <w:iCs/>
          <w:color w:val="222222"/>
          <w:sz w:val="24"/>
          <w:szCs w:val="24"/>
          <w:shd w:val="clear" w:color="auto" w:fill="FFFFFF"/>
        </w:rPr>
        <w:t>54</w:t>
      </w:r>
      <w:r w:rsidRPr="002B0064">
        <w:rPr>
          <w:rFonts w:ascii="Times New Roman" w:hAnsi="Times New Roman" w:cs="Times New Roman"/>
          <w:color w:val="222222"/>
          <w:sz w:val="24"/>
          <w:szCs w:val="24"/>
          <w:shd w:val="clear" w:color="auto" w:fill="FFFFFF"/>
        </w:rPr>
        <w:t>(1), pp.45-59.</w:t>
      </w:r>
    </w:p>
    <w:p w14:paraId="748252D8" w14:textId="77777777" w:rsidR="002B0064" w:rsidRPr="002B0064" w:rsidRDefault="002B0064" w:rsidP="002B0064">
      <w:pPr>
        <w:spacing w:after="160" w:line="259" w:lineRule="auto"/>
        <w:rPr>
          <w:rFonts w:ascii="Times New Roman" w:eastAsia="Calibri" w:hAnsi="Times New Roman" w:cs="Times New Roman"/>
          <w:sz w:val="24"/>
          <w:szCs w:val="24"/>
          <w:lang w:val="en-US"/>
        </w:rPr>
      </w:pPr>
      <w:r w:rsidRPr="002B0064">
        <w:rPr>
          <w:rFonts w:ascii="Times New Roman" w:eastAsia="Calibri" w:hAnsi="Times New Roman" w:cs="Times New Roman"/>
          <w:sz w:val="24"/>
          <w:szCs w:val="24"/>
          <w:lang w:val="en-US"/>
        </w:rPr>
        <w:t>Christiansen, T. and Fromage, D. eds., 2019. </w:t>
      </w:r>
      <w:r w:rsidRPr="002B0064">
        <w:rPr>
          <w:rFonts w:ascii="Times New Roman" w:eastAsia="Calibri" w:hAnsi="Times New Roman" w:cs="Times New Roman"/>
          <w:i/>
          <w:iCs/>
          <w:sz w:val="24"/>
          <w:szCs w:val="24"/>
          <w:lang w:val="en-US"/>
        </w:rPr>
        <w:t>Brexit and democracy: The role of parliaments in the UK and the European Union</w:t>
      </w:r>
      <w:r w:rsidRPr="002B0064">
        <w:rPr>
          <w:rFonts w:ascii="Times New Roman" w:eastAsia="Calibri" w:hAnsi="Times New Roman" w:cs="Times New Roman"/>
          <w:sz w:val="24"/>
          <w:szCs w:val="24"/>
          <w:lang w:val="en-US"/>
        </w:rPr>
        <w:t>. Springer.</w:t>
      </w:r>
    </w:p>
    <w:p w14:paraId="46B11E1B" w14:textId="77777777" w:rsidR="002B0064" w:rsidRPr="002B0064" w:rsidRDefault="002B0064" w:rsidP="003D15D7">
      <w:pPr>
        <w:spacing w:line="360" w:lineRule="auto"/>
        <w:jc w:val="both"/>
        <w:rPr>
          <w:rFonts w:ascii="Times New Roman" w:hAnsi="Times New Roman" w:cs="Times New Roman"/>
          <w:color w:val="222222"/>
          <w:sz w:val="24"/>
          <w:szCs w:val="24"/>
          <w:shd w:val="clear" w:color="auto" w:fill="FFFFFF"/>
        </w:rPr>
      </w:pPr>
      <w:r w:rsidRPr="002B0064">
        <w:rPr>
          <w:rFonts w:ascii="Times New Roman" w:hAnsi="Times New Roman" w:cs="Times New Roman"/>
          <w:color w:val="222222"/>
          <w:sz w:val="24"/>
          <w:szCs w:val="24"/>
          <w:shd w:val="clear" w:color="auto" w:fill="FFFFFF"/>
        </w:rPr>
        <w:t>Cooley, T.F., Henriksen, E. and Nusbaum, C., 2019. </w:t>
      </w:r>
      <w:r w:rsidRPr="002B0064">
        <w:rPr>
          <w:rFonts w:ascii="Times New Roman" w:hAnsi="Times New Roman" w:cs="Times New Roman"/>
          <w:i/>
          <w:iCs/>
          <w:color w:val="222222"/>
          <w:sz w:val="24"/>
          <w:szCs w:val="24"/>
          <w:shd w:val="clear" w:color="auto" w:fill="FFFFFF"/>
        </w:rPr>
        <w:t>Democratic obstacles to European growth</w:t>
      </w:r>
      <w:r w:rsidRPr="002B0064">
        <w:rPr>
          <w:rFonts w:ascii="Times New Roman" w:hAnsi="Times New Roman" w:cs="Times New Roman"/>
          <w:color w:val="222222"/>
          <w:sz w:val="24"/>
          <w:szCs w:val="24"/>
          <w:shd w:val="clear" w:color="auto" w:fill="FFFFFF"/>
        </w:rPr>
        <w:t> (No. w26503). National Bureau of Economic Research.</w:t>
      </w:r>
    </w:p>
    <w:p w14:paraId="13DCD28B" w14:textId="77777777" w:rsidR="002B0064" w:rsidRPr="002B0064" w:rsidRDefault="002B0064" w:rsidP="002B0064">
      <w:pPr>
        <w:spacing w:after="160" w:line="259" w:lineRule="auto"/>
        <w:rPr>
          <w:rFonts w:ascii="Times New Roman" w:eastAsia="Calibri" w:hAnsi="Times New Roman" w:cs="Times New Roman"/>
          <w:sz w:val="24"/>
          <w:szCs w:val="24"/>
          <w:lang w:val="en-US"/>
        </w:rPr>
      </w:pPr>
      <w:r w:rsidRPr="002B0064">
        <w:rPr>
          <w:rFonts w:ascii="Times New Roman" w:eastAsia="Calibri" w:hAnsi="Times New Roman" w:cs="Times New Roman"/>
          <w:sz w:val="24"/>
          <w:szCs w:val="24"/>
          <w:lang w:val="en-US"/>
        </w:rPr>
        <w:t xml:space="preserve">Davidson, S. and </w:t>
      </w:r>
      <w:proofErr w:type="spellStart"/>
      <w:r w:rsidRPr="002B0064">
        <w:rPr>
          <w:rFonts w:ascii="Times New Roman" w:eastAsia="Calibri" w:hAnsi="Times New Roman" w:cs="Times New Roman"/>
          <w:sz w:val="24"/>
          <w:szCs w:val="24"/>
          <w:lang w:val="en-US"/>
        </w:rPr>
        <w:t>Elstub</w:t>
      </w:r>
      <w:proofErr w:type="spellEnd"/>
      <w:r w:rsidRPr="002B0064">
        <w:rPr>
          <w:rFonts w:ascii="Times New Roman" w:eastAsia="Calibri" w:hAnsi="Times New Roman" w:cs="Times New Roman"/>
          <w:sz w:val="24"/>
          <w:szCs w:val="24"/>
          <w:lang w:val="en-US"/>
        </w:rPr>
        <w:t>, S., 2014. Deliberative and Participatory Democracy in the UK. </w:t>
      </w:r>
      <w:r w:rsidRPr="002B0064">
        <w:rPr>
          <w:rFonts w:ascii="Times New Roman" w:eastAsia="Calibri" w:hAnsi="Times New Roman" w:cs="Times New Roman"/>
          <w:i/>
          <w:iCs/>
          <w:sz w:val="24"/>
          <w:szCs w:val="24"/>
          <w:lang w:val="en-US"/>
        </w:rPr>
        <w:t>The British Journal of Politics and International Relations</w:t>
      </w:r>
      <w:r w:rsidRPr="002B0064">
        <w:rPr>
          <w:rFonts w:ascii="Times New Roman" w:eastAsia="Calibri" w:hAnsi="Times New Roman" w:cs="Times New Roman"/>
          <w:sz w:val="24"/>
          <w:szCs w:val="24"/>
          <w:lang w:val="en-US"/>
        </w:rPr>
        <w:t>, </w:t>
      </w:r>
      <w:r w:rsidRPr="002B0064">
        <w:rPr>
          <w:rFonts w:ascii="Times New Roman" w:eastAsia="Calibri" w:hAnsi="Times New Roman" w:cs="Times New Roman"/>
          <w:i/>
          <w:iCs/>
          <w:sz w:val="24"/>
          <w:szCs w:val="24"/>
          <w:lang w:val="en-US"/>
        </w:rPr>
        <w:t>16</w:t>
      </w:r>
      <w:r w:rsidRPr="002B0064">
        <w:rPr>
          <w:rFonts w:ascii="Times New Roman" w:eastAsia="Calibri" w:hAnsi="Times New Roman" w:cs="Times New Roman"/>
          <w:sz w:val="24"/>
          <w:szCs w:val="24"/>
          <w:lang w:val="en-US"/>
        </w:rPr>
        <w:t>(3), pp.367-385.</w:t>
      </w:r>
    </w:p>
    <w:p w14:paraId="1985E515" w14:textId="77777777" w:rsidR="002B0064" w:rsidRPr="002B0064" w:rsidRDefault="002B0064" w:rsidP="003D15D7">
      <w:pPr>
        <w:spacing w:line="360" w:lineRule="auto"/>
        <w:jc w:val="both"/>
        <w:rPr>
          <w:rFonts w:ascii="Times New Roman" w:hAnsi="Times New Roman" w:cs="Times New Roman"/>
          <w:color w:val="222222"/>
          <w:sz w:val="24"/>
          <w:szCs w:val="24"/>
          <w:shd w:val="clear" w:color="auto" w:fill="FFFFFF"/>
        </w:rPr>
      </w:pPr>
      <w:proofErr w:type="spellStart"/>
      <w:r w:rsidRPr="002B0064">
        <w:rPr>
          <w:rFonts w:ascii="Times New Roman" w:hAnsi="Times New Roman" w:cs="Times New Roman"/>
          <w:color w:val="222222"/>
          <w:sz w:val="24"/>
          <w:szCs w:val="24"/>
          <w:shd w:val="clear" w:color="auto" w:fill="FFFFFF"/>
        </w:rPr>
        <w:t>Kassim</w:t>
      </w:r>
      <w:proofErr w:type="spellEnd"/>
      <w:r w:rsidRPr="002B0064">
        <w:rPr>
          <w:rFonts w:ascii="Times New Roman" w:hAnsi="Times New Roman" w:cs="Times New Roman"/>
          <w:color w:val="222222"/>
          <w:sz w:val="24"/>
          <w:szCs w:val="24"/>
          <w:shd w:val="clear" w:color="auto" w:fill="FFFFFF"/>
        </w:rPr>
        <w:t xml:space="preserve">, H. and </w:t>
      </w:r>
      <w:proofErr w:type="spellStart"/>
      <w:r w:rsidRPr="002B0064">
        <w:rPr>
          <w:rFonts w:ascii="Times New Roman" w:hAnsi="Times New Roman" w:cs="Times New Roman"/>
          <w:color w:val="222222"/>
          <w:sz w:val="24"/>
          <w:szCs w:val="24"/>
          <w:shd w:val="clear" w:color="auto" w:fill="FFFFFF"/>
        </w:rPr>
        <w:t>Tholoniat</w:t>
      </w:r>
      <w:proofErr w:type="spellEnd"/>
      <w:r w:rsidRPr="002B0064">
        <w:rPr>
          <w:rFonts w:ascii="Times New Roman" w:hAnsi="Times New Roman" w:cs="Times New Roman"/>
          <w:color w:val="222222"/>
          <w:sz w:val="24"/>
          <w:szCs w:val="24"/>
          <w:shd w:val="clear" w:color="auto" w:fill="FFFFFF"/>
        </w:rPr>
        <w:t>, L., 2021. The European Commission. In </w:t>
      </w:r>
      <w:r w:rsidRPr="002B0064">
        <w:rPr>
          <w:rFonts w:ascii="Times New Roman" w:hAnsi="Times New Roman" w:cs="Times New Roman"/>
          <w:i/>
          <w:iCs/>
          <w:color w:val="222222"/>
          <w:sz w:val="24"/>
          <w:szCs w:val="24"/>
          <w:shd w:val="clear" w:color="auto" w:fill="FFFFFF"/>
        </w:rPr>
        <w:t>The Palgrave Handbook of EU Crises</w:t>
      </w:r>
      <w:r w:rsidRPr="002B0064">
        <w:rPr>
          <w:rFonts w:ascii="Times New Roman" w:hAnsi="Times New Roman" w:cs="Times New Roman"/>
          <w:color w:val="222222"/>
          <w:sz w:val="24"/>
          <w:szCs w:val="24"/>
          <w:shd w:val="clear" w:color="auto" w:fill="FFFFFF"/>
        </w:rPr>
        <w:t> (pp. 297-313). Palgrave Macmillan, Cham.</w:t>
      </w:r>
    </w:p>
    <w:p w14:paraId="40B20E27" w14:textId="77777777" w:rsidR="002B0064" w:rsidRPr="002B0064" w:rsidRDefault="002B0064" w:rsidP="002B0064">
      <w:pPr>
        <w:spacing w:after="160" w:line="259" w:lineRule="auto"/>
        <w:rPr>
          <w:rFonts w:ascii="Times New Roman" w:eastAsia="Calibri" w:hAnsi="Times New Roman" w:cs="Times New Roman"/>
          <w:sz w:val="24"/>
          <w:szCs w:val="24"/>
          <w:lang w:val="en-US"/>
        </w:rPr>
      </w:pPr>
      <w:r w:rsidRPr="002B0064">
        <w:rPr>
          <w:rFonts w:ascii="Times New Roman" w:eastAsia="Calibri" w:hAnsi="Times New Roman" w:cs="Times New Roman"/>
          <w:sz w:val="24"/>
          <w:szCs w:val="24"/>
          <w:lang w:val="en-US"/>
        </w:rPr>
        <w:t>Kirton, G., 2015. Progress towards gender democracy in UK unions 1987–2012. </w:t>
      </w:r>
      <w:r w:rsidRPr="002B0064">
        <w:rPr>
          <w:rFonts w:ascii="Times New Roman" w:eastAsia="Calibri" w:hAnsi="Times New Roman" w:cs="Times New Roman"/>
          <w:i/>
          <w:iCs/>
          <w:sz w:val="24"/>
          <w:szCs w:val="24"/>
          <w:lang w:val="en-US"/>
        </w:rPr>
        <w:t>British Journal of Industrial Relations</w:t>
      </w:r>
      <w:r w:rsidRPr="002B0064">
        <w:rPr>
          <w:rFonts w:ascii="Times New Roman" w:eastAsia="Calibri" w:hAnsi="Times New Roman" w:cs="Times New Roman"/>
          <w:sz w:val="24"/>
          <w:szCs w:val="24"/>
          <w:lang w:val="en-US"/>
        </w:rPr>
        <w:t>, </w:t>
      </w:r>
      <w:r w:rsidRPr="002B0064">
        <w:rPr>
          <w:rFonts w:ascii="Times New Roman" w:eastAsia="Calibri" w:hAnsi="Times New Roman" w:cs="Times New Roman"/>
          <w:i/>
          <w:iCs/>
          <w:sz w:val="24"/>
          <w:szCs w:val="24"/>
          <w:lang w:val="en-US"/>
        </w:rPr>
        <w:t>53</w:t>
      </w:r>
      <w:r w:rsidRPr="002B0064">
        <w:rPr>
          <w:rFonts w:ascii="Times New Roman" w:eastAsia="Calibri" w:hAnsi="Times New Roman" w:cs="Times New Roman"/>
          <w:sz w:val="24"/>
          <w:szCs w:val="24"/>
          <w:lang w:val="en-US"/>
        </w:rPr>
        <w:t>(3), pp.484-507.</w:t>
      </w:r>
    </w:p>
    <w:p w14:paraId="09D5B880" w14:textId="77777777" w:rsidR="002B0064" w:rsidRPr="002B0064" w:rsidRDefault="002B0064" w:rsidP="003D15D7">
      <w:pPr>
        <w:spacing w:line="360" w:lineRule="auto"/>
        <w:jc w:val="both"/>
        <w:rPr>
          <w:rFonts w:ascii="Times New Roman" w:hAnsi="Times New Roman" w:cs="Times New Roman"/>
          <w:color w:val="222222"/>
          <w:sz w:val="24"/>
          <w:szCs w:val="24"/>
          <w:shd w:val="clear" w:color="auto" w:fill="FFFFFF"/>
        </w:rPr>
      </w:pPr>
      <w:r w:rsidRPr="002B0064">
        <w:rPr>
          <w:rFonts w:ascii="Times New Roman" w:hAnsi="Times New Roman" w:cs="Times New Roman"/>
          <w:color w:val="222222"/>
          <w:sz w:val="24"/>
          <w:szCs w:val="24"/>
          <w:shd w:val="clear" w:color="auto" w:fill="FFFFFF"/>
        </w:rPr>
        <w:t>Liang, Z., Duan, S., Sheng, J., Zhu, S., Ni, X., Shao, J., Liu, C., Nick, P., Du, F., Fan, P. and Mao, R., 2019. Whole-genome resequencing of 472 Vitis accessions for grapevine diversity and democratic history analyses. </w:t>
      </w:r>
      <w:r w:rsidRPr="002B0064">
        <w:rPr>
          <w:rFonts w:ascii="Times New Roman" w:hAnsi="Times New Roman" w:cs="Times New Roman"/>
          <w:i/>
          <w:iCs/>
          <w:color w:val="222222"/>
          <w:sz w:val="24"/>
          <w:szCs w:val="24"/>
          <w:shd w:val="clear" w:color="auto" w:fill="FFFFFF"/>
        </w:rPr>
        <w:t>Nature communications</w:t>
      </w:r>
      <w:r w:rsidRPr="002B0064">
        <w:rPr>
          <w:rFonts w:ascii="Times New Roman" w:hAnsi="Times New Roman" w:cs="Times New Roman"/>
          <w:color w:val="222222"/>
          <w:sz w:val="24"/>
          <w:szCs w:val="24"/>
          <w:shd w:val="clear" w:color="auto" w:fill="FFFFFF"/>
        </w:rPr>
        <w:t>, </w:t>
      </w:r>
      <w:r w:rsidRPr="002B0064">
        <w:rPr>
          <w:rFonts w:ascii="Times New Roman" w:hAnsi="Times New Roman" w:cs="Times New Roman"/>
          <w:i/>
          <w:iCs/>
          <w:color w:val="222222"/>
          <w:sz w:val="24"/>
          <w:szCs w:val="24"/>
          <w:shd w:val="clear" w:color="auto" w:fill="FFFFFF"/>
        </w:rPr>
        <w:t>10</w:t>
      </w:r>
      <w:r w:rsidRPr="002B0064">
        <w:rPr>
          <w:rFonts w:ascii="Times New Roman" w:hAnsi="Times New Roman" w:cs="Times New Roman"/>
          <w:color w:val="222222"/>
          <w:sz w:val="24"/>
          <w:szCs w:val="24"/>
          <w:shd w:val="clear" w:color="auto" w:fill="FFFFFF"/>
        </w:rPr>
        <w:t>(1), pp.1-12.</w:t>
      </w:r>
    </w:p>
    <w:p w14:paraId="6713C12B" w14:textId="77777777" w:rsidR="002B0064" w:rsidRPr="002B0064" w:rsidRDefault="002B0064" w:rsidP="003D15D7">
      <w:pPr>
        <w:spacing w:line="360" w:lineRule="auto"/>
        <w:jc w:val="both"/>
        <w:rPr>
          <w:rFonts w:ascii="Times New Roman" w:hAnsi="Times New Roman" w:cs="Times New Roman"/>
          <w:sz w:val="24"/>
          <w:szCs w:val="24"/>
        </w:rPr>
      </w:pPr>
      <w:r w:rsidRPr="002B0064">
        <w:rPr>
          <w:rFonts w:ascii="Times New Roman" w:hAnsi="Times New Roman" w:cs="Times New Roman"/>
          <w:color w:val="222222"/>
          <w:sz w:val="24"/>
          <w:szCs w:val="24"/>
          <w:shd w:val="clear" w:color="auto" w:fill="FFFFFF"/>
        </w:rPr>
        <w:t xml:space="preserve">Montiel-Rojas, D., Nilsson, A., Santoro, A., </w:t>
      </w:r>
      <w:proofErr w:type="spellStart"/>
      <w:r w:rsidRPr="002B0064">
        <w:rPr>
          <w:rFonts w:ascii="Times New Roman" w:hAnsi="Times New Roman" w:cs="Times New Roman"/>
          <w:color w:val="222222"/>
          <w:sz w:val="24"/>
          <w:szCs w:val="24"/>
          <w:shd w:val="clear" w:color="auto" w:fill="FFFFFF"/>
        </w:rPr>
        <w:t>Bazzocchi</w:t>
      </w:r>
      <w:proofErr w:type="spellEnd"/>
      <w:r w:rsidRPr="002B0064">
        <w:rPr>
          <w:rFonts w:ascii="Times New Roman" w:hAnsi="Times New Roman" w:cs="Times New Roman"/>
          <w:color w:val="222222"/>
          <w:sz w:val="24"/>
          <w:szCs w:val="24"/>
          <w:shd w:val="clear" w:color="auto" w:fill="FFFFFF"/>
        </w:rPr>
        <w:t xml:space="preserve">, A., De Groot, L.C., </w:t>
      </w:r>
      <w:proofErr w:type="spellStart"/>
      <w:r w:rsidRPr="002B0064">
        <w:rPr>
          <w:rFonts w:ascii="Times New Roman" w:hAnsi="Times New Roman" w:cs="Times New Roman"/>
          <w:color w:val="222222"/>
          <w:sz w:val="24"/>
          <w:szCs w:val="24"/>
          <w:shd w:val="clear" w:color="auto" w:fill="FFFFFF"/>
        </w:rPr>
        <w:t>Feskens</w:t>
      </w:r>
      <w:proofErr w:type="spellEnd"/>
      <w:r w:rsidRPr="002B0064">
        <w:rPr>
          <w:rFonts w:ascii="Times New Roman" w:hAnsi="Times New Roman" w:cs="Times New Roman"/>
          <w:color w:val="222222"/>
          <w:sz w:val="24"/>
          <w:szCs w:val="24"/>
          <w:shd w:val="clear" w:color="auto" w:fill="FFFFFF"/>
        </w:rPr>
        <w:t xml:space="preserve">, E.J., Berendsen, A.A., </w:t>
      </w:r>
      <w:proofErr w:type="spellStart"/>
      <w:r w:rsidRPr="002B0064">
        <w:rPr>
          <w:rFonts w:ascii="Times New Roman" w:hAnsi="Times New Roman" w:cs="Times New Roman"/>
          <w:color w:val="222222"/>
          <w:sz w:val="24"/>
          <w:szCs w:val="24"/>
          <w:shd w:val="clear" w:color="auto" w:fill="FFFFFF"/>
        </w:rPr>
        <w:t>Madej</w:t>
      </w:r>
      <w:proofErr w:type="spellEnd"/>
      <w:r w:rsidRPr="002B0064">
        <w:rPr>
          <w:rFonts w:ascii="Times New Roman" w:hAnsi="Times New Roman" w:cs="Times New Roman"/>
          <w:color w:val="222222"/>
          <w:sz w:val="24"/>
          <w:szCs w:val="24"/>
          <w:shd w:val="clear" w:color="auto" w:fill="FFFFFF"/>
        </w:rPr>
        <w:t xml:space="preserve">, D., Kaluza, J., </w:t>
      </w:r>
      <w:proofErr w:type="spellStart"/>
      <w:r w:rsidRPr="002B0064">
        <w:rPr>
          <w:rFonts w:ascii="Times New Roman" w:hAnsi="Times New Roman" w:cs="Times New Roman"/>
          <w:color w:val="222222"/>
          <w:sz w:val="24"/>
          <w:szCs w:val="24"/>
          <w:shd w:val="clear" w:color="auto" w:fill="FFFFFF"/>
        </w:rPr>
        <w:t>Pietruszka</w:t>
      </w:r>
      <w:proofErr w:type="spellEnd"/>
      <w:r w:rsidRPr="002B0064">
        <w:rPr>
          <w:rFonts w:ascii="Times New Roman" w:hAnsi="Times New Roman" w:cs="Times New Roman"/>
          <w:color w:val="222222"/>
          <w:sz w:val="24"/>
          <w:szCs w:val="24"/>
          <w:shd w:val="clear" w:color="auto" w:fill="FFFFFF"/>
        </w:rPr>
        <w:t xml:space="preserve">, B. and Jennings, A., 2020. Fighting sarcopenia in ageing </w:t>
      </w:r>
      <w:proofErr w:type="spellStart"/>
      <w:r w:rsidRPr="002B0064">
        <w:rPr>
          <w:rFonts w:ascii="Times New Roman" w:hAnsi="Times New Roman" w:cs="Times New Roman"/>
          <w:color w:val="222222"/>
          <w:sz w:val="24"/>
          <w:szCs w:val="24"/>
          <w:shd w:val="clear" w:color="auto" w:fill="FFFFFF"/>
        </w:rPr>
        <w:t>european</w:t>
      </w:r>
      <w:proofErr w:type="spellEnd"/>
      <w:r w:rsidRPr="002B0064">
        <w:rPr>
          <w:rFonts w:ascii="Times New Roman" w:hAnsi="Times New Roman" w:cs="Times New Roman"/>
          <w:color w:val="222222"/>
          <w:sz w:val="24"/>
          <w:szCs w:val="24"/>
          <w:shd w:val="clear" w:color="auto" w:fill="FFFFFF"/>
        </w:rPr>
        <w:t xml:space="preserve"> adults: The importance of the amount and source of dietary proteins. </w:t>
      </w:r>
      <w:r w:rsidRPr="002B0064">
        <w:rPr>
          <w:rFonts w:ascii="Times New Roman" w:hAnsi="Times New Roman" w:cs="Times New Roman"/>
          <w:i/>
          <w:iCs/>
          <w:color w:val="222222"/>
          <w:sz w:val="24"/>
          <w:szCs w:val="24"/>
          <w:shd w:val="clear" w:color="auto" w:fill="FFFFFF"/>
        </w:rPr>
        <w:t>Nutrients</w:t>
      </w:r>
      <w:r w:rsidRPr="002B0064">
        <w:rPr>
          <w:rFonts w:ascii="Times New Roman" w:hAnsi="Times New Roman" w:cs="Times New Roman"/>
          <w:color w:val="222222"/>
          <w:sz w:val="24"/>
          <w:szCs w:val="24"/>
          <w:shd w:val="clear" w:color="auto" w:fill="FFFFFF"/>
        </w:rPr>
        <w:t>, </w:t>
      </w:r>
      <w:r w:rsidRPr="002B0064">
        <w:rPr>
          <w:rFonts w:ascii="Times New Roman" w:hAnsi="Times New Roman" w:cs="Times New Roman"/>
          <w:i/>
          <w:iCs/>
          <w:color w:val="222222"/>
          <w:sz w:val="24"/>
          <w:szCs w:val="24"/>
          <w:shd w:val="clear" w:color="auto" w:fill="FFFFFF"/>
        </w:rPr>
        <w:t>12</w:t>
      </w:r>
      <w:r w:rsidRPr="002B0064">
        <w:rPr>
          <w:rFonts w:ascii="Times New Roman" w:hAnsi="Times New Roman" w:cs="Times New Roman"/>
          <w:color w:val="222222"/>
          <w:sz w:val="24"/>
          <w:szCs w:val="24"/>
          <w:shd w:val="clear" w:color="auto" w:fill="FFFFFF"/>
        </w:rPr>
        <w:t>(12), p.3601.</w:t>
      </w:r>
    </w:p>
    <w:p w14:paraId="7BE67113" w14:textId="77777777" w:rsidR="002B0064" w:rsidRPr="002B0064" w:rsidRDefault="002B0064" w:rsidP="003D15D7">
      <w:pPr>
        <w:spacing w:line="360" w:lineRule="auto"/>
        <w:jc w:val="both"/>
        <w:rPr>
          <w:rFonts w:ascii="Times New Roman" w:hAnsi="Times New Roman" w:cs="Times New Roman"/>
          <w:color w:val="222222"/>
          <w:sz w:val="24"/>
          <w:szCs w:val="24"/>
          <w:shd w:val="clear" w:color="auto" w:fill="FFFFFF"/>
        </w:rPr>
      </w:pPr>
      <w:proofErr w:type="spellStart"/>
      <w:r w:rsidRPr="002B0064">
        <w:rPr>
          <w:rFonts w:ascii="Times New Roman" w:hAnsi="Times New Roman" w:cs="Times New Roman"/>
          <w:color w:val="222222"/>
          <w:sz w:val="24"/>
          <w:szCs w:val="24"/>
          <w:shd w:val="clear" w:color="auto" w:fill="FFFFFF"/>
        </w:rPr>
        <w:lastRenderedPageBreak/>
        <w:t>Poortinga</w:t>
      </w:r>
      <w:proofErr w:type="spellEnd"/>
      <w:r w:rsidRPr="002B0064">
        <w:rPr>
          <w:rFonts w:ascii="Times New Roman" w:hAnsi="Times New Roman" w:cs="Times New Roman"/>
          <w:color w:val="222222"/>
          <w:sz w:val="24"/>
          <w:szCs w:val="24"/>
          <w:shd w:val="clear" w:color="auto" w:fill="FFFFFF"/>
        </w:rPr>
        <w:t xml:space="preserve">, W., Whitmarsh, L., Steg, L., </w:t>
      </w:r>
      <w:proofErr w:type="spellStart"/>
      <w:r w:rsidRPr="002B0064">
        <w:rPr>
          <w:rFonts w:ascii="Times New Roman" w:hAnsi="Times New Roman" w:cs="Times New Roman"/>
          <w:color w:val="222222"/>
          <w:sz w:val="24"/>
          <w:szCs w:val="24"/>
          <w:shd w:val="clear" w:color="auto" w:fill="FFFFFF"/>
        </w:rPr>
        <w:t>Böhm</w:t>
      </w:r>
      <w:proofErr w:type="spellEnd"/>
      <w:r w:rsidRPr="002B0064">
        <w:rPr>
          <w:rFonts w:ascii="Times New Roman" w:hAnsi="Times New Roman" w:cs="Times New Roman"/>
          <w:color w:val="222222"/>
          <w:sz w:val="24"/>
          <w:szCs w:val="24"/>
          <w:shd w:val="clear" w:color="auto" w:fill="FFFFFF"/>
        </w:rPr>
        <w:t>, G. and Fisher, S., 2019. Climate change perceptions and their individual-level determinants: A cross-European analysis. </w:t>
      </w:r>
      <w:r w:rsidRPr="002B0064">
        <w:rPr>
          <w:rFonts w:ascii="Times New Roman" w:hAnsi="Times New Roman" w:cs="Times New Roman"/>
          <w:i/>
          <w:iCs/>
          <w:color w:val="222222"/>
          <w:sz w:val="24"/>
          <w:szCs w:val="24"/>
          <w:shd w:val="clear" w:color="auto" w:fill="FFFFFF"/>
        </w:rPr>
        <w:t>Global Environmental Change</w:t>
      </w:r>
      <w:r w:rsidRPr="002B0064">
        <w:rPr>
          <w:rFonts w:ascii="Times New Roman" w:hAnsi="Times New Roman" w:cs="Times New Roman"/>
          <w:color w:val="222222"/>
          <w:sz w:val="24"/>
          <w:szCs w:val="24"/>
          <w:shd w:val="clear" w:color="auto" w:fill="FFFFFF"/>
        </w:rPr>
        <w:t>, </w:t>
      </w:r>
      <w:r w:rsidRPr="002B0064">
        <w:rPr>
          <w:rFonts w:ascii="Times New Roman" w:hAnsi="Times New Roman" w:cs="Times New Roman"/>
          <w:i/>
          <w:iCs/>
          <w:color w:val="222222"/>
          <w:sz w:val="24"/>
          <w:szCs w:val="24"/>
          <w:shd w:val="clear" w:color="auto" w:fill="FFFFFF"/>
        </w:rPr>
        <w:t>55</w:t>
      </w:r>
      <w:r w:rsidRPr="002B0064">
        <w:rPr>
          <w:rFonts w:ascii="Times New Roman" w:hAnsi="Times New Roman" w:cs="Times New Roman"/>
          <w:color w:val="222222"/>
          <w:sz w:val="24"/>
          <w:szCs w:val="24"/>
          <w:shd w:val="clear" w:color="auto" w:fill="FFFFFF"/>
        </w:rPr>
        <w:t>, pp.25-35.</w:t>
      </w:r>
    </w:p>
    <w:p w14:paraId="528CD9AA" w14:textId="77777777" w:rsidR="002B0064" w:rsidRPr="002B0064" w:rsidRDefault="002B0064" w:rsidP="003D15D7">
      <w:pPr>
        <w:spacing w:line="360" w:lineRule="auto"/>
        <w:jc w:val="both"/>
        <w:rPr>
          <w:rFonts w:ascii="Times New Roman" w:hAnsi="Times New Roman" w:cs="Times New Roman"/>
          <w:color w:val="222222"/>
          <w:sz w:val="24"/>
          <w:szCs w:val="24"/>
          <w:shd w:val="clear" w:color="auto" w:fill="FFFFFF"/>
        </w:rPr>
      </w:pPr>
      <w:proofErr w:type="spellStart"/>
      <w:r w:rsidRPr="002B0064">
        <w:rPr>
          <w:rFonts w:ascii="Times New Roman" w:hAnsi="Times New Roman" w:cs="Times New Roman"/>
          <w:color w:val="222222"/>
          <w:sz w:val="24"/>
          <w:szCs w:val="24"/>
          <w:shd w:val="clear" w:color="auto" w:fill="FFFFFF"/>
        </w:rPr>
        <w:t>Rauh</w:t>
      </w:r>
      <w:proofErr w:type="spellEnd"/>
      <w:r w:rsidRPr="002B0064">
        <w:rPr>
          <w:rFonts w:ascii="Times New Roman" w:hAnsi="Times New Roman" w:cs="Times New Roman"/>
          <w:color w:val="222222"/>
          <w:sz w:val="24"/>
          <w:szCs w:val="24"/>
          <w:shd w:val="clear" w:color="auto" w:fill="FFFFFF"/>
        </w:rPr>
        <w:t>, C., 2019. EU politicization and policy initiatives of the European Commission: The case of consumer policy. </w:t>
      </w:r>
      <w:r w:rsidRPr="002B0064">
        <w:rPr>
          <w:rFonts w:ascii="Times New Roman" w:hAnsi="Times New Roman" w:cs="Times New Roman"/>
          <w:i/>
          <w:iCs/>
          <w:color w:val="222222"/>
          <w:sz w:val="24"/>
          <w:szCs w:val="24"/>
          <w:shd w:val="clear" w:color="auto" w:fill="FFFFFF"/>
        </w:rPr>
        <w:t>Journal of European Public Policy</w:t>
      </w:r>
      <w:r w:rsidRPr="002B0064">
        <w:rPr>
          <w:rFonts w:ascii="Times New Roman" w:hAnsi="Times New Roman" w:cs="Times New Roman"/>
          <w:color w:val="222222"/>
          <w:sz w:val="24"/>
          <w:szCs w:val="24"/>
          <w:shd w:val="clear" w:color="auto" w:fill="FFFFFF"/>
        </w:rPr>
        <w:t>, </w:t>
      </w:r>
      <w:r w:rsidRPr="002B0064">
        <w:rPr>
          <w:rFonts w:ascii="Times New Roman" w:hAnsi="Times New Roman" w:cs="Times New Roman"/>
          <w:i/>
          <w:iCs/>
          <w:color w:val="222222"/>
          <w:sz w:val="24"/>
          <w:szCs w:val="24"/>
          <w:shd w:val="clear" w:color="auto" w:fill="FFFFFF"/>
        </w:rPr>
        <w:t>26</w:t>
      </w:r>
      <w:r w:rsidRPr="002B0064">
        <w:rPr>
          <w:rFonts w:ascii="Times New Roman" w:hAnsi="Times New Roman" w:cs="Times New Roman"/>
          <w:color w:val="222222"/>
          <w:sz w:val="24"/>
          <w:szCs w:val="24"/>
          <w:shd w:val="clear" w:color="auto" w:fill="FFFFFF"/>
        </w:rPr>
        <w:t>(3), pp.344-365.</w:t>
      </w:r>
    </w:p>
    <w:p w14:paraId="00874107" w14:textId="77777777" w:rsidR="002B0064" w:rsidRPr="002B0064" w:rsidRDefault="002B0064" w:rsidP="003D15D7">
      <w:pPr>
        <w:spacing w:line="360" w:lineRule="auto"/>
        <w:jc w:val="both"/>
        <w:rPr>
          <w:rFonts w:ascii="Times New Roman" w:hAnsi="Times New Roman" w:cs="Times New Roman"/>
          <w:color w:val="222222"/>
          <w:sz w:val="24"/>
          <w:szCs w:val="24"/>
          <w:shd w:val="clear" w:color="auto" w:fill="FFFFFF"/>
        </w:rPr>
      </w:pPr>
      <w:r w:rsidRPr="002B0064">
        <w:rPr>
          <w:rFonts w:ascii="Times New Roman" w:hAnsi="Times New Roman" w:cs="Times New Roman"/>
          <w:color w:val="222222"/>
          <w:sz w:val="24"/>
          <w:szCs w:val="24"/>
          <w:shd w:val="clear" w:color="auto" w:fill="FFFFFF"/>
        </w:rPr>
        <w:t xml:space="preserve"> </w:t>
      </w:r>
      <w:proofErr w:type="spellStart"/>
      <w:r w:rsidRPr="002B0064">
        <w:rPr>
          <w:rFonts w:ascii="Times New Roman" w:hAnsi="Times New Roman" w:cs="Times New Roman"/>
          <w:color w:val="222222"/>
          <w:sz w:val="24"/>
          <w:szCs w:val="24"/>
          <w:shd w:val="clear" w:color="auto" w:fill="FFFFFF"/>
        </w:rPr>
        <w:t>Seabrooke</w:t>
      </w:r>
      <w:proofErr w:type="spellEnd"/>
      <w:r w:rsidRPr="002B0064">
        <w:rPr>
          <w:rFonts w:ascii="Times New Roman" w:hAnsi="Times New Roman" w:cs="Times New Roman"/>
          <w:color w:val="222222"/>
          <w:sz w:val="24"/>
          <w:szCs w:val="24"/>
          <w:shd w:val="clear" w:color="auto" w:fill="FFFFFF"/>
        </w:rPr>
        <w:t xml:space="preserve">, L., </w:t>
      </w:r>
      <w:proofErr w:type="spellStart"/>
      <w:r w:rsidRPr="002B0064">
        <w:rPr>
          <w:rFonts w:ascii="Times New Roman" w:hAnsi="Times New Roman" w:cs="Times New Roman"/>
          <w:color w:val="222222"/>
          <w:sz w:val="24"/>
          <w:szCs w:val="24"/>
          <w:shd w:val="clear" w:color="auto" w:fill="FFFFFF"/>
        </w:rPr>
        <w:t>Tsingou</w:t>
      </w:r>
      <w:proofErr w:type="spellEnd"/>
      <w:r w:rsidRPr="002B0064">
        <w:rPr>
          <w:rFonts w:ascii="Times New Roman" w:hAnsi="Times New Roman" w:cs="Times New Roman"/>
          <w:color w:val="222222"/>
          <w:sz w:val="24"/>
          <w:szCs w:val="24"/>
          <w:shd w:val="clear" w:color="auto" w:fill="FFFFFF"/>
        </w:rPr>
        <w:t>, E. and Willers, J.O., 2020. The political economy of policy vacuums: The European Commission on democratic change. </w:t>
      </w:r>
      <w:r w:rsidRPr="002B0064">
        <w:rPr>
          <w:rFonts w:ascii="Times New Roman" w:hAnsi="Times New Roman" w:cs="Times New Roman"/>
          <w:i/>
          <w:iCs/>
          <w:color w:val="222222"/>
          <w:sz w:val="24"/>
          <w:szCs w:val="24"/>
          <w:shd w:val="clear" w:color="auto" w:fill="FFFFFF"/>
        </w:rPr>
        <w:t>New Political Economy</w:t>
      </w:r>
      <w:r w:rsidRPr="002B0064">
        <w:rPr>
          <w:rFonts w:ascii="Times New Roman" w:hAnsi="Times New Roman" w:cs="Times New Roman"/>
          <w:color w:val="222222"/>
          <w:sz w:val="24"/>
          <w:szCs w:val="24"/>
          <w:shd w:val="clear" w:color="auto" w:fill="FFFFFF"/>
        </w:rPr>
        <w:t>, </w:t>
      </w:r>
      <w:r w:rsidRPr="002B0064">
        <w:rPr>
          <w:rFonts w:ascii="Times New Roman" w:hAnsi="Times New Roman" w:cs="Times New Roman"/>
          <w:i/>
          <w:iCs/>
          <w:color w:val="222222"/>
          <w:sz w:val="24"/>
          <w:szCs w:val="24"/>
          <w:shd w:val="clear" w:color="auto" w:fill="FFFFFF"/>
        </w:rPr>
        <w:t>25</w:t>
      </w:r>
      <w:r w:rsidRPr="002B0064">
        <w:rPr>
          <w:rFonts w:ascii="Times New Roman" w:hAnsi="Times New Roman" w:cs="Times New Roman"/>
          <w:color w:val="222222"/>
          <w:sz w:val="24"/>
          <w:szCs w:val="24"/>
          <w:shd w:val="clear" w:color="auto" w:fill="FFFFFF"/>
        </w:rPr>
        <w:t>(6), pp.1007-1021.</w:t>
      </w:r>
    </w:p>
    <w:p w14:paraId="5FD65D18" w14:textId="77777777" w:rsidR="002B0064" w:rsidRPr="002B0064" w:rsidRDefault="002B0064" w:rsidP="002B0064">
      <w:pPr>
        <w:spacing w:after="160" w:line="259" w:lineRule="auto"/>
        <w:rPr>
          <w:rFonts w:ascii="Times New Roman" w:eastAsia="Calibri" w:hAnsi="Times New Roman" w:cs="Times New Roman"/>
          <w:sz w:val="24"/>
          <w:szCs w:val="24"/>
          <w:lang w:val="en-US"/>
        </w:rPr>
      </w:pPr>
      <w:proofErr w:type="spellStart"/>
      <w:r w:rsidRPr="002B0064">
        <w:rPr>
          <w:rFonts w:ascii="Times New Roman" w:eastAsia="Calibri" w:hAnsi="Times New Roman" w:cs="Times New Roman"/>
          <w:sz w:val="24"/>
          <w:szCs w:val="24"/>
          <w:lang w:val="en-US"/>
        </w:rPr>
        <w:t>Sloam</w:t>
      </w:r>
      <w:proofErr w:type="spellEnd"/>
      <w:r w:rsidRPr="002B0064">
        <w:rPr>
          <w:rFonts w:ascii="Times New Roman" w:eastAsia="Calibri" w:hAnsi="Times New Roman" w:cs="Times New Roman"/>
          <w:sz w:val="24"/>
          <w:szCs w:val="24"/>
          <w:lang w:val="en-US"/>
        </w:rPr>
        <w:t>, J., 2007. Rebooting democracy: Youth participation in politics in the UK. </w:t>
      </w:r>
      <w:r w:rsidRPr="002B0064">
        <w:rPr>
          <w:rFonts w:ascii="Times New Roman" w:eastAsia="Calibri" w:hAnsi="Times New Roman" w:cs="Times New Roman"/>
          <w:i/>
          <w:iCs/>
          <w:sz w:val="24"/>
          <w:szCs w:val="24"/>
          <w:lang w:val="en-US"/>
        </w:rPr>
        <w:t>Parliamentary affairs</w:t>
      </w:r>
      <w:r w:rsidRPr="002B0064">
        <w:rPr>
          <w:rFonts w:ascii="Times New Roman" w:eastAsia="Calibri" w:hAnsi="Times New Roman" w:cs="Times New Roman"/>
          <w:sz w:val="24"/>
          <w:szCs w:val="24"/>
          <w:lang w:val="en-US"/>
        </w:rPr>
        <w:t>, </w:t>
      </w:r>
      <w:r w:rsidRPr="002B0064">
        <w:rPr>
          <w:rFonts w:ascii="Times New Roman" w:eastAsia="Calibri" w:hAnsi="Times New Roman" w:cs="Times New Roman"/>
          <w:i/>
          <w:iCs/>
          <w:sz w:val="24"/>
          <w:szCs w:val="24"/>
          <w:lang w:val="en-US"/>
        </w:rPr>
        <w:t>60</w:t>
      </w:r>
      <w:r w:rsidRPr="002B0064">
        <w:rPr>
          <w:rFonts w:ascii="Times New Roman" w:eastAsia="Calibri" w:hAnsi="Times New Roman" w:cs="Times New Roman"/>
          <w:sz w:val="24"/>
          <w:szCs w:val="24"/>
          <w:lang w:val="en-US"/>
        </w:rPr>
        <w:t>(4), pp.548-567.</w:t>
      </w:r>
    </w:p>
    <w:p w14:paraId="3B1DFF9F" w14:textId="77777777" w:rsidR="002B0064" w:rsidRPr="003D15D7" w:rsidRDefault="002B0064" w:rsidP="003D15D7">
      <w:pPr>
        <w:spacing w:line="360" w:lineRule="auto"/>
        <w:jc w:val="both"/>
        <w:rPr>
          <w:rFonts w:ascii="Times New Roman" w:hAnsi="Times New Roman" w:cs="Times New Roman"/>
          <w:color w:val="222222"/>
          <w:sz w:val="24"/>
          <w:szCs w:val="24"/>
          <w:shd w:val="clear" w:color="auto" w:fill="FFFFFF"/>
        </w:rPr>
      </w:pPr>
    </w:p>
    <w:p w14:paraId="315A19F9" w14:textId="77777777" w:rsidR="004F6F04" w:rsidRPr="003D15D7" w:rsidRDefault="004F6F04" w:rsidP="003D15D7">
      <w:pPr>
        <w:spacing w:line="360" w:lineRule="auto"/>
        <w:jc w:val="both"/>
        <w:rPr>
          <w:rFonts w:ascii="Times New Roman" w:hAnsi="Times New Roman" w:cs="Times New Roman"/>
          <w:sz w:val="24"/>
          <w:szCs w:val="24"/>
        </w:rPr>
      </w:pPr>
    </w:p>
    <w:p w14:paraId="68A34331" w14:textId="77777777" w:rsidR="00D0492C" w:rsidRPr="003D15D7" w:rsidRDefault="00D0492C" w:rsidP="003D15D7">
      <w:pPr>
        <w:spacing w:line="360" w:lineRule="auto"/>
        <w:jc w:val="both"/>
        <w:rPr>
          <w:rFonts w:ascii="Times New Roman" w:hAnsi="Times New Roman" w:cs="Times New Roman"/>
          <w:sz w:val="24"/>
          <w:szCs w:val="24"/>
        </w:rPr>
      </w:pPr>
    </w:p>
    <w:sectPr w:rsidR="00D0492C" w:rsidRPr="003D15D7" w:rsidSect="00267EDB">
      <w:footerReference w:type="default" r:id="rId7"/>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051DA6" w14:textId="77777777" w:rsidR="00BA3778" w:rsidRDefault="00BA3778" w:rsidP="004C20D9">
      <w:pPr>
        <w:spacing w:after="0" w:line="240" w:lineRule="auto"/>
      </w:pPr>
      <w:r>
        <w:separator/>
      </w:r>
    </w:p>
  </w:endnote>
  <w:endnote w:type="continuationSeparator" w:id="0">
    <w:p w14:paraId="19E1A161" w14:textId="77777777" w:rsidR="00BA3778" w:rsidRDefault="00BA3778" w:rsidP="004C20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1686665"/>
      <w:docPartObj>
        <w:docPartGallery w:val="Page Numbers (Bottom of Page)"/>
        <w:docPartUnique/>
      </w:docPartObj>
    </w:sdtPr>
    <w:sdtEndPr>
      <w:rPr>
        <w:noProof/>
      </w:rPr>
    </w:sdtEndPr>
    <w:sdtContent>
      <w:p w14:paraId="1952E582" w14:textId="77777777" w:rsidR="004C20D9" w:rsidRDefault="004C20D9">
        <w:pPr>
          <w:pStyle w:val="Footer"/>
          <w:jc w:val="right"/>
        </w:pPr>
        <w:r>
          <w:fldChar w:fldCharType="begin"/>
        </w:r>
        <w:r>
          <w:instrText xml:space="preserve"> PAGE   \* MERGEFORMAT </w:instrText>
        </w:r>
        <w:r>
          <w:fldChar w:fldCharType="separate"/>
        </w:r>
        <w:r w:rsidR="004E2C50">
          <w:rPr>
            <w:noProof/>
          </w:rPr>
          <w:t>2</w:t>
        </w:r>
        <w:r>
          <w:rPr>
            <w:noProof/>
          </w:rPr>
          <w:fldChar w:fldCharType="end"/>
        </w:r>
      </w:p>
    </w:sdtContent>
  </w:sdt>
  <w:p w14:paraId="1C3B7955" w14:textId="77777777" w:rsidR="004C20D9" w:rsidRDefault="004C20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57EDD9" w14:textId="77777777" w:rsidR="00BA3778" w:rsidRDefault="00BA3778" w:rsidP="004C20D9">
      <w:pPr>
        <w:spacing w:after="0" w:line="240" w:lineRule="auto"/>
      </w:pPr>
      <w:r>
        <w:separator/>
      </w:r>
    </w:p>
  </w:footnote>
  <w:footnote w:type="continuationSeparator" w:id="0">
    <w:p w14:paraId="2FB23486" w14:textId="77777777" w:rsidR="00BA3778" w:rsidRDefault="00BA3778" w:rsidP="004C20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0D6259"/>
    <w:multiLevelType w:val="hybridMultilevel"/>
    <w:tmpl w:val="4DA655A6"/>
    <w:lvl w:ilvl="0" w:tplc="40090001">
      <w:start w:val="1"/>
      <w:numFmt w:val="bullet"/>
      <w:lvlText w:val=""/>
      <w:lvlJc w:val="left"/>
      <w:pPr>
        <w:ind w:left="766" w:hanging="360"/>
      </w:pPr>
      <w:rPr>
        <w:rFonts w:ascii="Symbol" w:hAnsi="Symbol" w:hint="default"/>
      </w:rPr>
    </w:lvl>
    <w:lvl w:ilvl="1" w:tplc="40090003" w:tentative="1">
      <w:start w:val="1"/>
      <w:numFmt w:val="bullet"/>
      <w:lvlText w:val="o"/>
      <w:lvlJc w:val="left"/>
      <w:pPr>
        <w:ind w:left="1486" w:hanging="360"/>
      </w:pPr>
      <w:rPr>
        <w:rFonts w:ascii="Courier New" w:hAnsi="Courier New" w:cs="Courier New" w:hint="default"/>
      </w:rPr>
    </w:lvl>
    <w:lvl w:ilvl="2" w:tplc="40090005" w:tentative="1">
      <w:start w:val="1"/>
      <w:numFmt w:val="bullet"/>
      <w:lvlText w:val=""/>
      <w:lvlJc w:val="left"/>
      <w:pPr>
        <w:ind w:left="2206" w:hanging="360"/>
      </w:pPr>
      <w:rPr>
        <w:rFonts w:ascii="Wingdings" w:hAnsi="Wingdings" w:hint="default"/>
      </w:rPr>
    </w:lvl>
    <w:lvl w:ilvl="3" w:tplc="40090001" w:tentative="1">
      <w:start w:val="1"/>
      <w:numFmt w:val="bullet"/>
      <w:lvlText w:val=""/>
      <w:lvlJc w:val="left"/>
      <w:pPr>
        <w:ind w:left="2926" w:hanging="360"/>
      </w:pPr>
      <w:rPr>
        <w:rFonts w:ascii="Symbol" w:hAnsi="Symbol" w:hint="default"/>
      </w:rPr>
    </w:lvl>
    <w:lvl w:ilvl="4" w:tplc="40090003" w:tentative="1">
      <w:start w:val="1"/>
      <w:numFmt w:val="bullet"/>
      <w:lvlText w:val="o"/>
      <w:lvlJc w:val="left"/>
      <w:pPr>
        <w:ind w:left="3646" w:hanging="360"/>
      </w:pPr>
      <w:rPr>
        <w:rFonts w:ascii="Courier New" w:hAnsi="Courier New" w:cs="Courier New" w:hint="default"/>
      </w:rPr>
    </w:lvl>
    <w:lvl w:ilvl="5" w:tplc="40090005" w:tentative="1">
      <w:start w:val="1"/>
      <w:numFmt w:val="bullet"/>
      <w:lvlText w:val=""/>
      <w:lvlJc w:val="left"/>
      <w:pPr>
        <w:ind w:left="4366" w:hanging="360"/>
      </w:pPr>
      <w:rPr>
        <w:rFonts w:ascii="Wingdings" w:hAnsi="Wingdings" w:hint="default"/>
      </w:rPr>
    </w:lvl>
    <w:lvl w:ilvl="6" w:tplc="40090001" w:tentative="1">
      <w:start w:val="1"/>
      <w:numFmt w:val="bullet"/>
      <w:lvlText w:val=""/>
      <w:lvlJc w:val="left"/>
      <w:pPr>
        <w:ind w:left="5086" w:hanging="360"/>
      </w:pPr>
      <w:rPr>
        <w:rFonts w:ascii="Symbol" w:hAnsi="Symbol" w:hint="default"/>
      </w:rPr>
    </w:lvl>
    <w:lvl w:ilvl="7" w:tplc="40090003" w:tentative="1">
      <w:start w:val="1"/>
      <w:numFmt w:val="bullet"/>
      <w:lvlText w:val="o"/>
      <w:lvlJc w:val="left"/>
      <w:pPr>
        <w:ind w:left="5806" w:hanging="360"/>
      </w:pPr>
      <w:rPr>
        <w:rFonts w:ascii="Courier New" w:hAnsi="Courier New" w:cs="Courier New" w:hint="default"/>
      </w:rPr>
    </w:lvl>
    <w:lvl w:ilvl="8" w:tplc="40090005" w:tentative="1">
      <w:start w:val="1"/>
      <w:numFmt w:val="bullet"/>
      <w:lvlText w:val=""/>
      <w:lvlJc w:val="left"/>
      <w:pPr>
        <w:ind w:left="6526" w:hanging="360"/>
      </w:pPr>
      <w:rPr>
        <w:rFonts w:ascii="Wingdings" w:hAnsi="Wingdings" w:hint="default"/>
      </w:rPr>
    </w:lvl>
  </w:abstractNum>
  <w:abstractNum w:abstractNumId="1" w15:restartNumberingAfterBreak="0">
    <w:nsid w:val="4FF0008D"/>
    <w:multiLevelType w:val="hybridMultilevel"/>
    <w:tmpl w:val="A7284D1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6AF75847"/>
    <w:multiLevelType w:val="hybridMultilevel"/>
    <w:tmpl w:val="62F2760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7A5A27FD"/>
    <w:multiLevelType w:val="hybridMultilevel"/>
    <w:tmpl w:val="83A4955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068F"/>
    <w:rsid w:val="001653B8"/>
    <w:rsid w:val="001C7350"/>
    <w:rsid w:val="001E46AA"/>
    <w:rsid w:val="00267EDB"/>
    <w:rsid w:val="002B0064"/>
    <w:rsid w:val="003B55E6"/>
    <w:rsid w:val="003D15D7"/>
    <w:rsid w:val="003E588C"/>
    <w:rsid w:val="0044084F"/>
    <w:rsid w:val="00453AD6"/>
    <w:rsid w:val="004872AD"/>
    <w:rsid w:val="004A2D56"/>
    <w:rsid w:val="004C20D9"/>
    <w:rsid w:val="004E2C50"/>
    <w:rsid w:val="004F6F04"/>
    <w:rsid w:val="004F7B92"/>
    <w:rsid w:val="005E3BA4"/>
    <w:rsid w:val="005E48CB"/>
    <w:rsid w:val="006250DC"/>
    <w:rsid w:val="006A1A13"/>
    <w:rsid w:val="006E68CB"/>
    <w:rsid w:val="008A6E73"/>
    <w:rsid w:val="008B68CE"/>
    <w:rsid w:val="00B45B89"/>
    <w:rsid w:val="00BA3778"/>
    <w:rsid w:val="00C87AC0"/>
    <w:rsid w:val="00D0492C"/>
    <w:rsid w:val="00D93DED"/>
    <w:rsid w:val="00E23936"/>
    <w:rsid w:val="00F02759"/>
    <w:rsid w:val="00F7068F"/>
    <w:rsid w:val="00FD6E51"/>
    <w:rsid w:val="00FF143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AE94DA"/>
  <w15:docId w15:val="{C568B3B2-AFFA-4ACE-9FE9-84FEA26B3C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15D7"/>
    <w:pPr>
      <w:keepNext/>
      <w:keepLines/>
      <w:spacing w:before="480" w:after="0" w:line="360" w:lineRule="auto"/>
      <w:jc w:val="both"/>
      <w:outlineLvl w:val="0"/>
    </w:pPr>
    <w:rPr>
      <w:rFonts w:ascii="Times New Roman" w:eastAsiaTheme="majorEastAsia" w:hAnsi="Times New Roman" w:cstheme="majorBidi"/>
      <w:b/>
      <w:bCs/>
      <w:color w:val="000000" w:themeColor="tex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02759"/>
    <w:pPr>
      <w:ind w:left="720"/>
      <w:contextualSpacing/>
    </w:pPr>
  </w:style>
  <w:style w:type="character" w:customStyle="1" w:styleId="Heading1Char">
    <w:name w:val="Heading 1 Char"/>
    <w:basedOn w:val="DefaultParagraphFont"/>
    <w:link w:val="Heading1"/>
    <w:uiPriority w:val="9"/>
    <w:rsid w:val="003D15D7"/>
    <w:rPr>
      <w:rFonts w:ascii="Times New Roman" w:eastAsiaTheme="majorEastAsia" w:hAnsi="Times New Roman" w:cstheme="majorBidi"/>
      <w:b/>
      <w:bCs/>
      <w:color w:val="000000" w:themeColor="text1"/>
      <w:sz w:val="28"/>
      <w:szCs w:val="28"/>
    </w:rPr>
  </w:style>
  <w:style w:type="paragraph" w:styleId="Header">
    <w:name w:val="header"/>
    <w:basedOn w:val="Normal"/>
    <w:link w:val="HeaderChar"/>
    <w:uiPriority w:val="99"/>
    <w:unhideWhenUsed/>
    <w:rsid w:val="004C20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20D9"/>
  </w:style>
  <w:style w:type="paragraph" w:styleId="Footer">
    <w:name w:val="footer"/>
    <w:basedOn w:val="Normal"/>
    <w:link w:val="FooterChar"/>
    <w:uiPriority w:val="99"/>
    <w:unhideWhenUsed/>
    <w:rsid w:val="004C20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20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9</Pages>
  <Words>2458</Words>
  <Characters>14014</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16440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Sayantani Paul</dc:creator>
  <cp:lastModifiedBy>Faisal Shamsdin</cp:lastModifiedBy>
  <cp:revision>2</cp:revision>
  <dcterms:created xsi:type="dcterms:W3CDTF">2022-03-04T23:45:00Z</dcterms:created>
  <dcterms:modified xsi:type="dcterms:W3CDTF">2022-03-04T23:45:00Z</dcterms:modified>
</cp:coreProperties>
</file>