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79D9BBCE">
            <wp:simplePos x="0" y="0"/>
            <wp:positionH relativeFrom="margin">
              <wp:align>center</wp:align>
            </wp:positionH>
            <wp:positionV relativeFrom="paragraph">
              <wp:posOffset>11430</wp:posOffset>
            </wp:positionV>
            <wp:extent cx="3114675" cy="1048111"/>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a:ext>
                      </a:extLst>
                    </a:blip>
                    <a:srcRect r="23643"/>
                    <a:stretch/>
                  </pic:blipFill>
                  <pic:spPr bwMode="auto">
                    <a:xfrm>
                      <a:off x="0" y="0"/>
                      <a:ext cx="3114675" cy="1048111"/>
                    </a:xfrm>
                    <a:prstGeom prst="rect">
                      <a:avLst/>
                    </a:prstGeom>
                    <a:noFill/>
                    <a:ln>
                      <a:noFill/>
                    </a:ln>
                  </pic:spPr>
                </pic:pic>
              </a:graphicData>
            </a:graphic>
            <wp14:sizeRelH relativeFrom="margin">
              <wp14:pctWidth>0</wp14:pctWidth>
            </wp14:sizeRelH>
          </wp:anchor>
        </w:drawing>
      </w:r>
    </w:p>
    <w:p w14:paraId="224238DC" w14:textId="184BA41B" w:rsidR="4F26DC6A" w:rsidRDefault="4F26DC6A" w:rsidP="4F26DC6A">
      <w:pPr>
        <w:rPr>
          <w:rFonts w:ascii="Arial" w:eastAsia="Arial" w:hAnsi="Arial" w:cs="Arial"/>
          <w:b/>
          <w:bCs/>
          <w:sz w:val="32"/>
          <w:szCs w:val="32"/>
        </w:rPr>
      </w:pPr>
    </w:p>
    <w:p w14:paraId="6D29CD44" w14:textId="589A5F68" w:rsidR="00063B4C" w:rsidRPr="00063B4C" w:rsidRDefault="00063B4C" w:rsidP="0E260372">
      <w:pPr>
        <w:rPr>
          <w:rFonts w:ascii="Arial" w:eastAsia="Arial" w:hAnsi="Arial" w:cs="Arial"/>
          <w:b/>
          <w:bCs/>
          <w:sz w:val="32"/>
          <w:szCs w:val="32"/>
        </w:rPr>
      </w:pPr>
      <w:r w:rsidRPr="0E260372">
        <w:rPr>
          <w:rFonts w:ascii="Arial" w:eastAsia="Arial" w:hAnsi="Arial" w:cs="Arial"/>
          <w:b/>
          <w:bCs/>
          <w:sz w:val="32"/>
          <w:szCs w:val="32"/>
        </w:rPr>
        <w:t>Disclaimer</w:t>
      </w:r>
    </w:p>
    <w:p w14:paraId="2E1C9484" w14:textId="06AB797C" w:rsidR="00604A87" w:rsidRDefault="00063B4C" w:rsidP="0E260372">
      <w:pPr>
        <w:spacing w:before="62"/>
        <w:ind w:right="96"/>
        <w:jc w:val="left"/>
        <w:rPr>
          <w:rFonts w:ascii="Arial" w:eastAsia="Arial" w:hAnsi="Arial" w:cs="Arial"/>
        </w:rPr>
      </w:pPr>
      <w:r w:rsidRPr="0E260372">
        <w:rPr>
          <w:rFonts w:ascii="Arial" w:eastAsia="Arial" w:hAnsi="Arial" w:cs="Arial"/>
        </w:rPr>
        <w:t xml:space="preserve">This document was correct at the time of publication. The Module Coordinator reserves the right to modify any </w:t>
      </w:r>
      <w:r w:rsidR="757B3770" w:rsidRPr="0E260372">
        <w:rPr>
          <w:rFonts w:ascii="Arial" w:eastAsia="Arial" w:hAnsi="Arial" w:cs="Arial"/>
        </w:rPr>
        <w:t>statement,</w:t>
      </w:r>
      <w:r w:rsidRPr="0E260372">
        <w:rPr>
          <w:rFonts w:ascii="Arial" w:eastAsia="Arial" w:hAnsi="Arial" w:cs="Arial"/>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E260372">
      <w:pPr>
        <w:jc w:val="left"/>
        <w:rPr>
          <w:rFonts w:eastAsia="Times New Roman" w:cs="Arial"/>
          <w:b/>
          <w:bCs/>
          <w:sz w:val="28"/>
          <w:szCs w:val="28"/>
        </w:rPr>
      </w:pPr>
    </w:p>
    <w:p w14:paraId="3492E4C4" w14:textId="45AA03BC" w:rsidR="00604A87" w:rsidRPr="0073280B" w:rsidRDefault="00604A87" w:rsidP="0E260372">
      <w:pPr>
        <w:jc w:val="left"/>
        <w:rPr>
          <w:rFonts w:ascii="Arial" w:eastAsia="Arial" w:hAnsi="Arial" w:cs="Arial"/>
          <w:b/>
          <w:bCs/>
          <w:sz w:val="32"/>
          <w:szCs w:val="32"/>
        </w:rPr>
      </w:pPr>
      <w:r w:rsidRPr="0E260372">
        <w:rPr>
          <w:rFonts w:ascii="Arial" w:eastAsia="Arial" w:hAnsi="Arial" w:cs="Arial"/>
          <w:b/>
          <w:bCs/>
          <w:sz w:val="32"/>
          <w:szCs w:val="32"/>
        </w:rPr>
        <w:t>DECLARATION</w:t>
      </w:r>
    </w:p>
    <w:p w14:paraId="113CAAED" w14:textId="2CC33593" w:rsidR="00604A87" w:rsidRPr="00604A87" w:rsidRDefault="00604A87" w:rsidP="0E260372">
      <w:pPr>
        <w:jc w:val="left"/>
        <w:rPr>
          <w:rFonts w:ascii="Arial" w:eastAsia="Arial" w:hAnsi="Arial" w:cs="Arial"/>
        </w:rPr>
      </w:pPr>
      <w:r w:rsidRPr="0E260372">
        <w:rPr>
          <w:rFonts w:ascii="Arial" w:eastAsia="Arial" w:hAnsi="Arial" w:cs="Arial"/>
        </w:rPr>
        <w:t>This work has not previously been accepted in substance for any degree and is not being concurrently submitted in candidature for any degree</w:t>
      </w:r>
    </w:p>
    <w:p w14:paraId="3EF51212" w14:textId="3095CEAD" w:rsidR="00604A87" w:rsidRPr="00604A87" w:rsidRDefault="00604A87" w:rsidP="0E260372">
      <w:pPr>
        <w:jc w:val="left"/>
        <w:rPr>
          <w:rFonts w:ascii="Arial" w:eastAsia="Arial" w:hAnsi="Arial" w:cs="Arial"/>
        </w:rPr>
      </w:pPr>
      <w:r w:rsidRPr="0E260372">
        <w:rPr>
          <w:rFonts w:ascii="Arial" w:eastAsia="Arial" w:hAnsi="Arial" w:cs="Arial"/>
        </w:rPr>
        <w:t>Signed</w:t>
      </w:r>
      <w:r w:rsidR="406FC6E1" w:rsidRPr="0E260372">
        <w:rPr>
          <w:rFonts w:ascii="Arial" w:eastAsia="Arial" w:hAnsi="Arial" w:cs="Arial"/>
        </w:rPr>
        <w:t xml:space="preserve"> Shahana Islam</w:t>
      </w:r>
      <w:r w:rsidRPr="0E260372">
        <w:rPr>
          <w:rFonts w:ascii="Arial" w:eastAsia="Arial" w:hAnsi="Arial" w:cs="Arial"/>
        </w:rPr>
        <w:t>……………………………………………</w:t>
      </w:r>
    </w:p>
    <w:p w14:paraId="16B6CB34" w14:textId="4804A421" w:rsidR="00604A87" w:rsidRPr="00604A87" w:rsidRDefault="00604A87" w:rsidP="0E260372">
      <w:pPr>
        <w:jc w:val="left"/>
        <w:rPr>
          <w:rFonts w:ascii="Arial" w:eastAsia="Arial" w:hAnsi="Arial" w:cs="Arial"/>
        </w:rPr>
      </w:pPr>
      <w:r w:rsidRPr="0E260372">
        <w:rPr>
          <w:rFonts w:ascii="Arial" w:eastAsia="Arial" w:hAnsi="Arial" w:cs="Arial"/>
        </w:rPr>
        <w:t>Date……</w:t>
      </w:r>
      <w:r w:rsidR="7CD88BB8" w:rsidRPr="0E260372">
        <w:rPr>
          <w:rFonts w:ascii="Arial" w:eastAsia="Arial" w:hAnsi="Arial" w:cs="Arial"/>
        </w:rPr>
        <w:t>12/11/2025</w:t>
      </w:r>
      <w:r w:rsidRPr="0E260372">
        <w:rPr>
          <w:rFonts w:ascii="Arial" w:eastAsia="Arial" w:hAnsi="Arial" w:cs="Arial"/>
        </w:rPr>
        <w:t>…………………………………………</w:t>
      </w:r>
    </w:p>
    <w:p w14:paraId="7D9E43A8" w14:textId="77777777" w:rsidR="00604A87" w:rsidRPr="00604A87" w:rsidRDefault="00604A87" w:rsidP="0E260372">
      <w:pPr>
        <w:jc w:val="left"/>
        <w:rPr>
          <w:rFonts w:ascii="Arial" w:eastAsia="Arial" w:hAnsi="Arial" w:cs="Arial"/>
          <w:kern w:val="32"/>
        </w:rPr>
      </w:pPr>
      <w:r w:rsidRPr="0E260372">
        <w:rPr>
          <w:rFonts w:ascii="Arial" w:eastAsia="Arial" w:hAnsi="Arial" w:cs="Arial"/>
          <w:b/>
          <w:bCs/>
        </w:rPr>
        <w:t xml:space="preserve">STATEMENT 1 </w:t>
      </w:r>
    </w:p>
    <w:p w14:paraId="189DE0A6" w14:textId="710F2765" w:rsidR="00604A87" w:rsidRPr="00604A87" w:rsidRDefault="00604A87" w:rsidP="0E260372">
      <w:pPr>
        <w:jc w:val="left"/>
        <w:rPr>
          <w:rFonts w:ascii="Arial" w:eastAsia="Arial" w:hAnsi="Arial" w:cs="Arial"/>
        </w:rPr>
      </w:pPr>
      <w:r w:rsidRPr="0E260372">
        <w:rPr>
          <w:rFonts w:ascii="Arial" w:eastAsia="Arial" w:hAnsi="Arial" w:cs="Arial"/>
        </w:rPr>
        <w:t>This dissertation is being submitted in partial fulfilment of the requirements for the degree of BSc.</w:t>
      </w:r>
    </w:p>
    <w:p w14:paraId="39F661A6" w14:textId="2A067456" w:rsidR="00604A87" w:rsidRPr="00604A87" w:rsidRDefault="00604A87" w:rsidP="0E260372">
      <w:pPr>
        <w:jc w:val="left"/>
        <w:rPr>
          <w:rFonts w:ascii="Arial" w:eastAsia="Arial" w:hAnsi="Arial" w:cs="Arial"/>
        </w:rPr>
      </w:pPr>
      <w:r w:rsidRPr="0E260372">
        <w:rPr>
          <w:rFonts w:ascii="Arial" w:eastAsia="Arial" w:hAnsi="Arial" w:cs="Arial"/>
        </w:rPr>
        <w:t>Signed…</w:t>
      </w:r>
      <w:r w:rsidR="4DBF7C0D" w:rsidRPr="0E260372">
        <w:rPr>
          <w:rFonts w:ascii="Arial" w:eastAsia="Arial" w:hAnsi="Arial" w:cs="Arial"/>
        </w:rPr>
        <w:t>Shahana Islam</w:t>
      </w:r>
      <w:r w:rsidRPr="0E260372">
        <w:rPr>
          <w:rFonts w:ascii="Arial" w:eastAsia="Arial" w:hAnsi="Arial" w:cs="Arial"/>
        </w:rPr>
        <w:t xml:space="preserve">…………………………………………. </w:t>
      </w:r>
    </w:p>
    <w:p w14:paraId="21F5E413" w14:textId="232987EA" w:rsidR="00604A87" w:rsidRPr="00604A87" w:rsidRDefault="00604A87" w:rsidP="0E260372">
      <w:pPr>
        <w:jc w:val="left"/>
        <w:rPr>
          <w:rFonts w:ascii="Arial" w:eastAsia="Arial" w:hAnsi="Arial" w:cs="Arial"/>
        </w:rPr>
      </w:pPr>
      <w:r w:rsidRPr="0E260372">
        <w:rPr>
          <w:rFonts w:ascii="Arial" w:eastAsia="Arial" w:hAnsi="Arial" w:cs="Arial"/>
        </w:rPr>
        <w:t>Date………</w:t>
      </w:r>
      <w:r w:rsidR="2B2D71CE" w:rsidRPr="0E260372">
        <w:rPr>
          <w:rFonts w:ascii="Arial" w:eastAsia="Arial" w:hAnsi="Arial" w:cs="Arial"/>
        </w:rPr>
        <w:t>12/11/2025</w:t>
      </w:r>
      <w:r w:rsidRPr="0E260372">
        <w:rPr>
          <w:rFonts w:ascii="Arial" w:eastAsia="Arial" w:hAnsi="Arial" w:cs="Arial"/>
        </w:rPr>
        <w:t>………………………………………</w:t>
      </w:r>
    </w:p>
    <w:p w14:paraId="713B64B9" w14:textId="77777777" w:rsidR="00604A87" w:rsidRPr="00604A87" w:rsidRDefault="00604A87" w:rsidP="0E260372">
      <w:pPr>
        <w:jc w:val="left"/>
        <w:rPr>
          <w:rFonts w:ascii="Arial" w:eastAsia="Arial" w:hAnsi="Arial" w:cs="Arial"/>
        </w:rPr>
      </w:pPr>
      <w:r w:rsidRPr="0E260372">
        <w:rPr>
          <w:rFonts w:ascii="Arial" w:eastAsia="Arial" w:hAnsi="Arial" w:cs="Arial"/>
          <w:b/>
          <w:bCs/>
        </w:rPr>
        <w:t>STATEMENT 2</w:t>
      </w:r>
    </w:p>
    <w:p w14:paraId="4AA5D04A" w14:textId="65BB11AC" w:rsidR="00604A87" w:rsidRPr="00604A87" w:rsidRDefault="00604A87" w:rsidP="0E260372">
      <w:pPr>
        <w:jc w:val="left"/>
        <w:rPr>
          <w:rFonts w:ascii="Arial" w:eastAsia="Arial" w:hAnsi="Arial" w:cs="Arial"/>
        </w:rPr>
      </w:pPr>
      <w:r w:rsidRPr="0E260372">
        <w:rPr>
          <w:rFonts w:ascii="Arial" w:eastAsia="Arial" w:hAnsi="Arial" w:cs="Arial"/>
        </w:rPr>
        <w:t>This dissertation is the result of my own independent work/investigation, except where otherwise stated. Other sources are acknowledged by footnotes giving explicit references.  A bibliography is appended.</w:t>
      </w:r>
    </w:p>
    <w:p w14:paraId="319A31E7" w14:textId="55DF7EB2" w:rsidR="00604A87" w:rsidRPr="00604A87" w:rsidRDefault="00604A87" w:rsidP="0E260372">
      <w:pPr>
        <w:jc w:val="left"/>
        <w:rPr>
          <w:rFonts w:ascii="Arial" w:eastAsia="Arial" w:hAnsi="Arial" w:cs="Arial"/>
        </w:rPr>
      </w:pPr>
      <w:r w:rsidRPr="0E260372">
        <w:rPr>
          <w:rFonts w:ascii="Arial" w:eastAsia="Arial" w:hAnsi="Arial" w:cs="Arial"/>
        </w:rPr>
        <w:t>Signed…</w:t>
      </w:r>
      <w:r w:rsidR="4D85BCB3" w:rsidRPr="0E260372">
        <w:rPr>
          <w:rFonts w:ascii="Arial" w:eastAsia="Arial" w:hAnsi="Arial" w:cs="Arial"/>
        </w:rPr>
        <w:t>Shahana Islam</w:t>
      </w:r>
      <w:r w:rsidRPr="0E260372">
        <w:rPr>
          <w:rFonts w:ascii="Arial" w:eastAsia="Arial" w:hAnsi="Arial" w:cs="Arial"/>
        </w:rPr>
        <w:t>…………………………………………</w:t>
      </w:r>
    </w:p>
    <w:p w14:paraId="1CB40FFB" w14:textId="2A6CC6A0" w:rsidR="00604A87" w:rsidRPr="00604A87" w:rsidRDefault="00604A87" w:rsidP="0E260372">
      <w:pPr>
        <w:jc w:val="left"/>
        <w:rPr>
          <w:rFonts w:ascii="Arial" w:eastAsia="Arial" w:hAnsi="Arial" w:cs="Arial"/>
        </w:rPr>
      </w:pPr>
      <w:r w:rsidRPr="0E260372">
        <w:rPr>
          <w:rFonts w:ascii="Arial" w:eastAsia="Arial" w:hAnsi="Arial" w:cs="Arial"/>
        </w:rPr>
        <w:t>Date……</w:t>
      </w:r>
      <w:r w:rsidR="0050366F" w:rsidRPr="0E260372">
        <w:rPr>
          <w:rFonts w:ascii="Arial" w:eastAsia="Arial" w:hAnsi="Arial" w:cs="Arial"/>
        </w:rPr>
        <w:t>12/11/2025</w:t>
      </w:r>
      <w:r w:rsidRPr="0E260372">
        <w:rPr>
          <w:rFonts w:ascii="Arial" w:eastAsia="Arial" w:hAnsi="Arial" w:cs="Arial"/>
        </w:rPr>
        <w:t xml:space="preserve">………………………………………… </w:t>
      </w:r>
    </w:p>
    <w:p w14:paraId="42D5D0C6" w14:textId="77777777" w:rsidR="00604A87" w:rsidRPr="00604A87" w:rsidRDefault="00604A87" w:rsidP="0E260372">
      <w:pPr>
        <w:jc w:val="left"/>
        <w:rPr>
          <w:rFonts w:ascii="Arial" w:eastAsia="Arial" w:hAnsi="Arial" w:cs="Arial"/>
        </w:rPr>
      </w:pPr>
      <w:r w:rsidRPr="0E260372">
        <w:rPr>
          <w:rFonts w:ascii="Arial" w:eastAsia="Arial" w:hAnsi="Arial" w:cs="Arial"/>
          <w:b/>
          <w:bCs/>
        </w:rPr>
        <w:t>STATEMENT 3</w:t>
      </w:r>
    </w:p>
    <w:p w14:paraId="4B58546E" w14:textId="61CCB29A" w:rsidR="00604A87" w:rsidRPr="00604A87" w:rsidRDefault="00604A87" w:rsidP="0E260372">
      <w:pPr>
        <w:jc w:val="left"/>
        <w:rPr>
          <w:rFonts w:ascii="Arial" w:eastAsia="Arial" w:hAnsi="Arial" w:cs="Arial"/>
        </w:rPr>
      </w:pPr>
      <w:r w:rsidRPr="0E260372">
        <w:rPr>
          <w:rFonts w:ascii="Arial" w:eastAsia="Arial" w:hAnsi="Arial" w:cs="Arial"/>
        </w:rPr>
        <w:lastRenderedPageBreak/>
        <w:t>I hereby give consent for my dissertation, if accepted, to be available for photocopying and for interlibrary loan, and for the title and summary to be made available to outside organisations.</w:t>
      </w:r>
    </w:p>
    <w:p w14:paraId="5C25443E" w14:textId="7208B65C" w:rsidR="00604A87" w:rsidRPr="00604A87" w:rsidRDefault="00604A87" w:rsidP="0E260372">
      <w:pPr>
        <w:jc w:val="left"/>
        <w:rPr>
          <w:rFonts w:ascii="Arial" w:eastAsia="Arial" w:hAnsi="Arial" w:cs="Arial"/>
        </w:rPr>
      </w:pPr>
      <w:r w:rsidRPr="0E260372">
        <w:rPr>
          <w:rFonts w:ascii="Arial" w:eastAsia="Arial" w:hAnsi="Arial" w:cs="Arial"/>
        </w:rPr>
        <w:t>Signed………</w:t>
      </w:r>
      <w:r w:rsidR="241CE402" w:rsidRPr="0E260372">
        <w:rPr>
          <w:rFonts w:ascii="Arial" w:eastAsia="Arial" w:hAnsi="Arial" w:cs="Arial"/>
        </w:rPr>
        <w:t>Shahana Islam</w:t>
      </w:r>
      <w:r w:rsidRPr="0E260372">
        <w:rPr>
          <w:rFonts w:ascii="Arial" w:eastAsia="Arial" w:hAnsi="Arial" w:cs="Arial"/>
        </w:rPr>
        <w:t>………………………………………</w:t>
      </w:r>
    </w:p>
    <w:p w14:paraId="021196D1" w14:textId="5A27DF81" w:rsidR="00604A87" w:rsidRPr="00604A87" w:rsidRDefault="00604A87" w:rsidP="0E260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rPr>
      </w:pPr>
      <w:r w:rsidRPr="0E260372">
        <w:rPr>
          <w:rFonts w:ascii="Arial" w:eastAsia="Arial" w:hAnsi="Arial" w:cs="Arial"/>
        </w:rPr>
        <w:t>Date…………</w:t>
      </w:r>
      <w:r w:rsidR="58AD2B21" w:rsidRPr="0E260372">
        <w:rPr>
          <w:rFonts w:ascii="Arial" w:eastAsia="Arial" w:hAnsi="Arial" w:cs="Arial"/>
        </w:rPr>
        <w:t>12/11/2025</w:t>
      </w:r>
      <w:r w:rsidRPr="0E260372">
        <w:rPr>
          <w:rFonts w:ascii="Arial" w:eastAsia="Arial" w:hAnsi="Arial" w:cs="Arial"/>
        </w:rPr>
        <w:t>………………………………………</w:t>
      </w:r>
    </w:p>
    <w:p w14:paraId="77D38054" w14:textId="77777777" w:rsidR="00604A87" w:rsidRPr="00604A87" w:rsidRDefault="00604A87" w:rsidP="0E260372">
      <w:pPr>
        <w:jc w:val="left"/>
        <w:rPr>
          <w:rFonts w:ascii="Arial" w:eastAsia="Arial" w:hAnsi="Arial" w:cs="Arial"/>
          <w:b/>
          <w:bCs/>
        </w:rPr>
      </w:pPr>
      <w:r w:rsidRPr="0E260372">
        <w:rPr>
          <w:rFonts w:ascii="Arial" w:eastAsia="Arial" w:hAnsi="Arial" w:cs="Arial"/>
          <w:b/>
          <w:bCs/>
        </w:rPr>
        <w:t>STATEMENT 4</w:t>
      </w:r>
    </w:p>
    <w:p w14:paraId="0A15E499" w14:textId="1F9546C0" w:rsidR="00604A87" w:rsidRPr="00604A87" w:rsidRDefault="00604A87" w:rsidP="0E260372">
      <w:pPr>
        <w:jc w:val="left"/>
        <w:rPr>
          <w:rFonts w:ascii="Arial" w:eastAsia="Arial" w:hAnsi="Arial" w:cs="Arial"/>
        </w:rPr>
      </w:pPr>
      <w:r w:rsidRPr="0E260372">
        <w:rPr>
          <w:rFonts w:ascii="Arial" w:eastAsia="Arial" w:hAnsi="Arial" w:cs="Arial"/>
        </w:rPr>
        <w:t>I hereby give consent for my dissertation, if accepted, to be available on the university’s IT system to those who have consent to use the system.</w:t>
      </w:r>
    </w:p>
    <w:p w14:paraId="73D7762F" w14:textId="2746EF35" w:rsidR="00604A87" w:rsidRPr="00604A87" w:rsidRDefault="00604A87" w:rsidP="0E260372">
      <w:pPr>
        <w:jc w:val="left"/>
        <w:rPr>
          <w:rFonts w:ascii="Arial" w:eastAsia="Arial" w:hAnsi="Arial" w:cs="Arial"/>
        </w:rPr>
      </w:pPr>
      <w:r w:rsidRPr="0E260372">
        <w:rPr>
          <w:rFonts w:ascii="Arial" w:eastAsia="Arial" w:hAnsi="Arial" w:cs="Arial"/>
        </w:rPr>
        <w:t>Signed………</w:t>
      </w:r>
      <w:r w:rsidR="45A5044C" w:rsidRPr="0E260372">
        <w:rPr>
          <w:rFonts w:ascii="Arial" w:eastAsia="Arial" w:hAnsi="Arial" w:cs="Arial"/>
        </w:rPr>
        <w:t>Shahana Islam</w:t>
      </w:r>
      <w:r w:rsidRPr="0E260372">
        <w:rPr>
          <w:rFonts w:ascii="Arial" w:eastAsia="Arial" w:hAnsi="Arial" w:cs="Arial"/>
        </w:rPr>
        <w:t>………………………………………</w:t>
      </w:r>
    </w:p>
    <w:p w14:paraId="2BDDE109" w14:textId="284DC6E3" w:rsidR="00604A87" w:rsidRPr="00604A87" w:rsidRDefault="00604A87" w:rsidP="0E260372">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jc w:val="left"/>
        <w:rPr>
          <w:rFonts w:ascii="Arial" w:eastAsia="Arial" w:hAnsi="Arial" w:cs="Arial"/>
        </w:rPr>
      </w:pPr>
      <w:r w:rsidRPr="0E260372">
        <w:rPr>
          <w:rFonts w:ascii="Arial" w:eastAsia="Arial" w:hAnsi="Arial" w:cs="Arial"/>
        </w:rPr>
        <w:t>Date…………</w:t>
      </w:r>
      <w:r w:rsidR="53F546A3" w:rsidRPr="0E260372">
        <w:rPr>
          <w:rFonts w:ascii="Arial" w:eastAsia="Arial" w:hAnsi="Arial" w:cs="Arial"/>
        </w:rPr>
        <w:t>12/11/2025</w:t>
      </w:r>
      <w:r w:rsidRPr="0E260372">
        <w:rPr>
          <w:rFonts w:ascii="Arial" w:eastAsia="Arial" w:hAnsi="Arial" w:cs="Arial"/>
        </w:rPr>
        <w:t>………………………………………</w:t>
      </w:r>
    </w:p>
    <w:p w14:paraId="7CE514EB" w14:textId="19CDA2D7" w:rsidR="00995444" w:rsidRDefault="00995444" w:rsidP="4725D2DA">
      <w:pPr>
        <w:jc w:val="left"/>
      </w:pPr>
    </w:p>
    <w:p w14:paraId="561D98FB" w14:textId="2DD38912" w:rsidR="0E260372" w:rsidRDefault="0E260372" w:rsidP="0E260372">
      <w:pPr>
        <w:jc w:val="left"/>
        <w:rPr>
          <w:rFonts w:eastAsia="Arial Unicode MS" w:cs="Arial"/>
          <w:b/>
          <w:bCs/>
          <w:sz w:val="56"/>
          <w:szCs w:val="56"/>
          <w:highlight w:val="yellow"/>
        </w:rPr>
      </w:pPr>
    </w:p>
    <w:p w14:paraId="0254C9D2" w14:textId="4F3506AE" w:rsidR="0E260372" w:rsidRDefault="0E260372" w:rsidP="0E260372">
      <w:pPr>
        <w:jc w:val="left"/>
        <w:rPr>
          <w:rFonts w:eastAsia="Arial Unicode MS" w:cs="Arial"/>
          <w:b/>
          <w:bCs/>
          <w:sz w:val="56"/>
          <w:szCs w:val="56"/>
          <w:highlight w:val="yellow"/>
        </w:rPr>
      </w:pPr>
    </w:p>
    <w:p w14:paraId="036666C8" w14:textId="0F94ED8B" w:rsidR="0E260372" w:rsidRDefault="0E260372" w:rsidP="0E260372">
      <w:pPr>
        <w:jc w:val="left"/>
        <w:rPr>
          <w:rFonts w:eastAsia="Arial Unicode MS" w:cs="Arial"/>
          <w:b/>
          <w:bCs/>
          <w:sz w:val="56"/>
          <w:szCs w:val="56"/>
          <w:highlight w:val="yellow"/>
        </w:rPr>
      </w:pPr>
    </w:p>
    <w:p w14:paraId="4B614D09" w14:textId="6947E6A5" w:rsidR="0E260372" w:rsidRDefault="0E260372" w:rsidP="0E260372">
      <w:pPr>
        <w:jc w:val="left"/>
        <w:rPr>
          <w:rFonts w:eastAsia="Arial Unicode MS" w:cs="Arial"/>
          <w:b/>
          <w:bCs/>
          <w:sz w:val="56"/>
          <w:szCs w:val="56"/>
          <w:highlight w:val="yellow"/>
        </w:rPr>
      </w:pPr>
    </w:p>
    <w:p w14:paraId="0576727E" w14:textId="49F1D5A1" w:rsidR="0E260372" w:rsidRDefault="0E260372" w:rsidP="0E260372">
      <w:pPr>
        <w:jc w:val="left"/>
        <w:rPr>
          <w:rFonts w:eastAsia="Arial Unicode MS" w:cs="Arial"/>
          <w:b/>
          <w:bCs/>
          <w:sz w:val="56"/>
          <w:szCs w:val="56"/>
          <w:highlight w:val="yellow"/>
        </w:rPr>
      </w:pPr>
    </w:p>
    <w:p w14:paraId="4061EBD3" w14:textId="4A0F2870" w:rsidR="0E260372" w:rsidRDefault="0E260372" w:rsidP="0E260372">
      <w:pPr>
        <w:jc w:val="left"/>
        <w:rPr>
          <w:rFonts w:eastAsia="Arial Unicode MS" w:cs="Arial"/>
          <w:b/>
          <w:bCs/>
          <w:sz w:val="56"/>
          <w:szCs w:val="56"/>
          <w:highlight w:val="yellow"/>
        </w:rPr>
      </w:pPr>
    </w:p>
    <w:p w14:paraId="26FCBFD8" w14:textId="314D2B7A" w:rsidR="0E260372" w:rsidRDefault="0E260372" w:rsidP="0E260372">
      <w:pPr>
        <w:keepNext/>
        <w:keepLines/>
        <w:rPr>
          <w:rFonts w:ascii="Arial" w:eastAsia="Arial" w:hAnsi="Arial" w:cs="Arial"/>
          <w:sz w:val="32"/>
          <w:szCs w:val="32"/>
        </w:rPr>
      </w:pPr>
    </w:p>
    <w:p w14:paraId="2CE83012" w14:textId="1072DE8B" w:rsidR="2E167740" w:rsidRDefault="2E167740" w:rsidP="0E260372">
      <w:pPr>
        <w:keepNext/>
        <w:keepLines/>
        <w:jc w:val="center"/>
        <w:rPr>
          <w:rFonts w:ascii="Arial" w:eastAsia="Arial" w:hAnsi="Arial" w:cs="Arial"/>
          <w:i/>
          <w:iCs/>
          <w:color w:val="000000" w:themeColor="text1"/>
          <w:sz w:val="32"/>
          <w:szCs w:val="32"/>
        </w:rPr>
      </w:pPr>
      <w:r w:rsidRPr="0E260372">
        <w:rPr>
          <w:rFonts w:ascii="Arial" w:eastAsia="Arial" w:hAnsi="Arial" w:cs="Arial"/>
          <w:sz w:val="32"/>
          <w:szCs w:val="32"/>
        </w:rPr>
        <w:t>The Impact of Substance Abuse on Adolescents Aged 13–18 in England</w:t>
      </w:r>
    </w:p>
    <w:p w14:paraId="7A70138F" w14:textId="044E8348" w:rsidR="00995444" w:rsidRPr="00277A9D" w:rsidRDefault="12066CC5"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sz w:val="28"/>
          <w:szCs w:val="28"/>
        </w:rPr>
      </w:pPr>
      <w:r w:rsidRPr="0E260372">
        <w:rPr>
          <w:rFonts w:ascii="Arial" w:eastAsia="Arial" w:hAnsi="Arial" w:cs="Arial"/>
          <w:b/>
          <w:bCs/>
          <w:sz w:val="28"/>
          <w:szCs w:val="28"/>
        </w:rPr>
        <w:t xml:space="preserve">Student </w:t>
      </w:r>
      <w:r w:rsidR="00995444" w:rsidRPr="0E260372">
        <w:rPr>
          <w:rFonts w:ascii="Arial" w:eastAsia="Arial" w:hAnsi="Arial" w:cs="Arial"/>
          <w:b/>
          <w:bCs/>
          <w:sz w:val="28"/>
          <w:szCs w:val="28"/>
        </w:rPr>
        <w:t>Name</w:t>
      </w:r>
      <w:r w:rsidR="002D72D8" w:rsidRPr="0E260372">
        <w:rPr>
          <w:rFonts w:ascii="Arial" w:eastAsia="Arial" w:hAnsi="Arial" w:cs="Arial"/>
          <w:b/>
          <w:bCs/>
          <w:sz w:val="28"/>
          <w:szCs w:val="28"/>
        </w:rPr>
        <w:t xml:space="preserve">: </w:t>
      </w:r>
      <w:r w:rsidR="002D72D8" w:rsidRPr="0E260372">
        <w:rPr>
          <w:rFonts w:ascii="Arial" w:eastAsia="Arial" w:hAnsi="Arial" w:cs="Arial"/>
          <w:sz w:val="28"/>
          <w:szCs w:val="28"/>
        </w:rPr>
        <w:t>Shahana Islam</w:t>
      </w:r>
      <w:r w:rsidR="00995444" w:rsidRPr="0E260372">
        <w:rPr>
          <w:rFonts w:ascii="Arial" w:eastAsia="Arial" w:hAnsi="Arial" w:cs="Arial"/>
          <w:sz w:val="28"/>
          <w:szCs w:val="28"/>
        </w:rPr>
        <w:t xml:space="preserve"> </w:t>
      </w:r>
    </w:p>
    <w:p w14:paraId="6DB122B7" w14:textId="5DA3FFCA" w:rsidR="00995444" w:rsidRPr="00277A9D" w:rsidRDefault="00995444"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left"/>
        <w:rPr>
          <w:rFonts w:ascii="Arial" w:eastAsia="Arial" w:hAnsi="Arial" w:cs="Arial"/>
          <w:sz w:val="28"/>
          <w:szCs w:val="28"/>
        </w:rPr>
      </w:pPr>
      <w:r w:rsidRPr="0E260372">
        <w:rPr>
          <w:rFonts w:ascii="Arial" w:eastAsia="Arial" w:hAnsi="Arial" w:cs="Arial"/>
          <w:b/>
          <w:bCs/>
          <w:sz w:val="28"/>
          <w:szCs w:val="28"/>
        </w:rPr>
        <w:t>Student Number</w:t>
      </w:r>
      <w:r w:rsidR="00277A9D" w:rsidRPr="0E260372">
        <w:rPr>
          <w:rFonts w:ascii="Arial" w:eastAsia="Arial" w:hAnsi="Arial" w:cs="Arial"/>
          <w:b/>
          <w:bCs/>
          <w:sz w:val="28"/>
          <w:szCs w:val="28"/>
        </w:rPr>
        <w:t xml:space="preserve">: </w:t>
      </w:r>
      <w:r w:rsidR="00277A9D" w:rsidRPr="0E260372">
        <w:rPr>
          <w:rFonts w:ascii="Arial" w:eastAsia="Arial" w:hAnsi="Arial" w:cs="Arial"/>
          <w:sz w:val="28"/>
          <w:szCs w:val="28"/>
        </w:rPr>
        <w:t>2209436</w:t>
      </w:r>
    </w:p>
    <w:p w14:paraId="2057C793" w14:textId="0CA02CC7" w:rsidR="00995444" w:rsidRPr="00995444" w:rsidRDefault="00995444" w:rsidP="0E26037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w:hAnsi="Arial" w:cs="Arial"/>
        </w:rPr>
      </w:pPr>
      <w:r w:rsidRPr="0E260372">
        <w:rPr>
          <w:rFonts w:ascii="Arial" w:eastAsia="Arial" w:hAnsi="Arial" w:cs="Arial"/>
        </w:rPr>
        <w:t>Dissertation submitted as part of the requirements for the award BSc (Hons) Health and Social Care</w:t>
      </w:r>
    </w:p>
    <w:p w14:paraId="0F4A849F" w14:textId="7A797269" w:rsidR="00995444" w:rsidRPr="0025020C" w:rsidRDefault="00995444" w:rsidP="0E260372">
      <w:r w:rsidRPr="0E260372">
        <w:rPr>
          <w:rFonts w:ascii="Arial" w:eastAsia="Arial" w:hAnsi="Arial" w:cs="Arial"/>
          <w:b/>
          <w:bCs/>
          <w:sz w:val="32"/>
          <w:szCs w:val="32"/>
        </w:rPr>
        <w:t xml:space="preserve">ACKNOWLEDGEMENTS </w:t>
      </w:r>
    </w:p>
    <w:p w14:paraId="68AC9340" w14:textId="57BFF926"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w:hAnsi="Arial" w:cs="Arial"/>
        </w:rPr>
      </w:pPr>
      <w:r w:rsidRPr="0E260372">
        <w:rPr>
          <w:rFonts w:ascii="Arial" w:eastAsia="Arial" w:hAnsi="Arial" w:cs="Arial"/>
        </w:rPr>
        <w:t>I would like to express my heartfelt gratitude to my lecturer, Chloe Harris, for her continuous guidance, encouragement and valuable feedback throughout this research journey. My sincere thanks also go to Joanna Davis and Parese Ahmed for their support, advice and motivation, which greatly contributed to the completion of this dissertation.</w:t>
      </w:r>
    </w:p>
    <w:p w14:paraId="40523F0D" w14:textId="61811AD0"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 xml:space="preserve">I would also like to extend my appreciation to the library team, especially </w:t>
      </w:r>
      <w:r w:rsidR="000E6EF6">
        <w:rPr>
          <w:rFonts w:ascii="Arial" w:eastAsia="Arial" w:hAnsi="Arial" w:cs="Arial"/>
        </w:rPr>
        <w:t>Mira Haroun</w:t>
      </w:r>
      <w:r w:rsidRPr="0E260372">
        <w:rPr>
          <w:rFonts w:ascii="Arial" w:eastAsia="Arial" w:hAnsi="Arial" w:cs="Arial"/>
        </w:rPr>
        <w:t xml:space="preserve">, for their assistance in Harvard referencing and accessing the materials I needed. </w:t>
      </w:r>
    </w:p>
    <w:p w14:paraId="74267272" w14:textId="7C39CEC9"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A special thank you to my friends Yasmin Akther and Tahira Aziz for their constant encouragement, understanding and positivity during challenging times.</w:t>
      </w:r>
    </w:p>
    <w:p w14:paraId="54D5616A" w14:textId="29EDA659" w:rsidR="2E713240" w:rsidRDefault="2E713240" w:rsidP="00E472C7">
      <w:pPr>
        <w:tabs>
          <w:tab w:val="left" w:pos="1440"/>
          <w:tab w:val="left" w:pos="2160"/>
          <w:tab w:val="left" w:pos="2880"/>
          <w:tab w:val="left" w:pos="3600"/>
          <w:tab w:val="left" w:pos="4320"/>
          <w:tab w:val="left" w:pos="5040"/>
          <w:tab w:val="left" w:pos="5760"/>
          <w:tab w:val="left" w:pos="6480"/>
          <w:tab w:val="left" w:pos="7200"/>
          <w:tab w:val="left" w:pos="7920"/>
          <w:tab w:val="left" w:pos="8640"/>
        </w:tabs>
      </w:pPr>
      <w:r w:rsidRPr="0E260372">
        <w:rPr>
          <w:rFonts w:ascii="Arial" w:eastAsia="Arial" w:hAnsi="Arial" w:cs="Arial"/>
        </w:rPr>
        <w:t>Lastly, I would like to acknowledge myself for staying focused, dedicated and determined to see this project through to the end.</w:t>
      </w:r>
    </w:p>
    <w:p w14:paraId="40A3E6C2" w14:textId="77777777" w:rsidR="00995444" w:rsidRDefault="00995444" w:rsidP="0E260372">
      <w:pPr>
        <w:rPr>
          <w:highlight w:val="yellow"/>
        </w:rPr>
      </w:pPr>
    </w:p>
    <w:p w14:paraId="7EA8A979" w14:textId="77777777" w:rsidR="0073280B" w:rsidRDefault="0073280B"/>
    <w:p w14:paraId="24382F47" w14:textId="77777777" w:rsidR="0073280B" w:rsidRDefault="0073280B"/>
    <w:p w14:paraId="6A8FCE15" w14:textId="77777777" w:rsidR="0073280B" w:rsidRDefault="0073280B"/>
    <w:p w14:paraId="5B45260B" w14:textId="77777777" w:rsidR="0073280B" w:rsidRDefault="0073280B"/>
    <w:p w14:paraId="29F99602" w14:textId="77777777" w:rsidR="0073280B" w:rsidRDefault="0073280B"/>
    <w:p w14:paraId="7FFDFCFF" w14:textId="77777777" w:rsidR="0073280B" w:rsidRDefault="0073280B"/>
    <w:p w14:paraId="2682A8DF" w14:textId="2B0477EC" w:rsidR="4725D2DA" w:rsidRDefault="4725D2DA" w:rsidP="0E260372"/>
    <w:p w14:paraId="660D9B3E" w14:textId="77777777" w:rsidR="000E2BE8" w:rsidRDefault="0073280B" w:rsidP="000E2BE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sz w:val="28"/>
          <w:szCs w:val="28"/>
        </w:rPr>
      </w:pPr>
      <w:r w:rsidRPr="0025020C">
        <w:rPr>
          <w:rFonts w:eastAsia="Arial Unicode MS" w:cs="Arial"/>
          <w:b/>
          <w:sz w:val="28"/>
          <w:szCs w:val="28"/>
        </w:rPr>
        <w:lastRenderedPageBreak/>
        <w:t>ABSTRACT</w:t>
      </w:r>
      <w:r w:rsidRPr="0025020C">
        <w:rPr>
          <w:rFonts w:eastAsia="Arial Unicode MS" w:cs="Arial"/>
          <w:sz w:val="28"/>
          <w:szCs w:val="28"/>
        </w:rPr>
        <w:t xml:space="preserve"> </w:t>
      </w:r>
    </w:p>
    <w:p w14:paraId="7EFFF24D" w14:textId="77777777" w:rsidR="00882E73" w:rsidRPr="00882E73" w:rsidRDefault="0073280B" w:rsidP="00882E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0E2BE8">
        <w:rPr>
          <w:rFonts w:ascii="Arial" w:eastAsia="Arial Unicode MS" w:hAnsi="Arial" w:cs="Arial"/>
          <w:iCs/>
        </w:rPr>
        <w:t xml:space="preserve"> </w:t>
      </w:r>
      <w:r w:rsidR="00882E73" w:rsidRPr="00882E73">
        <w:rPr>
          <w:rFonts w:ascii="Arial" w:eastAsia="Arial Unicode MS" w:hAnsi="Arial" w:cs="Arial"/>
          <w:iCs/>
        </w:rPr>
        <w:t>This dissertation critically examines how substance abuse impacts teenagers aged 13 to 18 in England, focussing on the social, psychological and structural aspects that influence the use of alcohol, cannabis and other drugs. The study sought to examine the effects of substance use, the risk contexts that surround vulnerable young people, and the efficacy of current policy and intervention measures. A secondary, desk-based design was employed, employing a systematic search strategy and thematic analysis (Sabharwal and Miah, 2021), to synthesise peer-reviewed UK literature and significant policy papers published between 2010 and 2024.</w:t>
      </w:r>
    </w:p>
    <w:p w14:paraId="217D3C04" w14:textId="076743C9" w:rsidR="00674623" w:rsidRDefault="00674623" w:rsidP="006746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674623">
        <w:rPr>
          <w:rFonts w:ascii="Arial" w:eastAsia="Arial Unicode MS" w:hAnsi="Arial" w:cs="Arial"/>
          <w:iCs/>
        </w:rPr>
        <w:t xml:space="preserve">Three fundamental themes were identified. First, social factors and peer effect revealed that family instability, socioeconomic deprivation and peer norms strongly predict early substance use, especially among care-experienced, school-excluded and disadvantaged </w:t>
      </w:r>
      <w:r w:rsidRPr="00674623">
        <w:rPr>
          <w:rFonts w:ascii="Arial" w:eastAsia="Arial Unicode MS" w:hAnsi="Arial" w:cs="Arial"/>
          <w:iCs/>
        </w:rPr>
        <w:t>adolescents</w:t>
      </w:r>
      <w:r w:rsidRPr="00674623">
        <w:rPr>
          <w:rFonts w:ascii="Arial" w:eastAsia="Arial Unicode MS" w:hAnsi="Arial" w:cs="Arial"/>
          <w:iCs/>
        </w:rPr>
        <w:t> (</w:t>
      </w:r>
      <w:proofErr w:type="spellStart"/>
      <w:r w:rsidRPr="00674623">
        <w:rPr>
          <w:rFonts w:ascii="Arial" w:eastAsia="Arial Unicode MS" w:hAnsi="Arial" w:cs="Arial"/>
          <w:iCs/>
        </w:rPr>
        <w:t>Segrott</w:t>
      </w:r>
      <w:proofErr w:type="spellEnd"/>
      <w:r w:rsidRPr="00674623">
        <w:rPr>
          <w:rFonts w:ascii="Arial" w:eastAsia="Arial Unicode MS" w:hAnsi="Arial" w:cs="Arial"/>
          <w:iCs/>
        </w:rPr>
        <w:t xml:space="preserve"> et al., 2022; Alderson et al., 2019). Second, policy and preventative efficacy revealed that, while frameworks like the 10-Year Drug Strategy prioritise early intervention, underfunding, fragmented implementation and enforcement-led approaches restrict their influence on disparities (Holland et al., 2023). Third, access to support and intervention services was discovered to be unequal, with geographical variance, stigma and service fragmentation limiting engagement despite stable treatment numbers (Office for Health Improvement and Disparities, 2024).</w:t>
      </w:r>
    </w:p>
    <w:p w14:paraId="28BADB7D" w14:textId="30341354" w:rsidR="0091489B" w:rsidRPr="0091489B" w:rsidRDefault="0091489B" w:rsidP="0091489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r w:rsidRPr="0091489B">
        <w:rPr>
          <w:rFonts w:ascii="Arial" w:eastAsia="Arial Unicode MS" w:hAnsi="Arial" w:cs="Arial"/>
          <w:iCs/>
        </w:rPr>
        <w:t>Overall, the research demonstrates that adolescent substance usage in England is a complex, socially structured issue that cannot be handled just by individual-level education. The findings encourage integrated, youth-centred changes such as family-based prevention, multi-agency collaboration, financial stability, and stigma reduction to enhance timely, equitable access to support (</w:t>
      </w:r>
      <w:proofErr w:type="spellStart"/>
      <w:r w:rsidRPr="0091489B">
        <w:rPr>
          <w:rFonts w:ascii="Arial" w:eastAsia="Arial Unicode MS" w:hAnsi="Arial" w:cs="Arial"/>
          <w:iCs/>
        </w:rPr>
        <w:t>Segrott</w:t>
      </w:r>
      <w:proofErr w:type="spellEnd"/>
      <w:r w:rsidRPr="0091489B">
        <w:rPr>
          <w:rFonts w:ascii="Arial" w:eastAsia="Arial Unicode MS" w:hAnsi="Arial" w:cs="Arial"/>
          <w:iCs/>
        </w:rPr>
        <w:t xml:space="preserve"> et al., 2022; James, Nash &amp; Comiskey, 2024).</w:t>
      </w:r>
    </w:p>
    <w:p w14:paraId="4EED43FB" w14:textId="77777777" w:rsidR="0091489B" w:rsidRPr="00674623" w:rsidRDefault="0091489B" w:rsidP="006746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p>
    <w:p w14:paraId="3A743D4B" w14:textId="3BFF8077" w:rsidR="00DA287A" w:rsidRPr="000E2BE8" w:rsidRDefault="00DA287A" w:rsidP="00882E7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iCs/>
        </w:rPr>
      </w:pPr>
    </w:p>
    <w:p w14:paraId="101AA6A9" w14:textId="00E9CC09" w:rsidR="0025020C" w:rsidRDefault="0025020C" w:rsidP="00947428">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Times New Roman" w:eastAsia="Arial Unicode MS" w:hAnsi="Times New Roman" w:cs="Times New Roman"/>
          <w:b/>
          <w:sz w:val="24"/>
          <w:szCs w:val="24"/>
        </w:rPr>
      </w:pPr>
    </w:p>
    <w:p w14:paraId="019A2C1E" w14:textId="77777777" w:rsidR="0073280B" w:rsidRDefault="0073280B"/>
    <w:p w14:paraId="4B65C5F3" w14:textId="77777777" w:rsidR="00730C3C" w:rsidRDefault="00730C3C"/>
    <w:p w14:paraId="0B86E677" w14:textId="409ED598" w:rsidR="4725D2DA" w:rsidRDefault="4725D2DA" w:rsidP="4725D2DA">
      <w:pPr>
        <w:pStyle w:val="Heading1"/>
        <w:ind w:left="0"/>
        <w:rPr>
          <w:rFonts w:ascii="Aptos" w:hAnsi="Aptos"/>
        </w:rPr>
      </w:pPr>
    </w:p>
    <w:p w14:paraId="35D33AA7" w14:textId="4D531C03" w:rsidR="4725D2DA" w:rsidRDefault="4725D2DA" w:rsidP="4725D2DA">
      <w:pPr>
        <w:pStyle w:val="Heading1"/>
        <w:ind w:left="0"/>
        <w:rPr>
          <w:rFonts w:ascii="Aptos" w:hAnsi="Aptos"/>
        </w:rPr>
      </w:pPr>
    </w:p>
    <w:p w14:paraId="5F12E03B" w14:textId="7A783277" w:rsidR="4725D2DA" w:rsidRDefault="4725D2DA" w:rsidP="4725D2DA">
      <w:pPr>
        <w:pStyle w:val="Heading1"/>
        <w:ind w:left="0"/>
        <w:rPr>
          <w:rFonts w:ascii="Aptos" w:hAnsi="Aptos"/>
        </w:rPr>
      </w:pPr>
    </w:p>
    <w:p w14:paraId="6C7410CE" w14:textId="6FBB8E1D" w:rsidR="4725D2DA" w:rsidRDefault="4725D2DA" w:rsidP="4725D2DA">
      <w:pPr>
        <w:pStyle w:val="Heading1"/>
        <w:ind w:left="0"/>
        <w:rPr>
          <w:rFonts w:ascii="Aptos" w:hAnsi="Aptos"/>
        </w:rPr>
      </w:pPr>
    </w:p>
    <w:p w14:paraId="1FAB626A" w14:textId="4BB9B552" w:rsidR="4725D2DA" w:rsidRDefault="4725D2DA" w:rsidP="4725D2DA">
      <w:pPr>
        <w:pStyle w:val="Heading1"/>
        <w:ind w:left="0"/>
        <w:rPr>
          <w:rFonts w:ascii="Aptos" w:hAnsi="Aptos"/>
        </w:rPr>
      </w:pPr>
    </w:p>
    <w:p w14:paraId="1BD15002" w14:textId="1722837B" w:rsidR="4725D2DA" w:rsidRDefault="4725D2DA" w:rsidP="4725D2DA">
      <w:pPr>
        <w:pStyle w:val="Heading1"/>
        <w:ind w:left="0"/>
        <w:rPr>
          <w:rFonts w:ascii="Aptos" w:hAnsi="Aptos"/>
        </w:rPr>
      </w:pPr>
    </w:p>
    <w:p w14:paraId="597AD6F4" w14:textId="60A03A20" w:rsidR="4725D2DA" w:rsidRDefault="4725D2DA" w:rsidP="4725D2DA">
      <w:pPr>
        <w:pStyle w:val="Heading1"/>
        <w:ind w:left="0"/>
        <w:rPr>
          <w:rFonts w:ascii="Aptos" w:hAnsi="Aptos"/>
        </w:rPr>
      </w:pPr>
    </w:p>
    <w:p w14:paraId="1FE0130C" w14:textId="334FD84A" w:rsidR="4725D2DA" w:rsidRDefault="4725D2DA" w:rsidP="4725D2DA">
      <w:pPr>
        <w:pStyle w:val="Heading1"/>
        <w:ind w:left="0"/>
        <w:rPr>
          <w:rFonts w:eastAsia="Arial" w:cs="Arial"/>
        </w:rPr>
      </w:pPr>
    </w:p>
    <w:p w14:paraId="398D5701" w14:textId="39C2FCF1" w:rsidR="0E260372" w:rsidRDefault="0E260372" w:rsidP="0E260372">
      <w:pPr>
        <w:pStyle w:val="Heading1"/>
        <w:spacing w:line="360" w:lineRule="auto"/>
        <w:ind w:left="0"/>
        <w:rPr>
          <w:rFonts w:eastAsia="Arial" w:cs="Arial"/>
        </w:rPr>
      </w:pPr>
    </w:p>
    <w:p w14:paraId="4863D3A1" w14:textId="0E3736C7" w:rsidR="0E260372" w:rsidRDefault="0E260372" w:rsidP="0E260372">
      <w:pPr>
        <w:jc w:val="left"/>
        <w:rPr>
          <w:rFonts w:ascii="Arial" w:eastAsia="Arial" w:hAnsi="Arial" w:cs="Arial"/>
          <w:b/>
          <w:bCs/>
          <w:sz w:val="32"/>
          <w:szCs w:val="32"/>
        </w:rPr>
      </w:pPr>
    </w:p>
    <w:sdt>
      <w:sdtPr>
        <w:rPr>
          <w:rFonts w:ascii="Arial" w:eastAsia="Arial" w:hAnsi="Arial" w:cs="Arial"/>
          <w:color w:val="auto"/>
          <w:kern w:val="2"/>
          <w:sz w:val="22"/>
          <w:szCs w:val="22"/>
          <w:lang w:val="en-GB" w:eastAsia="zh-CN"/>
          <w14:ligatures w14:val="standardContextual"/>
        </w:rPr>
        <w:id w:val="-1560704303"/>
        <w:docPartObj>
          <w:docPartGallery w:val="Table of Contents"/>
          <w:docPartUnique/>
        </w:docPartObj>
      </w:sdtPr>
      <w:sdtEndPr>
        <w:rPr>
          <w:rFonts w:ascii="Aptos" w:eastAsiaTheme="minorEastAsia" w:hAnsi="Aptos" w:cstheme="minorBidi"/>
          <w:b/>
          <w:bCs/>
          <w:noProof/>
        </w:rPr>
      </w:sdtEndPr>
      <w:sdtContent>
        <w:p w14:paraId="356E1F02" w14:textId="4222F0CF" w:rsidR="00FF1776" w:rsidRDefault="00FF1776">
          <w:pPr>
            <w:pStyle w:val="TOCHeading"/>
            <w:rPr>
              <w:rFonts w:ascii="Arial" w:eastAsia="Arial" w:hAnsi="Arial" w:cs="Arial"/>
            </w:rPr>
          </w:pPr>
          <w:r>
            <w:t>Contents</w:t>
          </w:r>
        </w:p>
        <w:p w14:paraId="31477544" w14:textId="57096F5E" w:rsidR="00FF1776" w:rsidRDefault="00FF1776">
          <w:pPr>
            <w:pStyle w:val="TOC1"/>
            <w:tabs>
              <w:tab w:val="right" w:leader="dot" w:pos="9016"/>
            </w:tabs>
            <w:rPr>
              <w:rFonts w:ascii="Arial" w:eastAsia="Arial" w:hAnsi="Arial" w:cs="Arial"/>
              <w:noProof/>
              <w:sz w:val="24"/>
              <w:szCs w:val="24"/>
              <w:lang w:eastAsia="en-GB"/>
            </w:rPr>
          </w:pPr>
          <w:r>
            <w:fldChar w:fldCharType="begin"/>
          </w:r>
          <w:r>
            <w:instrText xml:space="preserve"> TOC \o "1-3" \h \z \u </w:instrText>
          </w:r>
          <w:r>
            <w:fldChar w:fldCharType="separate"/>
          </w:r>
          <w:hyperlink w:anchor="_Toc213871336" w:history="1">
            <w:r w:rsidRPr="00FF6343">
              <w:rPr>
                <w:rStyle w:val="Hyperlink"/>
                <w:rFonts w:eastAsia="Arial" w:cs="Arial"/>
                <w:noProof/>
                <w:lang w:bidi="en-GB"/>
              </w:rPr>
              <w:t>CHAPTER 1: Introduction</w:t>
            </w:r>
            <w:r>
              <w:rPr>
                <w:noProof/>
                <w:webHidden/>
              </w:rPr>
              <w:tab/>
            </w:r>
            <w:r>
              <w:rPr>
                <w:noProof/>
                <w:webHidden/>
              </w:rPr>
              <w:fldChar w:fldCharType="begin"/>
            </w:r>
            <w:r>
              <w:rPr>
                <w:noProof/>
                <w:webHidden/>
              </w:rPr>
              <w:instrText xml:space="preserve"> PAGEREF _Toc213871336 \h </w:instrText>
            </w:r>
            <w:r>
              <w:rPr>
                <w:noProof/>
                <w:webHidden/>
              </w:rPr>
            </w:r>
            <w:r>
              <w:rPr>
                <w:noProof/>
                <w:webHidden/>
              </w:rPr>
              <w:fldChar w:fldCharType="separate"/>
            </w:r>
            <w:r w:rsidR="002C486A">
              <w:rPr>
                <w:noProof/>
                <w:webHidden/>
              </w:rPr>
              <w:t>7</w:t>
            </w:r>
            <w:r>
              <w:rPr>
                <w:noProof/>
                <w:webHidden/>
              </w:rPr>
              <w:fldChar w:fldCharType="end"/>
            </w:r>
          </w:hyperlink>
        </w:p>
        <w:p w14:paraId="1D6A7717" w14:textId="6AAA31A0" w:rsidR="00FF1776" w:rsidRDefault="00FF1776">
          <w:pPr>
            <w:pStyle w:val="TOC2"/>
            <w:tabs>
              <w:tab w:val="right" w:leader="dot" w:pos="9016"/>
            </w:tabs>
            <w:rPr>
              <w:rFonts w:ascii="Arial" w:eastAsia="Arial" w:hAnsi="Arial" w:cs="Arial"/>
              <w:noProof/>
              <w:sz w:val="24"/>
              <w:szCs w:val="24"/>
              <w:lang w:eastAsia="en-GB"/>
            </w:rPr>
          </w:pPr>
          <w:hyperlink w:anchor="_Toc213871337" w:history="1">
            <w:r w:rsidRPr="00FF6343">
              <w:rPr>
                <w:rStyle w:val="Hyperlink"/>
                <w:rFonts w:ascii="Arial" w:eastAsia="Arial" w:hAnsi="Arial" w:cs="Arial"/>
                <w:noProof/>
              </w:rPr>
              <w:t>1.1 Introduction</w:t>
            </w:r>
            <w:r>
              <w:rPr>
                <w:noProof/>
                <w:webHidden/>
              </w:rPr>
              <w:tab/>
            </w:r>
            <w:r>
              <w:rPr>
                <w:noProof/>
                <w:webHidden/>
              </w:rPr>
              <w:fldChar w:fldCharType="begin"/>
            </w:r>
            <w:r>
              <w:rPr>
                <w:noProof/>
                <w:webHidden/>
              </w:rPr>
              <w:instrText xml:space="preserve"> PAGEREF _Toc213871337 \h </w:instrText>
            </w:r>
            <w:r>
              <w:rPr>
                <w:noProof/>
                <w:webHidden/>
              </w:rPr>
            </w:r>
            <w:r>
              <w:rPr>
                <w:noProof/>
                <w:webHidden/>
              </w:rPr>
              <w:fldChar w:fldCharType="separate"/>
            </w:r>
            <w:r w:rsidR="002C486A">
              <w:rPr>
                <w:noProof/>
                <w:webHidden/>
              </w:rPr>
              <w:t>7</w:t>
            </w:r>
            <w:r>
              <w:rPr>
                <w:noProof/>
                <w:webHidden/>
              </w:rPr>
              <w:fldChar w:fldCharType="end"/>
            </w:r>
          </w:hyperlink>
        </w:p>
        <w:p w14:paraId="1867687A" w14:textId="660D9A3E" w:rsidR="00FF1776" w:rsidRDefault="00FF1776">
          <w:pPr>
            <w:pStyle w:val="TOC2"/>
            <w:tabs>
              <w:tab w:val="right" w:leader="dot" w:pos="9016"/>
            </w:tabs>
            <w:rPr>
              <w:rFonts w:ascii="Arial" w:eastAsia="Arial" w:hAnsi="Arial" w:cs="Arial"/>
              <w:noProof/>
              <w:sz w:val="24"/>
              <w:szCs w:val="24"/>
              <w:lang w:eastAsia="en-GB"/>
            </w:rPr>
          </w:pPr>
          <w:hyperlink w:anchor="_Toc213871338" w:history="1">
            <w:r w:rsidRPr="00FF6343">
              <w:rPr>
                <w:rStyle w:val="Hyperlink"/>
                <w:rFonts w:ascii="Arial" w:eastAsia="Arial" w:hAnsi="Arial" w:cs="Arial"/>
                <w:noProof/>
              </w:rPr>
              <w:t>1.2 Definitions and Terminology</w:t>
            </w:r>
            <w:r>
              <w:rPr>
                <w:noProof/>
                <w:webHidden/>
              </w:rPr>
              <w:tab/>
            </w:r>
            <w:r>
              <w:rPr>
                <w:noProof/>
                <w:webHidden/>
              </w:rPr>
              <w:fldChar w:fldCharType="begin"/>
            </w:r>
            <w:r>
              <w:rPr>
                <w:noProof/>
                <w:webHidden/>
              </w:rPr>
              <w:instrText xml:space="preserve"> PAGEREF _Toc213871338 \h </w:instrText>
            </w:r>
            <w:r>
              <w:rPr>
                <w:noProof/>
                <w:webHidden/>
              </w:rPr>
            </w:r>
            <w:r>
              <w:rPr>
                <w:noProof/>
                <w:webHidden/>
              </w:rPr>
              <w:fldChar w:fldCharType="separate"/>
            </w:r>
            <w:r w:rsidR="002C486A">
              <w:rPr>
                <w:noProof/>
                <w:webHidden/>
              </w:rPr>
              <w:t>8</w:t>
            </w:r>
            <w:r>
              <w:rPr>
                <w:noProof/>
                <w:webHidden/>
              </w:rPr>
              <w:fldChar w:fldCharType="end"/>
            </w:r>
          </w:hyperlink>
        </w:p>
        <w:p w14:paraId="521FCFDC" w14:textId="4F562301" w:rsidR="00FF1776" w:rsidRDefault="00FF1776">
          <w:pPr>
            <w:pStyle w:val="TOC2"/>
            <w:tabs>
              <w:tab w:val="right" w:leader="dot" w:pos="9016"/>
            </w:tabs>
            <w:rPr>
              <w:rFonts w:ascii="Arial" w:eastAsia="Arial" w:hAnsi="Arial" w:cs="Arial"/>
              <w:noProof/>
              <w:sz w:val="24"/>
              <w:szCs w:val="24"/>
              <w:lang w:eastAsia="en-GB"/>
            </w:rPr>
          </w:pPr>
          <w:hyperlink w:anchor="_Toc213871339" w:history="1">
            <w:r w:rsidRPr="00FF6343">
              <w:rPr>
                <w:rStyle w:val="Hyperlink"/>
                <w:rFonts w:ascii="Arial" w:eastAsia="Arial" w:hAnsi="Arial" w:cs="Arial"/>
                <w:noProof/>
              </w:rPr>
              <w:t>1.3 Rationale for Research</w:t>
            </w:r>
            <w:r>
              <w:rPr>
                <w:noProof/>
                <w:webHidden/>
              </w:rPr>
              <w:tab/>
            </w:r>
            <w:r>
              <w:rPr>
                <w:noProof/>
                <w:webHidden/>
              </w:rPr>
              <w:fldChar w:fldCharType="begin"/>
            </w:r>
            <w:r>
              <w:rPr>
                <w:noProof/>
                <w:webHidden/>
              </w:rPr>
              <w:instrText xml:space="preserve"> PAGEREF _Toc213871339 \h </w:instrText>
            </w:r>
            <w:r>
              <w:rPr>
                <w:noProof/>
                <w:webHidden/>
              </w:rPr>
            </w:r>
            <w:r>
              <w:rPr>
                <w:noProof/>
                <w:webHidden/>
              </w:rPr>
              <w:fldChar w:fldCharType="separate"/>
            </w:r>
            <w:r w:rsidR="002C486A">
              <w:rPr>
                <w:noProof/>
                <w:webHidden/>
              </w:rPr>
              <w:t>9</w:t>
            </w:r>
            <w:r>
              <w:rPr>
                <w:noProof/>
                <w:webHidden/>
              </w:rPr>
              <w:fldChar w:fldCharType="end"/>
            </w:r>
          </w:hyperlink>
        </w:p>
        <w:p w14:paraId="297605F6" w14:textId="5E514006" w:rsidR="00FF1776" w:rsidRDefault="00FF1776">
          <w:pPr>
            <w:pStyle w:val="TOC2"/>
            <w:tabs>
              <w:tab w:val="right" w:leader="dot" w:pos="9016"/>
            </w:tabs>
            <w:rPr>
              <w:rFonts w:ascii="Arial" w:eastAsia="Arial" w:hAnsi="Arial" w:cs="Arial"/>
              <w:noProof/>
              <w:sz w:val="24"/>
              <w:szCs w:val="24"/>
              <w:lang w:eastAsia="en-GB"/>
            </w:rPr>
          </w:pPr>
          <w:hyperlink w:anchor="_Toc213871340" w:history="1">
            <w:r w:rsidRPr="00FF6343">
              <w:rPr>
                <w:rStyle w:val="Hyperlink"/>
                <w:rFonts w:ascii="Arial" w:eastAsia="Arial" w:hAnsi="Arial" w:cs="Arial"/>
                <w:noProof/>
              </w:rPr>
              <w:t>1.4 Aim and Objectives</w:t>
            </w:r>
            <w:r>
              <w:rPr>
                <w:noProof/>
                <w:webHidden/>
              </w:rPr>
              <w:tab/>
            </w:r>
            <w:r>
              <w:rPr>
                <w:noProof/>
                <w:webHidden/>
              </w:rPr>
              <w:fldChar w:fldCharType="begin"/>
            </w:r>
            <w:r>
              <w:rPr>
                <w:noProof/>
                <w:webHidden/>
              </w:rPr>
              <w:instrText xml:space="preserve"> PAGEREF _Toc213871340 \h </w:instrText>
            </w:r>
            <w:r>
              <w:rPr>
                <w:noProof/>
                <w:webHidden/>
              </w:rPr>
            </w:r>
            <w:r>
              <w:rPr>
                <w:noProof/>
                <w:webHidden/>
              </w:rPr>
              <w:fldChar w:fldCharType="separate"/>
            </w:r>
            <w:r w:rsidR="002C486A">
              <w:rPr>
                <w:noProof/>
                <w:webHidden/>
              </w:rPr>
              <w:t>9</w:t>
            </w:r>
            <w:r>
              <w:rPr>
                <w:noProof/>
                <w:webHidden/>
              </w:rPr>
              <w:fldChar w:fldCharType="end"/>
            </w:r>
          </w:hyperlink>
        </w:p>
        <w:p w14:paraId="2FCF7C72" w14:textId="461B7485" w:rsidR="00FF1776" w:rsidRDefault="00FF1776">
          <w:pPr>
            <w:pStyle w:val="TOC2"/>
            <w:tabs>
              <w:tab w:val="right" w:leader="dot" w:pos="9016"/>
            </w:tabs>
            <w:rPr>
              <w:rFonts w:ascii="Arial" w:eastAsia="Arial" w:hAnsi="Arial" w:cs="Arial"/>
              <w:noProof/>
              <w:sz w:val="24"/>
              <w:szCs w:val="24"/>
              <w:lang w:eastAsia="en-GB"/>
            </w:rPr>
          </w:pPr>
          <w:hyperlink w:anchor="_Toc213871341" w:history="1">
            <w:r w:rsidRPr="00FF6343">
              <w:rPr>
                <w:rStyle w:val="Hyperlink"/>
                <w:rFonts w:ascii="Arial" w:eastAsia="Arial" w:hAnsi="Arial" w:cs="Arial"/>
                <w:noProof/>
              </w:rPr>
              <w:t>1.5 Conclusion</w:t>
            </w:r>
            <w:r>
              <w:rPr>
                <w:noProof/>
                <w:webHidden/>
              </w:rPr>
              <w:tab/>
            </w:r>
            <w:r>
              <w:rPr>
                <w:noProof/>
                <w:webHidden/>
              </w:rPr>
              <w:fldChar w:fldCharType="begin"/>
            </w:r>
            <w:r>
              <w:rPr>
                <w:noProof/>
                <w:webHidden/>
              </w:rPr>
              <w:instrText xml:space="preserve"> PAGEREF _Toc213871341 \h </w:instrText>
            </w:r>
            <w:r>
              <w:rPr>
                <w:noProof/>
                <w:webHidden/>
              </w:rPr>
            </w:r>
            <w:r>
              <w:rPr>
                <w:noProof/>
                <w:webHidden/>
              </w:rPr>
              <w:fldChar w:fldCharType="separate"/>
            </w:r>
            <w:r w:rsidR="002C486A">
              <w:rPr>
                <w:noProof/>
                <w:webHidden/>
              </w:rPr>
              <w:t>10</w:t>
            </w:r>
            <w:r>
              <w:rPr>
                <w:noProof/>
                <w:webHidden/>
              </w:rPr>
              <w:fldChar w:fldCharType="end"/>
            </w:r>
          </w:hyperlink>
        </w:p>
        <w:p w14:paraId="45E5DF3B" w14:textId="2F7610DC" w:rsidR="00FF1776" w:rsidRDefault="00FF1776">
          <w:pPr>
            <w:pStyle w:val="TOC1"/>
            <w:tabs>
              <w:tab w:val="right" w:leader="dot" w:pos="9016"/>
            </w:tabs>
            <w:rPr>
              <w:rFonts w:ascii="Arial" w:eastAsia="Arial" w:hAnsi="Arial" w:cs="Arial"/>
              <w:noProof/>
              <w:sz w:val="24"/>
              <w:szCs w:val="24"/>
              <w:lang w:eastAsia="en-GB"/>
            </w:rPr>
          </w:pPr>
          <w:hyperlink w:anchor="_Toc213871342" w:history="1">
            <w:r w:rsidRPr="00FF6343">
              <w:rPr>
                <w:rStyle w:val="Hyperlink"/>
                <w:rFonts w:eastAsia="Arial" w:cs="Arial"/>
                <w:noProof/>
                <w:lang w:bidi="en-GB"/>
              </w:rPr>
              <w:t xml:space="preserve">CHAPTER 2 – </w:t>
            </w:r>
            <w:r w:rsidRPr="000D36C0">
              <w:rPr>
                <w:rStyle w:val="Hyperlink"/>
                <w:rFonts w:ascii="Arial" w:eastAsia="Arial" w:hAnsi="Arial" w:cs="Arial"/>
                <w:noProof/>
                <w:lang w:bidi="en-GB"/>
              </w:rPr>
              <w:t>Background Information and Analysis</w:t>
            </w:r>
            <w:r>
              <w:rPr>
                <w:noProof/>
                <w:webHidden/>
              </w:rPr>
              <w:tab/>
            </w:r>
            <w:r>
              <w:rPr>
                <w:noProof/>
                <w:webHidden/>
              </w:rPr>
              <w:fldChar w:fldCharType="begin"/>
            </w:r>
            <w:r>
              <w:rPr>
                <w:noProof/>
                <w:webHidden/>
              </w:rPr>
              <w:instrText xml:space="preserve"> PAGEREF _Toc213871342 \h </w:instrText>
            </w:r>
            <w:r>
              <w:rPr>
                <w:noProof/>
                <w:webHidden/>
              </w:rPr>
            </w:r>
            <w:r>
              <w:rPr>
                <w:noProof/>
                <w:webHidden/>
              </w:rPr>
              <w:fldChar w:fldCharType="separate"/>
            </w:r>
            <w:r w:rsidR="002C486A">
              <w:rPr>
                <w:noProof/>
                <w:webHidden/>
              </w:rPr>
              <w:t>12</w:t>
            </w:r>
            <w:r>
              <w:rPr>
                <w:noProof/>
                <w:webHidden/>
              </w:rPr>
              <w:fldChar w:fldCharType="end"/>
            </w:r>
          </w:hyperlink>
        </w:p>
        <w:p w14:paraId="1EB1AEA8" w14:textId="2482D115" w:rsidR="00FF1776" w:rsidRDefault="00FF1776">
          <w:pPr>
            <w:pStyle w:val="TOC2"/>
            <w:tabs>
              <w:tab w:val="right" w:leader="dot" w:pos="9016"/>
            </w:tabs>
            <w:rPr>
              <w:rFonts w:ascii="Arial" w:eastAsia="Arial" w:hAnsi="Arial" w:cs="Arial"/>
              <w:noProof/>
              <w:sz w:val="24"/>
              <w:szCs w:val="24"/>
              <w:lang w:eastAsia="en-GB"/>
            </w:rPr>
          </w:pPr>
          <w:hyperlink w:anchor="_Toc213871343" w:history="1">
            <w:r w:rsidRPr="00FF6343">
              <w:rPr>
                <w:rStyle w:val="Hyperlink"/>
                <w:rFonts w:ascii="Arial" w:eastAsia="Arial" w:hAnsi="Arial" w:cs="Arial"/>
                <w:noProof/>
              </w:rPr>
              <w:t>2.2 Historical Background</w:t>
            </w:r>
            <w:r>
              <w:rPr>
                <w:noProof/>
                <w:webHidden/>
              </w:rPr>
              <w:tab/>
            </w:r>
            <w:r>
              <w:rPr>
                <w:noProof/>
                <w:webHidden/>
              </w:rPr>
              <w:fldChar w:fldCharType="begin"/>
            </w:r>
            <w:r>
              <w:rPr>
                <w:noProof/>
                <w:webHidden/>
              </w:rPr>
              <w:instrText xml:space="preserve"> PAGEREF _Toc213871343 \h </w:instrText>
            </w:r>
            <w:r>
              <w:rPr>
                <w:noProof/>
                <w:webHidden/>
              </w:rPr>
            </w:r>
            <w:r>
              <w:rPr>
                <w:noProof/>
                <w:webHidden/>
              </w:rPr>
              <w:fldChar w:fldCharType="separate"/>
            </w:r>
            <w:r w:rsidR="002C486A">
              <w:rPr>
                <w:noProof/>
                <w:webHidden/>
              </w:rPr>
              <w:t>12</w:t>
            </w:r>
            <w:r>
              <w:rPr>
                <w:noProof/>
                <w:webHidden/>
              </w:rPr>
              <w:fldChar w:fldCharType="end"/>
            </w:r>
          </w:hyperlink>
        </w:p>
        <w:p w14:paraId="21861CCE" w14:textId="7D6F8D67" w:rsidR="00FF1776" w:rsidRDefault="00FF1776">
          <w:pPr>
            <w:pStyle w:val="TOC2"/>
            <w:tabs>
              <w:tab w:val="right" w:leader="dot" w:pos="9016"/>
            </w:tabs>
            <w:rPr>
              <w:rFonts w:ascii="Arial" w:eastAsia="Arial" w:hAnsi="Arial" w:cs="Arial"/>
              <w:noProof/>
              <w:sz w:val="24"/>
              <w:szCs w:val="24"/>
              <w:lang w:eastAsia="en-GB"/>
            </w:rPr>
          </w:pPr>
          <w:hyperlink w:anchor="_Toc213871344" w:history="1">
            <w:r w:rsidRPr="00FF6343">
              <w:rPr>
                <w:rStyle w:val="Hyperlink"/>
                <w:rFonts w:ascii="Arial" w:eastAsia="Arial" w:hAnsi="Arial" w:cs="Arial"/>
                <w:noProof/>
              </w:rPr>
              <w:t>2.3 Theoretical Background</w:t>
            </w:r>
            <w:r>
              <w:rPr>
                <w:noProof/>
                <w:webHidden/>
              </w:rPr>
              <w:tab/>
            </w:r>
            <w:r>
              <w:rPr>
                <w:noProof/>
                <w:webHidden/>
              </w:rPr>
              <w:fldChar w:fldCharType="begin"/>
            </w:r>
            <w:r>
              <w:rPr>
                <w:noProof/>
                <w:webHidden/>
              </w:rPr>
              <w:instrText xml:space="preserve"> PAGEREF _Toc213871344 \h </w:instrText>
            </w:r>
            <w:r>
              <w:rPr>
                <w:noProof/>
                <w:webHidden/>
              </w:rPr>
            </w:r>
            <w:r>
              <w:rPr>
                <w:noProof/>
                <w:webHidden/>
              </w:rPr>
              <w:fldChar w:fldCharType="separate"/>
            </w:r>
            <w:r w:rsidR="002C486A">
              <w:rPr>
                <w:noProof/>
                <w:webHidden/>
              </w:rPr>
              <w:t>14</w:t>
            </w:r>
            <w:r>
              <w:rPr>
                <w:noProof/>
                <w:webHidden/>
              </w:rPr>
              <w:fldChar w:fldCharType="end"/>
            </w:r>
          </w:hyperlink>
        </w:p>
        <w:p w14:paraId="310BC009" w14:textId="34549388" w:rsidR="00FF1776" w:rsidRDefault="00FF1776">
          <w:pPr>
            <w:pStyle w:val="TOC2"/>
            <w:tabs>
              <w:tab w:val="right" w:leader="dot" w:pos="9016"/>
            </w:tabs>
            <w:rPr>
              <w:rFonts w:ascii="Arial" w:eastAsia="Arial" w:hAnsi="Arial" w:cs="Arial"/>
              <w:noProof/>
              <w:sz w:val="24"/>
              <w:szCs w:val="24"/>
              <w:lang w:eastAsia="en-GB"/>
            </w:rPr>
          </w:pPr>
          <w:hyperlink w:anchor="_Toc213871345" w:history="1">
            <w:r w:rsidRPr="00FF6343">
              <w:rPr>
                <w:rStyle w:val="Hyperlink"/>
                <w:rFonts w:ascii="Arial" w:eastAsia="Arial" w:hAnsi="Arial" w:cs="Arial"/>
                <w:noProof/>
              </w:rPr>
              <w:t>2.4 International Context</w:t>
            </w:r>
            <w:r>
              <w:rPr>
                <w:noProof/>
                <w:webHidden/>
              </w:rPr>
              <w:tab/>
            </w:r>
            <w:r>
              <w:rPr>
                <w:noProof/>
                <w:webHidden/>
              </w:rPr>
              <w:fldChar w:fldCharType="begin"/>
            </w:r>
            <w:r>
              <w:rPr>
                <w:noProof/>
                <w:webHidden/>
              </w:rPr>
              <w:instrText xml:space="preserve"> PAGEREF _Toc213871345 \h </w:instrText>
            </w:r>
            <w:r>
              <w:rPr>
                <w:noProof/>
                <w:webHidden/>
              </w:rPr>
            </w:r>
            <w:r>
              <w:rPr>
                <w:noProof/>
                <w:webHidden/>
              </w:rPr>
              <w:fldChar w:fldCharType="separate"/>
            </w:r>
            <w:r w:rsidR="002C486A">
              <w:rPr>
                <w:noProof/>
                <w:webHidden/>
              </w:rPr>
              <w:t>15</w:t>
            </w:r>
            <w:r>
              <w:rPr>
                <w:noProof/>
                <w:webHidden/>
              </w:rPr>
              <w:fldChar w:fldCharType="end"/>
            </w:r>
          </w:hyperlink>
        </w:p>
        <w:p w14:paraId="2AD2F1C3" w14:textId="176C0CFC" w:rsidR="00FF1776" w:rsidRDefault="00FF1776">
          <w:pPr>
            <w:pStyle w:val="TOC2"/>
            <w:tabs>
              <w:tab w:val="right" w:leader="dot" w:pos="9016"/>
            </w:tabs>
            <w:rPr>
              <w:rFonts w:ascii="Arial" w:eastAsia="Arial" w:hAnsi="Arial" w:cs="Arial"/>
              <w:noProof/>
              <w:sz w:val="24"/>
              <w:szCs w:val="24"/>
              <w:lang w:eastAsia="en-GB"/>
            </w:rPr>
          </w:pPr>
          <w:hyperlink w:anchor="_Toc213871346" w:history="1">
            <w:r w:rsidRPr="00FF6343">
              <w:rPr>
                <w:rStyle w:val="Hyperlink"/>
                <w:rFonts w:ascii="Arial" w:eastAsia="Arial" w:hAnsi="Arial" w:cs="Arial"/>
                <w:noProof/>
              </w:rPr>
              <w:t>2.5 National/Local UK Context</w:t>
            </w:r>
            <w:r>
              <w:rPr>
                <w:noProof/>
                <w:webHidden/>
              </w:rPr>
              <w:tab/>
            </w:r>
            <w:r>
              <w:rPr>
                <w:noProof/>
                <w:webHidden/>
              </w:rPr>
              <w:fldChar w:fldCharType="begin"/>
            </w:r>
            <w:r>
              <w:rPr>
                <w:noProof/>
                <w:webHidden/>
              </w:rPr>
              <w:instrText xml:space="preserve"> PAGEREF _Toc213871346 \h </w:instrText>
            </w:r>
            <w:r>
              <w:rPr>
                <w:noProof/>
                <w:webHidden/>
              </w:rPr>
            </w:r>
            <w:r>
              <w:rPr>
                <w:noProof/>
                <w:webHidden/>
              </w:rPr>
              <w:fldChar w:fldCharType="separate"/>
            </w:r>
            <w:r w:rsidR="002C486A">
              <w:rPr>
                <w:noProof/>
                <w:webHidden/>
              </w:rPr>
              <w:t>17</w:t>
            </w:r>
            <w:r>
              <w:rPr>
                <w:noProof/>
                <w:webHidden/>
              </w:rPr>
              <w:fldChar w:fldCharType="end"/>
            </w:r>
          </w:hyperlink>
        </w:p>
        <w:p w14:paraId="79918D2B" w14:textId="1A5ED515" w:rsidR="00FF1776" w:rsidRDefault="00FF1776">
          <w:pPr>
            <w:pStyle w:val="TOC2"/>
            <w:tabs>
              <w:tab w:val="right" w:leader="dot" w:pos="9016"/>
            </w:tabs>
            <w:rPr>
              <w:rFonts w:ascii="Arial" w:eastAsia="Arial" w:hAnsi="Arial" w:cs="Arial"/>
              <w:noProof/>
              <w:sz w:val="24"/>
              <w:szCs w:val="24"/>
              <w:lang w:eastAsia="en-GB"/>
            </w:rPr>
          </w:pPr>
          <w:hyperlink w:anchor="_Toc213871347" w:history="1">
            <w:r w:rsidRPr="00FF6343">
              <w:rPr>
                <w:rStyle w:val="Hyperlink"/>
                <w:rFonts w:ascii="Arial" w:eastAsia="Arial" w:hAnsi="Arial" w:cs="Arial"/>
                <w:noProof/>
              </w:rPr>
              <w:t>2.6 Conclusion</w:t>
            </w:r>
            <w:r>
              <w:rPr>
                <w:noProof/>
                <w:webHidden/>
              </w:rPr>
              <w:tab/>
            </w:r>
            <w:r>
              <w:rPr>
                <w:noProof/>
                <w:webHidden/>
              </w:rPr>
              <w:fldChar w:fldCharType="begin"/>
            </w:r>
            <w:r>
              <w:rPr>
                <w:noProof/>
                <w:webHidden/>
              </w:rPr>
              <w:instrText xml:space="preserve"> PAGEREF _Toc213871347 \h </w:instrText>
            </w:r>
            <w:r>
              <w:rPr>
                <w:noProof/>
                <w:webHidden/>
              </w:rPr>
            </w:r>
            <w:r>
              <w:rPr>
                <w:noProof/>
                <w:webHidden/>
              </w:rPr>
              <w:fldChar w:fldCharType="separate"/>
            </w:r>
            <w:r w:rsidR="002C486A">
              <w:rPr>
                <w:noProof/>
                <w:webHidden/>
              </w:rPr>
              <w:t>19</w:t>
            </w:r>
            <w:r>
              <w:rPr>
                <w:noProof/>
                <w:webHidden/>
              </w:rPr>
              <w:fldChar w:fldCharType="end"/>
            </w:r>
          </w:hyperlink>
        </w:p>
        <w:p w14:paraId="5FE1A7D3" w14:textId="6E6B3C35" w:rsidR="00FF1776" w:rsidRDefault="00FF1776">
          <w:pPr>
            <w:pStyle w:val="TOC1"/>
            <w:tabs>
              <w:tab w:val="right" w:leader="dot" w:pos="9016"/>
            </w:tabs>
            <w:rPr>
              <w:rFonts w:ascii="Arial" w:eastAsia="Arial" w:hAnsi="Arial" w:cs="Arial"/>
              <w:noProof/>
              <w:sz w:val="24"/>
              <w:szCs w:val="24"/>
              <w:lang w:eastAsia="en-GB"/>
            </w:rPr>
          </w:pPr>
          <w:hyperlink w:anchor="_Toc213871348" w:history="1">
            <w:r w:rsidRPr="00FF6343">
              <w:rPr>
                <w:rStyle w:val="Hyperlink"/>
                <w:rFonts w:eastAsia="Arial" w:cs="Arial"/>
                <w:noProof/>
                <w:lang w:bidi="en-GB"/>
              </w:rPr>
              <w:t xml:space="preserve">CHAPTER 3 – </w:t>
            </w:r>
            <w:r w:rsidRPr="007B2E65">
              <w:rPr>
                <w:rStyle w:val="Hyperlink"/>
                <w:rFonts w:ascii="Arial" w:eastAsia="Arial" w:hAnsi="Arial" w:cs="Arial"/>
                <w:noProof/>
                <w:lang w:bidi="en-GB"/>
              </w:rPr>
              <w:t>Methods and Search Strategy</w:t>
            </w:r>
            <w:r>
              <w:rPr>
                <w:noProof/>
                <w:webHidden/>
              </w:rPr>
              <w:tab/>
            </w:r>
            <w:r>
              <w:rPr>
                <w:noProof/>
                <w:webHidden/>
              </w:rPr>
              <w:fldChar w:fldCharType="begin"/>
            </w:r>
            <w:r>
              <w:rPr>
                <w:noProof/>
                <w:webHidden/>
              </w:rPr>
              <w:instrText xml:space="preserve"> PAGEREF _Toc213871348 \h </w:instrText>
            </w:r>
            <w:r>
              <w:rPr>
                <w:noProof/>
                <w:webHidden/>
              </w:rPr>
            </w:r>
            <w:r>
              <w:rPr>
                <w:noProof/>
                <w:webHidden/>
              </w:rPr>
              <w:fldChar w:fldCharType="separate"/>
            </w:r>
            <w:r w:rsidR="002C486A">
              <w:rPr>
                <w:noProof/>
                <w:webHidden/>
              </w:rPr>
              <w:t>20</w:t>
            </w:r>
            <w:r>
              <w:rPr>
                <w:noProof/>
                <w:webHidden/>
              </w:rPr>
              <w:fldChar w:fldCharType="end"/>
            </w:r>
          </w:hyperlink>
        </w:p>
        <w:p w14:paraId="6EF03792" w14:textId="2EE4247E" w:rsidR="00FF1776" w:rsidRDefault="00FF1776">
          <w:pPr>
            <w:pStyle w:val="TOC2"/>
            <w:tabs>
              <w:tab w:val="right" w:leader="dot" w:pos="9016"/>
            </w:tabs>
            <w:rPr>
              <w:rFonts w:ascii="Arial" w:eastAsia="Arial" w:hAnsi="Arial" w:cs="Arial"/>
              <w:noProof/>
              <w:sz w:val="24"/>
              <w:szCs w:val="24"/>
              <w:lang w:eastAsia="en-GB"/>
            </w:rPr>
          </w:pPr>
          <w:hyperlink w:anchor="_Toc213871349" w:history="1">
            <w:r w:rsidRPr="00FF6343">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_Toc213871349 \h </w:instrText>
            </w:r>
            <w:r>
              <w:rPr>
                <w:noProof/>
                <w:webHidden/>
              </w:rPr>
            </w:r>
            <w:r>
              <w:rPr>
                <w:noProof/>
                <w:webHidden/>
              </w:rPr>
              <w:fldChar w:fldCharType="separate"/>
            </w:r>
            <w:r w:rsidR="002C486A">
              <w:rPr>
                <w:noProof/>
                <w:webHidden/>
              </w:rPr>
              <w:t>20</w:t>
            </w:r>
            <w:r>
              <w:rPr>
                <w:noProof/>
                <w:webHidden/>
              </w:rPr>
              <w:fldChar w:fldCharType="end"/>
            </w:r>
          </w:hyperlink>
        </w:p>
        <w:p w14:paraId="1090C7CA" w14:textId="433658D8" w:rsidR="00FF1776" w:rsidRDefault="00FF1776">
          <w:pPr>
            <w:pStyle w:val="TOC2"/>
            <w:tabs>
              <w:tab w:val="right" w:leader="dot" w:pos="9016"/>
            </w:tabs>
            <w:rPr>
              <w:rFonts w:ascii="Arial" w:eastAsia="Arial" w:hAnsi="Arial" w:cs="Arial"/>
              <w:noProof/>
              <w:sz w:val="24"/>
              <w:szCs w:val="24"/>
              <w:lang w:eastAsia="en-GB"/>
            </w:rPr>
          </w:pPr>
          <w:hyperlink w:anchor="_Toc213871350" w:history="1">
            <w:r w:rsidRPr="00FF6343">
              <w:rPr>
                <w:rStyle w:val="Hyperlink"/>
                <w:rFonts w:ascii="Arial" w:hAnsi="Arial" w:cs="Arial"/>
                <w:noProof/>
              </w:rPr>
              <w:t>3.2 Search Strategy</w:t>
            </w:r>
            <w:r>
              <w:rPr>
                <w:noProof/>
                <w:webHidden/>
              </w:rPr>
              <w:tab/>
            </w:r>
            <w:r>
              <w:rPr>
                <w:noProof/>
                <w:webHidden/>
              </w:rPr>
              <w:fldChar w:fldCharType="begin"/>
            </w:r>
            <w:r>
              <w:rPr>
                <w:noProof/>
                <w:webHidden/>
              </w:rPr>
              <w:instrText xml:space="preserve"> PAGEREF _Toc213871350 \h </w:instrText>
            </w:r>
            <w:r>
              <w:rPr>
                <w:noProof/>
                <w:webHidden/>
              </w:rPr>
            </w:r>
            <w:r>
              <w:rPr>
                <w:noProof/>
                <w:webHidden/>
              </w:rPr>
              <w:fldChar w:fldCharType="separate"/>
            </w:r>
            <w:r w:rsidR="002C486A">
              <w:rPr>
                <w:noProof/>
                <w:webHidden/>
              </w:rPr>
              <w:t>20</w:t>
            </w:r>
            <w:r>
              <w:rPr>
                <w:noProof/>
                <w:webHidden/>
              </w:rPr>
              <w:fldChar w:fldCharType="end"/>
            </w:r>
          </w:hyperlink>
        </w:p>
        <w:p w14:paraId="1D4D4BA7" w14:textId="3A79A65E" w:rsidR="00FF1776" w:rsidRDefault="00FF1776">
          <w:pPr>
            <w:pStyle w:val="TOC2"/>
            <w:tabs>
              <w:tab w:val="right" w:leader="dot" w:pos="9016"/>
            </w:tabs>
            <w:rPr>
              <w:rFonts w:ascii="Arial" w:eastAsia="Arial" w:hAnsi="Arial" w:cs="Arial"/>
              <w:noProof/>
              <w:sz w:val="24"/>
              <w:szCs w:val="24"/>
              <w:lang w:eastAsia="en-GB"/>
            </w:rPr>
          </w:pPr>
          <w:hyperlink w:anchor="_Toc213871351" w:history="1">
            <w:r w:rsidRPr="00FF6343">
              <w:rPr>
                <w:rStyle w:val="Hyperlink"/>
                <w:rFonts w:ascii="Arial" w:hAnsi="Arial" w:cs="Arial"/>
                <w:noProof/>
              </w:rPr>
              <w:t>3.3 Searching for Information</w:t>
            </w:r>
            <w:r>
              <w:rPr>
                <w:noProof/>
                <w:webHidden/>
              </w:rPr>
              <w:tab/>
            </w:r>
            <w:r>
              <w:rPr>
                <w:noProof/>
                <w:webHidden/>
              </w:rPr>
              <w:fldChar w:fldCharType="begin"/>
            </w:r>
            <w:r>
              <w:rPr>
                <w:noProof/>
                <w:webHidden/>
              </w:rPr>
              <w:instrText xml:space="preserve"> PAGEREF _Toc213871351 \h </w:instrText>
            </w:r>
            <w:r>
              <w:rPr>
                <w:noProof/>
                <w:webHidden/>
              </w:rPr>
            </w:r>
            <w:r>
              <w:rPr>
                <w:noProof/>
                <w:webHidden/>
              </w:rPr>
              <w:fldChar w:fldCharType="separate"/>
            </w:r>
            <w:r w:rsidR="002C486A">
              <w:rPr>
                <w:noProof/>
                <w:webHidden/>
              </w:rPr>
              <w:t>20</w:t>
            </w:r>
            <w:r>
              <w:rPr>
                <w:noProof/>
                <w:webHidden/>
              </w:rPr>
              <w:fldChar w:fldCharType="end"/>
            </w:r>
          </w:hyperlink>
        </w:p>
        <w:p w14:paraId="395C1325" w14:textId="036D8848" w:rsidR="00FF1776" w:rsidRDefault="00FF1776">
          <w:pPr>
            <w:pStyle w:val="TOC2"/>
            <w:tabs>
              <w:tab w:val="right" w:leader="dot" w:pos="9016"/>
            </w:tabs>
            <w:rPr>
              <w:rFonts w:ascii="Arial" w:eastAsia="Arial" w:hAnsi="Arial" w:cs="Arial"/>
              <w:noProof/>
              <w:sz w:val="24"/>
              <w:szCs w:val="24"/>
              <w:lang w:eastAsia="en-GB"/>
            </w:rPr>
          </w:pPr>
          <w:hyperlink w:anchor="_Toc213871352" w:history="1">
            <w:r w:rsidRPr="00FF6343">
              <w:rPr>
                <w:rStyle w:val="Hyperlink"/>
                <w:rFonts w:ascii="Arial" w:hAnsi="Arial" w:cs="Arial"/>
                <w:noProof/>
              </w:rPr>
              <w:t>3.4 Research Validation</w:t>
            </w:r>
            <w:r>
              <w:rPr>
                <w:noProof/>
                <w:webHidden/>
              </w:rPr>
              <w:tab/>
            </w:r>
            <w:r>
              <w:rPr>
                <w:noProof/>
                <w:webHidden/>
              </w:rPr>
              <w:fldChar w:fldCharType="begin"/>
            </w:r>
            <w:r>
              <w:rPr>
                <w:noProof/>
                <w:webHidden/>
              </w:rPr>
              <w:instrText xml:space="preserve"> PAGEREF _Toc213871352 \h </w:instrText>
            </w:r>
            <w:r>
              <w:rPr>
                <w:noProof/>
                <w:webHidden/>
              </w:rPr>
            </w:r>
            <w:r>
              <w:rPr>
                <w:noProof/>
                <w:webHidden/>
              </w:rPr>
              <w:fldChar w:fldCharType="separate"/>
            </w:r>
            <w:r w:rsidR="002C486A">
              <w:rPr>
                <w:noProof/>
                <w:webHidden/>
              </w:rPr>
              <w:t>21</w:t>
            </w:r>
            <w:r>
              <w:rPr>
                <w:noProof/>
                <w:webHidden/>
              </w:rPr>
              <w:fldChar w:fldCharType="end"/>
            </w:r>
          </w:hyperlink>
        </w:p>
        <w:p w14:paraId="1C57453D" w14:textId="738CA193" w:rsidR="00FF1776" w:rsidRDefault="00FF1776">
          <w:pPr>
            <w:pStyle w:val="TOC2"/>
            <w:tabs>
              <w:tab w:val="right" w:leader="dot" w:pos="9016"/>
            </w:tabs>
            <w:rPr>
              <w:rFonts w:ascii="Arial" w:eastAsia="Arial" w:hAnsi="Arial" w:cs="Arial"/>
              <w:noProof/>
              <w:sz w:val="24"/>
              <w:szCs w:val="24"/>
              <w:lang w:eastAsia="en-GB"/>
            </w:rPr>
          </w:pPr>
          <w:hyperlink w:anchor="_Toc213871353" w:history="1">
            <w:r w:rsidRPr="00FF6343">
              <w:rPr>
                <w:rStyle w:val="Hyperlink"/>
                <w:rFonts w:ascii="Arial" w:hAnsi="Arial" w:cs="Arial"/>
                <w:noProof/>
              </w:rPr>
              <w:t>3.5 Inclusion and Exclusion Criteria</w:t>
            </w:r>
            <w:r>
              <w:rPr>
                <w:noProof/>
                <w:webHidden/>
              </w:rPr>
              <w:tab/>
            </w:r>
            <w:r>
              <w:rPr>
                <w:noProof/>
                <w:webHidden/>
              </w:rPr>
              <w:fldChar w:fldCharType="begin"/>
            </w:r>
            <w:r>
              <w:rPr>
                <w:noProof/>
                <w:webHidden/>
              </w:rPr>
              <w:instrText xml:space="preserve"> PAGEREF _Toc213871353 \h </w:instrText>
            </w:r>
            <w:r>
              <w:rPr>
                <w:noProof/>
                <w:webHidden/>
              </w:rPr>
            </w:r>
            <w:r>
              <w:rPr>
                <w:noProof/>
                <w:webHidden/>
              </w:rPr>
              <w:fldChar w:fldCharType="separate"/>
            </w:r>
            <w:r w:rsidR="002C486A">
              <w:rPr>
                <w:noProof/>
                <w:webHidden/>
              </w:rPr>
              <w:t>21</w:t>
            </w:r>
            <w:r>
              <w:rPr>
                <w:noProof/>
                <w:webHidden/>
              </w:rPr>
              <w:fldChar w:fldCharType="end"/>
            </w:r>
          </w:hyperlink>
        </w:p>
        <w:p w14:paraId="5B0803FC" w14:textId="55010220" w:rsidR="00FF1776" w:rsidRDefault="00FF1776">
          <w:pPr>
            <w:pStyle w:val="TOC2"/>
            <w:tabs>
              <w:tab w:val="right" w:leader="dot" w:pos="9016"/>
            </w:tabs>
            <w:rPr>
              <w:rFonts w:ascii="Arial" w:eastAsia="Arial" w:hAnsi="Arial" w:cs="Arial"/>
              <w:noProof/>
              <w:sz w:val="24"/>
              <w:szCs w:val="24"/>
              <w:lang w:eastAsia="en-GB"/>
            </w:rPr>
          </w:pPr>
          <w:hyperlink w:anchor="_Toc213871354" w:history="1">
            <w:r w:rsidRPr="00FF6343">
              <w:rPr>
                <w:rStyle w:val="Hyperlink"/>
                <w:rFonts w:ascii="Arial" w:hAnsi="Arial" w:cs="Arial"/>
                <w:noProof/>
              </w:rPr>
              <w:t>3.6 Analysing Research</w:t>
            </w:r>
            <w:r>
              <w:rPr>
                <w:noProof/>
                <w:webHidden/>
              </w:rPr>
              <w:tab/>
            </w:r>
            <w:r>
              <w:rPr>
                <w:noProof/>
                <w:webHidden/>
              </w:rPr>
              <w:fldChar w:fldCharType="begin"/>
            </w:r>
            <w:r>
              <w:rPr>
                <w:noProof/>
                <w:webHidden/>
              </w:rPr>
              <w:instrText xml:space="preserve"> PAGEREF _Toc213871354 \h </w:instrText>
            </w:r>
            <w:r>
              <w:rPr>
                <w:noProof/>
                <w:webHidden/>
              </w:rPr>
            </w:r>
            <w:r>
              <w:rPr>
                <w:noProof/>
                <w:webHidden/>
              </w:rPr>
              <w:fldChar w:fldCharType="separate"/>
            </w:r>
            <w:r w:rsidR="002C486A">
              <w:rPr>
                <w:noProof/>
                <w:webHidden/>
              </w:rPr>
              <w:t>22</w:t>
            </w:r>
            <w:r>
              <w:rPr>
                <w:noProof/>
                <w:webHidden/>
              </w:rPr>
              <w:fldChar w:fldCharType="end"/>
            </w:r>
          </w:hyperlink>
        </w:p>
        <w:p w14:paraId="5D8DB7AE" w14:textId="08A93126" w:rsidR="00FF1776" w:rsidRDefault="00FF1776">
          <w:pPr>
            <w:pStyle w:val="TOC2"/>
            <w:tabs>
              <w:tab w:val="right" w:leader="dot" w:pos="9016"/>
            </w:tabs>
            <w:rPr>
              <w:rFonts w:ascii="Arial" w:eastAsia="Arial" w:hAnsi="Arial" w:cs="Arial"/>
              <w:noProof/>
              <w:sz w:val="24"/>
              <w:szCs w:val="24"/>
              <w:lang w:eastAsia="en-GB"/>
            </w:rPr>
          </w:pPr>
          <w:hyperlink w:anchor="_Toc213871355" w:history="1">
            <w:r w:rsidRPr="00FF6343">
              <w:rPr>
                <w:rStyle w:val="Hyperlink"/>
                <w:rFonts w:ascii="Arial" w:hAnsi="Arial" w:cs="Arial"/>
                <w:noProof/>
              </w:rPr>
              <w:t>3.7 Ethical Considerations</w:t>
            </w:r>
            <w:r>
              <w:rPr>
                <w:noProof/>
                <w:webHidden/>
              </w:rPr>
              <w:tab/>
            </w:r>
            <w:r>
              <w:rPr>
                <w:noProof/>
                <w:webHidden/>
              </w:rPr>
              <w:fldChar w:fldCharType="begin"/>
            </w:r>
            <w:r>
              <w:rPr>
                <w:noProof/>
                <w:webHidden/>
              </w:rPr>
              <w:instrText xml:space="preserve"> PAGEREF _Toc213871355 \h </w:instrText>
            </w:r>
            <w:r>
              <w:rPr>
                <w:noProof/>
                <w:webHidden/>
              </w:rPr>
            </w:r>
            <w:r>
              <w:rPr>
                <w:noProof/>
                <w:webHidden/>
              </w:rPr>
              <w:fldChar w:fldCharType="separate"/>
            </w:r>
            <w:r w:rsidR="002C486A">
              <w:rPr>
                <w:noProof/>
                <w:webHidden/>
              </w:rPr>
              <w:t>23</w:t>
            </w:r>
            <w:r>
              <w:rPr>
                <w:noProof/>
                <w:webHidden/>
              </w:rPr>
              <w:fldChar w:fldCharType="end"/>
            </w:r>
          </w:hyperlink>
        </w:p>
        <w:p w14:paraId="20CC85F3" w14:textId="70CE8591" w:rsidR="00FF1776" w:rsidRDefault="00FF1776">
          <w:pPr>
            <w:pStyle w:val="TOC2"/>
            <w:tabs>
              <w:tab w:val="right" w:leader="dot" w:pos="9016"/>
            </w:tabs>
            <w:rPr>
              <w:rFonts w:ascii="Arial" w:eastAsia="Arial" w:hAnsi="Arial" w:cs="Arial"/>
              <w:noProof/>
              <w:sz w:val="24"/>
              <w:szCs w:val="24"/>
              <w:lang w:eastAsia="en-GB"/>
            </w:rPr>
          </w:pPr>
          <w:hyperlink w:anchor="_Toc213871356" w:history="1">
            <w:r w:rsidRPr="00FF6343">
              <w:rPr>
                <w:rStyle w:val="Hyperlink"/>
                <w:rFonts w:ascii="Arial" w:hAnsi="Arial" w:cs="Arial"/>
                <w:noProof/>
              </w:rPr>
              <w:t>3.8 Chapter Conclusion</w:t>
            </w:r>
            <w:r>
              <w:rPr>
                <w:noProof/>
                <w:webHidden/>
              </w:rPr>
              <w:tab/>
            </w:r>
            <w:r>
              <w:rPr>
                <w:noProof/>
                <w:webHidden/>
              </w:rPr>
              <w:fldChar w:fldCharType="begin"/>
            </w:r>
            <w:r>
              <w:rPr>
                <w:noProof/>
                <w:webHidden/>
              </w:rPr>
              <w:instrText xml:space="preserve"> PAGEREF _Toc213871356 \h </w:instrText>
            </w:r>
            <w:r>
              <w:rPr>
                <w:noProof/>
                <w:webHidden/>
              </w:rPr>
            </w:r>
            <w:r>
              <w:rPr>
                <w:noProof/>
                <w:webHidden/>
              </w:rPr>
              <w:fldChar w:fldCharType="separate"/>
            </w:r>
            <w:r w:rsidR="002C486A">
              <w:rPr>
                <w:noProof/>
                <w:webHidden/>
              </w:rPr>
              <w:t>23</w:t>
            </w:r>
            <w:r>
              <w:rPr>
                <w:noProof/>
                <w:webHidden/>
              </w:rPr>
              <w:fldChar w:fldCharType="end"/>
            </w:r>
          </w:hyperlink>
        </w:p>
        <w:p w14:paraId="613B78CB" w14:textId="6272177C" w:rsidR="00FF1776" w:rsidRDefault="00FF1776">
          <w:pPr>
            <w:pStyle w:val="TOC1"/>
            <w:tabs>
              <w:tab w:val="right" w:leader="dot" w:pos="9016"/>
            </w:tabs>
            <w:rPr>
              <w:rFonts w:ascii="Arial" w:eastAsia="Arial" w:hAnsi="Arial" w:cs="Arial"/>
              <w:noProof/>
              <w:sz w:val="24"/>
              <w:szCs w:val="24"/>
              <w:lang w:eastAsia="en-GB"/>
            </w:rPr>
          </w:pPr>
          <w:hyperlink w:anchor="_Toc213871357" w:history="1">
            <w:r w:rsidRPr="00FF6343">
              <w:rPr>
                <w:rStyle w:val="Hyperlink"/>
                <w:bCs/>
                <w:noProof/>
                <w:lang w:bidi="en-GB"/>
              </w:rPr>
              <w:t>CHAPTER 4</w:t>
            </w:r>
            <w:r w:rsidRPr="00FB1193">
              <w:rPr>
                <w:rStyle w:val="Hyperlink"/>
                <w:rFonts w:ascii="Arial" w:hAnsi="Arial" w:cs="Arial"/>
                <w:bCs/>
                <w:noProof/>
                <w:lang w:bidi="en-GB"/>
              </w:rPr>
              <w:t xml:space="preserve"> Findings and Discussion</w:t>
            </w:r>
            <w:r>
              <w:rPr>
                <w:noProof/>
                <w:webHidden/>
              </w:rPr>
              <w:tab/>
            </w:r>
            <w:r>
              <w:rPr>
                <w:noProof/>
                <w:webHidden/>
              </w:rPr>
              <w:fldChar w:fldCharType="begin"/>
            </w:r>
            <w:r>
              <w:rPr>
                <w:noProof/>
                <w:webHidden/>
              </w:rPr>
              <w:instrText xml:space="preserve"> PAGEREF _Toc213871357 \h </w:instrText>
            </w:r>
            <w:r>
              <w:rPr>
                <w:noProof/>
                <w:webHidden/>
              </w:rPr>
            </w:r>
            <w:r>
              <w:rPr>
                <w:noProof/>
                <w:webHidden/>
              </w:rPr>
              <w:fldChar w:fldCharType="separate"/>
            </w:r>
            <w:r w:rsidR="002C486A">
              <w:rPr>
                <w:noProof/>
                <w:webHidden/>
              </w:rPr>
              <w:t>24</w:t>
            </w:r>
            <w:r>
              <w:rPr>
                <w:noProof/>
                <w:webHidden/>
              </w:rPr>
              <w:fldChar w:fldCharType="end"/>
            </w:r>
          </w:hyperlink>
        </w:p>
        <w:p w14:paraId="4195E275" w14:textId="531D515D" w:rsidR="00FF1776" w:rsidRDefault="00FF1776">
          <w:pPr>
            <w:pStyle w:val="TOC2"/>
            <w:tabs>
              <w:tab w:val="right" w:leader="dot" w:pos="9016"/>
            </w:tabs>
            <w:rPr>
              <w:rFonts w:ascii="Arial" w:eastAsia="Arial" w:hAnsi="Arial" w:cs="Arial"/>
              <w:noProof/>
              <w:sz w:val="24"/>
              <w:szCs w:val="24"/>
              <w:lang w:eastAsia="en-GB"/>
            </w:rPr>
          </w:pPr>
          <w:hyperlink w:anchor="_Toc213871358" w:history="1">
            <w:r w:rsidRPr="00FF6343">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_Toc213871358 \h </w:instrText>
            </w:r>
            <w:r>
              <w:rPr>
                <w:noProof/>
                <w:webHidden/>
              </w:rPr>
            </w:r>
            <w:r>
              <w:rPr>
                <w:noProof/>
                <w:webHidden/>
              </w:rPr>
              <w:fldChar w:fldCharType="separate"/>
            </w:r>
            <w:r w:rsidR="002C486A">
              <w:rPr>
                <w:noProof/>
                <w:webHidden/>
              </w:rPr>
              <w:t>24</w:t>
            </w:r>
            <w:r>
              <w:rPr>
                <w:noProof/>
                <w:webHidden/>
              </w:rPr>
              <w:fldChar w:fldCharType="end"/>
            </w:r>
          </w:hyperlink>
        </w:p>
        <w:p w14:paraId="2E1D6CC2" w14:textId="4533B687" w:rsidR="00FF1776" w:rsidRDefault="00FF1776">
          <w:pPr>
            <w:pStyle w:val="TOC2"/>
            <w:tabs>
              <w:tab w:val="right" w:leader="dot" w:pos="9016"/>
            </w:tabs>
            <w:rPr>
              <w:rFonts w:ascii="Arial" w:eastAsia="Arial" w:hAnsi="Arial" w:cs="Arial"/>
              <w:noProof/>
              <w:sz w:val="24"/>
              <w:szCs w:val="24"/>
              <w:lang w:eastAsia="en-GB"/>
            </w:rPr>
          </w:pPr>
          <w:hyperlink w:anchor="_Toc213871359" w:history="1">
            <w:r w:rsidRPr="00FF6343">
              <w:rPr>
                <w:rStyle w:val="Hyperlink"/>
                <w:rFonts w:ascii="Arial" w:hAnsi="Arial" w:cs="Arial"/>
                <w:noProof/>
              </w:rPr>
              <w:t>4.2 Thematic Analysis</w:t>
            </w:r>
            <w:r>
              <w:rPr>
                <w:noProof/>
                <w:webHidden/>
              </w:rPr>
              <w:tab/>
            </w:r>
            <w:r>
              <w:rPr>
                <w:noProof/>
                <w:webHidden/>
              </w:rPr>
              <w:fldChar w:fldCharType="begin"/>
            </w:r>
            <w:r>
              <w:rPr>
                <w:noProof/>
                <w:webHidden/>
              </w:rPr>
              <w:instrText xml:space="preserve"> PAGEREF _Toc213871359 \h </w:instrText>
            </w:r>
            <w:r>
              <w:rPr>
                <w:noProof/>
                <w:webHidden/>
              </w:rPr>
            </w:r>
            <w:r>
              <w:rPr>
                <w:noProof/>
                <w:webHidden/>
              </w:rPr>
              <w:fldChar w:fldCharType="separate"/>
            </w:r>
            <w:r w:rsidR="002C486A">
              <w:rPr>
                <w:noProof/>
                <w:webHidden/>
              </w:rPr>
              <w:t>24</w:t>
            </w:r>
            <w:r>
              <w:rPr>
                <w:noProof/>
                <w:webHidden/>
              </w:rPr>
              <w:fldChar w:fldCharType="end"/>
            </w:r>
          </w:hyperlink>
        </w:p>
        <w:p w14:paraId="39E2288B" w14:textId="2C08FAF0" w:rsidR="00FF1776" w:rsidRDefault="00FF1776">
          <w:pPr>
            <w:pStyle w:val="TOC2"/>
            <w:tabs>
              <w:tab w:val="right" w:leader="dot" w:pos="9016"/>
            </w:tabs>
            <w:rPr>
              <w:rFonts w:ascii="Arial" w:eastAsia="Arial" w:hAnsi="Arial" w:cs="Arial"/>
              <w:noProof/>
              <w:sz w:val="24"/>
              <w:szCs w:val="24"/>
              <w:lang w:eastAsia="en-GB"/>
            </w:rPr>
          </w:pPr>
          <w:hyperlink w:anchor="_Toc213871360" w:history="1">
            <w:r w:rsidRPr="00FF6343">
              <w:rPr>
                <w:rStyle w:val="Hyperlink"/>
                <w:rFonts w:ascii="Arial" w:hAnsi="Arial" w:cs="Arial"/>
                <w:noProof/>
              </w:rPr>
              <w:t>4.3 Theme 1 (Social Determinants and Peer Impact)</w:t>
            </w:r>
            <w:r>
              <w:rPr>
                <w:noProof/>
                <w:webHidden/>
              </w:rPr>
              <w:tab/>
            </w:r>
            <w:r>
              <w:rPr>
                <w:noProof/>
                <w:webHidden/>
              </w:rPr>
              <w:fldChar w:fldCharType="begin"/>
            </w:r>
            <w:r>
              <w:rPr>
                <w:noProof/>
                <w:webHidden/>
              </w:rPr>
              <w:instrText xml:space="preserve"> PAGEREF _Toc213871360 \h </w:instrText>
            </w:r>
            <w:r>
              <w:rPr>
                <w:noProof/>
                <w:webHidden/>
              </w:rPr>
            </w:r>
            <w:r>
              <w:rPr>
                <w:noProof/>
                <w:webHidden/>
              </w:rPr>
              <w:fldChar w:fldCharType="separate"/>
            </w:r>
            <w:r w:rsidR="002C486A">
              <w:rPr>
                <w:noProof/>
                <w:webHidden/>
              </w:rPr>
              <w:t>25</w:t>
            </w:r>
            <w:r>
              <w:rPr>
                <w:noProof/>
                <w:webHidden/>
              </w:rPr>
              <w:fldChar w:fldCharType="end"/>
            </w:r>
          </w:hyperlink>
        </w:p>
        <w:p w14:paraId="343A1CB6" w14:textId="742ED80F" w:rsidR="00FF1776" w:rsidRDefault="00FF1776">
          <w:pPr>
            <w:pStyle w:val="TOC2"/>
            <w:tabs>
              <w:tab w:val="right" w:leader="dot" w:pos="9016"/>
            </w:tabs>
            <w:rPr>
              <w:rFonts w:ascii="Arial" w:eastAsia="Arial" w:hAnsi="Arial" w:cs="Arial"/>
              <w:noProof/>
              <w:sz w:val="24"/>
              <w:szCs w:val="24"/>
              <w:lang w:eastAsia="en-GB"/>
            </w:rPr>
          </w:pPr>
          <w:hyperlink w:anchor="_Toc213871361" w:history="1">
            <w:r w:rsidRPr="00FF6343">
              <w:rPr>
                <w:rStyle w:val="Hyperlink"/>
                <w:rFonts w:ascii="Arial" w:hAnsi="Arial" w:cs="Arial"/>
                <w:noProof/>
              </w:rPr>
              <w:t>4.4 Theme 2 Policy and Prevention Efficacy</w:t>
            </w:r>
            <w:r>
              <w:rPr>
                <w:noProof/>
                <w:webHidden/>
              </w:rPr>
              <w:tab/>
            </w:r>
            <w:r>
              <w:rPr>
                <w:noProof/>
                <w:webHidden/>
              </w:rPr>
              <w:fldChar w:fldCharType="begin"/>
            </w:r>
            <w:r>
              <w:rPr>
                <w:noProof/>
                <w:webHidden/>
              </w:rPr>
              <w:instrText xml:space="preserve"> PAGEREF _Toc213871361 \h </w:instrText>
            </w:r>
            <w:r>
              <w:rPr>
                <w:noProof/>
                <w:webHidden/>
              </w:rPr>
            </w:r>
            <w:r>
              <w:rPr>
                <w:noProof/>
                <w:webHidden/>
              </w:rPr>
              <w:fldChar w:fldCharType="separate"/>
            </w:r>
            <w:r w:rsidR="002C486A">
              <w:rPr>
                <w:noProof/>
                <w:webHidden/>
              </w:rPr>
              <w:t>29</w:t>
            </w:r>
            <w:r>
              <w:rPr>
                <w:noProof/>
                <w:webHidden/>
              </w:rPr>
              <w:fldChar w:fldCharType="end"/>
            </w:r>
          </w:hyperlink>
        </w:p>
        <w:p w14:paraId="346C3F25" w14:textId="258EFE5A" w:rsidR="00FF1776" w:rsidRDefault="00FF1776">
          <w:pPr>
            <w:pStyle w:val="TOC2"/>
            <w:tabs>
              <w:tab w:val="right" w:leader="dot" w:pos="9016"/>
            </w:tabs>
            <w:rPr>
              <w:rFonts w:ascii="Arial" w:eastAsia="Arial" w:hAnsi="Arial" w:cs="Arial"/>
              <w:noProof/>
              <w:sz w:val="24"/>
              <w:szCs w:val="24"/>
              <w:lang w:eastAsia="en-GB"/>
            </w:rPr>
          </w:pPr>
          <w:hyperlink w:anchor="_Toc213871362" w:history="1">
            <w:r w:rsidRPr="00FF6343">
              <w:rPr>
                <w:rStyle w:val="Hyperlink"/>
                <w:rFonts w:ascii="Arial" w:hAnsi="Arial" w:cs="Arial"/>
                <w:noProof/>
              </w:rPr>
              <w:t>4.5 Theme 3 Access to Support and Intervention Services</w:t>
            </w:r>
            <w:r>
              <w:rPr>
                <w:noProof/>
                <w:webHidden/>
              </w:rPr>
              <w:tab/>
            </w:r>
            <w:r>
              <w:rPr>
                <w:noProof/>
                <w:webHidden/>
              </w:rPr>
              <w:fldChar w:fldCharType="begin"/>
            </w:r>
            <w:r>
              <w:rPr>
                <w:noProof/>
                <w:webHidden/>
              </w:rPr>
              <w:instrText xml:space="preserve"> PAGEREF _Toc213871362 \h </w:instrText>
            </w:r>
            <w:r>
              <w:rPr>
                <w:noProof/>
                <w:webHidden/>
              </w:rPr>
            </w:r>
            <w:r>
              <w:rPr>
                <w:noProof/>
                <w:webHidden/>
              </w:rPr>
              <w:fldChar w:fldCharType="separate"/>
            </w:r>
            <w:r w:rsidR="002C486A">
              <w:rPr>
                <w:noProof/>
                <w:webHidden/>
              </w:rPr>
              <w:t>33</w:t>
            </w:r>
            <w:r>
              <w:rPr>
                <w:noProof/>
                <w:webHidden/>
              </w:rPr>
              <w:fldChar w:fldCharType="end"/>
            </w:r>
          </w:hyperlink>
        </w:p>
        <w:p w14:paraId="37BF3DCB" w14:textId="6C4DB06F" w:rsidR="00FF1776" w:rsidRDefault="00FF1776">
          <w:pPr>
            <w:pStyle w:val="TOC2"/>
            <w:tabs>
              <w:tab w:val="right" w:leader="dot" w:pos="9016"/>
            </w:tabs>
            <w:rPr>
              <w:rFonts w:ascii="Arial" w:eastAsia="Arial" w:hAnsi="Arial" w:cs="Arial"/>
              <w:noProof/>
              <w:sz w:val="24"/>
              <w:szCs w:val="24"/>
              <w:lang w:eastAsia="en-GB"/>
            </w:rPr>
          </w:pPr>
          <w:hyperlink w:anchor="_Toc213871363" w:history="1">
            <w:r w:rsidRPr="00FF6343">
              <w:rPr>
                <w:rStyle w:val="Hyperlink"/>
                <w:rFonts w:ascii="Arial" w:hAnsi="Arial" w:cs="Arial"/>
                <w:noProof/>
              </w:rPr>
              <w:t>4.6 Chapter Conclusion</w:t>
            </w:r>
            <w:r>
              <w:rPr>
                <w:noProof/>
                <w:webHidden/>
              </w:rPr>
              <w:tab/>
            </w:r>
            <w:r>
              <w:rPr>
                <w:noProof/>
                <w:webHidden/>
              </w:rPr>
              <w:fldChar w:fldCharType="begin"/>
            </w:r>
            <w:r>
              <w:rPr>
                <w:noProof/>
                <w:webHidden/>
              </w:rPr>
              <w:instrText xml:space="preserve"> PAGEREF _Toc213871363 \h </w:instrText>
            </w:r>
            <w:r>
              <w:rPr>
                <w:noProof/>
                <w:webHidden/>
              </w:rPr>
            </w:r>
            <w:r>
              <w:rPr>
                <w:noProof/>
                <w:webHidden/>
              </w:rPr>
              <w:fldChar w:fldCharType="separate"/>
            </w:r>
            <w:r w:rsidR="002C486A">
              <w:rPr>
                <w:noProof/>
                <w:webHidden/>
              </w:rPr>
              <w:t>37</w:t>
            </w:r>
            <w:r>
              <w:rPr>
                <w:noProof/>
                <w:webHidden/>
              </w:rPr>
              <w:fldChar w:fldCharType="end"/>
            </w:r>
          </w:hyperlink>
        </w:p>
        <w:p w14:paraId="3EB255EF" w14:textId="09D290FD" w:rsidR="00FF1776" w:rsidRDefault="00FF1776">
          <w:pPr>
            <w:pStyle w:val="TOC1"/>
            <w:tabs>
              <w:tab w:val="right" w:leader="dot" w:pos="9016"/>
            </w:tabs>
            <w:rPr>
              <w:rFonts w:ascii="Arial" w:eastAsia="Arial" w:hAnsi="Arial" w:cs="Arial"/>
              <w:noProof/>
              <w:sz w:val="24"/>
              <w:szCs w:val="24"/>
              <w:lang w:eastAsia="en-GB"/>
            </w:rPr>
          </w:pPr>
          <w:hyperlink w:anchor="_Toc213871364" w:history="1">
            <w:r w:rsidRPr="00FF6343">
              <w:rPr>
                <w:rStyle w:val="Hyperlink"/>
                <w:rFonts w:eastAsia="Arial" w:cs="Arial"/>
                <w:noProof/>
                <w:lang w:bidi="en-GB"/>
              </w:rPr>
              <w:t xml:space="preserve">CHAPTER 5 </w:t>
            </w:r>
            <w:r w:rsidRPr="001B2CBC">
              <w:rPr>
                <w:rStyle w:val="Hyperlink"/>
                <w:rFonts w:ascii="Arial" w:eastAsia="Arial" w:hAnsi="Arial" w:cs="Arial"/>
                <w:noProof/>
                <w:lang w:bidi="en-GB"/>
              </w:rPr>
              <w:t>Conclusion and Recommendations</w:t>
            </w:r>
            <w:r>
              <w:rPr>
                <w:noProof/>
                <w:webHidden/>
              </w:rPr>
              <w:tab/>
            </w:r>
            <w:r>
              <w:rPr>
                <w:noProof/>
                <w:webHidden/>
              </w:rPr>
              <w:fldChar w:fldCharType="begin"/>
            </w:r>
            <w:r>
              <w:rPr>
                <w:noProof/>
                <w:webHidden/>
              </w:rPr>
              <w:instrText xml:space="preserve"> PAGEREF _Toc213871364 \h </w:instrText>
            </w:r>
            <w:r>
              <w:rPr>
                <w:noProof/>
                <w:webHidden/>
              </w:rPr>
            </w:r>
            <w:r>
              <w:rPr>
                <w:noProof/>
                <w:webHidden/>
              </w:rPr>
              <w:fldChar w:fldCharType="separate"/>
            </w:r>
            <w:r w:rsidR="002C486A">
              <w:rPr>
                <w:noProof/>
                <w:webHidden/>
              </w:rPr>
              <w:t>38</w:t>
            </w:r>
            <w:r>
              <w:rPr>
                <w:noProof/>
                <w:webHidden/>
              </w:rPr>
              <w:fldChar w:fldCharType="end"/>
            </w:r>
          </w:hyperlink>
        </w:p>
        <w:p w14:paraId="5A978CB6" w14:textId="1D60DEC1" w:rsidR="00FF1776" w:rsidRDefault="00FF1776">
          <w:pPr>
            <w:pStyle w:val="TOC2"/>
            <w:tabs>
              <w:tab w:val="right" w:leader="dot" w:pos="9016"/>
            </w:tabs>
            <w:rPr>
              <w:rFonts w:ascii="Arial" w:eastAsia="Arial" w:hAnsi="Arial" w:cs="Arial"/>
              <w:noProof/>
              <w:sz w:val="24"/>
              <w:szCs w:val="24"/>
              <w:lang w:eastAsia="en-GB"/>
            </w:rPr>
          </w:pPr>
          <w:hyperlink w:anchor="_Toc213871365" w:history="1">
            <w:r w:rsidRPr="00FF6343">
              <w:rPr>
                <w:rStyle w:val="Hyperlink"/>
                <w:rFonts w:ascii="Arial" w:hAnsi="Arial" w:cs="Arial"/>
                <w:noProof/>
              </w:rPr>
              <w:t>5.1 Overall Conclusion</w:t>
            </w:r>
            <w:r>
              <w:rPr>
                <w:noProof/>
                <w:webHidden/>
              </w:rPr>
              <w:tab/>
            </w:r>
            <w:r>
              <w:rPr>
                <w:noProof/>
                <w:webHidden/>
              </w:rPr>
              <w:fldChar w:fldCharType="begin"/>
            </w:r>
            <w:r>
              <w:rPr>
                <w:noProof/>
                <w:webHidden/>
              </w:rPr>
              <w:instrText xml:space="preserve"> PAGEREF _Toc213871365 \h </w:instrText>
            </w:r>
            <w:r>
              <w:rPr>
                <w:noProof/>
                <w:webHidden/>
              </w:rPr>
            </w:r>
            <w:r>
              <w:rPr>
                <w:noProof/>
                <w:webHidden/>
              </w:rPr>
              <w:fldChar w:fldCharType="separate"/>
            </w:r>
            <w:r w:rsidR="002C486A">
              <w:rPr>
                <w:noProof/>
                <w:webHidden/>
              </w:rPr>
              <w:t>38</w:t>
            </w:r>
            <w:r>
              <w:rPr>
                <w:noProof/>
                <w:webHidden/>
              </w:rPr>
              <w:fldChar w:fldCharType="end"/>
            </w:r>
          </w:hyperlink>
        </w:p>
        <w:p w14:paraId="02FE08A0" w14:textId="62AA4BA8" w:rsidR="00FF1776" w:rsidRDefault="00FF1776">
          <w:pPr>
            <w:pStyle w:val="TOC2"/>
            <w:tabs>
              <w:tab w:val="right" w:leader="dot" w:pos="9016"/>
            </w:tabs>
            <w:rPr>
              <w:rFonts w:ascii="Arial" w:eastAsia="Arial" w:hAnsi="Arial" w:cs="Arial"/>
              <w:noProof/>
              <w:sz w:val="24"/>
              <w:szCs w:val="24"/>
              <w:lang w:eastAsia="en-GB"/>
            </w:rPr>
          </w:pPr>
          <w:hyperlink w:anchor="_Toc213871366" w:history="1">
            <w:r w:rsidRPr="00FF6343">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_Toc213871366 \h </w:instrText>
            </w:r>
            <w:r>
              <w:rPr>
                <w:noProof/>
                <w:webHidden/>
              </w:rPr>
            </w:r>
            <w:r>
              <w:rPr>
                <w:noProof/>
                <w:webHidden/>
              </w:rPr>
              <w:fldChar w:fldCharType="separate"/>
            </w:r>
            <w:r w:rsidR="002C486A">
              <w:rPr>
                <w:noProof/>
                <w:webHidden/>
              </w:rPr>
              <w:t>38</w:t>
            </w:r>
            <w:r>
              <w:rPr>
                <w:noProof/>
                <w:webHidden/>
              </w:rPr>
              <w:fldChar w:fldCharType="end"/>
            </w:r>
          </w:hyperlink>
        </w:p>
        <w:p w14:paraId="669D81D1" w14:textId="464EE725" w:rsidR="00FF1776" w:rsidRDefault="00FF1776">
          <w:pPr>
            <w:pStyle w:val="TOC1"/>
            <w:tabs>
              <w:tab w:val="right" w:leader="dot" w:pos="9016"/>
            </w:tabs>
            <w:rPr>
              <w:rFonts w:ascii="Arial" w:eastAsia="Arial" w:hAnsi="Arial" w:cs="Arial"/>
              <w:noProof/>
              <w:sz w:val="24"/>
              <w:szCs w:val="24"/>
              <w:lang w:eastAsia="en-GB"/>
            </w:rPr>
          </w:pPr>
          <w:hyperlink w:anchor="_Toc213871367" w:history="1">
            <w:r w:rsidRPr="00FF6343">
              <w:rPr>
                <w:rStyle w:val="Hyperlink"/>
                <w:noProof/>
                <w:lang w:bidi="en-GB"/>
              </w:rPr>
              <w:t xml:space="preserve">CHAPTER 6 – </w:t>
            </w:r>
            <w:r w:rsidRPr="00794430">
              <w:rPr>
                <w:rStyle w:val="Hyperlink"/>
                <w:rFonts w:ascii="Arial" w:hAnsi="Arial" w:cs="Arial"/>
                <w:noProof/>
                <w:lang w:bidi="en-GB"/>
              </w:rPr>
              <w:t>References</w:t>
            </w:r>
            <w:r>
              <w:rPr>
                <w:noProof/>
                <w:webHidden/>
              </w:rPr>
              <w:tab/>
            </w:r>
            <w:r>
              <w:rPr>
                <w:noProof/>
                <w:webHidden/>
              </w:rPr>
              <w:fldChar w:fldCharType="begin"/>
            </w:r>
            <w:r>
              <w:rPr>
                <w:noProof/>
                <w:webHidden/>
              </w:rPr>
              <w:instrText xml:space="preserve"> PAGEREF _Toc213871367 \h </w:instrText>
            </w:r>
            <w:r>
              <w:rPr>
                <w:noProof/>
                <w:webHidden/>
              </w:rPr>
            </w:r>
            <w:r>
              <w:rPr>
                <w:noProof/>
                <w:webHidden/>
              </w:rPr>
              <w:fldChar w:fldCharType="separate"/>
            </w:r>
            <w:r w:rsidR="002C486A">
              <w:rPr>
                <w:noProof/>
                <w:webHidden/>
              </w:rPr>
              <w:t>42</w:t>
            </w:r>
            <w:r>
              <w:rPr>
                <w:noProof/>
                <w:webHidden/>
              </w:rPr>
              <w:fldChar w:fldCharType="end"/>
            </w:r>
          </w:hyperlink>
        </w:p>
        <w:p w14:paraId="438A28C3" w14:textId="79202D60" w:rsidR="00FF1776" w:rsidRDefault="00FF1776">
          <w:pPr>
            <w:pStyle w:val="TOC1"/>
            <w:tabs>
              <w:tab w:val="right" w:leader="dot" w:pos="9016"/>
            </w:tabs>
            <w:rPr>
              <w:rFonts w:ascii="Arial" w:eastAsia="Arial" w:hAnsi="Arial" w:cs="Arial"/>
              <w:noProof/>
              <w:sz w:val="24"/>
              <w:szCs w:val="24"/>
              <w:lang w:eastAsia="en-GB"/>
            </w:rPr>
          </w:pPr>
          <w:hyperlink w:anchor="_Toc213871368" w:history="1">
            <w:r w:rsidRPr="00FF6343">
              <w:rPr>
                <w:rStyle w:val="Hyperlink"/>
                <w:bCs/>
                <w:noProof/>
                <w:lang w:bidi="en-GB"/>
              </w:rPr>
              <w:t xml:space="preserve">6.2 – </w:t>
            </w:r>
            <w:r w:rsidRPr="00794430">
              <w:rPr>
                <w:rStyle w:val="Hyperlink"/>
                <w:rFonts w:ascii="Arial" w:hAnsi="Arial" w:cs="Arial"/>
                <w:bCs/>
                <w:noProof/>
                <w:lang w:bidi="en-GB"/>
              </w:rPr>
              <w:t>Appendices</w:t>
            </w:r>
            <w:r>
              <w:rPr>
                <w:noProof/>
                <w:webHidden/>
              </w:rPr>
              <w:tab/>
            </w:r>
            <w:r>
              <w:rPr>
                <w:noProof/>
                <w:webHidden/>
              </w:rPr>
              <w:fldChar w:fldCharType="begin"/>
            </w:r>
            <w:r>
              <w:rPr>
                <w:noProof/>
                <w:webHidden/>
              </w:rPr>
              <w:instrText xml:space="preserve"> PAGEREF _Toc213871368 \h </w:instrText>
            </w:r>
            <w:r>
              <w:rPr>
                <w:noProof/>
                <w:webHidden/>
              </w:rPr>
            </w:r>
            <w:r>
              <w:rPr>
                <w:noProof/>
                <w:webHidden/>
              </w:rPr>
              <w:fldChar w:fldCharType="separate"/>
            </w:r>
            <w:r w:rsidR="002C486A">
              <w:rPr>
                <w:noProof/>
                <w:webHidden/>
              </w:rPr>
              <w:t>52</w:t>
            </w:r>
            <w:r>
              <w:rPr>
                <w:noProof/>
                <w:webHidden/>
              </w:rPr>
              <w:fldChar w:fldCharType="end"/>
            </w:r>
          </w:hyperlink>
        </w:p>
        <w:p w14:paraId="264A98A8" w14:textId="74C94AA5" w:rsidR="00FF1776" w:rsidRDefault="00FF1776">
          <w:pPr>
            <w:pStyle w:val="TOC2"/>
            <w:tabs>
              <w:tab w:val="right" w:leader="dot" w:pos="9016"/>
            </w:tabs>
            <w:rPr>
              <w:rFonts w:ascii="Arial" w:eastAsia="Arial" w:hAnsi="Arial" w:cs="Arial"/>
              <w:noProof/>
              <w:sz w:val="24"/>
              <w:szCs w:val="24"/>
              <w:lang w:eastAsia="en-GB"/>
            </w:rPr>
          </w:pPr>
          <w:hyperlink w:anchor="_Toc213871369" w:history="1">
            <w:r w:rsidRPr="00FF6343">
              <w:rPr>
                <w:rStyle w:val="Hyperlink"/>
                <w:rFonts w:ascii="Arial" w:eastAsia="Arial" w:hAnsi="Arial" w:cs="Arial"/>
                <w:noProof/>
              </w:rPr>
              <w:t>Appendix A</w:t>
            </w:r>
            <w:r>
              <w:rPr>
                <w:noProof/>
                <w:webHidden/>
              </w:rPr>
              <w:tab/>
            </w:r>
            <w:r>
              <w:rPr>
                <w:noProof/>
                <w:webHidden/>
              </w:rPr>
              <w:fldChar w:fldCharType="begin"/>
            </w:r>
            <w:r>
              <w:rPr>
                <w:noProof/>
                <w:webHidden/>
              </w:rPr>
              <w:instrText xml:space="preserve"> PAGEREF _Toc213871369 \h </w:instrText>
            </w:r>
            <w:r>
              <w:rPr>
                <w:noProof/>
                <w:webHidden/>
              </w:rPr>
            </w:r>
            <w:r>
              <w:rPr>
                <w:noProof/>
                <w:webHidden/>
              </w:rPr>
              <w:fldChar w:fldCharType="separate"/>
            </w:r>
            <w:r w:rsidR="002C486A">
              <w:rPr>
                <w:noProof/>
                <w:webHidden/>
              </w:rPr>
              <w:t>52</w:t>
            </w:r>
            <w:r>
              <w:rPr>
                <w:noProof/>
                <w:webHidden/>
              </w:rPr>
              <w:fldChar w:fldCharType="end"/>
            </w:r>
          </w:hyperlink>
        </w:p>
        <w:p w14:paraId="16CF3A61" w14:textId="14946EAD" w:rsidR="00FF1776" w:rsidRDefault="00FF1776">
          <w:pPr>
            <w:pStyle w:val="TOC2"/>
            <w:tabs>
              <w:tab w:val="right" w:leader="dot" w:pos="9016"/>
            </w:tabs>
            <w:rPr>
              <w:rFonts w:ascii="Arial" w:eastAsia="Arial" w:hAnsi="Arial" w:cs="Arial"/>
              <w:noProof/>
              <w:sz w:val="24"/>
              <w:szCs w:val="24"/>
              <w:lang w:eastAsia="en-GB"/>
            </w:rPr>
          </w:pPr>
          <w:hyperlink w:anchor="_Toc213871370" w:history="1">
            <w:r w:rsidRPr="00FF6343">
              <w:rPr>
                <w:rStyle w:val="Hyperlink"/>
                <w:rFonts w:ascii="Arial" w:eastAsia="Arial" w:hAnsi="Arial" w:cs="Arial"/>
                <w:noProof/>
              </w:rPr>
              <w:t>Appendix B</w:t>
            </w:r>
            <w:r>
              <w:rPr>
                <w:noProof/>
                <w:webHidden/>
              </w:rPr>
              <w:tab/>
            </w:r>
            <w:r>
              <w:rPr>
                <w:noProof/>
                <w:webHidden/>
              </w:rPr>
              <w:fldChar w:fldCharType="begin"/>
            </w:r>
            <w:r>
              <w:rPr>
                <w:noProof/>
                <w:webHidden/>
              </w:rPr>
              <w:instrText xml:space="preserve"> PAGEREF _Toc213871370 \h </w:instrText>
            </w:r>
            <w:r>
              <w:rPr>
                <w:noProof/>
                <w:webHidden/>
              </w:rPr>
            </w:r>
            <w:r>
              <w:rPr>
                <w:noProof/>
                <w:webHidden/>
              </w:rPr>
              <w:fldChar w:fldCharType="separate"/>
            </w:r>
            <w:r w:rsidR="002C486A">
              <w:rPr>
                <w:noProof/>
                <w:webHidden/>
              </w:rPr>
              <w:t>54</w:t>
            </w:r>
            <w:r>
              <w:rPr>
                <w:noProof/>
                <w:webHidden/>
              </w:rPr>
              <w:fldChar w:fldCharType="end"/>
            </w:r>
          </w:hyperlink>
        </w:p>
        <w:p w14:paraId="5CA8607F" w14:textId="555F3FE4" w:rsidR="00FF1776" w:rsidRDefault="00FF1776">
          <w:pPr>
            <w:rPr>
              <w:rFonts w:ascii="Arial" w:eastAsia="Arial" w:hAnsi="Arial" w:cs="Arial"/>
            </w:rPr>
          </w:pPr>
          <w:r>
            <w:rPr>
              <w:b/>
              <w:bCs/>
              <w:noProof/>
            </w:rPr>
            <w:fldChar w:fldCharType="end"/>
          </w:r>
        </w:p>
      </w:sdtContent>
    </w:sdt>
    <w:p w14:paraId="4065F64D" w14:textId="77777777" w:rsidR="008E24DE" w:rsidRPr="00EF6341" w:rsidRDefault="008E24DE" w:rsidP="0E260372">
      <w:pPr>
        <w:jc w:val="left"/>
        <w:rPr>
          <w:rFonts w:ascii="Arial" w:eastAsia="Arial" w:hAnsi="Arial" w:cs="Arial"/>
          <w:b/>
          <w:bCs/>
          <w:sz w:val="32"/>
          <w:szCs w:val="32"/>
        </w:rPr>
      </w:pPr>
    </w:p>
    <w:p w14:paraId="756C3EE0" w14:textId="77777777" w:rsidR="00804B94" w:rsidRDefault="00804B94"/>
    <w:p w14:paraId="3EF52184" w14:textId="77777777" w:rsidR="00804B94" w:rsidRDefault="00804B94"/>
    <w:p w14:paraId="508781F0" w14:textId="02AEDC7D" w:rsidR="4725D2DA" w:rsidRDefault="4725D2DA"/>
    <w:p w14:paraId="52F0D83D" w14:textId="77777777" w:rsidR="00804B94" w:rsidRDefault="00804B94"/>
    <w:p w14:paraId="4DF07CEB" w14:textId="77777777" w:rsidR="00804B94" w:rsidRDefault="00804B94"/>
    <w:p w14:paraId="61CFD6DF" w14:textId="77777777" w:rsidR="00804B94" w:rsidRDefault="00804B94"/>
    <w:p w14:paraId="417D68A4" w14:textId="77777777" w:rsidR="00804B94" w:rsidRDefault="00804B94"/>
    <w:p w14:paraId="201F102A" w14:textId="77777777" w:rsidR="00804B94" w:rsidRDefault="00804B94"/>
    <w:p w14:paraId="5D0A8789" w14:textId="77777777" w:rsidR="00804B94" w:rsidRDefault="00804B94"/>
    <w:p w14:paraId="786DF943" w14:textId="77777777" w:rsidR="00804B94" w:rsidRDefault="00804B94"/>
    <w:p w14:paraId="612D2BA4" w14:textId="77777777" w:rsidR="00804B94" w:rsidRDefault="00804B94"/>
    <w:p w14:paraId="44606545" w14:textId="77777777" w:rsidR="00804B94" w:rsidRDefault="00804B94"/>
    <w:p w14:paraId="19556EF2" w14:textId="77777777" w:rsidR="00804B94" w:rsidRDefault="00804B94"/>
    <w:p w14:paraId="4CA19B6B" w14:textId="77777777" w:rsidR="00804B94" w:rsidRDefault="00804B94"/>
    <w:p w14:paraId="5C4D72C1" w14:textId="77777777" w:rsidR="00804B94" w:rsidRDefault="00804B94"/>
    <w:p w14:paraId="58452D18" w14:textId="74713743" w:rsidR="00730C3C" w:rsidRPr="00EF6341" w:rsidRDefault="00730C3C" w:rsidP="00597F9E">
      <w:pPr>
        <w:pStyle w:val="Heading1"/>
        <w:spacing w:line="360" w:lineRule="auto"/>
        <w:ind w:left="0"/>
        <w:jc w:val="both"/>
        <w:rPr>
          <w:rFonts w:eastAsia="Arial" w:cs="Arial"/>
        </w:rPr>
      </w:pPr>
      <w:bookmarkStart w:id="0" w:name="_Toc213871336"/>
      <w:r w:rsidRPr="359E9537">
        <w:rPr>
          <w:rFonts w:eastAsia="Arial" w:cs="Arial"/>
        </w:rPr>
        <w:t>CHAPTER 1: Introduction</w:t>
      </w:r>
      <w:bookmarkEnd w:id="0"/>
    </w:p>
    <w:p w14:paraId="69941E5D" w14:textId="77777777" w:rsidR="00EF6341" w:rsidRPr="00EF6341" w:rsidRDefault="00EF6341" w:rsidP="00597F9E">
      <w:pPr>
        <w:pStyle w:val="BodyText"/>
        <w:spacing w:line="360" w:lineRule="auto"/>
        <w:jc w:val="both"/>
        <w:rPr>
          <w:rFonts w:ascii="Aptos" w:hAnsi="Aptos"/>
        </w:rPr>
      </w:pPr>
    </w:p>
    <w:p w14:paraId="7AAF15FD" w14:textId="57E3F1A8" w:rsidR="21B7C1B4" w:rsidRDefault="00BD2909" w:rsidP="00597F9E">
      <w:pPr>
        <w:pStyle w:val="Heading2"/>
      </w:pPr>
      <w:bookmarkStart w:id="1" w:name="_Toc213871337"/>
      <w:r w:rsidRPr="359E9537">
        <w:rPr>
          <w:rStyle w:val="normaltextrun"/>
          <w:rFonts w:ascii="Arial" w:eastAsia="Arial" w:hAnsi="Arial" w:cs="Arial"/>
          <w:color w:val="auto"/>
        </w:rPr>
        <w:t>1.1 Introduction</w:t>
      </w:r>
      <w:bookmarkEnd w:id="1"/>
    </w:p>
    <w:p w14:paraId="03011A4C" w14:textId="37E60712" w:rsidR="21B7C1B4" w:rsidRDefault="21B7C1B4" w:rsidP="00597F9E">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t>Adolescent substance misuse is a critical issue in England, affecting both public health and young people's development. Adolescence, defined as the period between the ages of 13 and 18, is a critical stage characterised by profound biological, emotional and social changes</w:t>
      </w:r>
      <w:r w:rsidR="6F52A29D" w:rsidRPr="0E260372">
        <w:rPr>
          <w:rFonts w:ascii="Arial" w:eastAsia="Arial" w:hAnsi="Arial" w:cs="Arial"/>
          <w:sz w:val="22"/>
          <w:szCs w:val="22"/>
        </w:rPr>
        <w:t xml:space="preserve"> </w:t>
      </w:r>
      <w:r w:rsidR="6F52A29D" w:rsidRPr="0E260372">
        <w:rPr>
          <w:rFonts w:ascii="Arial" w:eastAsia="Arial" w:hAnsi="Arial" w:cs="Arial"/>
          <w:color w:val="000000" w:themeColor="text1"/>
          <w:sz w:val="22"/>
          <w:szCs w:val="22"/>
        </w:rPr>
        <w:t xml:space="preserve">(Stockings </w:t>
      </w:r>
      <w:r w:rsidR="6F52A29D" w:rsidRPr="0E260372">
        <w:rPr>
          <w:rFonts w:ascii="Arial" w:eastAsia="Arial" w:hAnsi="Arial" w:cs="Arial"/>
          <w:i/>
          <w:iCs/>
          <w:color w:val="000000" w:themeColor="text1"/>
          <w:sz w:val="22"/>
          <w:szCs w:val="22"/>
        </w:rPr>
        <w:t>et al</w:t>
      </w:r>
      <w:r w:rsidR="6F52A29D" w:rsidRPr="0E260372">
        <w:rPr>
          <w:rFonts w:ascii="Arial" w:eastAsia="Arial" w:hAnsi="Arial" w:cs="Arial"/>
          <w:color w:val="000000" w:themeColor="text1"/>
          <w:sz w:val="22"/>
          <w:szCs w:val="22"/>
        </w:rPr>
        <w:t>., 2016)</w:t>
      </w:r>
      <w:r w:rsidRPr="0E260372">
        <w:rPr>
          <w:rFonts w:ascii="Arial" w:eastAsia="Arial" w:hAnsi="Arial" w:cs="Arial"/>
          <w:sz w:val="22"/>
          <w:szCs w:val="22"/>
        </w:rPr>
        <w:t>. These changes can make people more probable to engage in hazardous behaviours, such as abusing alcohol, cannabis and other illegal drugs. The implications of early substance abuse go beyond acute health dangers, frequently contributing to long-term physical, psychological, scholastic and social problems. Despite national preventative programs, current statistics show that substance abuse among young people remains chronic and, in some cases, rising particularly in socioeconomically disadvantaged populations</w:t>
      </w:r>
      <w:r w:rsidR="63CCCC13" w:rsidRPr="0E260372">
        <w:rPr>
          <w:rFonts w:ascii="Arial" w:eastAsia="Arial" w:hAnsi="Arial" w:cs="Arial"/>
          <w:sz w:val="22"/>
          <w:szCs w:val="22"/>
        </w:rPr>
        <w:t xml:space="preserve"> </w:t>
      </w:r>
      <w:r w:rsidR="63CCCC13" w:rsidRPr="0E260372">
        <w:rPr>
          <w:rFonts w:ascii="Arial" w:eastAsia="Arial" w:hAnsi="Arial" w:cs="Arial"/>
          <w:color w:val="000000" w:themeColor="text1"/>
          <w:sz w:val="22"/>
          <w:szCs w:val="22"/>
        </w:rPr>
        <w:t>(Hernandez Sanchez, 2018).</w:t>
      </w:r>
    </w:p>
    <w:p w14:paraId="17E79B67" w14:textId="6C95DA45" w:rsidR="3294B585" w:rsidRDefault="3294B585" w:rsidP="00597F9E">
      <w:pPr>
        <w:spacing w:after="0"/>
        <w:rPr>
          <w:rFonts w:ascii="Arial" w:eastAsia="Arial" w:hAnsi="Arial" w:cs="Arial"/>
        </w:rPr>
      </w:pPr>
    </w:p>
    <w:p w14:paraId="029B6DA2" w14:textId="5D0D8635" w:rsidR="7071E7A6" w:rsidRDefault="7071E7A6" w:rsidP="00597F9E">
      <w:pPr>
        <w:spacing w:after="0"/>
        <w:rPr>
          <w:rFonts w:ascii="Arial" w:eastAsia="Arial" w:hAnsi="Arial" w:cs="Arial"/>
        </w:rPr>
      </w:pPr>
      <w:r w:rsidRPr="0E260372">
        <w:rPr>
          <w:rFonts w:ascii="Arial" w:eastAsia="Arial" w:hAnsi="Arial" w:cs="Arial"/>
        </w:rPr>
        <w:t>Historically, interventions have concentrated on educating and deterrence, but new research indicates a need for more nuanced, evidence-based methods that consider the complex interplay of individual, family-related and societal factors impacting youth behaviour</w:t>
      </w:r>
      <w:r w:rsidR="42681A9B" w:rsidRPr="0E260372">
        <w:rPr>
          <w:rFonts w:ascii="Arial" w:eastAsia="Arial" w:hAnsi="Arial" w:cs="Arial"/>
        </w:rPr>
        <w:t xml:space="preserve"> </w:t>
      </w:r>
      <w:r w:rsidR="42681A9B" w:rsidRPr="0E260372">
        <w:rPr>
          <w:rFonts w:ascii="Arial" w:eastAsia="Arial" w:hAnsi="Arial" w:cs="Arial"/>
          <w:color w:val="000000" w:themeColor="text1"/>
        </w:rPr>
        <w:t>(Judith Watson</w:t>
      </w:r>
      <w:r w:rsidR="42681A9B" w:rsidRPr="0E260372">
        <w:rPr>
          <w:rFonts w:ascii="Arial" w:eastAsia="Arial" w:hAnsi="Arial" w:cs="Arial"/>
          <w:i/>
          <w:iCs/>
          <w:color w:val="000000" w:themeColor="text1"/>
        </w:rPr>
        <w:t xml:space="preserve"> et al</w:t>
      </w:r>
      <w:r w:rsidR="42681A9B" w:rsidRPr="0E260372">
        <w:rPr>
          <w:rFonts w:ascii="Arial" w:eastAsia="Arial" w:hAnsi="Arial" w:cs="Arial"/>
          <w:color w:val="000000" w:themeColor="text1"/>
        </w:rPr>
        <w:t>., 2017).</w:t>
      </w:r>
      <w:r w:rsidRPr="0E260372">
        <w:rPr>
          <w:rFonts w:ascii="Arial" w:eastAsia="Arial" w:hAnsi="Arial" w:cs="Arial"/>
        </w:rPr>
        <w:t xml:space="preserve"> Furthermore, peer pressure, family relationships, mental health and the surrounding environment continue to influence adolescents' substance use behaviours.</w:t>
      </w:r>
    </w:p>
    <w:p w14:paraId="252FDAD4" w14:textId="632DADD8" w:rsidR="428BFE98" w:rsidRDefault="428BFE98" w:rsidP="00597F9E">
      <w:pPr>
        <w:spacing w:after="0"/>
        <w:rPr>
          <w:rFonts w:ascii="Arial" w:eastAsia="Arial" w:hAnsi="Arial" w:cs="Arial"/>
        </w:rPr>
      </w:pPr>
      <w:r w:rsidRPr="0E260372">
        <w:rPr>
          <w:rFonts w:ascii="Arial" w:eastAsia="Arial" w:hAnsi="Arial" w:cs="Arial"/>
        </w:rPr>
        <w:t>The purpose of this dissertation is to investigate the prevalence, causes and consequences of substance usage among teenagers aged 13 to 18 in England. The project aims to investigate how substance abuse impacts people's physical health, emotional well-being, academic performance, and social conduct. Through secondary data analysis and thematic review, the research paper aims to generate evidence that can inform effective prevention strategies, early intervention programs and policy recommendations tailored to this vulnerable population, eventually contributing to more effective care for youth health and social care practices in England</w:t>
      </w:r>
      <w:r w:rsidR="69552AF0" w:rsidRPr="0E260372">
        <w:rPr>
          <w:rFonts w:ascii="Arial" w:eastAsia="Arial" w:hAnsi="Arial" w:cs="Arial"/>
        </w:rPr>
        <w:t xml:space="preserve"> </w:t>
      </w:r>
      <w:r w:rsidR="69552AF0" w:rsidRPr="0E260372">
        <w:rPr>
          <w:rFonts w:ascii="Arial" w:eastAsia="Arial" w:hAnsi="Arial" w:cs="Arial"/>
          <w:color w:val="000000" w:themeColor="text1"/>
        </w:rPr>
        <w:t>(Degenhardt</w:t>
      </w:r>
      <w:r w:rsidR="69552AF0" w:rsidRPr="0E260372">
        <w:rPr>
          <w:rFonts w:ascii="Arial" w:eastAsia="Arial" w:hAnsi="Arial" w:cs="Arial"/>
          <w:i/>
          <w:iCs/>
          <w:color w:val="000000" w:themeColor="text1"/>
        </w:rPr>
        <w:t xml:space="preserve"> et al</w:t>
      </w:r>
      <w:r w:rsidR="69552AF0" w:rsidRPr="0E260372">
        <w:rPr>
          <w:rFonts w:ascii="Arial" w:eastAsia="Arial" w:hAnsi="Arial" w:cs="Arial"/>
          <w:color w:val="000000" w:themeColor="text1"/>
        </w:rPr>
        <w:t>., 2016)</w:t>
      </w:r>
      <w:r w:rsidRPr="0E260372">
        <w:rPr>
          <w:rFonts w:ascii="Arial" w:eastAsia="Arial" w:hAnsi="Arial" w:cs="Arial"/>
        </w:rPr>
        <w:t>.</w:t>
      </w:r>
    </w:p>
    <w:p w14:paraId="18072CD8" w14:textId="2F410CC7" w:rsidR="00BD2909" w:rsidRPr="00BD2909" w:rsidRDefault="00BD2909" w:rsidP="00597F9E">
      <w:pPr>
        <w:pStyle w:val="paragraph"/>
        <w:spacing w:before="0" w:beforeAutospacing="0" w:after="0" w:afterAutospacing="0" w:line="360" w:lineRule="auto"/>
        <w:ind w:left="1080"/>
        <w:jc w:val="both"/>
        <w:textAlignment w:val="baseline"/>
        <w:rPr>
          <w:rStyle w:val="eop"/>
          <w:rFonts w:ascii="Arial" w:eastAsia="Arial" w:hAnsi="Arial" w:cs="Arial"/>
          <w:b/>
          <w:bCs/>
          <w:sz w:val="22"/>
          <w:szCs w:val="22"/>
          <w:highlight w:val="yellow"/>
        </w:rPr>
      </w:pPr>
    </w:p>
    <w:p w14:paraId="66501BF4" w14:textId="6787CE5E" w:rsidR="00BD2909" w:rsidRPr="00BD2909" w:rsidRDefault="00BD2909" w:rsidP="00597F9E">
      <w:pPr>
        <w:pStyle w:val="Heading2"/>
        <w:rPr>
          <w:rStyle w:val="eop"/>
          <w:rFonts w:ascii="Arial" w:eastAsia="Arial" w:hAnsi="Arial" w:cs="Arial"/>
        </w:rPr>
      </w:pPr>
      <w:bookmarkStart w:id="2" w:name="_Toc213871338"/>
      <w:r w:rsidRPr="359E9537">
        <w:rPr>
          <w:rStyle w:val="normaltextrun"/>
          <w:rFonts w:ascii="Arial" w:eastAsia="Arial" w:hAnsi="Arial" w:cs="Arial"/>
          <w:color w:val="auto"/>
        </w:rPr>
        <w:t>1.2 Definitions and Terminology</w:t>
      </w:r>
      <w:bookmarkEnd w:id="2"/>
    </w:p>
    <w:p w14:paraId="1057DB38" w14:textId="3F1F1605" w:rsidR="6D52A3D4" w:rsidRDefault="6D52A3D4" w:rsidP="00597F9E">
      <w:pPr>
        <w:pStyle w:val="paragraph"/>
        <w:spacing w:before="0" w:beforeAutospacing="0" w:after="0" w:afterAutospacing="0" w:line="360" w:lineRule="auto"/>
        <w:jc w:val="both"/>
        <w:rPr>
          <w:rStyle w:val="eop"/>
          <w:rFonts w:ascii="Arial" w:eastAsia="Arial" w:hAnsi="Arial" w:cs="Arial"/>
        </w:rPr>
      </w:pPr>
      <w:r w:rsidRPr="0E260372">
        <w:rPr>
          <w:rStyle w:val="eop"/>
          <w:rFonts w:ascii="Arial" w:eastAsia="Arial" w:hAnsi="Arial" w:cs="Arial"/>
        </w:rPr>
        <w:t>Key Definitions</w:t>
      </w:r>
    </w:p>
    <w:p w14:paraId="545F7376" w14:textId="14D43477" w:rsidR="7A5F7377" w:rsidRDefault="7A5F7377" w:rsidP="00597F9E">
      <w:pPr>
        <w:rPr>
          <w:rFonts w:ascii="Arial" w:eastAsia="Arial" w:hAnsi="Arial" w:cs="Arial"/>
        </w:rPr>
      </w:pPr>
      <w:r w:rsidRPr="0E260372">
        <w:rPr>
          <w:rFonts w:ascii="Arial" w:eastAsia="Arial" w:hAnsi="Arial" w:cs="Arial"/>
        </w:rPr>
        <w:t>A clear comprehension of important concepts is required for investigating substance abuse among adolescents aged 13 to 18 in England.</w:t>
      </w:r>
      <w:r w:rsidR="055C25BE" w:rsidRPr="0E260372">
        <w:rPr>
          <w:rFonts w:ascii="Arial" w:eastAsia="Arial" w:hAnsi="Arial" w:cs="Arial"/>
        </w:rPr>
        <w:t xml:space="preserve"> Consistent terminology use is critical to maintaining conceptual clarity throughout this research therefore, all significant terms are defined below in accordance with UK policy and academic standards.</w:t>
      </w:r>
      <w:r w:rsidRPr="0E260372">
        <w:rPr>
          <w:rFonts w:ascii="Arial" w:eastAsia="Arial" w:hAnsi="Arial" w:cs="Arial"/>
        </w:rPr>
        <w:t xml:space="preserve"> </w:t>
      </w:r>
      <w:r w:rsidR="1F6022F4" w:rsidRPr="0E260372">
        <w:rPr>
          <w:rFonts w:ascii="Arial" w:eastAsia="Arial" w:hAnsi="Arial" w:cs="Arial"/>
        </w:rPr>
        <w:t>The following terms are critical to the study of substance abuse among adolescents in England.</w:t>
      </w:r>
    </w:p>
    <w:p w14:paraId="6017ACDC" w14:textId="47A1159D" w:rsidR="153FB95C" w:rsidRDefault="153FB95C" w:rsidP="00597F9E">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Adolescents</w:t>
      </w:r>
      <w:r w:rsidRPr="0E260372">
        <w:rPr>
          <w:rFonts w:ascii="Arial" w:eastAsia="Arial" w:hAnsi="Arial" w:cs="Arial"/>
        </w:rPr>
        <w:t xml:space="preserve">: Individuals between the ages of 13 and 18 are referred to as adolescents, this developmental stage is characterised by changes in the body, mind and emotions. This age group is thought to be especially prone to risky behaviours, such as substance abuse </w:t>
      </w:r>
      <w:r w:rsidR="7DE1531A" w:rsidRPr="0E260372">
        <w:rPr>
          <w:rFonts w:ascii="Arial" w:eastAsia="Arial" w:hAnsi="Arial" w:cs="Arial"/>
        </w:rPr>
        <w:t>(Public Health England, 2015).</w:t>
      </w:r>
    </w:p>
    <w:p w14:paraId="7697EB8E" w14:textId="669772AD" w:rsidR="153FB95C" w:rsidRDefault="153FB95C" w:rsidP="00597F9E">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Substance Misuse:</w:t>
      </w:r>
      <w:r w:rsidRPr="0E260372">
        <w:rPr>
          <w:rFonts w:ascii="Arial" w:eastAsia="Arial" w:hAnsi="Arial" w:cs="Arial"/>
        </w:rPr>
        <w:t xml:space="preserve"> In the United Kingdom, substance abuse is described as the harmful or hazardous use of psychoactive substances such as alcohol, cannabis, prescription medicines and illicit substances. It encompasses both experimental and habitual usage that harms a person's health, education or social life</w:t>
      </w:r>
      <w:r w:rsidR="2472128E" w:rsidRPr="0E260372">
        <w:rPr>
          <w:rFonts w:ascii="Arial" w:eastAsia="Arial" w:hAnsi="Arial" w:cs="Arial"/>
          <w:b/>
          <w:bCs/>
        </w:rPr>
        <w:t xml:space="preserve"> </w:t>
      </w:r>
      <w:r w:rsidR="2472128E" w:rsidRPr="0E260372">
        <w:rPr>
          <w:rFonts w:ascii="Arial" w:eastAsia="Arial" w:hAnsi="Arial" w:cs="Arial"/>
        </w:rPr>
        <w:t>(Office for Health Improvement &amp; Disparities, 2024)</w:t>
      </w:r>
      <w:r w:rsidRPr="0E260372">
        <w:rPr>
          <w:rFonts w:ascii="Arial" w:eastAsia="Arial" w:hAnsi="Arial" w:cs="Arial"/>
        </w:rPr>
        <w:t>.</w:t>
      </w:r>
    </w:p>
    <w:p w14:paraId="22C4F86B" w14:textId="4A56A910" w:rsidR="33CF0A88" w:rsidRDefault="33CF0A88" w:rsidP="00597F9E">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Prevalence</w:t>
      </w:r>
      <w:r w:rsidRPr="0E260372">
        <w:rPr>
          <w:rFonts w:ascii="Arial" w:eastAsia="Arial" w:hAnsi="Arial" w:cs="Arial"/>
        </w:rPr>
        <w:t>:</w:t>
      </w:r>
      <w:r w:rsidR="7D3071B6" w:rsidRPr="0E260372">
        <w:rPr>
          <w:rFonts w:ascii="Arial" w:eastAsia="Arial" w:hAnsi="Arial" w:cs="Arial"/>
        </w:rPr>
        <w:t xml:space="preserve"> According to WHO,</w:t>
      </w:r>
      <w:r w:rsidRPr="0E260372">
        <w:rPr>
          <w:rFonts w:ascii="Arial" w:eastAsia="Arial" w:hAnsi="Arial" w:cs="Arial"/>
        </w:rPr>
        <w:t xml:space="preserve"> </w:t>
      </w:r>
      <w:r w:rsidR="5F6DF6AE" w:rsidRPr="0E260372">
        <w:rPr>
          <w:rFonts w:ascii="Arial" w:eastAsia="Arial" w:hAnsi="Arial" w:cs="Arial"/>
        </w:rPr>
        <w:t>t</w:t>
      </w:r>
      <w:r w:rsidRPr="0E260372">
        <w:rPr>
          <w:rFonts w:ascii="Arial" w:eastAsia="Arial" w:hAnsi="Arial" w:cs="Arial"/>
        </w:rPr>
        <w:t>his phrase refers to the percentage of a population that engages in a specific behaviour—in this case, substance abuse—over a given time. Understanding prevalence is critical for determining the scale of the problem among adolescents</w:t>
      </w:r>
      <w:r w:rsidR="5F571A68" w:rsidRPr="0E260372">
        <w:rPr>
          <w:rFonts w:ascii="Arial" w:eastAsia="Arial" w:hAnsi="Arial" w:cs="Arial"/>
        </w:rPr>
        <w:t xml:space="preserve"> (Aly et al., 2020)</w:t>
      </w:r>
      <w:r w:rsidRPr="0E260372">
        <w:rPr>
          <w:rFonts w:ascii="Arial" w:eastAsia="Arial" w:hAnsi="Arial" w:cs="Arial"/>
        </w:rPr>
        <w:t>.</w:t>
      </w:r>
    </w:p>
    <w:p w14:paraId="3190EBEA" w14:textId="4F4B7566" w:rsidR="33CF0A88" w:rsidRDefault="33CF0A88" w:rsidP="00597F9E">
      <w:pPr>
        <w:pStyle w:val="ListParagraph"/>
        <w:numPr>
          <w:ilvl w:val="0"/>
          <w:numId w:val="2"/>
        </w:numPr>
        <w:spacing w:line="360" w:lineRule="auto"/>
        <w:jc w:val="both"/>
        <w:rPr>
          <w:rFonts w:ascii="Arial" w:eastAsia="Arial" w:hAnsi="Arial" w:cs="Arial"/>
        </w:rPr>
      </w:pPr>
      <w:r w:rsidRPr="0E260372">
        <w:rPr>
          <w:rFonts w:ascii="Arial" w:eastAsia="Arial" w:hAnsi="Arial" w:cs="Arial"/>
          <w:b/>
          <w:bCs/>
        </w:rPr>
        <w:t>Risk Factors</w:t>
      </w:r>
      <w:r w:rsidRPr="0E260372">
        <w:rPr>
          <w:rFonts w:ascii="Arial" w:eastAsia="Arial" w:hAnsi="Arial" w:cs="Arial"/>
        </w:rPr>
        <w:t xml:space="preserve">: </w:t>
      </w:r>
      <w:r w:rsidR="3FBACBF3" w:rsidRPr="0E260372">
        <w:rPr>
          <w:rFonts w:ascii="Arial" w:eastAsia="Arial" w:hAnsi="Arial" w:cs="Arial"/>
        </w:rPr>
        <w:t xml:space="preserve">Risk factors are </w:t>
      </w:r>
      <w:r w:rsidR="5F0066A6" w:rsidRPr="0E260372">
        <w:rPr>
          <w:rFonts w:ascii="Arial" w:eastAsia="Arial" w:hAnsi="Arial" w:cs="Arial"/>
        </w:rPr>
        <w:t>circumstances</w:t>
      </w:r>
      <w:r w:rsidR="3FBACBF3" w:rsidRPr="0E260372">
        <w:rPr>
          <w:rFonts w:ascii="Arial" w:eastAsia="Arial" w:hAnsi="Arial" w:cs="Arial"/>
        </w:rPr>
        <w:t xml:space="preserve"> or variable that raises a person’s </w:t>
      </w:r>
      <w:r w:rsidR="42CBD391" w:rsidRPr="0E260372">
        <w:rPr>
          <w:rFonts w:ascii="Arial" w:eastAsia="Arial" w:hAnsi="Arial" w:cs="Arial"/>
        </w:rPr>
        <w:t xml:space="preserve">tendency of </w:t>
      </w:r>
      <w:r w:rsidR="6961C5B1" w:rsidRPr="0E260372">
        <w:rPr>
          <w:rFonts w:ascii="Arial" w:eastAsia="Arial" w:hAnsi="Arial" w:cs="Arial"/>
        </w:rPr>
        <w:t>substance</w:t>
      </w:r>
      <w:r w:rsidR="42CBD391" w:rsidRPr="0E260372">
        <w:rPr>
          <w:rFonts w:ascii="Arial" w:eastAsia="Arial" w:hAnsi="Arial" w:cs="Arial"/>
        </w:rPr>
        <w:t xml:space="preserve"> misuse</w:t>
      </w:r>
      <w:r w:rsidRPr="0E260372">
        <w:rPr>
          <w:rFonts w:ascii="Arial" w:eastAsia="Arial" w:hAnsi="Arial" w:cs="Arial"/>
        </w:rPr>
        <w:t>. Peer pressure, family breakup, mental health issues, and socioeconomic deprivation are all common risk factors</w:t>
      </w:r>
      <w:r w:rsidR="20BD290A" w:rsidRPr="0E260372">
        <w:rPr>
          <w:rFonts w:ascii="Arial" w:eastAsia="Arial" w:hAnsi="Arial" w:cs="Arial"/>
        </w:rPr>
        <w:t xml:space="preserve"> </w:t>
      </w:r>
      <w:r w:rsidR="20BD290A" w:rsidRPr="0E260372">
        <w:rPr>
          <w:rFonts w:ascii="Arial" w:eastAsia="Arial" w:hAnsi="Arial" w:cs="Arial"/>
          <w:color w:val="000000" w:themeColor="text1"/>
        </w:rPr>
        <w:t>(Steele</w:t>
      </w:r>
      <w:r w:rsidR="20BD290A" w:rsidRPr="0E260372">
        <w:rPr>
          <w:rFonts w:ascii="Arial" w:eastAsia="Arial" w:hAnsi="Arial" w:cs="Arial"/>
          <w:i/>
          <w:iCs/>
          <w:color w:val="000000" w:themeColor="text1"/>
        </w:rPr>
        <w:t xml:space="preserve"> et al</w:t>
      </w:r>
      <w:r w:rsidR="20BD290A" w:rsidRPr="0E260372">
        <w:rPr>
          <w:rFonts w:ascii="Arial" w:eastAsia="Arial" w:hAnsi="Arial" w:cs="Arial"/>
          <w:color w:val="000000" w:themeColor="text1"/>
        </w:rPr>
        <w:t>., 2020)</w:t>
      </w:r>
      <w:r w:rsidRPr="0E260372">
        <w:rPr>
          <w:rFonts w:ascii="Arial" w:eastAsia="Arial" w:hAnsi="Arial" w:cs="Arial"/>
        </w:rPr>
        <w:t>.</w:t>
      </w:r>
    </w:p>
    <w:p w14:paraId="218AF1FF" w14:textId="1AB1E53B" w:rsidR="33CF0A88" w:rsidRDefault="33CF0A88" w:rsidP="00597F9E">
      <w:pPr>
        <w:pStyle w:val="ListParagraph"/>
        <w:numPr>
          <w:ilvl w:val="0"/>
          <w:numId w:val="2"/>
        </w:numPr>
        <w:spacing w:line="360" w:lineRule="auto"/>
        <w:jc w:val="both"/>
        <w:rPr>
          <w:rFonts w:ascii="Arial" w:eastAsia="Arial" w:hAnsi="Arial" w:cs="Arial"/>
        </w:rPr>
      </w:pPr>
      <w:r w:rsidRPr="0E260372">
        <w:rPr>
          <w:rFonts w:ascii="Arial" w:eastAsia="Arial" w:hAnsi="Arial" w:cs="Arial"/>
        </w:rPr>
        <w:t xml:space="preserve">  </w:t>
      </w:r>
      <w:r w:rsidRPr="0E260372">
        <w:rPr>
          <w:rFonts w:ascii="Arial" w:eastAsia="Arial" w:hAnsi="Arial" w:cs="Arial"/>
          <w:b/>
          <w:bCs/>
        </w:rPr>
        <w:t>Thematic Analysis</w:t>
      </w:r>
      <w:r w:rsidRPr="0E260372">
        <w:rPr>
          <w:rFonts w:ascii="Arial" w:eastAsia="Arial" w:hAnsi="Arial" w:cs="Arial"/>
        </w:rPr>
        <w:t>: Thematic Analysis is a qualitative research method for identifying, analysing, and interpreting reoccurring patterns or themes in textual data. This strategy is commonly used in social and behavioural research</w:t>
      </w:r>
      <w:r w:rsidR="2FD2515A" w:rsidRPr="0E260372">
        <w:rPr>
          <w:rFonts w:ascii="Arial" w:eastAsia="Arial" w:hAnsi="Arial" w:cs="Arial"/>
        </w:rPr>
        <w:t xml:space="preserve"> (Sabharwal and Miah, 2021).</w:t>
      </w:r>
    </w:p>
    <w:p w14:paraId="1C096159" w14:textId="77777777" w:rsidR="00BD2909" w:rsidRPr="00BD2909" w:rsidRDefault="00BD2909" w:rsidP="00597F9E">
      <w:pPr>
        <w:pStyle w:val="paragraph"/>
        <w:numPr>
          <w:ilvl w:val="0"/>
          <w:numId w:val="3"/>
        </w:numPr>
        <w:tabs>
          <w:tab w:val="clear" w:pos="720"/>
        </w:tabs>
        <w:spacing w:before="0" w:beforeAutospacing="0" w:after="0" w:afterAutospacing="0" w:line="360" w:lineRule="auto"/>
        <w:ind w:left="0" w:firstLine="0"/>
        <w:jc w:val="both"/>
        <w:textAlignment w:val="baseline"/>
        <w:rPr>
          <w:rFonts w:ascii="Aptos" w:hAnsi="Aptos" w:cs="Arial"/>
          <w:sz w:val="22"/>
          <w:szCs w:val="22"/>
        </w:rPr>
      </w:pPr>
      <w:r w:rsidRPr="0559B97C">
        <w:rPr>
          <w:rStyle w:val="normaltextrun"/>
          <w:rFonts w:ascii="Aptos" w:hAnsi="Aptos" w:cs="Arial"/>
          <w:b/>
          <w:bCs/>
          <w:sz w:val="22"/>
          <w:szCs w:val="22"/>
        </w:rPr>
        <w:t>Acronyms and Abbreviations:</w:t>
      </w:r>
      <w:r w:rsidRPr="0559B97C">
        <w:rPr>
          <w:rStyle w:val="eop"/>
          <w:rFonts w:ascii="Aptos" w:hAnsi="Aptos" w:cs="Arial"/>
          <w:sz w:val="22"/>
          <w:szCs w:val="22"/>
        </w:rPr>
        <w:t> </w:t>
      </w:r>
    </w:p>
    <w:p w14:paraId="068093CF" w14:textId="1A5F5BDD" w:rsidR="5BBD12AF" w:rsidRDefault="5BBD12AF" w:rsidP="00597F9E">
      <w:pPr>
        <w:pStyle w:val="paragraph"/>
        <w:spacing w:before="0" w:beforeAutospacing="0" w:after="0" w:afterAutospacing="0" w:line="360" w:lineRule="auto"/>
        <w:jc w:val="both"/>
        <w:rPr>
          <w:rFonts w:ascii="Arial" w:eastAsia="Arial" w:hAnsi="Arial" w:cs="Arial"/>
          <w:sz w:val="22"/>
          <w:szCs w:val="22"/>
        </w:rPr>
      </w:pPr>
      <w:r w:rsidRPr="0559B97C">
        <w:rPr>
          <w:rFonts w:ascii="Arial" w:eastAsia="Arial" w:hAnsi="Arial" w:cs="Arial"/>
          <w:sz w:val="22"/>
          <w:szCs w:val="22"/>
        </w:rPr>
        <w:t>To enhance reading, the following often utilised acronyms are provided below.</w:t>
      </w:r>
    </w:p>
    <w:p w14:paraId="091B2473" w14:textId="7DBD4498" w:rsidR="5BBD12AF" w:rsidRDefault="5BBD12AF" w:rsidP="00597F9E">
      <w:pPr>
        <w:pStyle w:val="ListParagraph"/>
        <w:numPr>
          <w:ilvl w:val="0"/>
          <w:numId w:val="2"/>
        </w:numPr>
        <w:spacing w:before="240" w:after="240" w:line="360" w:lineRule="auto"/>
        <w:jc w:val="both"/>
        <w:rPr>
          <w:rFonts w:ascii="Arial" w:eastAsia="Arial" w:hAnsi="Arial" w:cs="Arial"/>
        </w:rPr>
      </w:pPr>
      <w:r w:rsidRPr="0559B97C">
        <w:rPr>
          <w:rFonts w:ascii="Arial" w:eastAsia="Arial" w:hAnsi="Arial" w:cs="Arial"/>
        </w:rPr>
        <w:t>NHS – National Health Service</w:t>
      </w:r>
    </w:p>
    <w:p w14:paraId="1CE20829" w14:textId="1BD6BFC3" w:rsidR="5BBD12AF" w:rsidRDefault="5BBD12AF" w:rsidP="00597F9E">
      <w:pPr>
        <w:pStyle w:val="ListParagraph"/>
        <w:numPr>
          <w:ilvl w:val="0"/>
          <w:numId w:val="2"/>
        </w:numPr>
        <w:spacing w:before="240" w:after="240" w:line="360" w:lineRule="auto"/>
        <w:jc w:val="both"/>
        <w:rPr>
          <w:rFonts w:ascii="Arial" w:eastAsia="Arial" w:hAnsi="Arial" w:cs="Arial"/>
        </w:rPr>
      </w:pPr>
      <w:r w:rsidRPr="0559B97C">
        <w:rPr>
          <w:rFonts w:ascii="Arial" w:eastAsia="Arial" w:hAnsi="Arial" w:cs="Arial"/>
        </w:rPr>
        <w:t>PHE – Public Health England</w:t>
      </w:r>
    </w:p>
    <w:p w14:paraId="45C79ADA" w14:textId="654B8EF4" w:rsidR="5BBD12AF" w:rsidRDefault="5BBD12AF" w:rsidP="00597F9E">
      <w:pPr>
        <w:pStyle w:val="ListParagraph"/>
        <w:numPr>
          <w:ilvl w:val="0"/>
          <w:numId w:val="2"/>
        </w:numPr>
        <w:spacing w:before="240" w:after="240" w:line="360" w:lineRule="auto"/>
        <w:jc w:val="both"/>
        <w:rPr>
          <w:rFonts w:ascii="Arial" w:eastAsia="Arial" w:hAnsi="Arial" w:cs="Arial"/>
        </w:rPr>
      </w:pPr>
      <w:r w:rsidRPr="0559B97C">
        <w:rPr>
          <w:rFonts w:ascii="Arial" w:eastAsia="Arial" w:hAnsi="Arial" w:cs="Arial"/>
        </w:rPr>
        <w:t>UK – United Kingdom</w:t>
      </w:r>
    </w:p>
    <w:p w14:paraId="1EFD7152" w14:textId="1E8E60A8" w:rsidR="5BBD12AF" w:rsidRDefault="5BBD12AF" w:rsidP="00597F9E">
      <w:pPr>
        <w:pStyle w:val="ListParagraph"/>
        <w:numPr>
          <w:ilvl w:val="0"/>
          <w:numId w:val="2"/>
        </w:numPr>
        <w:spacing w:before="240" w:after="240" w:line="360" w:lineRule="auto"/>
        <w:jc w:val="both"/>
        <w:rPr>
          <w:rFonts w:ascii="Arial" w:eastAsia="Arial" w:hAnsi="Arial" w:cs="Arial"/>
        </w:rPr>
      </w:pPr>
      <w:r w:rsidRPr="0559B97C">
        <w:rPr>
          <w:rFonts w:ascii="Arial" w:eastAsia="Arial" w:hAnsi="Arial" w:cs="Arial"/>
        </w:rPr>
        <w:lastRenderedPageBreak/>
        <w:t>WHO – World Health Organization</w:t>
      </w:r>
    </w:p>
    <w:p w14:paraId="3C856F0F" w14:textId="2430BA8E" w:rsidR="0559B97C" w:rsidRDefault="0559B97C" w:rsidP="00597F9E">
      <w:pPr>
        <w:pStyle w:val="paragraph"/>
        <w:spacing w:before="0" w:beforeAutospacing="0" w:after="0" w:afterAutospacing="0" w:line="360" w:lineRule="auto"/>
        <w:jc w:val="both"/>
        <w:rPr>
          <w:rFonts w:ascii="Arial" w:eastAsia="Arial" w:hAnsi="Arial" w:cs="Arial"/>
          <w:sz w:val="22"/>
          <w:szCs w:val="22"/>
        </w:rPr>
      </w:pPr>
    </w:p>
    <w:p w14:paraId="4BC66D2F" w14:textId="5B317F6B" w:rsidR="00BD2909" w:rsidRPr="00BD2909" w:rsidRDefault="00BD2909" w:rsidP="00597F9E">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hAnsi="Aptos" w:cs="Arial"/>
          <w:sz w:val="22"/>
          <w:szCs w:val="22"/>
        </w:rPr>
        <w:t>  </w:t>
      </w:r>
    </w:p>
    <w:p w14:paraId="165773A7" w14:textId="78DEA065" w:rsidR="00BD2909" w:rsidRPr="00BD2909" w:rsidRDefault="00BD2909" w:rsidP="00597F9E">
      <w:pPr>
        <w:pStyle w:val="Heading2"/>
        <w:rPr>
          <w:rStyle w:val="eop"/>
          <w:rFonts w:ascii="Arial" w:eastAsia="Arial" w:hAnsi="Arial" w:cs="Arial"/>
        </w:rPr>
      </w:pPr>
      <w:bookmarkStart w:id="3" w:name="_Toc213871339"/>
      <w:r w:rsidRPr="359E9537">
        <w:rPr>
          <w:rStyle w:val="normaltextrun"/>
          <w:rFonts w:ascii="Arial" w:eastAsia="Arial" w:hAnsi="Arial" w:cs="Arial"/>
          <w:color w:val="auto"/>
        </w:rPr>
        <w:t>1.3 Rationale for Research</w:t>
      </w:r>
      <w:bookmarkEnd w:id="3"/>
      <w:r w:rsidRPr="359E9537">
        <w:rPr>
          <w:rStyle w:val="normaltextrun"/>
          <w:rFonts w:ascii="Arial" w:eastAsia="Arial" w:hAnsi="Arial" w:cs="Arial"/>
          <w:color w:val="auto"/>
        </w:rPr>
        <w:t xml:space="preserve"> </w:t>
      </w:r>
    </w:p>
    <w:p w14:paraId="33FC7D66" w14:textId="77777777" w:rsidR="00BD2909" w:rsidRPr="00BD2909" w:rsidRDefault="00BD2909" w:rsidP="00597F9E">
      <w:pPr>
        <w:pStyle w:val="paragraph"/>
        <w:numPr>
          <w:ilvl w:val="0"/>
          <w:numId w:val="4"/>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Purpose of the Research</w:t>
      </w:r>
      <w:r w:rsidRPr="0E260372">
        <w:rPr>
          <w:rStyle w:val="normaltextrun"/>
          <w:rFonts w:ascii="Arial" w:eastAsia="Arial" w:hAnsi="Arial" w:cs="Arial"/>
          <w:b/>
          <w:bCs/>
          <w:sz w:val="22"/>
          <w:szCs w:val="22"/>
        </w:rPr>
        <w:t>:</w:t>
      </w:r>
      <w:r w:rsidRPr="0E260372">
        <w:rPr>
          <w:rStyle w:val="eop"/>
          <w:rFonts w:ascii="Arial" w:eastAsia="Arial" w:hAnsi="Arial" w:cs="Arial"/>
          <w:sz w:val="22"/>
          <w:szCs w:val="22"/>
        </w:rPr>
        <w:t> </w:t>
      </w:r>
    </w:p>
    <w:p w14:paraId="2248FE0F" w14:textId="697935EB" w:rsidR="00BD2909" w:rsidRPr="00BD2909" w:rsidRDefault="496823C5" w:rsidP="00597F9E">
      <w:pPr>
        <w:spacing w:after="0"/>
        <w:textAlignment w:val="baseline"/>
        <w:rPr>
          <w:rFonts w:ascii="Arial" w:eastAsia="Arial" w:hAnsi="Arial" w:cs="Arial"/>
        </w:rPr>
      </w:pPr>
      <w:r w:rsidRPr="0E260372">
        <w:rPr>
          <w:rFonts w:ascii="Arial" w:eastAsia="Arial" w:hAnsi="Arial" w:cs="Arial"/>
        </w:rPr>
        <w:t>Substance misuse among adolescents in England remains a serious concern, with official data demonstrating its far-reaching consequences for public health, education, and social results. While overall substance use has apparently dropped over the last decade, current studies show that a significant proportion of young people, particularly those aged 13 to 18, continue to participate in risky alcohol and cannabis use (Public Health England, 2018). Adolescence is a vital developmental era in which the brain is still changing, and exposure to psychoactive substances during this time can result in long-term cognitive, emotional and behavioural problems.</w:t>
      </w:r>
    </w:p>
    <w:p w14:paraId="636A08D3" w14:textId="780A2475" w:rsidR="00BD2909" w:rsidRPr="00BD2909" w:rsidRDefault="450C5DC1" w:rsidP="00597F9E">
      <w:pPr>
        <w:spacing w:after="0"/>
        <w:textAlignment w:val="baseline"/>
        <w:rPr>
          <w:rFonts w:ascii="Arial" w:eastAsia="Arial" w:hAnsi="Arial" w:cs="Arial"/>
        </w:rPr>
      </w:pPr>
      <w:r w:rsidRPr="0E260372">
        <w:rPr>
          <w:rFonts w:ascii="Arial" w:eastAsia="Arial" w:hAnsi="Arial" w:cs="Arial"/>
        </w:rPr>
        <w:t xml:space="preserve"> </w:t>
      </w:r>
      <w:r w:rsidR="54E53492" w:rsidRPr="0E260372">
        <w:rPr>
          <w:rFonts w:ascii="Arial" w:eastAsia="Arial" w:hAnsi="Arial" w:cs="Arial"/>
        </w:rPr>
        <w:t>Despite ongoing national initiatives such as the UK Government's 10-Year Drug Strategy (2021) and Public Health England's youth wellbeing frameworks, there are substantial gaps in understanding how these policies translate into practical outcomes for marginalised adolescents. Limited qualitative understanding of lived experiences and structural disparities impacting substance use impedes the creation of effective, tailored therapies. Addressing these gaps ensures that prevention programs are not just evidence-based, but also socially and culturally responsive to the different circumstances of young people. (Valdez et al., 2019; Bonell et al., 2015).</w:t>
      </w:r>
    </w:p>
    <w:p w14:paraId="66D95488" w14:textId="326438E9" w:rsidR="62D283A4" w:rsidRDefault="62D283A4" w:rsidP="00597F9E">
      <w:pPr>
        <w:spacing w:after="0"/>
        <w:rPr>
          <w:rFonts w:ascii="Arial" w:eastAsia="Arial" w:hAnsi="Arial" w:cs="Arial"/>
        </w:rPr>
      </w:pPr>
      <w:r w:rsidRPr="0E260372">
        <w:rPr>
          <w:rFonts w:ascii="Arial" w:eastAsia="Arial" w:hAnsi="Arial" w:cs="Arial"/>
        </w:rPr>
        <w:t>Although extensive research has been conducted on the general patterns of youth substance use, the current literature frequently lacks specificity regarding the nuanced social, psychological, and structural factors that underpin this behaviour—particularly among vulnerable groups such as care leavers, school-excluded youth, and those living in economically disadvantaged areas (Valdez et al., 2019). This study attempts to address these constraints by investigating not just the consequences, but also the contributing risk factors and societal implications of substance misuse. The research, which focusses on England, aims to inform youth-focused public health activities, educational interventions and family support mechanisms, resulting in more effective preventative and early intervention tactic</w:t>
      </w:r>
      <w:r w:rsidR="0D91A72F" w:rsidRPr="0E260372">
        <w:rPr>
          <w:rFonts w:ascii="Arial" w:eastAsia="Arial" w:hAnsi="Arial" w:cs="Arial"/>
        </w:rPr>
        <w:t xml:space="preserve"> (</w:t>
      </w:r>
      <w:proofErr w:type="spellStart"/>
      <w:r w:rsidR="0D91A72F" w:rsidRPr="0E260372">
        <w:rPr>
          <w:rFonts w:ascii="Arial" w:eastAsia="Arial" w:hAnsi="Arial" w:cs="Arial"/>
        </w:rPr>
        <w:t>Alhammad</w:t>
      </w:r>
      <w:proofErr w:type="spellEnd"/>
      <w:r w:rsidR="0D91A72F" w:rsidRPr="0E260372">
        <w:rPr>
          <w:rFonts w:ascii="Arial" w:eastAsia="Arial" w:hAnsi="Arial" w:cs="Arial"/>
        </w:rPr>
        <w:t xml:space="preserve"> </w:t>
      </w:r>
      <w:r w:rsidR="0D91A72F" w:rsidRPr="0E260372">
        <w:rPr>
          <w:rFonts w:ascii="Arial" w:eastAsia="Arial" w:hAnsi="Arial" w:cs="Arial"/>
          <w:i/>
          <w:iCs/>
        </w:rPr>
        <w:t xml:space="preserve">et al., </w:t>
      </w:r>
      <w:r w:rsidR="0D91A72F" w:rsidRPr="0E260372">
        <w:rPr>
          <w:rFonts w:ascii="Arial" w:eastAsia="Arial" w:hAnsi="Arial" w:cs="Arial"/>
        </w:rPr>
        <w:t>2022).</w:t>
      </w:r>
    </w:p>
    <w:p w14:paraId="75E17D56" w14:textId="77777777" w:rsidR="00BD2909" w:rsidRPr="00BD2909" w:rsidRDefault="00BD2909" w:rsidP="00597F9E">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hAnsi="Aptos" w:cs="Arial"/>
          <w:sz w:val="22"/>
          <w:szCs w:val="22"/>
        </w:rPr>
        <w:t> </w:t>
      </w:r>
    </w:p>
    <w:p w14:paraId="669241A7" w14:textId="1993E16C" w:rsidR="00BD2909" w:rsidRPr="00BD2909" w:rsidRDefault="00BD2909" w:rsidP="00597F9E">
      <w:pPr>
        <w:pStyle w:val="Heading2"/>
        <w:rPr>
          <w:rStyle w:val="eop"/>
          <w:rFonts w:cs="Arial"/>
          <w:color w:val="0F4761"/>
        </w:rPr>
      </w:pPr>
      <w:bookmarkStart w:id="4" w:name="_Toc213871340"/>
      <w:r w:rsidRPr="359E9537">
        <w:rPr>
          <w:rStyle w:val="normaltextrun"/>
          <w:rFonts w:ascii="Arial" w:eastAsia="Arial" w:hAnsi="Arial" w:cs="Arial"/>
          <w:color w:val="auto"/>
        </w:rPr>
        <w:t>1.4 Aim and Objectives</w:t>
      </w:r>
      <w:bookmarkEnd w:id="4"/>
      <w:r w:rsidRPr="359E9537">
        <w:rPr>
          <w:rStyle w:val="normaltextrun"/>
          <w:rFonts w:cs="Arial"/>
          <w:color w:val="0F4761"/>
        </w:rPr>
        <w:t xml:space="preserve"> </w:t>
      </w:r>
    </w:p>
    <w:p w14:paraId="3FDBEDEF" w14:textId="02ACD839" w:rsidR="4C3AA1EE" w:rsidRDefault="4C3AA1EE" w:rsidP="00597F9E">
      <w:pPr>
        <w:pStyle w:val="paragraph"/>
        <w:tabs>
          <w:tab w:val="num" w:pos="360"/>
        </w:tabs>
        <w:spacing w:before="0" w:beforeAutospacing="0" w:after="0" w:afterAutospacing="0" w:line="360" w:lineRule="auto"/>
        <w:ind w:left="720"/>
        <w:jc w:val="both"/>
        <w:rPr>
          <w:rFonts w:ascii="Arial" w:eastAsia="Arial" w:hAnsi="Arial" w:cs="Arial"/>
          <w:sz w:val="22"/>
          <w:szCs w:val="22"/>
        </w:rPr>
      </w:pPr>
      <w:r w:rsidRPr="0E260372">
        <w:rPr>
          <w:rFonts w:ascii="Arial" w:eastAsia="Arial" w:hAnsi="Arial" w:cs="Arial"/>
          <w:b/>
          <w:bCs/>
          <w:sz w:val="22"/>
          <w:szCs w:val="22"/>
        </w:rPr>
        <w:t>Research Aim</w:t>
      </w:r>
      <w:r w:rsidRPr="0E260372">
        <w:rPr>
          <w:rFonts w:ascii="Arial" w:eastAsia="Arial" w:hAnsi="Arial" w:cs="Arial"/>
          <w:sz w:val="22"/>
          <w:szCs w:val="22"/>
        </w:rPr>
        <w:t xml:space="preserve">: This study's main goal is to critically analyse how substance abuse affects young adults in England, paying special emphasis to the structural, social and </w:t>
      </w:r>
      <w:r w:rsidRPr="0E260372">
        <w:rPr>
          <w:rFonts w:ascii="Arial" w:eastAsia="Arial" w:hAnsi="Arial" w:cs="Arial"/>
          <w:sz w:val="22"/>
          <w:szCs w:val="22"/>
        </w:rPr>
        <w:lastRenderedPageBreak/>
        <w:t xml:space="preserve">psychological elements that affect adolescent substance use. This study seeks to go beyond generic statistics by focussing on vulnerable populations such as care leavers, school-excluded individuals and economically disadvantaged youths—who are at a higher risk of substance abuse. The study also aims to investigate the ways in which substance abuse affects academic achievement, criminal activity, social integration and long-term mental and physical health issues. The </w:t>
      </w:r>
      <w:proofErr w:type="gramStart"/>
      <w:r w:rsidRPr="0E260372">
        <w:rPr>
          <w:rFonts w:ascii="Arial" w:eastAsia="Arial" w:hAnsi="Arial" w:cs="Arial"/>
          <w:sz w:val="22"/>
          <w:szCs w:val="22"/>
        </w:rPr>
        <w:t>ultimate goal</w:t>
      </w:r>
      <w:proofErr w:type="gramEnd"/>
      <w:r w:rsidRPr="0E260372">
        <w:rPr>
          <w:rFonts w:ascii="Arial" w:eastAsia="Arial" w:hAnsi="Arial" w:cs="Arial"/>
          <w:sz w:val="22"/>
          <w:szCs w:val="22"/>
        </w:rPr>
        <w:t xml:space="preserve"> of this research is to contribute to evidence-based practices that lessen teen substance abuse and lessen the long-term effects it has on both individuals and society</w:t>
      </w:r>
      <w:r w:rsidR="76C95509" w:rsidRPr="0E260372">
        <w:rPr>
          <w:rFonts w:ascii="Arial" w:eastAsia="Arial" w:hAnsi="Arial" w:cs="Arial"/>
          <w:sz w:val="22"/>
          <w:szCs w:val="22"/>
        </w:rPr>
        <w:t xml:space="preserve"> (Gakh et al., 2019)</w:t>
      </w:r>
      <w:r w:rsidRPr="0E260372">
        <w:rPr>
          <w:rFonts w:ascii="Arial" w:eastAsia="Arial" w:hAnsi="Arial" w:cs="Arial"/>
          <w:sz w:val="22"/>
          <w:szCs w:val="22"/>
        </w:rPr>
        <w:t>.</w:t>
      </w:r>
    </w:p>
    <w:p w14:paraId="668E7D48" w14:textId="77777777" w:rsidR="006F4DC1" w:rsidRDefault="00BD2909" w:rsidP="00597F9E">
      <w:pPr>
        <w:pStyle w:val="paragraph"/>
        <w:tabs>
          <w:tab w:val="num" w:pos="360"/>
        </w:tabs>
        <w:spacing w:before="0" w:beforeAutospacing="0" w:after="0" w:afterAutospacing="0" w:line="360" w:lineRule="auto"/>
        <w:ind w:left="720"/>
        <w:jc w:val="both"/>
        <w:textAlignment w:val="baseline"/>
        <w:rPr>
          <w:rFonts w:ascii="Aptos" w:hAnsi="Aptos" w:cs="Arial"/>
          <w:sz w:val="22"/>
          <w:szCs w:val="22"/>
        </w:rPr>
      </w:pPr>
      <w:r w:rsidRPr="0E260372">
        <w:rPr>
          <w:rStyle w:val="eop"/>
          <w:rFonts w:ascii="Aptos" w:hAnsi="Aptos" w:cs="Arial"/>
          <w:sz w:val="22"/>
          <w:szCs w:val="22"/>
        </w:rPr>
        <w:t> </w:t>
      </w:r>
    </w:p>
    <w:p w14:paraId="10111686" w14:textId="59BA990D" w:rsidR="00BD2909" w:rsidRPr="006F4DC1" w:rsidRDefault="00BD2909" w:rsidP="00597F9E">
      <w:pPr>
        <w:pStyle w:val="paragraph"/>
        <w:tabs>
          <w:tab w:val="num" w:pos="360"/>
        </w:tabs>
        <w:spacing w:before="0" w:beforeAutospacing="0" w:after="0" w:afterAutospacing="0" w:line="360" w:lineRule="auto"/>
        <w:jc w:val="both"/>
        <w:textAlignment w:val="baseline"/>
        <w:rPr>
          <w:rFonts w:ascii="Aptos" w:hAnsi="Aptos" w:cs="Arial"/>
          <w:sz w:val="22"/>
          <w:szCs w:val="22"/>
        </w:rPr>
      </w:pPr>
      <w:r w:rsidRPr="0E260372">
        <w:rPr>
          <w:rStyle w:val="normaltextrun"/>
          <w:rFonts w:ascii="Arial" w:eastAsia="Arial" w:hAnsi="Arial" w:cs="Arial"/>
        </w:rPr>
        <w:t>Research Objectives:</w:t>
      </w:r>
      <w:r w:rsidRPr="0E260372">
        <w:rPr>
          <w:rStyle w:val="eop"/>
          <w:rFonts w:ascii="Arial" w:eastAsia="Arial" w:hAnsi="Arial" w:cs="Arial"/>
        </w:rPr>
        <w:t> </w:t>
      </w:r>
    </w:p>
    <w:p w14:paraId="55B24979" w14:textId="71073A5A" w:rsidR="59F7ACED" w:rsidRDefault="59F7ACED" w:rsidP="00597F9E">
      <w:pPr>
        <w:pStyle w:val="paragraph"/>
        <w:widowControl w:val="0"/>
        <w:numPr>
          <w:ilvl w:val="0"/>
          <w:numId w:val="5"/>
        </w:numPr>
        <w:tabs>
          <w:tab w:val="clear" w:pos="720"/>
          <w:tab w:val="num" w:pos="360"/>
        </w:tabs>
        <w:spacing w:before="0" w:beforeAutospacing="0" w:after="0" w:afterAutospacing="0" w:line="360" w:lineRule="auto"/>
        <w:jc w:val="both"/>
        <w:rPr>
          <w:rFonts w:ascii="Arial" w:eastAsia="Arial" w:hAnsi="Arial" w:cs="Arial"/>
          <w:sz w:val="22"/>
          <w:szCs w:val="22"/>
        </w:rPr>
      </w:pPr>
      <w:r w:rsidRPr="0559B97C">
        <w:rPr>
          <w:rFonts w:ascii="Arial" w:eastAsia="Arial" w:hAnsi="Arial" w:cs="Arial"/>
          <w:sz w:val="22"/>
          <w:szCs w:val="22"/>
        </w:rPr>
        <w:t>Objective 1: Examine the momentary and long-term impacts of substance abuse, with a particular emphasis on alcohol and cannabis use, on the physical and mental health of teenagers in England.</w:t>
      </w:r>
    </w:p>
    <w:p w14:paraId="030ACEC1" w14:textId="3310493B" w:rsidR="0559B97C" w:rsidRDefault="0559B97C" w:rsidP="00597F9E">
      <w:pPr>
        <w:pStyle w:val="ListParagraph"/>
        <w:spacing w:line="360" w:lineRule="auto"/>
        <w:ind w:left="720"/>
        <w:jc w:val="both"/>
        <w:rPr>
          <w:rFonts w:ascii="Arial" w:eastAsia="Arial" w:hAnsi="Arial" w:cs="Arial"/>
        </w:rPr>
      </w:pPr>
    </w:p>
    <w:p w14:paraId="4A9DF374" w14:textId="6B99CD10" w:rsidR="59F7ACED" w:rsidRDefault="59F7ACED" w:rsidP="00597F9E">
      <w:pPr>
        <w:pStyle w:val="ListParagraph"/>
        <w:numPr>
          <w:ilvl w:val="0"/>
          <w:numId w:val="5"/>
        </w:numPr>
        <w:spacing w:line="360" w:lineRule="auto"/>
        <w:jc w:val="both"/>
        <w:rPr>
          <w:rFonts w:ascii="Arial" w:eastAsia="Arial" w:hAnsi="Arial" w:cs="Arial"/>
        </w:rPr>
      </w:pPr>
      <w:r w:rsidRPr="1EC678D9">
        <w:rPr>
          <w:rFonts w:ascii="Arial" w:eastAsia="Arial" w:hAnsi="Arial" w:cs="Arial"/>
        </w:rPr>
        <w:t xml:space="preserve"> Objective 2: Investigate the environmental, psychological and social risk factors</w:t>
      </w:r>
      <w:r w:rsidR="4693DD6C" w:rsidRPr="1EC678D9">
        <w:rPr>
          <w:rFonts w:ascii="Arial" w:eastAsia="Arial" w:hAnsi="Arial" w:cs="Arial"/>
        </w:rPr>
        <w:t xml:space="preserve"> </w:t>
      </w:r>
      <w:r w:rsidRPr="1EC678D9">
        <w:rPr>
          <w:rFonts w:ascii="Arial" w:eastAsia="Arial" w:hAnsi="Arial" w:cs="Arial"/>
        </w:rPr>
        <w:t>such as peer pressure, trauma, unstable families and socioeconomic deprivation</w:t>
      </w:r>
      <w:r w:rsidR="0C5E6CDA" w:rsidRPr="1EC678D9">
        <w:rPr>
          <w:rFonts w:ascii="Arial" w:eastAsia="Arial" w:hAnsi="Arial" w:cs="Arial"/>
        </w:rPr>
        <w:t xml:space="preserve"> </w:t>
      </w:r>
      <w:r w:rsidRPr="1EC678D9">
        <w:rPr>
          <w:rFonts w:ascii="Arial" w:eastAsia="Arial" w:hAnsi="Arial" w:cs="Arial"/>
        </w:rPr>
        <w:t xml:space="preserve">that </w:t>
      </w:r>
      <w:r w:rsidR="5F54D2D3" w:rsidRPr="1EC678D9">
        <w:rPr>
          <w:rFonts w:ascii="Arial" w:eastAsia="Arial" w:hAnsi="Arial" w:cs="Arial"/>
        </w:rPr>
        <w:t>led</w:t>
      </w:r>
      <w:r w:rsidRPr="1EC678D9">
        <w:rPr>
          <w:rFonts w:ascii="Arial" w:eastAsia="Arial" w:hAnsi="Arial" w:cs="Arial"/>
        </w:rPr>
        <w:t xml:space="preserve"> to substance abuse.</w:t>
      </w:r>
    </w:p>
    <w:p w14:paraId="5522726E" w14:textId="019ED6A9" w:rsidR="0559B97C" w:rsidRDefault="0559B97C" w:rsidP="00597F9E">
      <w:pPr>
        <w:pStyle w:val="ListParagraph"/>
        <w:spacing w:line="360" w:lineRule="auto"/>
        <w:ind w:left="720"/>
        <w:jc w:val="both"/>
        <w:rPr>
          <w:rFonts w:ascii="Arial" w:eastAsia="Arial" w:hAnsi="Arial" w:cs="Arial"/>
        </w:rPr>
      </w:pPr>
    </w:p>
    <w:p w14:paraId="2B7DC11B" w14:textId="120A30FB" w:rsidR="59F7ACED" w:rsidRDefault="59F7ACED" w:rsidP="00597F9E">
      <w:pPr>
        <w:pStyle w:val="ListParagraph"/>
        <w:numPr>
          <w:ilvl w:val="0"/>
          <w:numId w:val="5"/>
        </w:numPr>
        <w:spacing w:line="360" w:lineRule="auto"/>
        <w:jc w:val="both"/>
        <w:rPr>
          <w:rFonts w:ascii="Arial" w:eastAsia="Arial" w:hAnsi="Arial" w:cs="Arial"/>
        </w:rPr>
      </w:pPr>
      <w:r w:rsidRPr="0559B97C">
        <w:rPr>
          <w:rFonts w:ascii="Arial" w:eastAsia="Arial" w:hAnsi="Arial" w:cs="Arial"/>
        </w:rPr>
        <w:t xml:space="preserve"> Objective 3: To evaluate the frequency and frequently concealed character of substance abuse among young people who are at risk, such as those who are in foster care, are not enrolled in school, or reside in underprivileged communities.</w:t>
      </w:r>
    </w:p>
    <w:p w14:paraId="2CDFD21F" w14:textId="08CC6C6D" w:rsidR="0559B97C" w:rsidRDefault="0559B97C" w:rsidP="00597F9E">
      <w:pPr>
        <w:pStyle w:val="ListParagraph"/>
        <w:spacing w:line="360" w:lineRule="auto"/>
        <w:ind w:left="720"/>
        <w:jc w:val="both"/>
        <w:rPr>
          <w:rFonts w:ascii="Arial" w:eastAsia="Arial" w:hAnsi="Arial" w:cs="Arial"/>
        </w:rPr>
      </w:pPr>
    </w:p>
    <w:p w14:paraId="3BAFE21A" w14:textId="73F83224" w:rsidR="59F7ACED" w:rsidRDefault="59F7ACED" w:rsidP="00597F9E">
      <w:pPr>
        <w:pStyle w:val="ListParagraph"/>
        <w:numPr>
          <w:ilvl w:val="0"/>
          <w:numId w:val="5"/>
        </w:numPr>
        <w:spacing w:line="360" w:lineRule="auto"/>
        <w:jc w:val="both"/>
        <w:rPr>
          <w:rFonts w:ascii="Arial" w:eastAsia="Arial" w:hAnsi="Arial" w:cs="Arial"/>
        </w:rPr>
      </w:pPr>
      <w:r w:rsidRPr="0559B97C">
        <w:rPr>
          <w:rFonts w:ascii="Arial" w:eastAsia="Arial" w:hAnsi="Arial" w:cs="Arial"/>
        </w:rPr>
        <w:t xml:space="preserve"> Objective 4: Assess the effectiveness of current public health policies and intervention programs for addressing teen substance abuse and offer practical suggestions for enhancement based on gaps found.</w:t>
      </w:r>
    </w:p>
    <w:p w14:paraId="7FA3F3C5" w14:textId="77777777" w:rsidR="00BD2909" w:rsidRPr="00BD2909" w:rsidRDefault="00BD2909" w:rsidP="00597F9E">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hAnsi="Aptos" w:cs="Arial"/>
          <w:sz w:val="22"/>
          <w:szCs w:val="22"/>
        </w:rPr>
        <w:t> </w:t>
      </w:r>
    </w:p>
    <w:p w14:paraId="4FCBBEC2" w14:textId="56A302E2" w:rsidR="00BD2909" w:rsidRPr="00BD2909" w:rsidRDefault="00BD2909" w:rsidP="00597F9E">
      <w:pPr>
        <w:pStyle w:val="Heading2"/>
        <w:rPr>
          <w:rStyle w:val="eop"/>
          <w:rFonts w:ascii="Arial" w:eastAsia="Arial" w:hAnsi="Arial" w:cs="Arial"/>
          <w:b/>
          <w:bCs/>
        </w:rPr>
      </w:pPr>
      <w:bookmarkStart w:id="5" w:name="_Toc213871341"/>
      <w:r w:rsidRPr="359E9537">
        <w:rPr>
          <w:rStyle w:val="normaltextrun"/>
          <w:rFonts w:ascii="Arial" w:eastAsia="Arial" w:hAnsi="Arial" w:cs="Arial"/>
          <w:color w:val="auto"/>
        </w:rPr>
        <w:t>1.5 Conclusion</w:t>
      </w:r>
      <w:bookmarkEnd w:id="5"/>
      <w:r w:rsidRPr="359E9537">
        <w:rPr>
          <w:rStyle w:val="normaltextrun"/>
          <w:rFonts w:ascii="Arial" w:eastAsia="Arial" w:hAnsi="Arial" w:cs="Arial"/>
          <w:b/>
          <w:bCs/>
          <w:color w:val="auto"/>
        </w:rPr>
        <w:t xml:space="preserve"> </w:t>
      </w:r>
    </w:p>
    <w:p w14:paraId="5661EB6C" w14:textId="77777777" w:rsidR="00BD2909" w:rsidRPr="00BD2909" w:rsidRDefault="00BD2909" w:rsidP="00597F9E">
      <w:pPr>
        <w:pStyle w:val="paragraph"/>
        <w:numPr>
          <w:ilvl w:val="0"/>
          <w:numId w:val="6"/>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Summary of Chapter 1:</w:t>
      </w:r>
      <w:r w:rsidRPr="0E260372">
        <w:rPr>
          <w:rStyle w:val="eop"/>
          <w:rFonts w:ascii="Arial" w:eastAsia="Arial" w:hAnsi="Arial" w:cs="Arial"/>
          <w:sz w:val="22"/>
          <w:szCs w:val="22"/>
        </w:rPr>
        <w:t> </w:t>
      </w:r>
    </w:p>
    <w:p w14:paraId="36C28D88" w14:textId="6560B794" w:rsidR="00BD2909" w:rsidRPr="00BD2909" w:rsidRDefault="36D5AF6A" w:rsidP="00597F9E">
      <w:pPr>
        <w:spacing w:after="0"/>
        <w:ind w:left="720"/>
        <w:textAlignment w:val="baseline"/>
        <w:rPr>
          <w:rFonts w:cs="Arial"/>
        </w:rPr>
      </w:pPr>
      <w:r w:rsidRPr="0E260372">
        <w:rPr>
          <w:rFonts w:ascii="Arial" w:eastAsia="Arial" w:hAnsi="Arial" w:cs="Arial"/>
        </w:rPr>
        <w:t>This chapter has addressed the research's core issues, motivation and direction, with an emphasis on the effects of substance usage among young people in England. In addition to discussing the wider social and structural ramifications, it started by defining substance abuse and examining its substantial effects on teenage physical and mental health. The justification explained</w:t>
      </w:r>
      <w:r w:rsidR="3E30E254" w:rsidRPr="0E260372">
        <w:rPr>
          <w:rFonts w:ascii="Arial" w:eastAsia="Arial" w:hAnsi="Arial" w:cs="Arial"/>
        </w:rPr>
        <w:t xml:space="preserve"> by (Hernandez Sanchez, 2018, Judith Watson et al., 2017)</w:t>
      </w:r>
      <w:r w:rsidR="1C3BDDDE" w:rsidRPr="0E260372">
        <w:rPr>
          <w:rFonts w:ascii="Arial" w:eastAsia="Arial" w:hAnsi="Arial" w:cs="Arial"/>
        </w:rPr>
        <w:t xml:space="preserve"> explains</w:t>
      </w:r>
      <w:r w:rsidRPr="0E260372">
        <w:rPr>
          <w:rFonts w:ascii="Arial" w:eastAsia="Arial" w:hAnsi="Arial" w:cs="Arial"/>
        </w:rPr>
        <w:t xml:space="preserve"> why this subject is still very important, especially for young people who are at risk. The necessity for more research was justified by the identification of gaps in the existing literature and restrictions in national data. The research goal and four </w:t>
      </w:r>
      <w:r w:rsidRPr="0E260372">
        <w:rPr>
          <w:rFonts w:ascii="Arial" w:eastAsia="Arial" w:hAnsi="Arial" w:cs="Arial"/>
        </w:rPr>
        <w:lastRenderedPageBreak/>
        <w:t xml:space="preserve">objectives were offered to lead the investigation and provide realistic, evidence-based remedies to this public health concern. </w:t>
      </w:r>
      <w:r w:rsidR="00BD2909" w:rsidRPr="0E260372">
        <w:rPr>
          <w:rStyle w:val="normaltextrun"/>
          <w:rFonts w:ascii="Arial" w:eastAsia="Arial" w:hAnsi="Arial" w:cs="Arial"/>
        </w:rPr>
        <w:t> </w:t>
      </w:r>
      <w:r w:rsidR="00BD2909" w:rsidRPr="0E260372">
        <w:rPr>
          <w:rStyle w:val="eop"/>
          <w:rFonts w:cs="Arial"/>
        </w:rPr>
        <w:t> </w:t>
      </w:r>
    </w:p>
    <w:p w14:paraId="60BC6C87" w14:textId="77777777" w:rsidR="00BD2909" w:rsidRPr="00BD2909" w:rsidRDefault="00BD2909" w:rsidP="00597F9E">
      <w:pPr>
        <w:pStyle w:val="paragraph"/>
        <w:numPr>
          <w:ilvl w:val="0"/>
          <w:numId w:val="7"/>
        </w:numPr>
        <w:tabs>
          <w:tab w:val="clear" w:pos="720"/>
        </w:tabs>
        <w:spacing w:before="0" w:beforeAutospacing="0" w:after="0" w:afterAutospacing="0" w:line="360" w:lineRule="auto"/>
        <w:ind w:left="0" w:firstLine="0"/>
        <w:jc w:val="both"/>
        <w:textAlignment w:val="baseline"/>
        <w:rPr>
          <w:rFonts w:ascii="Arial" w:eastAsia="Arial" w:hAnsi="Arial" w:cs="Arial"/>
          <w:sz w:val="22"/>
          <w:szCs w:val="22"/>
        </w:rPr>
      </w:pPr>
      <w:r w:rsidRPr="0E260372">
        <w:rPr>
          <w:rStyle w:val="normaltextrun"/>
          <w:rFonts w:ascii="Arial" w:eastAsia="Arial" w:hAnsi="Arial" w:cs="Arial"/>
          <w:sz w:val="22"/>
          <w:szCs w:val="22"/>
        </w:rPr>
        <w:t>Signposting to Chapter 2:</w:t>
      </w:r>
      <w:r w:rsidRPr="0E260372">
        <w:rPr>
          <w:rStyle w:val="eop"/>
          <w:rFonts w:ascii="Arial" w:eastAsia="Arial" w:hAnsi="Arial" w:cs="Arial"/>
          <w:sz w:val="22"/>
          <w:szCs w:val="22"/>
        </w:rPr>
        <w:t> </w:t>
      </w:r>
    </w:p>
    <w:p w14:paraId="5280C58B" w14:textId="7441C84E" w:rsidR="7FA64B03" w:rsidRDefault="7FA64B03" w:rsidP="00597F9E">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t>The following chapter, Chapter 2: Background Information and Analysis, will give more context by investigating the historical, social and policy contexts of substance abuse among young people. The development of the research argument will be supported by an analysis of important trends and issues.</w:t>
      </w:r>
    </w:p>
    <w:p w14:paraId="034ABA9B" w14:textId="77777777" w:rsidR="00BD2909" w:rsidRPr="00BD2909" w:rsidRDefault="00BD2909" w:rsidP="00597F9E">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hAnsi="Aptos" w:cs="Arial"/>
          <w:sz w:val="22"/>
          <w:szCs w:val="22"/>
        </w:rPr>
        <w:t> </w:t>
      </w:r>
    </w:p>
    <w:p w14:paraId="4A886E55" w14:textId="77777777" w:rsidR="00730C3C" w:rsidRDefault="00730C3C" w:rsidP="00597F9E"/>
    <w:p w14:paraId="115C9163" w14:textId="77777777" w:rsidR="00730C3C" w:rsidRDefault="00730C3C" w:rsidP="00597F9E"/>
    <w:p w14:paraId="093E8F53" w14:textId="1AB1D960" w:rsidR="00730C3C" w:rsidRDefault="00730C3C" w:rsidP="00597F9E"/>
    <w:p w14:paraId="283455A7" w14:textId="77777777" w:rsidR="00525FCB" w:rsidRDefault="00525FCB" w:rsidP="00597F9E">
      <w:pPr>
        <w:pStyle w:val="Heading1"/>
        <w:spacing w:line="360" w:lineRule="auto"/>
        <w:ind w:left="0"/>
        <w:jc w:val="both"/>
        <w:textAlignment w:val="baseline"/>
        <w:rPr>
          <w:rFonts w:eastAsia="Arial" w:cs="Arial"/>
        </w:rPr>
      </w:pPr>
    </w:p>
    <w:p w14:paraId="34B87862" w14:textId="77777777" w:rsidR="00525FCB" w:rsidRDefault="00525FCB" w:rsidP="00597F9E">
      <w:pPr>
        <w:pStyle w:val="Heading1"/>
        <w:spacing w:line="360" w:lineRule="auto"/>
        <w:ind w:left="0"/>
        <w:jc w:val="both"/>
        <w:textAlignment w:val="baseline"/>
        <w:rPr>
          <w:rFonts w:eastAsia="Arial" w:cs="Arial"/>
        </w:rPr>
      </w:pPr>
    </w:p>
    <w:p w14:paraId="28053C2C" w14:textId="77777777" w:rsidR="00525FCB" w:rsidRDefault="00525FCB" w:rsidP="00597F9E">
      <w:pPr>
        <w:pStyle w:val="Heading1"/>
        <w:spacing w:line="360" w:lineRule="auto"/>
        <w:ind w:left="0"/>
        <w:jc w:val="both"/>
        <w:textAlignment w:val="baseline"/>
        <w:rPr>
          <w:rFonts w:eastAsia="Arial" w:cs="Arial"/>
        </w:rPr>
      </w:pPr>
    </w:p>
    <w:p w14:paraId="5FAFED3D" w14:textId="77777777" w:rsidR="00525FCB" w:rsidRDefault="00525FCB" w:rsidP="00597F9E">
      <w:pPr>
        <w:pStyle w:val="Heading1"/>
        <w:spacing w:line="360" w:lineRule="auto"/>
        <w:ind w:left="0"/>
        <w:jc w:val="both"/>
        <w:textAlignment w:val="baseline"/>
        <w:rPr>
          <w:rFonts w:eastAsia="Arial" w:cs="Arial"/>
        </w:rPr>
      </w:pPr>
    </w:p>
    <w:p w14:paraId="0EE60980" w14:textId="77777777" w:rsidR="00525FCB" w:rsidRDefault="00525FCB" w:rsidP="00597F9E">
      <w:pPr>
        <w:pStyle w:val="Heading1"/>
        <w:spacing w:line="360" w:lineRule="auto"/>
        <w:ind w:left="0"/>
        <w:jc w:val="both"/>
        <w:textAlignment w:val="baseline"/>
        <w:rPr>
          <w:rFonts w:eastAsia="Arial" w:cs="Arial"/>
        </w:rPr>
      </w:pPr>
    </w:p>
    <w:p w14:paraId="6E21A57E" w14:textId="77777777" w:rsidR="00525FCB" w:rsidRDefault="00525FCB" w:rsidP="00597F9E">
      <w:pPr>
        <w:pStyle w:val="Heading1"/>
        <w:spacing w:line="360" w:lineRule="auto"/>
        <w:ind w:left="0"/>
        <w:jc w:val="both"/>
        <w:textAlignment w:val="baseline"/>
        <w:rPr>
          <w:rFonts w:eastAsia="Arial" w:cs="Arial"/>
        </w:rPr>
      </w:pPr>
    </w:p>
    <w:p w14:paraId="183DF70A" w14:textId="77777777" w:rsidR="00525FCB" w:rsidRDefault="00525FCB" w:rsidP="00597F9E">
      <w:pPr>
        <w:pStyle w:val="Heading1"/>
        <w:spacing w:line="360" w:lineRule="auto"/>
        <w:ind w:left="0"/>
        <w:jc w:val="both"/>
        <w:textAlignment w:val="baseline"/>
        <w:rPr>
          <w:rFonts w:eastAsia="Arial" w:cs="Arial"/>
        </w:rPr>
      </w:pPr>
    </w:p>
    <w:p w14:paraId="66E0FE71" w14:textId="65CA690F" w:rsidR="4F26DC6A" w:rsidRDefault="4F26DC6A" w:rsidP="00597F9E">
      <w:pPr>
        <w:pStyle w:val="Heading1"/>
        <w:spacing w:line="360" w:lineRule="auto"/>
        <w:ind w:left="0"/>
        <w:jc w:val="both"/>
        <w:rPr>
          <w:rFonts w:eastAsia="Arial" w:cs="Arial"/>
        </w:rPr>
      </w:pPr>
    </w:p>
    <w:p w14:paraId="51250A69" w14:textId="60A0764B" w:rsidR="4F26DC6A" w:rsidRDefault="4F26DC6A" w:rsidP="00597F9E">
      <w:pPr>
        <w:pStyle w:val="Heading1"/>
        <w:spacing w:line="360" w:lineRule="auto"/>
        <w:ind w:left="0"/>
        <w:jc w:val="both"/>
        <w:rPr>
          <w:rFonts w:eastAsia="Arial" w:cs="Arial"/>
        </w:rPr>
      </w:pPr>
    </w:p>
    <w:p w14:paraId="525CA689" w14:textId="34E6EB89" w:rsidR="4F26DC6A" w:rsidRDefault="4F26DC6A" w:rsidP="00597F9E">
      <w:pPr>
        <w:pStyle w:val="Heading1"/>
        <w:spacing w:line="360" w:lineRule="auto"/>
        <w:ind w:left="0"/>
        <w:jc w:val="both"/>
        <w:rPr>
          <w:rFonts w:eastAsia="Arial" w:cs="Arial"/>
        </w:rPr>
      </w:pPr>
    </w:p>
    <w:p w14:paraId="29679B0F" w14:textId="1F458FA6" w:rsidR="4F26DC6A" w:rsidRDefault="4F26DC6A" w:rsidP="00597F9E">
      <w:pPr>
        <w:pStyle w:val="Heading1"/>
        <w:spacing w:line="360" w:lineRule="auto"/>
        <w:ind w:left="0"/>
        <w:jc w:val="both"/>
        <w:rPr>
          <w:rFonts w:eastAsia="Arial" w:cs="Arial"/>
        </w:rPr>
      </w:pPr>
    </w:p>
    <w:p w14:paraId="39B50C7A" w14:textId="57C60CC7" w:rsidR="4F26DC6A" w:rsidRDefault="4F26DC6A" w:rsidP="00597F9E">
      <w:pPr>
        <w:pStyle w:val="Heading1"/>
        <w:spacing w:line="360" w:lineRule="auto"/>
        <w:ind w:left="0"/>
        <w:jc w:val="both"/>
        <w:rPr>
          <w:rFonts w:eastAsia="Arial" w:cs="Arial"/>
        </w:rPr>
      </w:pPr>
    </w:p>
    <w:p w14:paraId="450C5D35" w14:textId="13C48C50" w:rsidR="4F26DC6A" w:rsidRDefault="4F26DC6A" w:rsidP="00597F9E">
      <w:pPr>
        <w:pStyle w:val="Heading1"/>
        <w:spacing w:line="360" w:lineRule="auto"/>
        <w:ind w:left="0"/>
        <w:jc w:val="both"/>
        <w:rPr>
          <w:rFonts w:eastAsia="Arial" w:cs="Arial"/>
        </w:rPr>
      </w:pPr>
    </w:p>
    <w:p w14:paraId="71EBA8E4" w14:textId="3AD3EA26" w:rsidR="4F26DC6A" w:rsidRDefault="4F26DC6A" w:rsidP="00597F9E">
      <w:pPr>
        <w:pStyle w:val="Heading1"/>
        <w:spacing w:line="360" w:lineRule="auto"/>
        <w:ind w:left="0"/>
        <w:jc w:val="both"/>
        <w:rPr>
          <w:rFonts w:eastAsia="Arial" w:cs="Arial"/>
        </w:rPr>
      </w:pPr>
    </w:p>
    <w:p w14:paraId="25491030" w14:textId="708350E4" w:rsidR="4F26DC6A" w:rsidRDefault="4F26DC6A" w:rsidP="00597F9E">
      <w:pPr>
        <w:pStyle w:val="Heading1"/>
        <w:spacing w:line="360" w:lineRule="auto"/>
        <w:ind w:left="0"/>
        <w:jc w:val="both"/>
        <w:rPr>
          <w:rFonts w:eastAsia="Arial" w:cs="Arial"/>
        </w:rPr>
      </w:pPr>
    </w:p>
    <w:p w14:paraId="52BA4400" w14:textId="3C22A78E" w:rsidR="4F26DC6A" w:rsidRDefault="4F26DC6A" w:rsidP="00597F9E">
      <w:pPr>
        <w:pStyle w:val="Heading1"/>
        <w:spacing w:line="360" w:lineRule="auto"/>
        <w:ind w:left="0"/>
        <w:jc w:val="both"/>
        <w:rPr>
          <w:rFonts w:eastAsia="Arial" w:cs="Arial"/>
        </w:rPr>
      </w:pPr>
    </w:p>
    <w:p w14:paraId="1B19E51A" w14:textId="7B3437F5" w:rsidR="4F26DC6A" w:rsidRDefault="4F26DC6A" w:rsidP="00597F9E">
      <w:pPr>
        <w:pStyle w:val="Heading1"/>
        <w:spacing w:line="360" w:lineRule="auto"/>
        <w:ind w:left="0"/>
        <w:jc w:val="both"/>
        <w:rPr>
          <w:rFonts w:eastAsia="Arial" w:cs="Arial"/>
        </w:rPr>
      </w:pPr>
    </w:p>
    <w:p w14:paraId="679ECF9D" w14:textId="3ACA6015" w:rsidR="4F26DC6A" w:rsidRDefault="4F26DC6A" w:rsidP="00597F9E">
      <w:pPr>
        <w:pStyle w:val="Heading1"/>
        <w:spacing w:line="360" w:lineRule="auto"/>
        <w:ind w:left="0"/>
        <w:jc w:val="both"/>
        <w:rPr>
          <w:rFonts w:eastAsia="Arial" w:cs="Arial"/>
        </w:rPr>
      </w:pPr>
    </w:p>
    <w:p w14:paraId="23C06FD3" w14:textId="77777777" w:rsidR="00B10848" w:rsidRDefault="00B10848" w:rsidP="00597F9E">
      <w:pPr>
        <w:pStyle w:val="Heading1"/>
        <w:spacing w:line="360" w:lineRule="auto"/>
        <w:ind w:left="0"/>
        <w:jc w:val="both"/>
        <w:textAlignment w:val="baseline"/>
        <w:rPr>
          <w:rFonts w:eastAsia="Arial" w:cs="Arial"/>
        </w:rPr>
      </w:pPr>
    </w:p>
    <w:p w14:paraId="04110CC6" w14:textId="77777777" w:rsidR="00B10848" w:rsidRDefault="00B10848" w:rsidP="00597F9E">
      <w:pPr>
        <w:pStyle w:val="Heading1"/>
        <w:spacing w:line="360" w:lineRule="auto"/>
        <w:ind w:left="0"/>
        <w:jc w:val="both"/>
        <w:textAlignment w:val="baseline"/>
        <w:rPr>
          <w:rFonts w:eastAsia="Arial" w:cs="Arial"/>
        </w:rPr>
      </w:pPr>
    </w:p>
    <w:p w14:paraId="015A599E" w14:textId="77777777" w:rsidR="00B10848" w:rsidRDefault="00B10848" w:rsidP="00597F9E">
      <w:pPr>
        <w:pStyle w:val="Heading1"/>
        <w:spacing w:line="360" w:lineRule="auto"/>
        <w:ind w:left="0"/>
        <w:jc w:val="both"/>
        <w:textAlignment w:val="baseline"/>
        <w:rPr>
          <w:rFonts w:eastAsia="Arial" w:cs="Arial"/>
        </w:rPr>
      </w:pPr>
    </w:p>
    <w:p w14:paraId="087B01DA" w14:textId="77777777" w:rsidR="00B10848" w:rsidRDefault="00B10848" w:rsidP="00597F9E">
      <w:pPr>
        <w:pStyle w:val="Heading1"/>
        <w:spacing w:line="360" w:lineRule="auto"/>
        <w:ind w:left="0"/>
        <w:jc w:val="both"/>
        <w:textAlignment w:val="baseline"/>
        <w:rPr>
          <w:rFonts w:eastAsia="Arial" w:cs="Arial"/>
        </w:rPr>
      </w:pPr>
    </w:p>
    <w:p w14:paraId="708E4193" w14:textId="77777777" w:rsidR="00B10848" w:rsidRDefault="00B10848" w:rsidP="00597F9E">
      <w:pPr>
        <w:pStyle w:val="Heading1"/>
        <w:spacing w:line="360" w:lineRule="auto"/>
        <w:ind w:left="0"/>
        <w:jc w:val="both"/>
        <w:textAlignment w:val="baseline"/>
        <w:rPr>
          <w:rFonts w:eastAsia="Arial" w:cs="Arial"/>
        </w:rPr>
      </w:pPr>
    </w:p>
    <w:p w14:paraId="07029D19" w14:textId="77777777" w:rsidR="00535FAE" w:rsidRDefault="00535FAE" w:rsidP="00597F9E">
      <w:pPr>
        <w:pStyle w:val="Heading1"/>
        <w:spacing w:line="360" w:lineRule="auto"/>
        <w:ind w:left="0"/>
        <w:jc w:val="both"/>
        <w:textAlignment w:val="baseline"/>
        <w:rPr>
          <w:rFonts w:eastAsia="Arial" w:cs="Arial"/>
        </w:rPr>
      </w:pPr>
      <w:bookmarkStart w:id="6" w:name="_Toc213871342"/>
    </w:p>
    <w:p w14:paraId="6BA7DF87" w14:textId="6B571662" w:rsidR="00BD2909" w:rsidRDefault="000D0641" w:rsidP="00597F9E">
      <w:pPr>
        <w:pStyle w:val="Heading1"/>
        <w:spacing w:line="360" w:lineRule="auto"/>
        <w:ind w:left="0"/>
        <w:jc w:val="both"/>
        <w:textAlignment w:val="baseline"/>
        <w:rPr>
          <w:rFonts w:ascii="Segoe UI" w:hAnsi="Segoe UI" w:cs="Segoe UI"/>
          <w:color w:val="0F4761"/>
          <w:sz w:val="18"/>
          <w:szCs w:val="18"/>
        </w:rPr>
      </w:pPr>
      <w:r w:rsidRPr="359E9537">
        <w:rPr>
          <w:rFonts w:eastAsia="Arial" w:cs="Arial"/>
        </w:rPr>
        <w:t xml:space="preserve">CHAPTER 2 – </w:t>
      </w:r>
      <w:r w:rsidR="00BD2909" w:rsidRPr="359E9537">
        <w:rPr>
          <w:rFonts w:eastAsia="Arial" w:cs="Arial"/>
        </w:rPr>
        <w:t xml:space="preserve">Background </w:t>
      </w:r>
      <w:r w:rsidR="00F44833" w:rsidRPr="359E9537">
        <w:rPr>
          <w:rFonts w:eastAsia="Arial" w:cs="Arial"/>
        </w:rPr>
        <w:t xml:space="preserve">Information and </w:t>
      </w:r>
      <w:r w:rsidR="00BD2909" w:rsidRPr="359E9537">
        <w:rPr>
          <w:rFonts w:eastAsia="Arial" w:cs="Arial"/>
        </w:rPr>
        <w:t>Analysis</w:t>
      </w:r>
      <w:bookmarkEnd w:id="6"/>
      <w:r w:rsidRPr="359E9537">
        <w:rPr>
          <w:rFonts w:eastAsia="Arial" w:cs="Arial"/>
        </w:rPr>
        <w:t xml:space="preserve"> </w:t>
      </w:r>
      <w:r w:rsidR="00BD2909" w:rsidRPr="359E9537">
        <w:rPr>
          <w:rStyle w:val="eop"/>
          <w:rFonts w:cs="Arial"/>
          <w:color w:val="0F4761"/>
          <w:sz w:val="40"/>
          <w:szCs w:val="40"/>
        </w:rPr>
        <w:t> </w:t>
      </w:r>
    </w:p>
    <w:p w14:paraId="0361899C" w14:textId="5065F27A" w:rsidR="1EC678D9" w:rsidRDefault="1EC678D9" w:rsidP="00597F9E">
      <w:pPr>
        <w:pStyle w:val="paragraph"/>
        <w:spacing w:before="0" w:beforeAutospacing="0" w:after="0" w:afterAutospacing="0" w:line="360" w:lineRule="auto"/>
        <w:jc w:val="both"/>
        <w:rPr>
          <w:rStyle w:val="normaltextrun"/>
          <w:rFonts w:ascii="Aptos" w:hAnsi="Aptos" w:cs="Arial"/>
          <w:color w:val="0F4761"/>
        </w:rPr>
      </w:pPr>
    </w:p>
    <w:p w14:paraId="223734F5" w14:textId="6BD26380" w:rsidR="00BD2909" w:rsidRPr="00F44833" w:rsidRDefault="00BD2909" w:rsidP="00597F9E">
      <w:pPr>
        <w:rPr>
          <w:rFonts w:cs="Segoe UI"/>
          <w:color w:val="0F4761"/>
          <w:sz w:val="16"/>
          <w:szCs w:val="16"/>
        </w:rPr>
      </w:pPr>
      <w:r w:rsidRPr="4F26DC6A">
        <w:rPr>
          <w:rFonts w:ascii="Arial" w:eastAsia="Arial" w:hAnsi="Arial" w:cs="Arial"/>
          <w:sz w:val="24"/>
          <w:szCs w:val="24"/>
        </w:rPr>
        <w:t>2.1 Introduction</w:t>
      </w:r>
      <w:r w:rsidRPr="359E9537">
        <w:rPr>
          <w:rStyle w:val="normaltextrun"/>
          <w:rFonts w:cs="Arial"/>
          <w:color w:val="0F4761"/>
        </w:rPr>
        <w:t xml:space="preserve"> </w:t>
      </w:r>
      <w:r w:rsidRPr="359E9537">
        <w:rPr>
          <w:rStyle w:val="eop"/>
          <w:rFonts w:eastAsia="Calibri Light" w:cs="Arial"/>
          <w:color w:val="0F4761"/>
        </w:rPr>
        <w:t> </w:t>
      </w:r>
    </w:p>
    <w:p w14:paraId="4C7BF331" w14:textId="05EFEF62" w:rsidR="0F7C0229" w:rsidRDefault="0F7C0229" w:rsidP="00597F9E">
      <w:pPr>
        <w:spacing w:after="0"/>
        <w:rPr>
          <w:rFonts w:ascii="Arial" w:eastAsia="Arial" w:hAnsi="Arial" w:cs="Arial"/>
        </w:rPr>
      </w:pPr>
      <w:r w:rsidRPr="0E260372">
        <w:rPr>
          <w:rFonts w:ascii="Arial" w:eastAsia="Arial" w:hAnsi="Arial" w:cs="Arial"/>
        </w:rPr>
        <w:t>This chapter gives the necessary background information and contextual framework for understanding teenage substance abuse in England. It seeks to investigate the larger historical, societal and legislative changes that have influenced present patterns of substance use among young people. This chapter will assist contextualise the findings within a larger sociopolitical and cultural landscape by highlighting major societal developments, public health objectives and changing attitudes towards drug and alcohol consumption.</w:t>
      </w:r>
    </w:p>
    <w:p w14:paraId="3D19EF6D" w14:textId="69ABD626" w:rsidR="03E81E05" w:rsidRDefault="03E81E05" w:rsidP="00597F9E">
      <w:pPr>
        <w:spacing w:after="0"/>
        <w:rPr>
          <w:rFonts w:ascii="Arial" w:eastAsia="Arial" w:hAnsi="Arial" w:cs="Arial"/>
        </w:rPr>
      </w:pPr>
    </w:p>
    <w:p w14:paraId="2F185578" w14:textId="6275D9B9" w:rsidR="29A079A9" w:rsidRDefault="29A079A9" w:rsidP="00597F9E">
      <w:pPr>
        <w:spacing w:after="0"/>
      </w:pPr>
      <w:r w:rsidRPr="0E260372">
        <w:rPr>
          <w:rFonts w:ascii="Arial" w:eastAsia="Arial" w:hAnsi="Arial" w:cs="Arial"/>
        </w:rPr>
        <w:t>Additionally, this section will look at how England has viewed and dealt with child substance abuse across time, with an emphasis on national initiatives, legislative frameworks and the roles of families, schools and health services. This foundation is critical for comprehending the difficulties involved in addressing this issue today. The chapter offers a structured overview to facilitate subsequent analysis in Chapter 4, where the findings will be thematically interpreted, rather than conducting data analysis or drawing theme conclusions.</w:t>
      </w:r>
    </w:p>
    <w:p w14:paraId="25F83757" w14:textId="77777777" w:rsidR="003E399A" w:rsidRDefault="00BD2909" w:rsidP="00597F9E">
      <w:pPr>
        <w:pStyle w:val="paragraph"/>
        <w:spacing w:before="0" w:beforeAutospacing="0" w:after="0" w:afterAutospacing="0" w:line="360" w:lineRule="auto"/>
        <w:jc w:val="both"/>
        <w:textAlignment w:val="baseline"/>
        <w:rPr>
          <w:rFonts w:ascii="Aptos" w:hAnsi="Aptos" w:cs="Segoe UI"/>
          <w:sz w:val="16"/>
          <w:szCs w:val="16"/>
        </w:rPr>
      </w:pPr>
      <w:r w:rsidRPr="0E260372">
        <w:rPr>
          <w:rStyle w:val="eop"/>
          <w:rFonts w:ascii="Aptos" w:eastAsia="Calibri Light" w:hAnsi="Aptos" w:cs="Arial"/>
          <w:sz w:val="22"/>
          <w:szCs w:val="22"/>
        </w:rPr>
        <w:t> </w:t>
      </w:r>
    </w:p>
    <w:p w14:paraId="0AAAB744" w14:textId="480FECB2" w:rsidR="00BD2909" w:rsidRPr="003E399A" w:rsidRDefault="00BD2909" w:rsidP="00597F9E">
      <w:pPr>
        <w:pStyle w:val="Heading2"/>
        <w:rPr>
          <w:rStyle w:val="eop"/>
          <w:rFonts w:eastAsia="Times New Roman" w:cs="Segoe UI"/>
          <w:color w:val="auto"/>
          <w:sz w:val="16"/>
          <w:szCs w:val="16"/>
        </w:rPr>
      </w:pPr>
      <w:bookmarkStart w:id="7" w:name="_Toc213871343"/>
      <w:r w:rsidRPr="003E399A">
        <w:rPr>
          <w:rStyle w:val="normaltextrun"/>
          <w:rFonts w:ascii="Arial" w:eastAsia="Arial" w:hAnsi="Arial" w:cs="Arial"/>
          <w:color w:val="auto"/>
        </w:rPr>
        <w:t>2.2 Historical Background</w:t>
      </w:r>
      <w:bookmarkEnd w:id="7"/>
      <w:r w:rsidRPr="003E399A">
        <w:rPr>
          <w:rStyle w:val="normaltextrun"/>
          <w:rFonts w:ascii="Arial" w:eastAsia="Arial" w:hAnsi="Arial" w:cs="Arial"/>
          <w:color w:val="auto"/>
        </w:rPr>
        <w:t xml:space="preserve"> </w:t>
      </w:r>
    </w:p>
    <w:p w14:paraId="5E712F31" w14:textId="689A7BBB" w:rsidR="438E93C9" w:rsidRDefault="438E93C9" w:rsidP="00597F9E">
      <w:pPr>
        <w:spacing w:after="0"/>
        <w:rPr>
          <w:rFonts w:ascii="Arial" w:eastAsia="Arial" w:hAnsi="Arial" w:cs="Arial"/>
        </w:rPr>
      </w:pPr>
      <w:r w:rsidRPr="0E260372">
        <w:rPr>
          <w:rFonts w:ascii="Arial" w:eastAsia="Arial" w:hAnsi="Arial" w:cs="Arial"/>
        </w:rPr>
        <w:t>The issue of adolescent substance abuse in England has evolved dramatically over time, impacted by changing societal views, governmental actions and public health perspectives.</w:t>
      </w:r>
      <w:r w:rsidR="1C22D624" w:rsidRPr="0E260372">
        <w:rPr>
          <w:rFonts w:ascii="Arial" w:eastAsia="Arial" w:hAnsi="Arial" w:cs="Arial"/>
        </w:rPr>
        <w:t xml:space="preserve"> A study by (Mold, 2019) stated that</w:t>
      </w:r>
      <w:r w:rsidRPr="0E260372">
        <w:rPr>
          <w:rFonts w:ascii="Arial" w:eastAsia="Arial" w:hAnsi="Arial" w:cs="Arial"/>
        </w:rPr>
        <w:t xml:space="preserve"> </w:t>
      </w:r>
      <w:r w:rsidR="4259FF76" w:rsidRPr="0E260372">
        <w:rPr>
          <w:rFonts w:ascii="Arial" w:eastAsia="Arial" w:hAnsi="Arial" w:cs="Arial"/>
        </w:rPr>
        <w:t>in</w:t>
      </w:r>
      <w:r w:rsidRPr="0E260372">
        <w:rPr>
          <w:rFonts w:ascii="Arial" w:eastAsia="Arial" w:hAnsi="Arial" w:cs="Arial"/>
        </w:rPr>
        <w:t xml:space="preserve"> previous decades, substance use among young people was mostly ignored or seen through a moral lens and was frequently dismissed as delinquent behaviour rather than a public health issue. However, as urbanisation, young identity and </w:t>
      </w:r>
      <w:r w:rsidRPr="0E260372">
        <w:rPr>
          <w:rFonts w:ascii="Arial" w:eastAsia="Arial" w:hAnsi="Arial" w:cs="Arial"/>
        </w:rPr>
        <w:lastRenderedPageBreak/>
        <w:t>recreational conduct began to evolve in the mid-twentieth century, correspondingly increased awareness of adolescent drug and alcohol use</w:t>
      </w:r>
      <w:r w:rsidR="71A2AAEE" w:rsidRPr="0E260372">
        <w:rPr>
          <w:rFonts w:ascii="Arial" w:eastAsia="Arial" w:hAnsi="Arial" w:cs="Arial"/>
        </w:rPr>
        <w:t xml:space="preserve"> (Sutherland, 2012)</w:t>
      </w:r>
      <w:r w:rsidRPr="0E260372">
        <w:rPr>
          <w:rFonts w:ascii="Arial" w:eastAsia="Arial" w:hAnsi="Arial" w:cs="Arial"/>
        </w:rPr>
        <w:t>.</w:t>
      </w:r>
    </w:p>
    <w:p w14:paraId="65869238" w14:textId="77777777" w:rsidR="0078212B" w:rsidRDefault="0078212B" w:rsidP="00597F9E">
      <w:pPr>
        <w:spacing w:after="0"/>
        <w:rPr>
          <w:rFonts w:ascii="Arial" w:eastAsia="Arial" w:hAnsi="Arial" w:cs="Arial"/>
        </w:rPr>
      </w:pPr>
    </w:p>
    <w:p w14:paraId="52457009" w14:textId="1C9D4AB9" w:rsidR="00BD2909" w:rsidRPr="00F44833" w:rsidRDefault="00BD2909" w:rsidP="00597F9E">
      <w:pPr>
        <w:pStyle w:val="paragraph"/>
        <w:spacing w:before="0" w:beforeAutospacing="0" w:after="0" w:afterAutospacing="0" w:line="360" w:lineRule="auto"/>
        <w:jc w:val="both"/>
        <w:textAlignment w:val="baseline"/>
        <w:rPr>
          <w:rFonts w:ascii="Arial" w:eastAsia="Arial" w:hAnsi="Arial" w:cs="Arial"/>
          <w:sz w:val="22"/>
          <w:szCs w:val="22"/>
        </w:rPr>
      </w:pPr>
      <w:r w:rsidRPr="0E260372">
        <w:rPr>
          <w:rStyle w:val="eop"/>
          <w:rFonts w:ascii="Aptos" w:eastAsia="Calibri Light" w:hAnsi="Aptos" w:cs="Arial"/>
          <w:sz w:val="22"/>
          <w:szCs w:val="22"/>
        </w:rPr>
        <w:t> </w:t>
      </w:r>
      <w:r w:rsidR="033066C3" w:rsidRPr="0E260372">
        <w:rPr>
          <w:rFonts w:ascii="Arial" w:eastAsia="Arial" w:hAnsi="Arial" w:cs="Arial"/>
          <w:sz w:val="22"/>
          <w:szCs w:val="22"/>
        </w:rPr>
        <w:t xml:space="preserve"> The post-war period constituted a turning point in the public and government responses to teenage substance abuse. The rise of various adolescent subcultures, particularly in the 1960s and 1970s, resulted in increasing experimentation with alcohol, cannabis and other psychoactive drugs</w:t>
      </w:r>
      <w:r w:rsidR="1683DA55" w:rsidRPr="0E260372">
        <w:rPr>
          <w:rFonts w:ascii="Arial" w:eastAsia="Arial" w:hAnsi="Arial" w:cs="Arial"/>
          <w:sz w:val="22"/>
          <w:szCs w:val="22"/>
        </w:rPr>
        <w:t xml:space="preserve"> (Yates, 2002)</w:t>
      </w:r>
      <w:r w:rsidR="033066C3" w:rsidRPr="0E260372">
        <w:rPr>
          <w:rFonts w:ascii="Arial" w:eastAsia="Arial" w:hAnsi="Arial" w:cs="Arial"/>
          <w:sz w:val="22"/>
          <w:szCs w:val="22"/>
        </w:rPr>
        <w:t xml:space="preserve">. </w:t>
      </w:r>
      <w:r w:rsidR="40E26CE9" w:rsidRPr="0E260372">
        <w:rPr>
          <w:rFonts w:ascii="Arial" w:eastAsia="Arial" w:hAnsi="Arial" w:cs="Arial"/>
          <w:sz w:val="22"/>
          <w:szCs w:val="22"/>
        </w:rPr>
        <w:t>(Flacks ,2018) found that t</w:t>
      </w:r>
      <w:r w:rsidR="033066C3" w:rsidRPr="0E260372">
        <w:rPr>
          <w:rFonts w:ascii="Arial" w:eastAsia="Arial" w:hAnsi="Arial" w:cs="Arial"/>
          <w:sz w:val="22"/>
          <w:szCs w:val="22"/>
        </w:rPr>
        <w:t xml:space="preserve">his period saw the passage of the Misuse of Drugs Act, which established the legislative framework that is being used to regulate restricted narcotics today. The legislation reflected an increasing governmental effort to combat drug-related </w:t>
      </w:r>
      <w:proofErr w:type="gramStart"/>
      <w:r w:rsidR="033066C3" w:rsidRPr="0E260372">
        <w:rPr>
          <w:rFonts w:ascii="Arial" w:eastAsia="Arial" w:hAnsi="Arial" w:cs="Arial"/>
          <w:sz w:val="22"/>
          <w:szCs w:val="22"/>
        </w:rPr>
        <w:t>behaviours,</w:t>
      </w:r>
      <w:proofErr w:type="gramEnd"/>
      <w:r w:rsidR="033066C3" w:rsidRPr="0E260372">
        <w:rPr>
          <w:rFonts w:ascii="Arial" w:eastAsia="Arial" w:hAnsi="Arial" w:cs="Arial"/>
          <w:sz w:val="22"/>
          <w:szCs w:val="22"/>
        </w:rPr>
        <w:t xml:space="preserve"> however it frequently stressed criminal justice measures over health-focused strategies.</w:t>
      </w:r>
    </w:p>
    <w:p w14:paraId="6359BE4C" w14:textId="1FD101FF" w:rsidR="03E81E05" w:rsidRDefault="03E81E05" w:rsidP="00597F9E">
      <w:pPr>
        <w:pStyle w:val="paragraph"/>
        <w:spacing w:before="0" w:beforeAutospacing="0" w:after="0" w:afterAutospacing="0" w:line="360" w:lineRule="auto"/>
        <w:jc w:val="both"/>
        <w:rPr>
          <w:rFonts w:ascii="Arial" w:eastAsia="Arial" w:hAnsi="Arial" w:cs="Arial"/>
          <w:sz w:val="22"/>
          <w:szCs w:val="22"/>
        </w:rPr>
      </w:pPr>
    </w:p>
    <w:p w14:paraId="7C767565" w14:textId="1D1BB908" w:rsidR="05900560" w:rsidRDefault="05900560" w:rsidP="00597F9E">
      <w:pPr>
        <w:spacing w:after="0"/>
        <w:rPr>
          <w:rFonts w:ascii="Arial" w:eastAsia="Arial" w:hAnsi="Arial" w:cs="Arial"/>
        </w:rPr>
      </w:pPr>
      <w:r w:rsidRPr="0E260372">
        <w:rPr>
          <w:rFonts w:ascii="Arial" w:eastAsia="Arial" w:hAnsi="Arial" w:cs="Arial"/>
        </w:rPr>
        <w:t>Since the 1980s, academics and policymakers have begun to explore the larger social and economic circumstances of adolescent substance abuse. Family instability, poverty and educational exclusion are among those identified as factors that influence young people's risky behaviour. As understanding expanded, preventative and intervention programs became more extensive, incorporating help from schools, social services and health experts</w:t>
      </w:r>
      <w:r w:rsidR="69E42DBE" w:rsidRPr="0E260372">
        <w:rPr>
          <w:rFonts w:ascii="Arial" w:eastAsia="Arial" w:hAnsi="Arial" w:cs="Arial"/>
        </w:rPr>
        <w:t xml:space="preserve"> (Aldridge, 2013)</w:t>
      </w:r>
      <w:r w:rsidR="58AFE2B1" w:rsidRPr="0E260372">
        <w:rPr>
          <w:rFonts w:ascii="Arial" w:eastAsia="Arial" w:hAnsi="Arial" w:cs="Arial"/>
        </w:rPr>
        <w:t>.</w:t>
      </w:r>
    </w:p>
    <w:p w14:paraId="50B5B06B" w14:textId="147F0CE2" w:rsidR="577BB9D6" w:rsidRDefault="577BB9D6" w:rsidP="00597F9E">
      <w:pPr>
        <w:spacing w:after="0"/>
        <w:rPr>
          <w:rFonts w:ascii="Arial" w:eastAsia="Arial" w:hAnsi="Arial" w:cs="Arial"/>
        </w:rPr>
      </w:pPr>
      <w:r w:rsidRPr="0E260372">
        <w:rPr>
          <w:rFonts w:ascii="Arial" w:eastAsia="Arial" w:hAnsi="Arial" w:cs="Arial"/>
        </w:rPr>
        <w:t xml:space="preserve">By the late 1990s and early 2000s, harm reduction techniques had gained traction, shifting the focus away from abstinence-based messages and towards lowering the hazards associated with drug and alcohol use. </w:t>
      </w:r>
      <w:r w:rsidR="08A21EFE" w:rsidRPr="0E260372">
        <w:rPr>
          <w:rFonts w:ascii="Arial" w:eastAsia="Arial" w:hAnsi="Arial" w:cs="Arial"/>
        </w:rPr>
        <w:t xml:space="preserve"> As stated by (Johnston et al., 2019) t</w:t>
      </w:r>
      <w:r w:rsidRPr="0E260372">
        <w:rPr>
          <w:rFonts w:ascii="Arial" w:eastAsia="Arial" w:hAnsi="Arial" w:cs="Arial"/>
        </w:rPr>
        <w:t>hese approaches accepted that some level of experimenting was inevitable and attempted to provide young people with knowledge and resources to reduce possible harm.</w:t>
      </w:r>
    </w:p>
    <w:p w14:paraId="46DEEC1D" w14:textId="77D8A6BA" w:rsidR="03E81E05" w:rsidRDefault="03E81E05" w:rsidP="00597F9E">
      <w:pPr>
        <w:spacing w:after="0"/>
        <w:rPr>
          <w:rFonts w:ascii="Arial" w:eastAsia="Arial" w:hAnsi="Arial" w:cs="Arial"/>
        </w:rPr>
      </w:pPr>
    </w:p>
    <w:p w14:paraId="546A1E05" w14:textId="1D63170C" w:rsidR="261E8BA8" w:rsidRDefault="261E8BA8" w:rsidP="00597F9E">
      <w:r w:rsidRPr="0E260372">
        <w:rPr>
          <w:rFonts w:ascii="Arial" w:eastAsia="Arial" w:hAnsi="Arial" w:cs="Arial"/>
        </w:rPr>
        <w:t xml:space="preserve">In recent years, youth-targeted public health </w:t>
      </w:r>
      <w:r w:rsidR="37F241AC" w:rsidRPr="0E260372">
        <w:rPr>
          <w:rFonts w:ascii="Arial" w:eastAsia="Arial" w:hAnsi="Arial" w:cs="Arial"/>
        </w:rPr>
        <w:t>programs (</w:t>
      </w:r>
      <w:r w:rsidRPr="0E260372">
        <w:rPr>
          <w:rFonts w:ascii="Arial" w:eastAsia="Arial" w:hAnsi="Arial" w:cs="Arial"/>
        </w:rPr>
        <w:t>YTHP) and increased emphasis on mental health services have played critical roles in combating substance abuse. Organisations and advisory bodies have advocated for integrated, evidence-based policies that see substance abuse through the perspective of child development and safety, rather than solely enforcement</w:t>
      </w:r>
      <w:r w:rsidR="2F34A0BE" w:rsidRPr="0E260372">
        <w:rPr>
          <w:rFonts w:ascii="Arial" w:eastAsia="Arial" w:hAnsi="Arial" w:cs="Arial"/>
        </w:rPr>
        <w:t xml:space="preserve"> (Dunne et al., 2017)</w:t>
      </w:r>
      <w:r w:rsidRPr="0E260372">
        <w:rPr>
          <w:rFonts w:ascii="Arial" w:eastAsia="Arial" w:hAnsi="Arial" w:cs="Arial"/>
        </w:rPr>
        <w:t>.</w:t>
      </w:r>
    </w:p>
    <w:p w14:paraId="192B503C" w14:textId="09398159" w:rsidR="03E81E05" w:rsidRDefault="03E81E05" w:rsidP="00597F9E"/>
    <w:p w14:paraId="524AFB04" w14:textId="1DEF3A34" w:rsidR="261E8BA8" w:rsidRDefault="261E8BA8" w:rsidP="00597F9E">
      <w:pPr>
        <w:spacing w:after="0"/>
        <w:rPr>
          <w:rFonts w:ascii="Arial" w:eastAsia="Arial" w:hAnsi="Arial" w:cs="Arial"/>
        </w:rPr>
      </w:pPr>
      <w:r w:rsidRPr="0E260372">
        <w:rPr>
          <w:rFonts w:ascii="Arial" w:eastAsia="Arial" w:hAnsi="Arial" w:cs="Arial"/>
        </w:rPr>
        <w:t xml:space="preserve">  Furthermore, key personalities and institutions have shaped these advances, contributing to a growing understanding of teenage substance use as a complicated problem that necessitates comprehensive solutions. Their findings have emphasised the need for treatments that address the structural disparities and psychological vulnerabilities that support teenage substance abuse, setting the groundwork for future study and more targeted preventive initiatives</w:t>
      </w:r>
      <w:r w:rsidR="128D0A3D" w:rsidRPr="0E260372">
        <w:rPr>
          <w:rFonts w:ascii="Arial" w:eastAsia="Arial" w:hAnsi="Arial" w:cs="Arial"/>
        </w:rPr>
        <w:t xml:space="preserve"> (Sussman et al., 2004</w:t>
      </w:r>
      <w:r w:rsidR="7406CE9D" w:rsidRPr="0E260372">
        <w:rPr>
          <w:rFonts w:ascii="Arial" w:eastAsia="Arial" w:hAnsi="Arial" w:cs="Arial"/>
        </w:rPr>
        <w:t>, Simonton, Young and Johnson, 2018)</w:t>
      </w:r>
      <w:r w:rsidRPr="0E260372">
        <w:rPr>
          <w:rFonts w:ascii="Arial" w:eastAsia="Arial" w:hAnsi="Arial" w:cs="Arial"/>
        </w:rPr>
        <w:t>.</w:t>
      </w:r>
    </w:p>
    <w:p w14:paraId="275B3427" w14:textId="4A6B3F2B" w:rsidR="1FE55523" w:rsidRDefault="1FE55523" w:rsidP="00597F9E">
      <w:pPr>
        <w:spacing w:after="0"/>
        <w:rPr>
          <w:rFonts w:ascii="Arial" w:eastAsia="Arial" w:hAnsi="Arial" w:cs="Arial"/>
        </w:rPr>
      </w:pPr>
    </w:p>
    <w:p w14:paraId="7C999A2B" w14:textId="746C23F9" w:rsidR="4C233373" w:rsidRDefault="4C233373" w:rsidP="00597F9E">
      <w:pPr>
        <w:spacing w:after="0"/>
      </w:pPr>
      <w:r w:rsidRPr="0E260372">
        <w:rPr>
          <w:rFonts w:ascii="Arial" w:eastAsia="Arial" w:hAnsi="Arial" w:cs="Arial"/>
        </w:rPr>
        <w:lastRenderedPageBreak/>
        <w:t>This historical development demonstrates how policy and public opinion have shifted from punitive methods to more health-focused frameworks. Understanding this transition is crucial because it illustrates the ongoing tension between enforcement and prevention that shapes England's current response to teenage substance usage (Johnston et al., 2019).</w:t>
      </w:r>
    </w:p>
    <w:p w14:paraId="4D42201B" w14:textId="0721E3FD" w:rsidR="00BD2909" w:rsidRPr="00F44833" w:rsidRDefault="00BD2909" w:rsidP="00597F9E">
      <w:pPr>
        <w:pStyle w:val="paragraph"/>
        <w:spacing w:before="0" w:beforeAutospacing="0" w:after="0" w:afterAutospacing="0" w:line="360" w:lineRule="auto"/>
        <w:ind w:left="1440"/>
        <w:jc w:val="both"/>
        <w:textAlignment w:val="baseline"/>
        <w:rPr>
          <w:rFonts w:ascii="Aptos" w:hAnsi="Aptos" w:cs="Segoe UI"/>
          <w:sz w:val="16"/>
          <w:szCs w:val="16"/>
        </w:rPr>
      </w:pPr>
      <w:r w:rsidRPr="0E260372">
        <w:rPr>
          <w:rStyle w:val="eop"/>
          <w:rFonts w:ascii="Aptos" w:eastAsia="Calibri Light" w:hAnsi="Aptos" w:cs="Arial"/>
          <w:sz w:val="22"/>
          <w:szCs w:val="22"/>
        </w:rPr>
        <w:t>  </w:t>
      </w:r>
    </w:p>
    <w:p w14:paraId="7CD6820C" w14:textId="4D3CDBB2" w:rsidR="00BD2909" w:rsidRPr="005E02D0" w:rsidRDefault="00BD2909" w:rsidP="00597F9E">
      <w:pPr>
        <w:pStyle w:val="Heading2"/>
        <w:rPr>
          <w:rStyle w:val="eop"/>
          <w:rFonts w:ascii="Arial" w:eastAsia="Arial" w:hAnsi="Arial" w:cs="Arial"/>
          <w:color w:val="auto"/>
        </w:rPr>
      </w:pPr>
      <w:bookmarkStart w:id="8" w:name="_Toc213871344"/>
      <w:r w:rsidRPr="005E02D0">
        <w:rPr>
          <w:rFonts w:ascii="Arial" w:eastAsia="Arial" w:hAnsi="Arial" w:cs="Arial"/>
          <w:color w:val="auto"/>
        </w:rPr>
        <w:t>2.3 Theoretical Background</w:t>
      </w:r>
      <w:bookmarkEnd w:id="8"/>
      <w:r w:rsidRPr="005E02D0">
        <w:rPr>
          <w:rStyle w:val="normaltextrun"/>
          <w:rFonts w:ascii="Arial" w:eastAsia="Arial" w:hAnsi="Arial" w:cs="Arial"/>
          <w:color w:val="auto"/>
        </w:rPr>
        <w:t xml:space="preserve"> </w:t>
      </w:r>
    </w:p>
    <w:p w14:paraId="4B3D4B97" w14:textId="41DA4E4A" w:rsidR="49132DC8" w:rsidRDefault="49132DC8" w:rsidP="00597F9E">
      <w:pPr>
        <w:spacing w:after="0"/>
        <w:rPr>
          <w:rFonts w:ascii="Arial" w:eastAsia="Arial" w:hAnsi="Arial" w:cs="Arial"/>
        </w:rPr>
      </w:pPr>
      <w:r w:rsidRPr="0E260372">
        <w:rPr>
          <w:rFonts w:ascii="Arial" w:eastAsia="Arial" w:hAnsi="Arial" w:cs="Arial"/>
        </w:rPr>
        <w:t xml:space="preserve">Understanding adolescent substance addiction necessitates a broad, multidisciplinary theoretical approach that takes into consideration the intricate interactions of psychological development, social factors and structural disparities. </w:t>
      </w:r>
      <w:r w:rsidR="7DDDDFD7" w:rsidRPr="0E260372">
        <w:rPr>
          <w:rFonts w:ascii="Arial" w:eastAsia="Arial" w:hAnsi="Arial" w:cs="Arial"/>
        </w:rPr>
        <w:t>It is argued by (Bonell et al., 2016), t</w:t>
      </w:r>
      <w:r w:rsidRPr="0E260372">
        <w:rPr>
          <w:rFonts w:ascii="Arial" w:eastAsia="Arial" w:hAnsi="Arial" w:cs="Arial"/>
        </w:rPr>
        <w:t>his subject cannot be studied in isolation, as peer dynamics, parental ties, socioeconomic conditions and community surroundings all influence youth behaviour. Foundational theoretical notions provide an important framework for understanding these factors, providing useful insights into the motives for substance use and driving more effective prevention and intervention measures.</w:t>
      </w:r>
      <w:r w:rsidR="5BED84F2" w:rsidRPr="0E260372">
        <w:rPr>
          <w:rFonts w:ascii="Arial" w:eastAsia="Arial" w:hAnsi="Arial" w:cs="Arial"/>
        </w:rPr>
        <w:t xml:space="preserve"> The main theoretical frameworks supporting teen substance use are described in this part, along with an examination of their application in research.</w:t>
      </w:r>
    </w:p>
    <w:p w14:paraId="600193E5" w14:textId="636C6517" w:rsidR="59AE6312" w:rsidRDefault="59AE6312" w:rsidP="00597F9E">
      <w:pPr>
        <w:spacing w:after="0"/>
        <w:rPr>
          <w:rFonts w:ascii="Arial" w:eastAsia="Arial" w:hAnsi="Arial" w:cs="Arial"/>
        </w:rPr>
      </w:pPr>
    </w:p>
    <w:p w14:paraId="1E0A80F5" w14:textId="5FF08346" w:rsidR="49132DC8" w:rsidRDefault="49132DC8" w:rsidP="00597F9E">
      <w:pPr>
        <w:spacing w:after="0"/>
        <w:rPr>
          <w:rFonts w:ascii="Arial" w:eastAsia="Arial" w:hAnsi="Arial" w:cs="Arial"/>
        </w:rPr>
      </w:pPr>
      <w:r w:rsidRPr="0E260372">
        <w:rPr>
          <w:rFonts w:ascii="Arial" w:eastAsia="Arial" w:hAnsi="Arial" w:cs="Arial"/>
        </w:rPr>
        <w:t xml:space="preserve"> </w:t>
      </w:r>
      <w:r w:rsidR="7ABDCDD3" w:rsidRPr="0E260372">
        <w:rPr>
          <w:rFonts w:ascii="Arial" w:eastAsia="Arial" w:hAnsi="Arial" w:cs="Arial"/>
          <w:sz w:val="24"/>
          <w:szCs w:val="24"/>
        </w:rPr>
        <w:t>Social Learning Theory</w:t>
      </w:r>
    </w:p>
    <w:p w14:paraId="483127A9" w14:textId="5C90827E" w:rsidR="2BC979D4" w:rsidRDefault="2BC979D4" w:rsidP="00597F9E">
      <w:pPr>
        <w:spacing w:after="0"/>
      </w:pPr>
      <w:r w:rsidRPr="0E260372">
        <w:rPr>
          <w:rFonts w:ascii="Arial" w:eastAsia="Arial" w:hAnsi="Arial" w:cs="Arial"/>
        </w:rPr>
        <w:t>One of the most influential theories in this field is the Social Learning Theory, which argues that people learn behaviours through observation, imitation and reinforcement. In the context of teenage substance use, this hypothesis proposes that young people are more inclined to consume alcohol or drugs if they are exposed to peers, family members, or media characters who model such behaviour</w:t>
      </w:r>
      <w:r w:rsidR="0FB9B0DA" w:rsidRPr="0E260372">
        <w:rPr>
          <w:rFonts w:ascii="Arial" w:eastAsia="Arial" w:hAnsi="Arial" w:cs="Arial"/>
        </w:rPr>
        <w:t>s</w:t>
      </w:r>
      <w:r w:rsidR="7B9F21A4" w:rsidRPr="0E260372">
        <w:rPr>
          <w:rFonts w:ascii="Arial" w:eastAsia="Arial" w:hAnsi="Arial" w:cs="Arial"/>
        </w:rPr>
        <w:t xml:space="preserve"> (Kruis, Seo and Kim, 2019)</w:t>
      </w:r>
      <w:r w:rsidRPr="0E260372">
        <w:rPr>
          <w:rFonts w:ascii="Arial" w:eastAsia="Arial" w:hAnsi="Arial" w:cs="Arial"/>
        </w:rPr>
        <w:t xml:space="preserve">. </w:t>
      </w:r>
      <w:r w:rsidR="06CE707A" w:rsidRPr="0E260372">
        <w:rPr>
          <w:rFonts w:ascii="Arial" w:eastAsia="Arial" w:hAnsi="Arial" w:cs="Arial"/>
        </w:rPr>
        <w:t>Research by (</w:t>
      </w:r>
      <w:r w:rsidR="06CE707A" w:rsidRPr="0E260372">
        <w:rPr>
          <w:rFonts w:ascii="Arial" w:eastAsia="Arial" w:hAnsi="Arial" w:cs="Arial"/>
          <w:color w:val="222222"/>
        </w:rPr>
        <w:t>Wilkhu, 2</w:t>
      </w:r>
      <w:r w:rsidR="11A8FF5B" w:rsidRPr="0E260372">
        <w:rPr>
          <w:rFonts w:ascii="Arial" w:eastAsia="Arial" w:hAnsi="Arial" w:cs="Arial"/>
          <w:color w:val="222222"/>
        </w:rPr>
        <w:t>0</w:t>
      </w:r>
      <w:r w:rsidR="06CE707A" w:rsidRPr="0E260372">
        <w:rPr>
          <w:rFonts w:ascii="Arial" w:eastAsia="Arial" w:hAnsi="Arial" w:cs="Arial"/>
          <w:color w:val="222222"/>
        </w:rPr>
        <w:t>22)</w:t>
      </w:r>
      <w:r w:rsidR="06CE707A" w:rsidRPr="0E260372">
        <w:rPr>
          <w:rFonts w:ascii="Arial" w:eastAsia="Arial" w:hAnsi="Arial" w:cs="Arial"/>
        </w:rPr>
        <w:t xml:space="preserve"> found that i</w:t>
      </w:r>
      <w:r w:rsidRPr="0E260372">
        <w:rPr>
          <w:rFonts w:ascii="Arial" w:eastAsia="Arial" w:hAnsi="Arial" w:cs="Arial"/>
        </w:rPr>
        <w:t>n the United Kingdom, peer influence has regularly been acknowledged as a prominent element in youth substance experimentation. This theory also explains how substance use can be normalised in certain social groupings, notably in areas of economic distress or social isolation.</w:t>
      </w:r>
    </w:p>
    <w:p w14:paraId="1EE66A88" w14:textId="1A066DDA" w:rsidR="59AE6312" w:rsidRDefault="59AE6312" w:rsidP="00597F9E">
      <w:pPr>
        <w:spacing w:after="0"/>
        <w:rPr>
          <w:rFonts w:ascii="Arial" w:eastAsia="Arial" w:hAnsi="Arial" w:cs="Arial"/>
          <w:sz w:val="24"/>
          <w:szCs w:val="24"/>
        </w:rPr>
      </w:pPr>
    </w:p>
    <w:p w14:paraId="22373AA7" w14:textId="1FBF629A" w:rsidR="2D73A3C6" w:rsidRDefault="2D73A3C6" w:rsidP="00597F9E">
      <w:pPr>
        <w:spacing w:after="0"/>
        <w:rPr>
          <w:rFonts w:ascii="Arial" w:eastAsia="Arial" w:hAnsi="Arial" w:cs="Arial"/>
          <w:sz w:val="24"/>
          <w:szCs w:val="24"/>
        </w:rPr>
      </w:pPr>
      <w:r w:rsidRPr="0E260372">
        <w:rPr>
          <w:rFonts w:ascii="Arial" w:eastAsia="Arial" w:hAnsi="Arial" w:cs="Arial"/>
          <w:sz w:val="24"/>
          <w:szCs w:val="24"/>
        </w:rPr>
        <w:t>Ecological System Theory</w:t>
      </w:r>
    </w:p>
    <w:p w14:paraId="37FEB720" w14:textId="456D7706" w:rsidR="26E6376D" w:rsidRDefault="26E6376D" w:rsidP="00597F9E">
      <w:pPr>
        <w:spacing w:after="0"/>
      </w:pPr>
      <w:r w:rsidRPr="0E260372">
        <w:rPr>
          <w:rFonts w:ascii="Arial" w:eastAsia="Arial" w:hAnsi="Arial" w:cs="Arial"/>
        </w:rPr>
        <w:t xml:space="preserve">Ecological Systems Theory, which was designed to better comprehend human development within nested environmental systems, is another useful framework. This theory examines how a young person's local environment (family, school and peers) interacts with larger societal institutions </w:t>
      </w:r>
      <w:r w:rsidR="73518B1C" w:rsidRPr="0E260372">
        <w:rPr>
          <w:rFonts w:ascii="Arial" w:eastAsia="Arial" w:hAnsi="Arial" w:cs="Arial"/>
        </w:rPr>
        <w:t xml:space="preserve">such as </w:t>
      </w:r>
      <w:r w:rsidRPr="0E260372">
        <w:rPr>
          <w:rFonts w:ascii="Arial" w:eastAsia="Arial" w:hAnsi="Arial" w:cs="Arial"/>
        </w:rPr>
        <w:t>community, media and policy</w:t>
      </w:r>
      <w:r w:rsidR="67217185" w:rsidRPr="0E260372">
        <w:rPr>
          <w:rFonts w:ascii="Arial" w:eastAsia="Arial" w:hAnsi="Arial" w:cs="Arial"/>
        </w:rPr>
        <w:t xml:space="preserve"> (</w:t>
      </w:r>
      <w:proofErr w:type="spellStart"/>
      <w:r w:rsidR="67217185" w:rsidRPr="0E260372">
        <w:rPr>
          <w:rFonts w:ascii="Arial" w:eastAsia="Arial" w:hAnsi="Arial" w:cs="Arial"/>
        </w:rPr>
        <w:t>Aytur</w:t>
      </w:r>
      <w:proofErr w:type="spellEnd"/>
      <w:r w:rsidR="67217185" w:rsidRPr="0E260372">
        <w:rPr>
          <w:rFonts w:ascii="Arial" w:eastAsia="Arial" w:hAnsi="Arial" w:cs="Arial"/>
        </w:rPr>
        <w:t xml:space="preserve"> et al., 2021)</w:t>
      </w:r>
      <w:r w:rsidRPr="0E260372">
        <w:rPr>
          <w:rFonts w:ascii="Arial" w:eastAsia="Arial" w:hAnsi="Arial" w:cs="Arial"/>
        </w:rPr>
        <w:t xml:space="preserve">. It is especially beneficial </w:t>
      </w:r>
      <w:r w:rsidR="6D64E20B" w:rsidRPr="0E260372">
        <w:rPr>
          <w:rFonts w:ascii="Arial" w:eastAsia="Arial" w:hAnsi="Arial" w:cs="Arial"/>
        </w:rPr>
        <w:t>in the UK context</w:t>
      </w:r>
      <w:r w:rsidRPr="0E260372">
        <w:rPr>
          <w:rFonts w:ascii="Arial" w:eastAsia="Arial" w:hAnsi="Arial" w:cs="Arial"/>
        </w:rPr>
        <w:t>, where gaps in access to education, healthcare and social services exist between regions. The</w:t>
      </w:r>
      <w:r w:rsidR="78F6A2A7" w:rsidRPr="0E260372">
        <w:rPr>
          <w:rFonts w:ascii="Arial" w:eastAsia="Arial" w:hAnsi="Arial" w:cs="Arial"/>
        </w:rPr>
        <w:t xml:space="preserve"> </w:t>
      </w:r>
      <w:r w:rsidRPr="0E260372">
        <w:rPr>
          <w:rFonts w:ascii="Arial" w:eastAsia="Arial" w:hAnsi="Arial" w:cs="Arial"/>
        </w:rPr>
        <w:t>idea enables researchers to analyse how socioeconomic hardship, unstable family dynamics, or criminal exposure might all contribute to an increased risk of substance abuse</w:t>
      </w:r>
      <w:r w:rsidR="6B97EB3A" w:rsidRPr="0E260372">
        <w:rPr>
          <w:rFonts w:ascii="Arial" w:eastAsia="Arial" w:hAnsi="Arial" w:cs="Arial"/>
        </w:rPr>
        <w:t xml:space="preserve"> (Joaquín Rodríguez-Ruiz et al., 2023)</w:t>
      </w:r>
      <w:r w:rsidRPr="0E260372">
        <w:rPr>
          <w:rFonts w:ascii="Arial" w:eastAsia="Arial" w:hAnsi="Arial" w:cs="Arial"/>
        </w:rPr>
        <w:t>.</w:t>
      </w:r>
    </w:p>
    <w:p w14:paraId="3D7E039C" w14:textId="68185D1B" w:rsidR="79F4C477" w:rsidRDefault="79F4C477" w:rsidP="00597F9E">
      <w:pPr>
        <w:spacing w:after="0"/>
        <w:rPr>
          <w:rFonts w:ascii="Arial" w:eastAsia="Arial" w:hAnsi="Arial" w:cs="Arial"/>
          <w:sz w:val="24"/>
          <w:szCs w:val="24"/>
        </w:rPr>
      </w:pPr>
      <w:r w:rsidRPr="0E260372">
        <w:rPr>
          <w:rFonts w:ascii="Arial" w:eastAsia="Arial" w:hAnsi="Arial" w:cs="Arial"/>
          <w:sz w:val="24"/>
          <w:szCs w:val="24"/>
        </w:rPr>
        <w:lastRenderedPageBreak/>
        <w:t>Strain Theory</w:t>
      </w:r>
    </w:p>
    <w:p w14:paraId="79AD1FD7" w14:textId="775DD099" w:rsidR="6C34584F" w:rsidRDefault="6C34584F" w:rsidP="00597F9E">
      <w:pPr>
        <w:spacing w:after="0"/>
      </w:pPr>
      <w:r w:rsidRPr="0E260372">
        <w:rPr>
          <w:rFonts w:ascii="Arial" w:eastAsia="Arial" w:hAnsi="Arial" w:cs="Arial"/>
        </w:rPr>
        <w:t>An additional perspective is provided by the criminology-based strain theory. It contends that individuals who sense a mismatch between social goals and the tools available to attain them may engage in deviant behaviour, such as substance abuse, as a coping mechanism. In England, kids from low-income households or marginalised backgrounds may see school and economic opportunities as unreachable, boosting the attractiveness of substance abuse as a form of escape or self-medication</w:t>
      </w:r>
      <w:r w:rsidR="4D86A1A5" w:rsidRPr="0E260372">
        <w:rPr>
          <w:rFonts w:ascii="Arial" w:eastAsia="Arial" w:hAnsi="Arial" w:cs="Arial"/>
        </w:rPr>
        <w:t xml:space="preserve"> (Carson et al., 2008)</w:t>
      </w:r>
      <w:r w:rsidRPr="0E260372">
        <w:rPr>
          <w:rFonts w:ascii="Arial" w:eastAsia="Arial" w:hAnsi="Arial" w:cs="Arial"/>
        </w:rPr>
        <w:t>.</w:t>
      </w:r>
    </w:p>
    <w:p w14:paraId="71E24B95" w14:textId="0CAAA98D" w:rsidR="6C34584F" w:rsidRDefault="6C34584F" w:rsidP="00597F9E">
      <w:pPr>
        <w:spacing w:after="0"/>
      </w:pPr>
      <w:r w:rsidRPr="0E260372">
        <w:rPr>
          <w:rFonts w:ascii="Arial" w:eastAsia="Arial" w:hAnsi="Arial" w:cs="Arial"/>
        </w:rPr>
        <w:t>These theories have been widely used in UK-based studies on teenage health and behaviour. Researchers</w:t>
      </w:r>
      <w:r w:rsidR="2E5BF246" w:rsidRPr="0E260372">
        <w:rPr>
          <w:rFonts w:ascii="Arial" w:eastAsia="Arial" w:hAnsi="Arial" w:cs="Arial"/>
        </w:rPr>
        <w:t xml:space="preserve"> (Tinner et al., 2021)</w:t>
      </w:r>
      <w:r w:rsidRPr="0E260372">
        <w:rPr>
          <w:rFonts w:ascii="Arial" w:eastAsia="Arial" w:hAnsi="Arial" w:cs="Arial"/>
        </w:rPr>
        <w:t xml:space="preserve"> have used Social Learning Theory to better understand how substance use spreads in schools, whereas Ecological Systems Theory has been used in public health studies to advocate for multi-agency solutions. Strain Theory has influenced sociological studies of young disenfranchisement and its association with dangerous actions</w:t>
      </w:r>
      <w:r w:rsidR="2E9E9297" w:rsidRPr="0E260372">
        <w:rPr>
          <w:rFonts w:ascii="Arial" w:eastAsia="Arial" w:hAnsi="Arial" w:cs="Arial"/>
        </w:rPr>
        <w:t xml:space="preserve"> (McCrystal, Percy and Higgins, 2007</w:t>
      </w:r>
      <w:r w:rsidR="0F0697E0" w:rsidRPr="0E260372">
        <w:rPr>
          <w:rFonts w:ascii="Arial" w:eastAsia="Arial" w:hAnsi="Arial" w:cs="Arial"/>
        </w:rPr>
        <w:t>, Valentine, Bauld and Walter, 2016)</w:t>
      </w:r>
      <w:r w:rsidRPr="0E260372">
        <w:rPr>
          <w:rFonts w:ascii="Arial" w:eastAsia="Arial" w:hAnsi="Arial" w:cs="Arial"/>
        </w:rPr>
        <w:t>.</w:t>
      </w:r>
    </w:p>
    <w:p w14:paraId="558DF305" w14:textId="333A4F47" w:rsidR="59AE6312" w:rsidRDefault="59AE6312" w:rsidP="00597F9E">
      <w:pPr>
        <w:spacing w:after="0"/>
        <w:rPr>
          <w:rFonts w:ascii="Arial" w:eastAsia="Arial" w:hAnsi="Arial" w:cs="Arial"/>
        </w:rPr>
      </w:pPr>
    </w:p>
    <w:p w14:paraId="5FE0219B" w14:textId="6BACD045" w:rsidR="2A90796C" w:rsidRDefault="2A90796C" w:rsidP="00597F9E">
      <w:pPr>
        <w:rPr>
          <w:rFonts w:ascii="Arial" w:eastAsia="Arial" w:hAnsi="Arial" w:cs="Arial"/>
        </w:rPr>
      </w:pPr>
      <w:r w:rsidRPr="0E260372">
        <w:rPr>
          <w:rFonts w:ascii="Arial" w:eastAsia="Arial" w:hAnsi="Arial" w:cs="Arial"/>
        </w:rPr>
        <w:t>Critical Analysis: Nonetheless, each of these hypotheses possesses drawbacks.</w:t>
      </w:r>
      <w:r w:rsidR="3C6DA5DA" w:rsidRPr="0E260372">
        <w:rPr>
          <w:rFonts w:ascii="Arial" w:eastAsia="Arial" w:hAnsi="Arial" w:cs="Arial"/>
        </w:rPr>
        <w:t xml:space="preserve"> While Social Learning Theory can assist explain behavioural transmission, it may overlook structural issues like poverty or trauma. Ecological Systems Theory has been attacked for its complexity, which makes it difficult to operationalise in empirical investigations. Strain Theory has been criticised of generalising the motivations for deviance, potentially missing psychological and emotional nuances.</w:t>
      </w:r>
    </w:p>
    <w:p w14:paraId="132DEABF" w14:textId="06FB3EE7" w:rsidR="3C6DA5DA" w:rsidRDefault="3C6DA5DA" w:rsidP="00597F9E">
      <w:pPr>
        <w:spacing w:after="0"/>
      </w:pPr>
      <w:r w:rsidRPr="0E260372">
        <w:rPr>
          <w:rFonts w:ascii="Arial" w:eastAsia="Arial" w:hAnsi="Arial" w:cs="Arial"/>
        </w:rPr>
        <w:t xml:space="preserve"> </w:t>
      </w:r>
      <w:r w:rsidR="548A454C" w:rsidRPr="0E260372">
        <w:rPr>
          <w:rFonts w:ascii="Arial" w:eastAsia="Arial" w:hAnsi="Arial" w:cs="Arial"/>
        </w:rPr>
        <w:t>As stated by (Lander, Howsare and Byrne, 2023), t</w:t>
      </w:r>
      <w:r w:rsidRPr="0E260372">
        <w:rPr>
          <w:rFonts w:ascii="Arial" w:eastAsia="Arial" w:hAnsi="Arial" w:cs="Arial"/>
        </w:rPr>
        <w:t>here is continuous disagreement regarding how well these theories account for the cultural, gendered</w:t>
      </w:r>
      <w:r w:rsidR="417E09F3" w:rsidRPr="0E260372">
        <w:rPr>
          <w:rFonts w:ascii="Arial" w:eastAsia="Arial" w:hAnsi="Arial" w:cs="Arial"/>
        </w:rPr>
        <w:t xml:space="preserve"> </w:t>
      </w:r>
      <w:r w:rsidRPr="0E260372">
        <w:rPr>
          <w:rFonts w:ascii="Arial" w:eastAsia="Arial" w:hAnsi="Arial" w:cs="Arial"/>
        </w:rPr>
        <w:t>and intersectional aspects of substance abuse. Nonetheless, their combined use provides a comprehensive and nuanced understanding of teenage substance misuse, laying the groundwork for the current study's analytical methodology.</w:t>
      </w:r>
    </w:p>
    <w:p w14:paraId="5F8344AD" w14:textId="6D35BBAD" w:rsidR="1FE55523" w:rsidRDefault="1FE55523" w:rsidP="00597F9E">
      <w:pPr>
        <w:spacing w:after="0"/>
        <w:rPr>
          <w:rFonts w:ascii="Arial" w:eastAsia="Arial" w:hAnsi="Arial" w:cs="Arial"/>
        </w:rPr>
      </w:pPr>
    </w:p>
    <w:p w14:paraId="1865B23D" w14:textId="51569D44" w:rsidR="1A5995A3" w:rsidRDefault="1A5995A3" w:rsidP="00597F9E">
      <w:pPr>
        <w:spacing w:after="0"/>
      </w:pPr>
      <w:r w:rsidRPr="0E260372">
        <w:rPr>
          <w:rFonts w:ascii="Arial" w:eastAsia="Arial" w:hAnsi="Arial" w:cs="Arial"/>
        </w:rPr>
        <w:t>In addition to these psychological and sociological frameworks, this study employs the Social Determinants of Health approach, which acknowledges that factors such as housing stability, education, income and neighbourhood safety have a significant impact on adolescent wellbeing. This lens builds on prior ideas by stressing structural inequality as a major determinant of youth substance abuse in England.</w:t>
      </w:r>
    </w:p>
    <w:p w14:paraId="191B0651" w14:textId="5B902117" w:rsidR="20CECBF3" w:rsidRDefault="20CECBF3" w:rsidP="00597F9E">
      <w:pPr>
        <w:pStyle w:val="paragraph"/>
        <w:spacing w:before="0" w:beforeAutospacing="0" w:after="0" w:afterAutospacing="0" w:line="360" w:lineRule="auto"/>
        <w:jc w:val="both"/>
        <w:rPr>
          <w:rStyle w:val="eop"/>
          <w:rFonts w:ascii="Aptos" w:eastAsia="Calibri Light" w:hAnsi="Aptos" w:cs="Arial"/>
          <w:sz w:val="22"/>
          <w:szCs w:val="22"/>
        </w:rPr>
      </w:pPr>
    </w:p>
    <w:p w14:paraId="529565AC" w14:textId="346C883D" w:rsidR="00BD2909" w:rsidRPr="005E02D0" w:rsidRDefault="00BD2909" w:rsidP="00597F9E">
      <w:pPr>
        <w:pStyle w:val="Heading2"/>
        <w:rPr>
          <w:rStyle w:val="eop"/>
          <w:rFonts w:ascii="Arial" w:eastAsia="Calibri Light" w:hAnsi="Arial" w:cs="Arial"/>
          <w:color w:val="auto"/>
        </w:rPr>
      </w:pPr>
      <w:bookmarkStart w:id="9" w:name="_Toc213871345"/>
      <w:r w:rsidRPr="005E02D0">
        <w:rPr>
          <w:rFonts w:ascii="Arial" w:eastAsia="Arial" w:hAnsi="Arial" w:cs="Arial"/>
          <w:color w:val="auto"/>
        </w:rPr>
        <w:t>2.4 International Context</w:t>
      </w:r>
      <w:bookmarkEnd w:id="9"/>
      <w:r w:rsidRPr="005E02D0">
        <w:rPr>
          <w:rStyle w:val="normaltextrun"/>
          <w:rFonts w:ascii="Arial" w:hAnsi="Arial" w:cs="Arial"/>
          <w:color w:val="auto"/>
        </w:rPr>
        <w:t xml:space="preserve"> </w:t>
      </w:r>
    </w:p>
    <w:p w14:paraId="5DB5B444" w14:textId="6F999816" w:rsidR="00BD2909" w:rsidRPr="00F44833" w:rsidRDefault="0D05A2B3" w:rsidP="00597F9E">
      <w:pPr>
        <w:spacing w:after="0"/>
        <w:textAlignment w:val="baseline"/>
        <w:rPr>
          <w:rFonts w:ascii="Arial" w:eastAsia="Arial" w:hAnsi="Arial" w:cs="Arial"/>
        </w:rPr>
      </w:pPr>
      <w:r w:rsidRPr="0E260372">
        <w:rPr>
          <w:rFonts w:ascii="Arial" w:eastAsia="Arial" w:hAnsi="Arial" w:cs="Arial"/>
        </w:rPr>
        <w:t xml:space="preserve">Adolescent substance abuse is a global problem, with countries coping with the complicated social, psychological and physiological consequences it has on young people. While the </w:t>
      </w:r>
      <w:r w:rsidR="29410AD9" w:rsidRPr="0E260372">
        <w:rPr>
          <w:rFonts w:ascii="Arial" w:eastAsia="Arial" w:hAnsi="Arial" w:cs="Arial"/>
        </w:rPr>
        <w:t>patterns</w:t>
      </w:r>
      <w:r w:rsidRPr="0E260372">
        <w:rPr>
          <w:rFonts w:ascii="Arial" w:eastAsia="Arial" w:hAnsi="Arial" w:cs="Arial"/>
        </w:rPr>
        <w:t xml:space="preserve"> and substances used differ by country, adolescence is widely recognised as a </w:t>
      </w:r>
      <w:r w:rsidRPr="0E260372">
        <w:rPr>
          <w:rFonts w:ascii="Arial" w:eastAsia="Arial" w:hAnsi="Arial" w:cs="Arial"/>
        </w:rPr>
        <w:lastRenderedPageBreak/>
        <w:t>vulnerable developmental stage in which exposure to drugs and alcohol can have long-term implications. Different countries have taken different methods to prevention, intervention and harm reduction, reflecting a diversity of cultural values, healthcare infrastructures and social policies</w:t>
      </w:r>
      <w:r w:rsidR="6925C2A5" w:rsidRPr="0E260372">
        <w:rPr>
          <w:rFonts w:ascii="Arial" w:eastAsia="Arial" w:hAnsi="Arial" w:cs="Arial"/>
        </w:rPr>
        <w:t xml:space="preserve"> (Das et al., 2019)</w:t>
      </w:r>
      <w:r w:rsidRPr="0E260372">
        <w:rPr>
          <w:rFonts w:ascii="Arial" w:eastAsia="Arial" w:hAnsi="Arial" w:cs="Arial"/>
        </w:rPr>
        <w:t>.</w:t>
      </w:r>
    </w:p>
    <w:p w14:paraId="124A8A2D" w14:textId="3573194A" w:rsidR="00BD2909" w:rsidRPr="00F44833" w:rsidRDefault="607D91CC" w:rsidP="00597F9E">
      <w:pPr>
        <w:spacing w:after="0"/>
        <w:textAlignment w:val="baseline"/>
        <w:rPr>
          <w:rFonts w:ascii="Arial" w:eastAsia="Arial" w:hAnsi="Arial" w:cs="Arial"/>
          <w:sz w:val="24"/>
          <w:szCs w:val="24"/>
        </w:rPr>
      </w:pPr>
      <w:r w:rsidRPr="0E260372">
        <w:rPr>
          <w:rFonts w:ascii="Arial" w:eastAsia="Arial" w:hAnsi="Arial" w:cs="Arial"/>
          <w:sz w:val="24"/>
          <w:szCs w:val="24"/>
        </w:rPr>
        <w:t>Global Perspectives</w:t>
      </w:r>
    </w:p>
    <w:p w14:paraId="1874D749" w14:textId="5209134B" w:rsidR="00BD2909" w:rsidRPr="00F44833" w:rsidRDefault="607D91CC" w:rsidP="00597F9E">
      <w:pPr>
        <w:spacing w:after="0"/>
        <w:textAlignment w:val="baseline"/>
      </w:pPr>
      <w:r w:rsidRPr="0E260372">
        <w:rPr>
          <w:rFonts w:ascii="Arial" w:eastAsia="Arial" w:hAnsi="Arial" w:cs="Arial"/>
        </w:rPr>
        <w:t xml:space="preserve">Adolescent substance abuse is a serious global issue, with different prevalence, cultural attitudes and intervention options depending on the region. </w:t>
      </w:r>
      <w:r w:rsidR="1B02C649" w:rsidRPr="0E260372">
        <w:rPr>
          <w:rFonts w:ascii="Arial" w:eastAsia="Arial" w:hAnsi="Arial" w:cs="Arial"/>
        </w:rPr>
        <w:t>As reported by (Hall et al., 2016)</w:t>
      </w:r>
      <w:r w:rsidRPr="0E260372">
        <w:rPr>
          <w:rFonts w:ascii="Arial" w:eastAsia="Arial" w:hAnsi="Arial" w:cs="Arial"/>
        </w:rPr>
        <w:t xml:space="preserve"> the sorts of substances used by young people</w:t>
      </w:r>
      <w:r w:rsidR="001B4A24">
        <w:rPr>
          <w:rFonts w:ascii="Arial" w:eastAsia="Arial" w:hAnsi="Arial" w:cs="Arial"/>
        </w:rPr>
        <w:t xml:space="preserve"> </w:t>
      </w:r>
      <w:r w:rsidRPr="0E260372">
        <w:rPr>
          <w:rFonts w:ascii="Arial" w:eastAsia="Arial" w:hAnsi="Arial" w:cs="Arial"/>
        </w:rPr>
        <w:t>such as alcohol, cannabis and prescription drugs</w:t>
      </w:r>
      <w:r w:rsidR="351CF0F0" w:rsidRPr="0E260372">
        <w:rPr>
          <w:rFonts w:ascii="Arial" w:eastAsia="Arial" w:hAnsi="Arial" w:cs="Arial"/>
        </w:rPr>
        <w:t xml:space="preserve"> </w:t>
      </w:r>
      <w:r w:rsidRPr="0E260372">
        <w:rPr>
          <w:rFonts w:ascii="Arial" w:eastAsia="Arial" w:hAnsi="Arial" w:cs="Arial"/>
        </w:rPr>
        <w:t>are frequently comparable across borders, the prevalence and management of substance use differ depending on national legislation, socioeconomic conditions and healthcare infrastructure. In North America, for example, the opioid epidemic and cannabis legalisation have influenced adolescent use habits, resulting in expanded availability and innovative harm-reduction methods</w:t>
      </w:r>
      <w:r w:rsidR="73E93AA1" w:rsidRPr="0E260372">
        <w:rPr>
          <w:rFonts w:ascii="Arial" w:eastAsia="Arial" w:hAnsi="Arial" w:cs="Arial"/>
        </w:rPr>
        <w:t xml:space="preserve"> (Lowe et al., 2012)</w:t>
      </w:r>
      <w:r w:rsidRPr="0E260372">
        <w:rPr>
          <w:rFonts w:ascii="Arial" w:eastAsia="Arial" w:hAnsi="Arial" w:cs="Arial"/>
        </w:rPr>
        <w:t>. In contrast, several Scandinavian countries adopt comprehensive, welfare-based methods that view adolescent drug use as a social and public health issue rather than a criminal one.</w:t>
      </w:r>
    </w:p>
    <w:p w14:paraId="3510296F" w14:textId="7E4BCAFF" w:rsidR="00BD2909" w:rsidRPr="00F44833" w:rsidRDefault="00BD2909" w:rsidP="00597F9E">
      <w:pPr>
        <w:spacing w:after="0"/>
        <w:textAlignment w:val="baseline"/>
        <w:rPr>
          <w:rFonts w:ascii="Arial" w:eastAsia="Arial" w:hAnsi="Arial" w:cs="Arial"/>
        </w:rPr>
      </w:pPr>
    </w:p>
    <w:p w14:paraId="40398E3D" w14:textId="20EE44C5" w:rsidR="00BD2909" w:rsidRPr="00F44833" w:rsidRDefault="50C40BD4" w:rsidP="00597F9E">
      <w:pPr>
        <w:spacing w:after="0"/>
        <w:textAlignment w:val="baseline"/>
        <w:rPr>
          <w:rFonts w:ascii="Arial" w:eastAsia="Arial" w:hAnsi="Arial" w:cs="Arial"/>
          <w:sz w:val="24"/>
          <w:szCs w:val="24"/>
        </w:rPr>
      </w:pPr>
      <w:r w:rsidRPr="0E260372">
        <w:rPr>
          <w:rFonts w:ascii="Arial" w:eastAsia="Arial" w:hAnsi="Arial" w:cs="Arial"/>
          <w:sz w:val="24"/>
          <w:szCs w:val="24"/>
        </w:rPr>
        <w:t xml:space="preserve">Comparative Methods </w:t>
      </w:r>
    </w:p>
    <w:p w14:paraId="465F694C" w14:textId="4D839F06" w:rsidR="00BD2909" w:rsidRPr="00F44833" w:rsidRDefault="3E9FD1CD" w:rsidP="00597F9E">
      <w:pPr>
        <w:spacing w:after="0"/>
        <w:textAlignment w:val="baseline"/>
      </w:pPr>
      <w:r w:rsidRPr="0E260372">
        <w:rPr>
          <w:rFonts w:ascii="Arial" w:eastAsia="Arial" w:hAnsi="Arial" w:cs="Arial"/>
        </w:rPr>
        <w:t>In the United States, school-based preventive initiatives such as Project ALERT and DARE, which emphasise strengthening decision-making skills and rejecting social pressure, are widely utilised to combat the problem</w:t>
      </w:r>
      <w:r w:rsidR="6E1665BA" w:rsidRPr="0E260372">
        <w:rPr>
          <w:rFonts w:ascii="Arial" w:eastAsia="Arial" w:hAnsi="Arial" w:cs="Arial"/>
        </w:rPr>
        <w:t xml:space="preserve"> (Stuever, 2024)</w:t>
      </w:r>
      <w:r w:rsidRPr="0E260372">
        <w:rPr>
          <w:rFonts w:ascii="Arial" w:eastAsia="Arial" w:hAnsi="Arial" w:cs="Arial"/>
        </w:rPr>
        <w:t>. However, evidence demonstrates that they have little long-term effectiveness unless supplemented with larger networks of family and community support</w:t>
      </w:r>
      <w:r w:rsidR="4B4C48E2" w:rsidRPr="0E260372">
        <w:rPr>
          <w:rFonts w:ascii="Arial" w:eastAsia="Arial" w:hAnsi="Arial" w:cs="Arial"/>
        </w:rPr>
        <w:t xml:space="preserve"> (Perry et al., 2000)</w:t>
      </w:r>
      <w:r w:rsidRPr="0E260372">
        <w:rPr>
          <w:rFonts w:ascii="Arial" w:eastAsia="Arial" w:hAnsi="Arial" w:cs="Arial"/>
        </w:rPr>
        <w:t xml:space="preserve">. Scandinavian countries, particularly Sweden and Norway, implement more comprehensive policies that involve early intervention, social aid and strong collaboration among families, schools and healthcare providers. </w:t>
      </w:r>
      <w:r w:rsidR="2F1351E6" w:rsidRPr="0E260372">
        <w:rPr>
          <w:rFonts w:ascii="Arial" w:eastAsia="Arial" w:hAnsi="Arial" w:cs="Arial"/>
        </w:rPr>
        <w:t>According to (Klingemann, 2020) these</w:t>
      </w:r>
      <w:r w:rsidRPr="0E260372">
        <w:rPr>
          <w:rFonts w:ascii="Arial" w:eastAsia="Arial" w:hAnsi="Arial" w:cs="Arial"/>
        </w:rPr>
        <w:t xml:space="preserve"> policies frequently address the familial and structural variables that contribute to substance misuse, such as family relationships, educational disparities and mental health difficulties.</w:t>
      </w:r>
    </w:p>
    <w:p w14:paraId="6197A1B0" w14:textId="404EDC1B" w:rsidR="00BD2909" w:rsidRPr="00F44833" w:rsidRDefault="00BD2909" w:rsidP="00597F9E">
      <w:pPr>
        <w:spacing w:after="0"/>
        <w:textAlignment w:val="baseline"/>
        <w:rPr>
          <w:rFonts w:ascii="Arial" w:eastAsia="Arial" w:hAnsi="Arial" w:cs="Arial"/>
        </w:rPr>
      </w:pPr>
    </w:p>
    <w:p w14:paraId="29DE27B4" w14:textId="163C1BB1" w:rsidR="00BD2909" w:rsidRPr="00F44833" w:rsidRDefault="68C543C3" w:rsidP="00597F9E">
      <w:pPr>
        <w:spacing w:after="0"/>
        <w:textAlignment w:val="baseline"/>
        <w:rPr>
          <w:rFonts w:ascii="Arial" w:eastAsia="Arial" w:hAnsi="Arial" w:cs="Arial"/>
          <w:sz w:val="24"/>
          <w:szCs w:val="24"/>
        </w:rPr>
      </w:pPr>
      <w:r w:rsidRPr="0E260372">
        <w:rPr>
          <w:rFonts w:ascii="Arial" w:eastAsia="Arial" w:hAnsi="Arial" w:cs="Arial"/>
          <w:sz w:val="24"/>
          <w:szCs w:val="24"/>
        </w:rPr>
        <w:t>Global Policy Models and Initiatives</w:t>
      </w:r>
    </w:p>
    <w:p w14:paraId="710E7509" w14:textId="7A5FEC82" w:rsidR="00BD2909" w:rsidRPr="00F44833" w:rsidRDefault="68C543C3" w:rsidP="00597F9E">
      <w:pPr>
        <w:spacing w:after="0"/>
        <w:textAlignment w:val="baseline"/>
        <w:rPr>
          <w:rFonts w:ascii="Arial" w:eastAsia="Arial" w:hAnsi="Arial" w:cs="Arial"/>
        </w:rPr>
      </w:pPr>
      <w:r w:rsidRPr="0E260372">
        <w:rPr>
          <w:rFonts w:ascii="Arial" w:eastAsia="Arial" w:hAnsi="Arial" w:cs="Arial"/>
        </w:rPr>
        <w:t xml:space="preserve"> Portugal's 2001 decriminalisation model altered drug policy away from punishment and towards public health, emphasising treatment over prosecution. Though intended at adults, it promoted early intervention approaches that assist kids, resulting in fewer drug-related deaths and adolescent use. Globally, agencies such as WHO and UNODC (the United Nations Office on Drugs and Crime) encourage youth-focused, evidence-based methods. Campaigns like UNODC's Listen First strive to educate carers and policymakers on prevention based on developmental research</w:t>
      </w:r>
      <w:r w:rsidR="73D598CB" w:rsidRPr="0E260372">
        <w:rPr>
          <w:rFonts w:ascii="Arial" w:eastAsia="Arial" w:hAnsi="Arial" w:cs="Arial"/>
        </w:rPr>
        <w:t xml:space="preserve"> (</w:t>
      </w:r>
      <w:proofErr w:type="spellStart"/>
      <w:r w:rsidR="73D598CB" w:rsidRPr="0E260372">
        <w:rPr>
          <w:rFonts w:ascii="Arial" w:eastAsia="Arial" w:hAnsi="Arial" w:cs="Arial"/>
        </w:rPr>
        <w:t>Laqueur</w:t>
      </w:r>
      <w:proofErr w:type="spellEnd"/>
      <w:r w:rsidR="73D598CB" w:rsidRPr="0E260372">
        <w:rPr>
          <w:rFonts w:ascii="Arial" w:eastAsia="Arial" w:hAnsi="Arial" w:cs="Arial"/>
        </w:rPr>
        <w:t>, 2015)</w:t>
      </w:r>
      <w:r w:rsidRPr="0E260372">
        <w:rPr>
          <w:rFonts w:ascii="Arial" w:eastAsia="Arial" w:hAnsi="Arial" w:cs="Arial"/>
        </w:rPr>
        <w:t>.</w:t>
      </w:r>
    </w:p>
    <w:p w14:paraId="0813B156" w14:textId="78DDB6C2" w:rsidR="00BD2909" w:rsidRPr="00F44833" w:rsidRDefault="00BD2909" w:rsidP="00597F9E">
      <w:pPr>
        <w:spacing w:after="0"/>
        <w:textAlignment w:val="baseline"/>
        <w:rPr>
          <w:rFonts w:ascii="Arial" w:eastAsia="Arial" w:hAnsi="Arial" w:cs="Arial"/>
        </w:rPr>
      </w:pPr>
    </w:p>
    <w:p w14:paraId="12F9149C" w14:textId="35F98CC7" w:rsidR="00BD2909" w:rsidRPr="00F44833" w:rsidRDefault="78E56D32" w:rsidP="00597F9E">
      <w:pPr>
        <w:spacing w:after="0"/>
        <w:textAlignment w:val="baseline"/>
        <w:rPr>
          <w:rFonts w:ascii="Arial" w:eastAsia="Arial" w:hAnsi="Arial" w:cs="Arial"/>
        </w:rPr>
      </w:pPr>
      <w:r w:rsidRPr="0E260372">
        <w:rPr>
          <w:rFonts w:ascii="Arial" w:eastAsia="Arial" w:hAnsi="Arial" w:cs="Arial"/>
        </w:rPr>
        <w:t>Obstacles and Insights for England</w:t>
      </w:r>
    </w:p>
    <w:p w14:paraId="78158D99" w14:textId="71FE0A25" w:rsidR="00BD2909" w:rsidRPr="00F44833" w:rsidRDefault="6F77601D" w:rsidP="00597F9E">
      <w:pPr>
        <w:spacing w:after="0"/>
        <w:textAlignment w:val="baseline"/>
        <w:rPr>
          <w:rFonts w:ascii="Arial" w:eastAsia="Arial" w:hAnsi="Arial" w:cs="Arial"/>
        </w:rPr>
      </w:pPr>
      <w:r w:rsidRPr="0E260372">
        <w:rPr>
          <w:rFonts w:ascii="Arial" w:eastAsia="Arial" w:hAnsi="Arial" w:cs="Arial"/>
        </w:rPr>
        <w:t>However, worldwide discrepancies exist. In low- and middle-income nations, access to youth mental health care, substance abuse education and trustworthy data collecting is severely constrained. Furthermore, stigma and criminalisation continue to dominate governmental responses in some areas, aggravating the marginalisation of vulnerable adolescents</w:t>
      </w:r>
      <w:r w:rsidR="5A420337" w:rsidRPr="0E260372">
        <w:rPr>
          <w:rFonts w:ascii="Arial" w:eastAsia="Arial" w:hAnsi="Arial" w:cs="Arial"/>
        </w:rPr>
        <w:t xml:space="preserve"> (Scher</w:t>
      </w:r>
      <w:r w:rsidR="5A420337" w:rsidRPr="0E260372">
        <w:rPr>
          <w:rFonts w:ascii="Roboto" w:eastAsia="Roboto" w:hAnsi="Roboto" w:cs="Roboto"/>
        </w:rPr>
        <w:t xml:space="preserve"> et al., 2023)</w:t>
      </w:r>
      <w:r w:rsidRPr="0E260372">
        <w:rPr>
          <w:rFonts w:ascii="Arial" w:eastAsia="Arial" w:hAnsi="Arial" w:cs="Arial"/>
        </w:rPr>
        <w:t>.</w:t>
      </w:r>
    </w:p>
    <w:p w14:paraId="486A5837" w14:textId="38F2DF80" w:rsidR="00BD2909" w:rsidRPr="00F44833" w:rsidRDefault="6F77601D" w:rsidP="00597F9E">
      <w:pPr>
        <w:spacing w:after="0"/>
        <w:textAlignment w:val="baseline"/>
        <w:rPr>
          <w:rFonts w:cs="Segoe UI"/>
          <w:sz w:val="16"/>
          <w:szCs w:val="16"/>
        </w:rPr>
      </w:pPr>
      <w:r w:rsidRPr="0E260372">
        <w:rPr>
          <w:rFonts w:ascii="Arial" w:eastAsia="Arial" w:hAnsi="Arial" w:cs="Arial"/>
        </w:rPr>
        <w:t xml:space="preserve"> When these global approaches are compared, the most effective techniques focus on early intervention, cross-sector collaboration and socio-structural support networks. These findings highlight the need for England to examine and adapt its policies with an international perspective, ensuring that interventions for teenage substance abuse are not just evidence-based but also culturally and structurally informed.</w:t>
      </w:r>
      <w:r w:rsidRPr="0E260372">
        <w:t xml:space="preserve"> </w:t>
      </w:r>
      <w:r w:rsidR="00BD2909" w:rsidRPr="0E260372">
        <w:rPr>
          <w:rStyle w:val="eop"/>
          <w:rFonts w:eastAsia="Calibri Light" w:cs="Arial"/>
        </w:rPr>
        <w:t> </w:t>
      </w:r>
    </w:p>
    <w:p w14:paraId="101AADB0" w14:textId="44363530" w:rsidR="1FE55523" w:rsidRDefault="1FE55523" w:rsidP="00597F9E">
      <w:pPr>
        <w:pStyle w:val="paragraph"/>
        <w:spacing w:before="0" w:beforeAutospacing="0" w:after="0" w:afterAutospacing="0" w:line="360" w:lineRule="auto"/>
        <w:jc w:val="both"/>
        <w:rPr>
          <w:rStyle w:val="eop"/>
          <w:rFonts w:ascii="Aptos" w:eastAsia="Calibri Light" w:hAnsi="Aptos" w:cs="Arial"/>
          <w:sz w:val="22"/>
          <w:szCs w:val="22"/>
        </w:rPr>
      </w:pPr>
    </w:p>
    <w:p w14:paraId="3322C689" w14:textId="56E28221" w:rsidR="00BD2909" w:rsidRPr="003202AF" w:rsidRDefault="00BD2909" w:rsidP="00597F9E">
      <w:pPr>
        <w:pStyle w:val="Heading2"/>
        <w:rPr>
          <w:rStyle w:val="eop"/>
          <w:rFonts w:ascii="Arial" w:eastAsia="Arial" w:hAnsi="Arial" w:cs="Arial"/>
          <w:color w:val="auto"/>
          <w:szCs w:val="24"/>
        </w:rPr>
      </w:pPr>
      <w:bookmarkStart w:id="10" w:name="_Toc213871346"/>
      <w:r w:rsidRPr="003202AF">
        <w:rPr>
          <w:rFonts w:ascii="Arial" w:eastAsia="Arial" w:hAnsi="Arial" w:cs="Arial"/>
          <w:color w:val="auto"/>
        </w:rPr>
        <w:t>2.5 National/Local UK Context</w:t>
      </w:r>
      <w:bookmarkEnd w:id="10"/>
    </w:p>
    <w:p w14:paraId="61149E36" w14:textId="51865356" w:rsidR="25043DBE" w:rsidRDefault="25043DBE" w:rsidP="00597F9E">
      <w:pPr>
        <w:pStyle w:val="paragraph"/>
        <w:spacing w:before="0" w:beforeAutospacing="0" w:after="0" w:afterAutospacing="0" w:line="360" w:lineRule="auto"/>
        <w:jc w:val="both"/>
        <w:rPr>
          <w:rFonts w:ascii="Arial" w:eastAsia="Arial" w:hAnsi="Arial" w:cs="Arial"/>
          <w:sz w:val="22"/>
          <w:szCs w:val="22"/>
        </w:rPr>
      </w:pPr>
      <w:r w:rsidRPr="0E260372">
        <w:rPr>
          <w:rFonts w:ascii="Arial" w:eastAsia="Arial" w:hAnsi="Arial" w:cs="Arial"/>
          <w:sz w:val="22"/>
          <w:szCs w:val="22"/>
        </w:rPr>
        <w:t>The table below outlines significant UK policies addressing adolescent substance misuse, including their emphasis areas and influence on juvenile outcomes.</w:t>
      </w:r>
    </w:p>
    <w:tbl>
      <w:tblPr>
        <w:tblStyle w:val="GridTable1Light"/>
        <w:tblW w:w="0" w:type="auto"/>
        <w:tblLayout w:type="fixed"/>
        <w:tblLook w:val="06A0" w:firstRow="1" w:lastRow="0" w:firstColumn="1" w:lastColumn="0" w:noHBand="1" w:noVBand="1"/>
      </w:tblPr>
      <w:tblGrid>
        <w:gridCol w:w="3005"/>
        <w:gridCol w:w="3005"/>
        <w:gridCol w:w="3005"/>
      </w:tblGrid>
      <w:tr w:rsidR="1FE55523" w14:paraId="4958C7CA" w14:textId="77777777" w:rsidTr="0028315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97B7A98" w14:textId="26958D8F" w:rsidR="7B95A151" w:rsidRPr="00283154" w:rsidRDefault="4ABC089B" w:rsidP="00597F9E">
            <w:pPr>
              <w:pStyle w:val="paragraph"/>
              <w:spacing w:line="360" w:lineRule="auto"/>
              <w:jc w:val="both"/>
              <w:rPr>
                <w:rFonts w:ascii="Arial" w:eastAsia="Arial" w:hAnsi="Arial" w:cs="Arial"/>
                <w:b w:val="0"/>
                <w:bCs w:val="0"/>
                <w:sz w:val="22"/>
                <w:szCs w:val="22"/>
              </w:rPr>
            </w:pPr>
            <w:r w:rsidRPr="00283154">
              <w:rPr>
                <w:rFonts w:ascii="Arial" w:eastAsia="Arial" w:hAnsi="Arial" w:cs="Arial"/>
                <w:b w:val="0"/>
                <w:bCs w:val="0"/>
                <w:sz w:val="22"/>
                <w:szCs w:val="22"/>
              </w:rPr>
              <w:t>Policy/ Framework</w:t>
            </w:r>
          </w:p>
        </w:tc>
        <w:tc>
          <w:tcPr>
            <w:tcW w:w="3005" w:type="dxa"/>
          </w:tcPr>
          <w:p w14:paraId="395ED0E9" w14:textId="4EE6CB6E" w:rsidR="7B95A151" w:rsidRPr="00283154" w:rsidRDefault="4ABC089B" w:rsidP="00597F9E">
            <w:pPr>
              <w:pStyle w:val="paragraph"/>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sz w:val="22"/>
                <w:szCs w:val="22"/>
              </w:rPr>
            </w:pPr>
            <w:r w:rsidRPr="00283154">
              <w:rPr>
                <w:rFonts w:ascii="Arial" w:eastAsia="Arial" w:hAnsi="Arial" w:cs="Arial"/>
                <w:b w:val="0"/>
                <w:bCs w:val="0"/>
                <w:sz w:val="22"/>
                <w:szCs w:val="22"/>
              </w:rPr>
              <w:t>Key Focused Area</w:t>
            </w:r>
          </w:p>
        </w:tc>
        <w:tc>
          <w:tcPr>
            <w:tcW w:w="3005" w:type="dxa"/>
          </w:tcPr>
          <w:p w14:paraId="4FE91598" w14:textId="59D33A3F" w:rsidR="68B94C2F" w:rsidRPr="00283154" w:rsidRDefault="7CE00CE7" w:rsidP="00597F9E">
            <w:pPr>
              <w:pStyle w:val="paragraph"/>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sz w:val="22"/>
                <w:szCs w:val="22"/>
              </w:rPr>
            </w:pPr>
            <w:r w:rsidRPr="00283154">
              <w:rPr>
                <w:rFonts w:ascii="Arial" w:eastAsia="Arial" w:hAnsi="Arial" w:cs="Arial"/>
                <w:b w:val="0"/>
                <w:bCs w:val="0"/>
                <w:sz w:val="22"/>
                <w:szCs w:val="22"/>
              </w:rPr>
              <w:t>Substance Misuse on Youth</w:t>
            </w:r>
          </w:p>
        </w:tc>
      </w:tr>
      <w:tr w:rsidR="1FE55523" w14:paraId="1C7D4F19"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05C4008D" w14:textId="64F49C39" w:rsidR="68B94C2F" w:rsidRPr="00283154" w:rsidRDefault="7CE00CE7" w:rsidP="00597F9E">
            <w:pPr>
              <w:pStyle w:val="paragraph"/>
              <w:spacing w:line="360" w:lineRule="auto"/>
              <w:jc w:val="both"/>
              <w:rPr>
                <w:rFonts w:ascii="Arial" w:eastAsia="Arial" w:hAnsi="Arial" w:cs="Arial"/>
                <w:b w:val="0"/>
                <w:bCs w:val="0"/>
                <w:sz w:val="22"/>
                <w:szCs w:val="22"/>
              </w:rPr>
            </w:pPr>
            <w:r w:rsidRPr="00283154">
              <w:rPr>
                <w:rFonts w:ascii="Arial" w:eastAsia="Arial" w:hAnsi="Arial" w:cs="Arial"/>
                <w:b w:val="0"/>
                <w:bCs w:val="0"/>
                <w:sz w:val="22"/>
                <w:szCs w:val="22"/>
              </w:rPr>
              <w:t>Misuse Drug Act (1971)</w:t>
            </w:r>
          </w:p>
        </w:tc>
        <w:tc>
          <w:tcPr>
            <w:tcW w:w="3005" w:type="dxa"/>
          </w:tcPr>
          <w:p w14:paraId="72CCB471" w14:textId="17133934" w:rsidR="68B94C2F" w:rsidRDefault="7CE00CE7"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Legal control</w:t>
            </w:r>
          </w:p>
        </w:tc>
        <w:tc>
          <w:tcPr>
            <w:tcW w:w="3005" w:type="dxa"/>
          </w:tcPr>
          <w:p w14:paraId="553A3F44" w14:textId="469038B6"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Mostly disciplinary with little emphasis on preventive and early intervention.</w:t>
            </w:r>
          </w:p>
        </w:tc>
      </w:tr>
      <w:tr w:rsidR="1FE55523" w14:paraId="035101AD"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359BD89" w14:textId="7A2281ED" w:rsidR="25F2779B" w:rsidRPr="00283154" w:rsidRDefault="7119B56D" w:rsidP="00597F9E">
            <w:pPr>
              <w:pStyle w:val="paragraph"/>
              <w:spacing w:line="360" w:lineRule="auto"/>
              <w:jc w:val="both"/>
              <w:rPr>
                <w:rFonts w:ascii="Arial" w:eastAsia="Arial" w:hAnsi="Arial" w:cs="Arial"/>
                <w:b w:val="0"/>
                <w:bCs w:val="0"/>
                <w:sz w:val="22"/>
                <w:szCs w:val="22"/>
              </w:rPr>
            </w:pPr>
            <w:r w:rsidRPr="00283154">
              <w:rPr>
                <w:rFonts w:ascii="Arial" w:eastAsia="Arial" w:hAnsi="Arial" w:cs="Arial"/>
                <w:b w:val="0"/>
                <w:bCs w:val="0"/>
                <w:sz w:val="22"/>
                <w:szCs w:val="22"/>
              </w:rPr>
              <w:t>10 Year Drug Strategy (2021)</w:t>
            </w:r>
          </w:p>
        </w:tc>
        <w:tc>
          <w:tcPr>
            <w:tcW w:w="3005" w:type="dxa"/>
          </w:tcPr>
          <w:p w14:paraId="210A222F" w14:textId="295311D7"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Public health and enforcement</w:t>
            </w:r>
          </w:p>
        </w:tc>
        <w:tc>
          <w:tcPr>
            <w:tcW w:w="3005" w:type="dxa"/>
          </w:tcPr>
          <w:p w14:paraId="2DAC25E0" w14:textId="6834E58B"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Increases financing for treatment, recovery and early intervention services for youth.</w:t>
            </w:r>
          </w:p>
        </w:tc>
      </w:tr>
      <w:tr w:rsidR="1FE55523" w14:paraId="66A536F3"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4872FD0" w14:textId="11B0E185" w:rsidR="25F2779B" w:rsidRPr="00283154" w:rsidRDefault="7119B56D" w:rsidP="00597F9E">
            <w:pPr>
              <w:pStyle w:val="paragraph"/>
              <w:spacing w:line="360" w:lineRule="auto"/>
              <w:jc w:val="both"/>
              <w:rPr>
                <w:rFonts w:ascii="Arial" w:eastAsia="Arial" w:hAnsi="Arial" w:cs="Arial"/>
                <w:b w:val="0"/>
                <w:bCs w:val="0"/>
                <w:sz w:val="22"/>
                <w:szCs w:val="22"/>
              </w:rPr>
            </w:pPr>
            <w:r w:rsidRPr="00283154">
              <w:rPr>
                <w:rFonts w:ascii="Arial" w:eastAsia="Arial" w:hAnsi="Arial" w:cs="Arial"/>
                <w:b w:val="0"/>
                <w:bCs w:val="0"/>
                <w:sz w:val="22"/>
                <w:szCs w:val="22"/>
              </w:rPr>
              <w:t>Working Together to Safeguard Children (2018)</w:t>
            </w:r>
          </w:p>
        </w:tc>
        <w:tc>
          <w:tcPr>
            <w:tcW w:w="3005" w:type="dxa"/>
          </w:tcPr>
          <w:p w14:paraId="04A3FE9C" w14:textId="5F20DA83"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 xml:space="preserve">Multi agency enforcement </w:t>
            </w:r>
          </w:p>
        </w:tc>
        <w:tc>
          <w:tcPr>
            <w:tcW w:w="3005" w:type="dxa"/>
          </w:tcPr>
          <w:p w14:paraId="146A16E9" w14:textId="7AE5F4ED"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Promotes integrated support and early identification of vulnerable adolescents.</w:t>
            </w:r>
          </w:p>
        </w:tc>
      </w:tr>
      <w:tr w:rsidR="1FE55523" w14:paraId="43C7584C" w14:textId="77777777" w:rsidTr="00283154">
        <w:trPr>
          <w:trHeight w:val="300"/>
        </w:trPr>
        <w:tc>
          <w:tcPr>
            <w:cnfStyle w:val="001000000000" w:firstRow="0" w:lastRow="0" w:firstColumn="1" w:lastColumn="0" w:oddVBand="0" w:evenVBand="0" w:oddHBand="0" w:evenHBand="0" w:firstRowFirstColumn="0" w:firstRowLastColumn="0" w:lastRowFirstColumn="0" w:lastRowLastColumn="0"/>
            <w:tcW w:w="3005" w:type="dxa"/>
          </w:tcPr>
          <w:p w14:paraId="6FED21FE" w14:textId="3C4AD1B6" w:rsidR="25F2779B" w:rsidRPr="00283154" w:rsidRDefault="7119B56D" w:rsidP="00597F9E">
            <w:pPr>
              <w:pStyle w:val="paragraph"/>
              <w:spacing w:line="360" w:lineRule="auto"/>
              <w:jc w:val="both"/>
              <w:rPr>
                <w:rFonts w:ascii="Arial" w:eastAsia="Arial" w:hAnsi="Arial" w:cs="Arial"/>
                <w:b w:val="0"/>
                <w:bCs w:val="0"/>
                <w:sz w:val="22"/>
                <w:szCs w:val="22"/>
              </w:rPr>
            </w:pPr>
            <w:r w:rsidRPr="00283154">
              <w:rPr>
                <w:rFonts w:ascii="Arial" w:eastAsia="Arial" w:hAnsi="Arial" w:cs="Arial"/>
                <w:b w:val="0"/>
                <w:bCs w:val="0"/>
                <w:sz w:val="22"/>
                <w:szCs w:val="22"/>
              </w:rPr>
              <w:t>Children and Families Act (2014)</w:t>
            </w:r>
          </w:p>
        </w:tc>
        <w:tc>
          <w:tcPr>
            <w:tcW w:w="3005" w:type="dxa"/>
          </w:tcPr>
          <w:p w14:paraId="78224B07" w14:textId="363EC46B" w:rsidR="25F2779B" w:rsidRDefault="7119B56D"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Child welfare and protection</w:t>
            </w:r>
          </w:p>
        </w:tc>
        <w:tc>
          <w:tcPr>
            <w:tcW w:w="3005" w:type="dxa"/>
          </w:tcPr>
          <w:p w14:paraId="2263C86C" w14:textId="072C8AAA" w:rsidR="28F3A4F9" w:rsidRDefault="1B9F5EB4" w:rsidP="00597F9E">
            <w:pPr>
              <w:pStyle w:val="paragraph"/>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Arial" w:hAnsi="Arial" w:cs="Arial"/>
                <w:sz w:val="22"/>
                <w:szCs w:val="22"/>
              </w:rPr>
            </w:pPr>
            <w:r w:rsidRPr="0E260372">
              <w:rPr>
                <w:rFonts w:ascii="Arial" w:eastAsia="Arial" w:hAnsi="Arial" w:cs="Arial"/>
                <w:sz w:val="22"/>
                <w:szCs w:val="22"/>
              </w:rPr>
              <w:t>Encourages collaborative efforts among schools, social services and local authorities for vulnerable kids.</w:t>
            </w:r>
          </w:p>
        </w:tc>
      </w:tr>
    </w:tbl>
    <w:p w14:paraId="5C986225" w14:textId="27C3242A" w:rsidR="5C95741F" w:rsidRDefault="5C95741F" w:rsidP="00597F9E">
      <w:pPr>
        <w:pStyle w:val="paragraph"/>
        <w:spacing w:before="0" w:beforeAutospacing="0" w:after="0" w:afterAutospacing="0" w:line="360" w:lineRule="auto"/>
        <w:jc w:val="both"/>
        <w:rPr>
          <w:rStyle w:val="eop"/>
          <w:rFonts w:ascii="Aptos" w:eastAsia="Calibri Light" w:hAnsi="Aptos" w:cs="Arial"/>
          <w:color w:val="0F4761"/>
        </w:rPr>
      </w:pPr>
    </w:p>
    <w:p w14:paraId="67B29BE6" w14:textId="359002D4" w:rsidR="00BD2909" w:rsidRDefault="00BD2909" w:rsidP="00597F9E">
      <w:pPr>
        <w:pStyle w:val="paragraph"/>
        <w:spacing w:line="360" w:lineRule="auto"/>
        <w:jc w:val="both"/>
        <w:rPr>
          <w:rFonts w:ascii="Arial" w:eastAsia="Arial" w:hAnsi="Arial" w:cs="Arial"/>
        </w:rPr>
      </w:pPr>
      <w:r w:rsidRPr="0E260372">
        <w:rPr>
          <w:rStyle w:val="eop"/>
          <w:rFonts w:ascii="Arial" w:eastAsia="Arial" w:hAnsi="Arial" w:cs="Arial"/>
        </w:rPr>
        <w:t> </w:t>
      </w:r>
      <w:r w:rsidR="3E61C57E" w:rsidRPr="0E260372">
        <w:rPr>
          <w:rFonts w:ascii="Arial" w:eastAsia="Arial" w:hAnsi="Arial" w:cs="Arial"/>
        </w:rPr>
        <w:t>The UK's Perspective on Adolescent Substance Misuse</w:t>
      </w:r>
    </w:p>
    <w:p w14:paraId="317E82C1" w14:textId="060914AF" w:rsidR="7AF6F819" w:rsidRDefault="7AF6F819" w:rsidP="00597F9E">
      <w:pPr>
        <w:rPr>
          <w:rFonts w:ascii="Arial" w:eastAsia="Arial" w:hAnsi="Arial" w:cs="Arial"/>
          <w:b/>
          <w:bCs/>
        </w:rPr>
      </w:pPr>
      <w:r w:rsidRPr="0E260372">
        <w:rPr>
          <w:rFonts w:ascii="Arial" w:eastAsia="Arial" w:hAnsi="Arial" w:cs="Arial"/>
        </w:rPr>
        <w:lastRenderedPageBreak/>
        <w:t>Adolescent substance misuse remains a major public health and social issue in the United Kingdom. Although the overall prevalence of drug use among 13 to 18-year-olds has decreased modestly over the last two decades, current research indicates a revival in experimenting, notably with cannabis, nitrous oxide and vaping goods. The Smoking, Drinking and Drug Use among Young People in England report (2021) discovered that 18% of teenagers had used drugs in the preceding year, with cannabis being the most often used substance</w:t>
      </w:r>
      <w:r w:rsidR="6677B420" w:rsidRPr="0E260372">
        <w:rPr>
          <w:rFonts w:ascii="Roboto" w:eastAsia="Roboto" w:hAnsi="Roboto" w:cs="Roboto"/>
          <w:color w:val="2C3E50"/>
        </w:rPr>
        <w:t xml:space="preserve"> </w:t>
      </w:r>
      <w:r w:rsidR="6677B420" w:rsidRPr="0E260372">
        <w:rPr>
          <w:rFonts w:ascii="Arial" w:eastAsia="Arial" w:hAnsi="Arial" w:cs="Arial"/>
        </w:rPr>
        <w:t>(Office for Health Improvement &amp; Disparities, 2024)</w:t>
      </w:r>
      <w:r w:rsidRPr="0E260372">
        <w:rPr>
          <w:rFonts w:ascii="Arial" w:eastAsia="Arial" w:hAnsi="Arial" w:cs="Arial"/>
        </w:rPr>
        <w:t xml:space="preserve">. These data highlight the persistent importance of youth substance abuse in the public health discourse. </w:t>
      </w:r>
    </w:p>
    <w:p w14:paraId="43AFC32F" w14:textId="3D885BA3" w:rsidR="479D6B9B" w:rsidRDefault="479D6B9B" w:rsidP="00597F9E">
      <w:pPr>
        <w:rPr>
          <w:rFonts w:ascii="Arial" w:eastAsia="Arial" w:hAnsi="Arial" w:cs="Arial"/>
          <w:sz w:val="24"/>
          <w:szCs w:val="24"/>
        </w:rPr>
      </w:pPr>
      <w:r w:rsidRPr="0E260372">
        <w:rPr>
          <w:rFonts w:ascii="Arial" w:eastAsia="Arial" w:hAnsi="Arial" w:cs="Arial"/>
          <w:sz w:val="24"/>
          <w:szCs w:val="24"/>
        </w:rPr>
        <w:t>Legal and Policy Structure</w:t>
      </w:r>
    </w:p>
    <w:p w14:paraId="5078DD6E" w14:textId="3050BA9A" w:rsidR="3FDC8D06" w:rsidRDefault="3FDC8D06" w:rsidP="00597F9E">
      <w:r w:rsidRPr="0E260372">
        <w:rPr>
          <w:rFonts w:ascii="Arial" w:eastAsia="Arial" w:hAnsi="Arial" w:cs="Arial"/>
        </w:rPr>
        <w:t>Public health initiatives and legislative constraints work together to create the UK's approach to substance abuse. The Misuse of Drugs Act 1971, which classifies restricted substances and establishes penalties for possession and supply, remains the foundation of UK drug policy. While historically punishing, new policy changes have prioritised prevention and education</w:t>
      </w:r>
      <w:r w:rsidR="7AF35F75" w:rsidRPr="0E260372">
        <w:rPr>
          <w:rFonts w:ascii="Arial" w:eastAsia="Arial" w:hAnsi="Arial" w:cs="Arial"/>
        </w:rPr>
        <w:t xml:space="preserve"> (Flacks, 2019)</w:t>
      </w:r>
      <w:r w:rsidRPr="0E260372">
        <w:rPr>
          <w:rFonts w:ascii="Arial" w:eastAsia="Arial" w:hAnsi="Arial" w:cs="Arial"/>
        </w:rPr>
        <w:t>.</w:t>
      </w:r>
    </w:p>
    <w:p w14:paraId="05E26999" w14:textId="2FF7537F" w:rsidR="3FDC8D06" w:rsidRDefault="3FDC8D06" w:rsidP="00597F9E">
      <w:r w:rsidRPr="0E260372">
        <w:rPr>
          <w:rFonts w:ascii="Arial" w:eastAsia="Arial" w:hAnsi="Arial" w:cs="Arial"/>
        </w:rPr>
        <w:t xml:space="preserve"> The UK government's 10-Year Drug Strategy (2021) prioritises disrupting drug supply networks while dramatically expanding spending in treatment and recovery services. </w:t>
      </w:r>
      <w:r w:rsidR="0B638E13" w:rsidRPr="0E260372">
        <w:rPr>
          <w:rFonts w:ascii="Arial" w:eastAsia="Arial" w:hAnsi="Arial" w:cs="Arial"/>
        </w:rPr>
        <w:t xml:space="preserve"> As reported by (Holland et al., 2023) a</w:t>
      </w:r>
      <w:r w:rsidRPr="0E260372">
        <w:rPr>
          <w:rFonts w:ascii="Arial" w:eastAsia="Arial" w:hAnsi="Arial" w:cs="Arial"/>
        </w:rPr>
        <w:t xml:space="preserve"> total of £532 million has been set aside to improve treatment provision, including early intervention services geared exclusively for young people, with the goal of protecting vulnerable adolescents.</w:t>
      </w:r>
    </w:p>
    <w:p w14:paraId="17AD85FD" w14:textId="084DEAE3" w:rsidR="3FDC8D06" w:rsidRDefault="3FDC8D06" w:rsidP="00597F9E">
      <w:r w:rsidRPr="0E260372">
        <w:rPr>
          <w:rFonts w:ascii="Arial" w:eastAsia="Arial" w:hAnsi="Arial" w:cs="Arial"/>
        </w:rPr>
        <w:t>Furthermore, the Children and Families Act of 2014 and the Working Together to Safeguard Children (2018) statutory recommendations require coordinated efforts across schools, social agencies and local governments to identify and support at-risk adolescents early on</w:t>
      </w:r>
      <w:r w:rsidR="64F8F800" w:rsidRPr="0E260372">
        <w:rPr>
          <w:rFonts w:ascii="Arial" w:eastAsia="Arial" w:hAnsi="Arial" w:cs="Arial"/>
        </w:rPr>
        <w:t xml:space="preserve"> (</w:t>
      </w:r>
      <w:proofErr w:type="spellStart"/>
      <w:r w:rsidR="64F8F800" w:rsidRPr="0E260372">
        <w:rPr>
          <w:rFonts w:ascii="Arial" w:eastAsia="Arial" w:hAnsi="Arial" w:cs="Arial"/>
        </w:rPr>
        <w:t>Baginsky</w:t>
      </w:r>
      <w:proofErr w:type="spellEnd"/>
      <w:r w:rsidR="64F8F800" w:rsidRPr="0E260372">
        <w:rPr>
          <w:rFonts w:ascii="Arial" w:eastAsia="Arial" w:hAnsi="Arial" w:cs="Arial"/>
        </w:rPr>
        <w:t>, 2022)</w:t>
      </w:r>
      <w:r w:rsidRPr="0E260372">
        <w:rPr>
          <w:rFonts w:ascii="Arial" w:eastAsia="Arial" w:hAnsi="Arial" w:cs="Arial"/>
        </w:rPr>
        <w:t>. These frameworks reflect a trend towards more integrated, health-focused methods within the larger safeguarding and youth welfare agenda.</w:t>
      </w:r>
    </w:p>
    <w:p w14:paraId="1DCFCA8F" w14:textId="1A43FF95" w:rsidR="3EA7198C" w:rsidRDefault="3EA7198C" w:rsidP="00597F9E">
      <w:pPr>
        <w:rPr>
          <w:rFonts w:ascii="Arial" w:eastAsia="Arial" w:hAnsi="Arial" w:cs="Arial"/>
          <w:sz w:val="24"/>
          <w:szCs w:val="24"/>
        </w:rPr>
      </w:pPr>
      <w:r w:rsidRPr="0E260372">
        <w:rPr>
          <w:rFonts w:ascii="Arial" w:eastAsia="Arial" w:hAnsi="Arial" w:cs="Arial"/>
          <w:sz w:val="24"/>
          <w:szCs w:val="24"/>
        </w:rPr>
        <w:t>Local Context</w:t>
      </w:r>
    </w:p>
    <w:p w14:paraId="03C365AB" w14:textId="3E09514F" w:rsidR="3EA7198C" w:rsidRDefault="3EA7198C" w:rsidP="00597F9E">
      <w:pPr>
        <w:rPr>
          <w:rFonts w:ascii="Arial" w:eastAsia="Arial" w:hAnsi="Arial" w:cs="Arial"/>
        </w:rPr>
      </w:pPr>
      <w:r w:rsidRPr="0E260372">
        <w:rPr>
          <w:rFonts w:ascii="Arial" w:eastAsia="Arial" w:hAnsi="Arial" w:cs="Arial"/>
        </w:rPr>
        <w:t xml:space="preserve"> Local approaches to adolescent substance usage differ across England's regions, affected by demography, funds accessibility and local authority goals. Local governments oversee commissioning public health services, which include substance abuse support provided by youth services and health teams. Many towns run integrated services, such as Young People's Drug and Alcohol Services (YPDAS), which offer customised interventions such counselling, harm reduction measures and family-based therapies</w:t>
      </w:r>
      <w:r w:rsidR="4541DDC8" w:rsidRPr="0E260372">
        <w:rPr>
          <w:rFonts w:ascii="Arial" w:eastAsia="Arial" w:hAnsi="Arial" w:cs="Arial"/>
        </w:rPr>
        <w:t xml:space="preserve"> (Alderson et al., 2019)</w:t>
      </w:r>
      <w:r w:rsidRPr="0E260372">
        <w:rPr>
          <w:rFonts w:ascii="Arial" w:eastAsia="Arial" w:hAnsi="Arial" w:cs="Arial"/>
        </w:rPr>
        <w:t>.</w:t>
      </w:r>
    </w:p>
    <w:p w14:paraId="019A12C3" w14:textId="69C34CE7" w:rsidR="5B7BF8A8" w:rsidRDefault="5B7BF8A8" w:rsidP="00597F9E">
      <w:r w:rsidRPr="0E260372">
        <w:rPr>
          <w:rFonts w:ascii="Arial" w:eastAsia="Arial" w:hAnsi="Arial" w:cs="Arial"/>
        </w:rPr>
        <w:t xml:space="preserve">Targeted initiatives, such as Rescue and Response in cities like London and Manchester, have evolved in response to increased youth vulnerability caused by socioeconomic disadvantage </w:t>
      </w:r>
      <w:r w:rsidRPr="0E260372">
        <w:rPr>
          <w:rFonts w:ascii="Arial" w:eastAsia="Arial" w:hAnsi="Arial" w:cs="Arial"/>
        </w:rPr>
        <w:lastRenderedPageBreak/>
        <w:t>and gang membership. These programmes seek to prevent exploitation and provide holistic, all-encompassing help to at-risk youth. In contrast, rural communities may encounter obstacles due to limited financing and service availability, resulting in delays or discrepancies in early access to care and treatment</w:t>
      </w:r>
      <w:r w:rsidR="32BDE7EC" w:rsidRPr="0E260372">
        <w:rPr>
          <w:rFonts w:ascii="Arial" w:eastAsia="Arial" w:hAnsi="Arial" w:cs="Arial"/>
        </w:rPr>
        <w:t xml:space="preserve"> (MacGregor and Thickett 2011</w:t>
      </w:r>
      <w:r w:rsidR="622E52B0" w:rsidRPr="0E260372">
        <w:rPr>
          <w:rFonts w:ascii="Arial" w:eastAsia="Arial" w:hAnsi="Arial" w:cs="Arial"/>
        </w:rPr>
        <w:t xml:space="preserve">, </w:t>
      </w:r>
      <w:proofErr w:type="spellStart"/>
      <w:r w:rsidR="622E52B0" w:rsidRPr="0E260372">
        <w:rPr>
          <w:rFonts w:ascii="Arial" w:eastAsia="Arial" w:hAnsi="Arial" w:cs="Arial"/>
        </w:rPr>
        <w:t>Sumnall</w:t>
      </w:r>
      <w:proofErr w:type="spellEnd"/>
      <w:r w:rsidR="622E52B0" w:rsidRPr="0E260372">
        <w:rPr>
          <w:rFonts w:ascii="Arial" w:eastAsia="Arial" w:hAnsi="Arial" w:cs="Arial"/>
        </w:rPr>
        <w:t>, 2022</w:t>
      </w:r>
      <w:r w:rsidR="32BDE7EC" w:rsidRPr="0E260372">
        <w:rPr>
          <w:rFonts w:ascii="Arial" w:eastAsia="Arial" w:hAnsi="Arial" w:cs="Arial"/>
        </w:rPr>
        <w:t>)</w:t>
      </w:r>
      <w:r w:rsidRPr="0E260372">
        <w:rPr>
          <w:rFonts w:ascii="Arial" w:eastAsia="Arial" w:hAnsi="Arial" w:cs="Arial"/>
        </w:rPr>
        <w:t>.</w:t>
      </w:r>
    </w:p>
    <w:p w14:paraId="0193E3F8" w14:textId="0EC850BA" w:rsidR="5B7BF8A8" w:rsidRDefault="5B7BF8A8" w:rsidP="00597F9E">
      <w:r w:rsidRPr="0E260372">
        <w:rPr>
          <w:rFonts w:ascii="Arial" w:eastAsia="Arial" w:hAnsi="Arial" w:cs="Arial"/>
        </w:rPr>
        <w:t xml:space="preserve"> Overall, the national and local UK context displays a dual strategy that combines enforcement with a rising acknowledgement of substance abuse as a public health and social care concern. Nonetheless, regional differences in service provision and performance remain a key impediment to providing equitable support to young people across the country.</w:t>
      </w:r>
    </w:p>
    <w:p w14:paraId="18790701" w14:textId="1E642DD8" w:rsidR="03C2D0BC" w:rsidRDefault="03C2D0BC" w:rsidP="00597F9E">
      <w:r w:rsidRPr="0E260372">
        <w:rPr>
          <w:rFonts w:ascii="Arial" w:eastAsia="Arial" w:hAnsi="Arial" w:cs="Arial"/>
        </w:rPr>
        <w:t>These regional variances highlight the significance of implementing a more egalitarian, multi-agency strategy that integrates public health, education and social care. Recognising substance abuse as a public health and social justice issue leads to a better understanding of how structural inequity increases risk among young people.</w:t>
      </w:r>
    </w:p>
    <w:p w14:paraId="09099AFE" w14:textId="77777777" w:rsidR="00BD2909" w:rsidRPr="00F44833" w:rsidRDefault="00BD2909" w:rsidP="00597F9E">
      <w:pPr>
        <w:pStyle w:val="paragraph"/>
        <w:spacing w:before="0" w:beforeAutospacing="0" w:after="0" w:afterAutospacing="0" w:line="360" w:lineRule="auto"/>
        <w:ind w:left="1080"/>
        <w:jc w:val="both"/>
        <w:textAlignment w:val="baseline"/>
        <w:rPr>
          <w:rFonts w:ascii="Aptos" w:hAnsi="Aptos" w:cs="Segoe UI"/>
          <w:sz w:val="16"/>
          <w:szCs w:val="16"/>
        </w:rPr>
      </w:pPr>
      <w:r w:rsidRPr="0E260372">
        <w:rPr>
          <w:rStyle w:val="eop"/>
          <w:rFonts w:ascii="Aptos" w:eastAsia="Calibri Light" w:hAnsi="Aptos" w:cs="Arial"/>
          <w:sz w:val="22"/>
          <w:szCs w:val="22"/>
        </w:rPr>
        <w:t> </w:t>
      </w:r>
    </w:p>
    <w:p w14:paraId="508BC363" w14:textId="75AE1513" w:rsidR="00BD2909" w:rsidRPr="000F7A0B" w:rsidRDefault="00BD2909" w:rsidP="00597F9E">
      <w:pPr>
        <w:pStyle w:val="Heading2"/>
        <w:rPr>
          <w:rStyle w:val="eop"/>
          <w:rFonts w:ascii="Arial" w:eastAsia="Arial" w:hAnsi="Arial" w:cs="Arial"/>
          <w:color w:val="auto"/>
        </w:rPr>
      </w:pPr>
      <w:bookmarkStart w:id="11" w:name="_Toc213871347"/>
      <w:r w:rsidRPr="000F7A0B">
        <w:rPr>
          <w:rStyle w:val="normaltextrun"/>
          <w:rFonts w:ascii="Arial" w:eastAsia="Arial" w:hAnsi="Arial" w:cs="Arial"/>
          <w:color w:val="auto"/>
        </w:rPr>
        <w:t>2.6 Conclusion</w:t>
      </w:r>
      <w:bookmarkEnd w:id="11"/>
      <w:r w:rsidRPr="000F7A0B">
        <w:rPr>
          <w:rStyle w:val="normaltextrun"/>
          <w:rFonts w:ascii="Arial" w:eastAsia="Arial" w:hAnsi="Arial" w:cs="Arial"/>
          <w:color w:val="auto"/>
        </w:rPr>
        <w:t xml:space="preserve"> </w:t>
      </w:r>
    </w:p>
    <w:p w14:paraId="28BD309F" w14:textId="7BB4F84E" w:rsidR="77B26662" w:rsidRDefault="77B26662" w:rsidP="00597F9E">
      <w:pPr>
        <w:spacing w:after="0"/>
        <w:rPr>
          <w:rFonts w:ascii="Arial" w:eastAsia="Arial" w:hAnsi="Arial" w:cs="Arial"/>
        </w:rPr>
      </w:pPr>
      <w:r w:rsidRPr="0E260372">
        <w:rPr>
          <w:rFonts w:ascii="Arial" w:eastAsia="Arial" w:hAnsi="Arial" w:cs="Arial"/>
        </w:rPr>
        <w:t>This chapter provided a comprehensive overview of adolescent substance addiction from historical, theoretical, international and national/local perspectives. It has demonstrated how shifting societal views and regulatory frameworks, such as the Misuse of Drugs Act of 1971 and evolving safeguarding policies, have impacted youth-focused interventions (Flacks, 2018). Theoretical approaches such as Social Learning Theory and Ecological Systems Theory have also shed light on the complex social and environmental factors that influence teenage substance use. Comparative international approaches emphasised the importance of integrated, early intervention techniques.</w:t>
      </w:r>
    </w:p>
    <w:p w14:paraId="28A8D7AB" w14:textId="4ED3EAC8" w:rsidR="4D540996" w:rsidRDefault="4D540996" w:rsidP="00597F9E">
      <w:pPr>
        <w:spacing w:after="0"/>
        <w:rPr>
          <w:rFonts w:ascii="Arial" w:eastAsia="Arial" w:hAnsi="Arial" w:cs="Arial"/>
          <w:sz w:val="24"/>
          <w:szCs w:val="24"/>
        </w:rPr>
      </w:pPr>
      <w:r w:rsidRPr="0E260372">
        <w:rPr>
          <w:rFonts w:ascii="Arial" w:eastAsia="Arial" w:hAnsi="Arial" w:cs="Arial"/>
          <w:sz w:val="24"/>
          <w:szCs w:val="24"/>
        </w:rPr>
        <w:t>Signpost to next chapter</w:t>
      </w:r>
    </w:p>
    <w:p w14:paraId="407ABDAE" w14:textId="0AC4F53E" w:rsidR="00880B2D" w:rsidRDefault="4D540996" w:rsidP="00597F9E">
      <w:pPr>
        <w:spacing w:after="0"/>
        <w:sectPr w:rsidR="00880B2D">
          <w:headerReference w:type="default" r:id="rId12"/>
          <w:footerReference w:type="default" r:id="rId13"/>
          <w:pgSz w:w="11906" w:h="16838"/>
          <w:pgMar w:top="1440" w:right="1440" w:bottom="1440" w:left="1440" w:header="708" w:footer="708" w:gutter="0"/>
          <w:cols w:space="708"/>
          <w:docGrid w:linePitch="360"/>
        </w:sectPr>
      </w:pPr>
      <w:r w:rsidRPr="0E260372">
        <w:rPr>
          <w:rFonts w:ascii="Arial" w:eastAsia="Arial" w:hAnsi="Arial" w:cs="Arial"/>
        </w:rPr>
        <w:t>The methodology for the study will be described in the following chapter, along with research design, sample and ethical considerations. Building on the contextual groundwork laid here, Chapter 3 will explain how this background influenced the methodologies used and justified the study's focus on the structural and psychosocial aspects of adolescent substance use in England.</w:t>
      </w:r>
    </w:p>
    <w:p w14:paraId="26E98DFC" w14:textId="1F612C3E" w:rsidR="00292A36" w:rsidRDefault="00292A36" w:rsidP="00597F9E">
      <w:pPr>
        <w:pStyle w:val="Heading1"/>
        <w:spacing w:line="360" w:lineRule="auto"/>
        <w:ind w:left="0"/>
        <w:jc w:val="both"/>
        <w:rPr>
          <w:rFonts w:eastAsia="Arial" w:cs="Arial"/>
        </w:rPr>
      </w:pPr>
    </w:p>
    <w:p w14:paraId="783C35C1" w14:textId="77777777" w:rsidR="000F7A0B" w:rsidRDefault="000F7A0B" w:rsidP="00597F9E">
      <w:pPr>
        <w:pStyle w:val="Heading1"/>
        <w:spacing w:line="360" w:lineRule="auto"/>
        <w:ind w:left="0"/>
        <w:jc w:val="both"/>
        <w:rPr>
          <w:rFonts w:eastAsia="Arial" w:cs="Arial"/>
        </w:rPr>
      </w:pPr>
    </w:p>
    <w:p w14:paraId="165AC4F7" w14:textId="77777777" w:rsidR="000F7A0B" w:rsidRPr="00292A36" w:rsidRDefault="000F7A0B" w:rsidP="00597F9E">
      <w:pPr>
        <w:pStyle w:val="Heading1"/>
        <w:spacing w:line="360" w:lineRule="auto"/>
        <w:ind w:left="0"/>
        <w:jc w:val="both"/>
        <w:rPr>
          <w:rFonts w:eastAsia="Arial" w:cs="Arial"/>
        </w:rPr>
      </w:pPr>
    </w:p>
    <w:p w14:paraId="6DBDC450" w14:textId="77777777" w:rsidR="000D6442" w:rsidRDefault="000D6442" w:rsidP="00597F9E">
      <w:pPr>
        <w:pStyle w:val="Heading1"/>
        <w:spacing w:line="360" w:lineRule="auto"/>
        <w:ind w:left="0"/>
        <w:jc w:val="both"/>
        <w:rPr>
          <w:rFonts w:eastAsia="Arial" w:cs="Arial"/>
        </w:rPr>
      </w:pPr>
    </w:p>
    <w:p w14:paraId="1C1D6F97" w14:textId="77777777" w:rsidR="00E85409" w:rsidRDefault="00E85409" w:rsidP="00597F9E">
      <w:pPr>
        <w:pStyle w:val="Heading1"/>
        <w:spacing w:line="360" w:lineRule="auto"/>
        <w:ind w:left="0"/>
        <w:jc w:val="both"/>
        <w:rPr>
          <w:rFonts w:eastAsia="Arial" w:cs="Arial"/>
        </w:rPr>
      </w:pPr>
      <w:bookmarkStart w:id="12" w:name="_Toc213871348"/>
    </w:p>
    <w:p w14:paraId="398427E3" w14:textId="2FEC6CFA" w:rsidR="00292A36" w:rsidRPr="00292A36" w:rsidRDefault="00292A36" w:rsidP="00597F9E">
      <w:pPr>
        <w:pStyle w:val="Heading1"/>
        <w:spacing w:line="360" w:lineRule="auto"/>
        <w:ind w:left="0"/>
        <w:jc w:val="both"/>
        <w:rPr>
          <w:rFonts w:eastAsia="Arial" w:cs="Arial"/>
        </w:rPr>
      </w:pPr>
      <w:r w:rsidRPr="359E9537">
        <w:rPr>
          <w:rFonts w:eastAsia="Arial" w:cs="Arial"/>
        </w:rPr>
        <w:t xml:space="preserve">CHAPTER 3 – </w:t>
      </w:r>
      <w:r w:rsidR="00E325CF" w:rsidRPr="359E9537">
        <w:rPr>
          <w:rFonts w:eastAsia="Arial" w:cs="Arial"/>
        </w:rPr>
        <w:t>Methods and Search Strategy</w:t>
      </w:r>
      <w:bookmarkEnd w:id="12"/>
    </w:p>
    <w:p w14:paraId="1C61F034" w14:textId="4B733750" w:rsidR="005B3EDE" w:rsidRPr="000F7A0B" w:rsidRDefault="00292A36" w:rsidP="00597F9E">
      <w:pPr>
        <w:pStyle w:val="Heading2"/>
        <w:rPr>
          <w:rFonts w:ascii="Arial" w:hAnsi="Arial" w:cs="Arial"/>
          <w:color w:val="auto"/>
        </w:rPr>
      </w:pPr>
      <w:bookmarkStart w:id="13" w:name="_Toc213871349"/>
      <w:r w:rsidRPr="000F7A0B">
        <w:rPr>
          <w:rFonts w:ascii="Arial" w:hAnsi="Arial" w:cs="Arial"/>
          <w:color w:val="auto"/>
        </w:rPr>
        <w:t>3.</w:t>
      </w:r>
      <w:r w:rsidR="005D7A1E" w:rsidRPr="000F7A0B">
        <w:rPr>
          <w:rFonts w:ascii="Arial" w:hAnsi="Arial" w:cs="Arial"/>
          <w:color w:val="auto"/>
        </w:rPr>
        <w:t>1</w:t>
      </w:r>
      <w:r w:rsidRPr="000F7A0B">
        <w:rPr>
          <w:rFonts w:ascii="Arial" w:hAnsi="Arial" w:cs="Arial"/>
          <w:color w:val="auto"/>
        </w:rPr>
        <w:t xml:space="preserve"> </w:t>
      </w:r>
      <w:r w:rsidR="04289B40" w:rsidRPr="000F7A0B">
        <w:rPr>
          <w:rFonts w:ascii="Arial" w:hAnsi="Arial" w:cs="Arial"/>
          <w:color w:val="auto"/>
        </w:rPr>
        <w:t>Introduction</w:t>
      </w:r>
      <w:bookmarkEnd w:id="13"/>
    </w:p>
    <w:p w14:paraId="12EDC25C" w14:textId="2B2BF98B" w:rsidR="005B3EDE" w:rsidRPr="005B3EDE" w:rsidRDefault="04289B40" w:rsidP="00597F9E">
      <w:pPr>
        <w:rPr>
          <w:rFonts w:ascii="Arial" w:eastAsia="Arial" w:hAnsi="Arial" w:cs="Arial"/>
        </w:rPr>
      </w:pPr>
      <w:r w:rsidRPr="0E260372">
        <w:rPr>
          <w:rFonts w:ascii="Arial" w:eastAsia="Arial" w:hAnsi="Arial" w:cs="Arial"/>
        </w:rPr>
        <w:t>This</w:t>
      </w:r>
      <w:r w:rsidR="689C220A" w:rsidRPr="0E260372">
        <w:rPr>
          <w:rFonts w:ascii="Arial" w:eastAsia="Arial" w:hAnsi="Arial" w:cs="Arial"/>
        </w:rPr>
        <w:t xml:space="preserve"> chapter describes the methodological approaches used to perform this secondary, desk-based study on adolescent substance consumption in England. It builds on the Academic Methodology Poster, which offered a visual overview of the study design, by detailing the search strategy, inclusion and exclusion criteria, data validation and theme analysis methodology</w:t>
      </w:r>
      <w:r w:rsidR="45AB236E" w:rsidRPr="0E260372">
        <w:rPr>
          <w:rFonts w:ascii="Arial" w:eastAsia="Arial" w:hAnsi="Arial" w:cs="Arial"/>
        </w:rPr>
        <w:t xml:space="preserve"> (Hayley Alderson et al.,2020)</w:t>
      </w:r>
      <w:r w:rsidR="689C220A" w:rsidRPr="0E260372">
        <w:rPr>
          <w:rFonts w:ascii="Arial" w:eastAsia="Arial" w:hAnsi="Arial" w:cs="Arial"/>
        </w:rPr>
        <w:t>. The selected literature-based methodology allows for a thorough synthesis of available facts and theoretical views. These strategies are vital for identifying and critically evaluating sources that inform the thematic findings reported in Chapter 4, as well as maintaining methodological transparency and academic rigour throughout the research process.</w:t>
      </w:r>
    </w:p>
    <w:p w14:paraId="26D57E1D" w14:textId="32AEAAA8" w:rsidR="00B575E2" w:rsidRPr="000F7A0B" w:rsidRDefault="00292A36" w:rsidP="00597F9E">
      <w:pPr>
        <w:pStyle w:val="Heading2"/>
        <w:rPr>
          <w:rFonts w:ascii="Arial" w:hAnsi="Arial" w:cs="Arial"/>
          <w:color w:val="auto"/>
        </w:rPr>
      </w:pPr>
      <w:bookmarkStart w:id="14" w:name="_Toc213871350"/>
      <w:r w:rsidRPr="000F7A0B">
        <w:rPr>
          <w:rFonts w:ascii="Arial" w:hAnsi="Arial" w:cs="Arial"/>
          <w:color w:val="auto"/>
        </w:rPr>
        <w:t>3.</w:t>
      </w:r>
      <w:r w:rsidR="00E40B0D" w:rsidRPr="000F7A0B">
        <w:rPr>
          <w:rFonts w:ascii="Arial" w:hAnsi="Arial" w:cs="Arial"/>
          <w:color w:val="auto"/>
        </w:rPr>
        <w:t>2</w:t>
      </w:r>
      <w:r w:rsidRPr="000F7A0B">
        <w:rPr>
          <w:rFonts w:ascii="Arial" w:hAnsi="Arial" w:cs="Arial"/>
          <w:color w:val="auto"/>
        </w:rPr>
        <w:t xml:space="preserve"> Search Strategy</w:t>
      </w:r>
      <w:bookmarkEnd w:id="14"/>
    </w:p>
    <w:p w14:paraId="5F861701" w14:textId="5BB333FC" w:rsidR="00B575E2" w:rsidRDefault="11404875" w:rsidP="00597F9E">
      <w:pPr>
        <w:rPr>
          <w:rFonts w:ascii="Arial" w:eastAsia="Arial" w:hAnsi="Arial" w:cs="Arial"/>
        </w:rPr>
      </w:pPr>
      <w:r w:rsidRPr="0E260372">
        <w:rPr>
          <w:rFonts w:ascii="Arial" w:eastAsia="Arial" w:hAnsi="Arial" w:cs="Arial"/>
        </w:rPr>
        <w:t xml:space="preserve">The search approach was carefully planned to uncover relevant scholarly material on adolescent substance misuse in England. Keywords were created based on the research topic and objectives, including "adolescent substance use," "youth drug misuse," "teenage alcohol consumption," and "risk factors." Professional and technical synonyms such as "young people," "substance abuse," and "public health interventions" were also used to ensure thorough coverage. Boolean operators were strategically used, with 'AND' combining related notions and ''OR'' including differences in language. An organised search strategy was followed, with keyword combinations and search strings documented to enable a transparent and </w:t>
      </w:r>
      <w:r w:rsidR="366D3E4B" w:rsidRPr="0E260372">
        <w:rPr>
          <w:rFonts w:ascii="Arial" w:eastAsia="Arial" w:hAnsi="Arial" w:cs="Arial"/>
        </w:rPr>
        <w:t>replica effective to</w:t>
      </w:r>
      <w:r w:rsidRPr="0E260372">
        <w:rPr>
          <w:rFonts w:ascii="Arial" w:eastAsia="Arial" w:hAnsi="Arial" w:cs="Arial"/>
        </w:rPr>
        <w:t xml:space="preserve"> research process. </w:t>
      </w:r>
    </w:p>
    <w:p w14:paraId="57AFDE7A" w14:textId="75CD3632" w:rsidR="00B575E2" w:rsidRPr="008F566A" w:rsidRDefault="67BA8334" w:rsidP="00597F9E">
      <w:pPr>
        <w:pStyle w:val="Heading2"/>
        <w:rPr>
          <w:rFonts w:ascii="Arial" w:hAnsi="Arial" w:cs="Arial"/>
          <w:color w:val="auto"/>
        </w:rPr>
      </w:pPr>
      <w:bookmarkStart w:id="15" w:name="_Toc213871351"/>
      <w:r w:rsidRPr="008F566A">
        <w:rPr>
          <w:rFonts w:ascii="Arial" w:hAnsi="Arial" w:cs="Arial"/>
          <w:color w:val="auto"/>
        </w:rPr>
        <w:t>3.</w:t>
      </w:r>
      <w:r w:rsidR="6A7E4814" w:rsidRPr="008F566A">
        <w:rPr>
          <w:rFonts w:ascii="Arial" w:hAnsi="Arial" w:cs="Arial"/>
          <w:color w:val="auto"/>
        </w:rPr>
        <w:t xml:space="preserve">3 </w:t>
      </w:r>
      <w:r w:rsidR="00292A36" w:rsidRPr="008F566A">
        <w:rPr>
          <w:rFonts w:ascii="Arial" w:hAnsi="Arial" w:cs="Arial"/>
          <w:color w:val="auto"/>
        </w:rPr>
        <w:t>Searching for Information</w:t>
      </w:r>
      <w:bookmarkEnd w:id="15"/>
    </w:p>
    <w:p w14:paraId="0E352A91" w14:textId="4443A545" w:rsidR="632D96C1" w:rsidRDefault="632D96C1" w:rsidP="00597F9E">
      <w:pPr>
        <w:rPr>
          <w:rFonts w:ascii="Arial" w:eastAsia="Arial" w:hAnsi="Arial" w:cs="Arial"/>
        </w:rPr>
      </w:pPr>
      <w:r w:rsidRPr="0E260372">
        <w:rPr>
          <w:rFonts w:ascii="Arial" w:eastAsia="Arial" w:hAnsi="Arial" w:cs="Arial"/>
        </w:rPr>
        <w:t xml:space="preserve">To ensure the inclusion of legitimate, peer-reviewed and evidence-based literature, the search was carried out methodically across respected academic databases such as Google Scholar, PubMed, the UWTSD Library database, and Science Direct (as recommended by </w:t>
      </w:r>
      <w:r w:rsidR="3B79FE02" w:rsidRPr="0E260372">
        <w:rPr>
          <w:rFonts w:ascii="Arial" w:eastAsia="Arial" w:hAnsi="Arial" w:cs="Arial"/>
        </w:rPr>
        <w:t>Cooper et al., 2017)</w:t>
      </w:r>
      <w:r w:rsidRPr="0E260372">
        <w:rPr>
          <w:rFonts w:ascii="Arial" w:eastAsia="Arial" w:hAnsi="Arial" w:cs="Arial"/>
        </w:rPr>
        <w:t xml:space="preserve">. These platforms were selected due to their broad coverage of social science, psychology and public health studies on substance abuse among adolescents (as noted by </w:t>
      </w:r>
      <w:r w:rsidR="3C0E73C5" w:rsidRPr="0E260372">
        <w:rPr>
          <w:rFonts w:ascii="Arial" w:eastAsia="Arial" w:hAnsi="Arial" w:cs="Arial"/>
        </w:rPr>
        <w:t>Nath et al., 2022)</w:t>
      </w:r>
      <w:r w:rsidRPr="0E260372">
        <w:rPr>
          <w:rFonts w:ascii="Arial" w:eastAsia="Arial" w:hAnsi="Arial" w:cs="Arial"/>
        </w:rPr>
        <w:t xml:space="preserve">. Supplementary grey literature from Public Health England, NHS England, </w:t>
      </w:r>
      <w:r w:rsidRPr="0E260372">
        <w:rPr>
          <w:rFonts w:ascii="Arial" w:eastAsia="Arial" w:hAnsi="Arial" w:cs="Arial"/>
        </w:rPr>
        <w:lastRenderedPageBreak/>
        <w:t>the Office for Health Improvement and Disparities, and other UK government policy documents were also reviewed to provide a contemporary and practice-oriented perspective (according to Public Health England, 20</w:t>
      </w:r>
      <w:r w:rsidR="6AF7B8D0" w:rsidRPr="0E260372">
        <w:rPr>
          <w:rFonts w:ascii="Arial" w:eastAsia="Arial" w:hAnsi="Arial" w:cs="Arial"/>
        </w:rPr>
        <w:t>15</w:t>
      </w:r>
      <w:r w:rsidRPr="0E260372">
        <w:rPr>
          <w:rFonts w:ascii="Arial" w:eastAsia="Arial" w:hAnsi="Arial" w:cs="Arial"/>
        </w:rPr>
        <w:t>).</w:t>
      </w:r>
    </w:p>
    <w:p w14:paraId="2295362C" w14:textId="1C82BDA7" w:rsidR="632D96C1" w:rsidRDefault="632D96C1" w:rsidP="00597F9E">
      <w:pPr>
        <w:rPr>
          <w:rFonts w:ascii="Arial" w:eastAsia="Arial" w:hAnsi="Arial" w:cs="Arial"/>
        </w:rPr>
      </w:pPr>
      <w:r w:rsidRPr="0E260372">
        <w:rPr>
          <w:rFonts w:ascii="Arial" w:eastAsia="Arial" w:hAnsi="Arial" w:cs="Arial"/>
        </w:rPr>
        <w:t xml:space="preserve">To ensure current relevance, filters were used to narrow the results, limiting the materials to peer-reviewed English-language research published between 2010 and </w:t>
      </w:r>
      <w:r w:rsidR="72D7700F" w:rsidRPr="0E260372">
        <w:rPr>
          <w:rFonts w:ascii="Arial" w:eastAsia="Arial" w:hAnsi="Arial" w:cs="Arial"/>
        </w:rPr>
        <w:t>2024.</w:t>
      </w:r>
      <w:r w:rsidRPr="0E260372">
        <w:rPr>
          <w:rFonts w:ascii="Arial" w:eastAsia="Arial" w:hAnsi="Arial" w:cs="Arial"/>
        </w:rPr>
        <w:t xml:space="preserve"> Searches were further restricted to UK-based studies whenever feasible to conform to the dissertation's national focus. However, research from foreign sources was mainly excluded, which may limit comparative understanding and lessen the broader applicability of findings</w:t>
      </w:r>
      <w:r w:rsidR="0002E182" w:rsidRPr="0E260372">
        <w:rPr>
          <w:rFonts w:ascii="Arial" w:eastAsia="Arial" w:hAnsi="Arial" w:cs="Arial"/>
        </w:rPr>
        <w:t xml:space="preserve"> </w:t>
      </w:r>
      <w:r w:rsidRPr="0E260372">
        <w:rPr>
          <w:rFonts w:ascii="Arial" w:eastAsia="Arial" w:hAnsi="Arial" w:cs="Arial"/>
        </w:rPr>
        <w:t>an acknowledged shortcoming of this search technique</w:t>
      </w:r>
      <w:r w:rsidR="0D2FEE42" w:rsidRPr="0E260372">
        <w:rPr>
          <w:rFonts w:ascii="Arial" w:eastAsia="Arial" w:hAnsi="Arial" w:cs="Arial"/>
        </w:rPr>
        <w:t>.</w:t>
      </w:r>
    </w:p>
    <w:p w14:paraId="7B4FB887" w14:textId="0639B199" w:rsidR="632D96C1" w:rsidRDefault="632D96C1" w:rsidP="00597F9E">
      <w:pPr>
        <w:rPr>
          <w:rFonts w:ascii="Arial" w:eastAsia="Arial" w:hAnsi="Arial" w:cs="Arial"/>
        </w:rPr>
      </w:pPr>
      <w:r w:rsidRPr="0E260372">
        <w:rPr>
          <w:rFonts w:ascii="Arial" w:eastAsia="Arial" w:hAnsi="Arial" w:cs="Arial"/>
        </w:rPr>
        <w:t xml:space="preserve">The search was repeatedly performed with Boolean combinations optimised for precision (e.g., "adolescent drug use England" AND "policy" OR "public health response"), following best-practice approaches in systematic reviews (as discussed by </w:t>
      </w:r>
      <w:r w:rsidR="62926D97" w:rsidRPr="0E260372">
        <w:rPr>
          <w:rFonts w:ascii="Arial" w:eastAsia="Arial" w:hAnsi="Arial" w:cs="Arial"/>
        </w:rPr>
        <w:t>Alharbi and Stevenson</w:t>
      </w:r>
      <w:r w:rsidR="002D32AB">
        <w:rPr>
          <w:rFonts w:ascii="Arial" w:eastAsia="Arial" w:hAnsi="Arial" w:cs="Arial"/>
        </w:rPr>
        <w:t>,</w:t>
      </w:r>
      <w:r w:rsidR="62926D97" w:rsidRPr="0E260372">
        <w:rPr>
          <w:rFonts w:ascii="Arial" w:eastAsia="Arial" w:hAnsi="Arial" w:cs="Arial"/>
        </w:rPr>
        <w:t xml:space="preserve"> 2020)</w:t>
      </w:r>
      <w:r w:rsidRPr="0E260372">
        <w:rPr>
          <w:rFonts w:ascii="Arial" w:eastAsia="Arial" w:hAnsi="Arial" w:cs="Arial"/>
        </w:rPr>
        <w:t>.</w:t>
      </w:r>
      <w:r w:rsidR="237B7AE0" w:rsidRPr="0E260372">
        <w:rPr>
          <w:rFonts w:ascii="Arial" w:eastAsia="Arial" w:hAnsi="Arial" w:cs="Arial"/>
        </w:rPr>
        <w:t xml:space="preserve"> For detailed documentation of search results and keyword combinations, see Appendix B (Source Tracking Table).</w:t>
      </w:r>
    </w:p>
    <w:p w14:paraId="7661C292" w14:textId="27289C43" w:rsidR="00B575E2" w:rsidRPr="008F566A" w:rsidRDefault="59FF335E" w:rsidP="00597F9E">
      <w:pPr>
        <w:pStyle w:val="Heading2"/>
        <w:rPr>
          <w:rFonts w:ascii="Arial" w:hAnsi="Arial" w:cs="Arial"/>
          <w:color w:val="auto"/>
        </w:rPr>
      </w:pPr>
      <w:bookmarkStart w:id="16" w:name="_Toc213871352"/>
      <w:r w:rsidRPr="008F566A">
        <w:rPr>
          <w:rFonts w:ascii="Arial" w:hAnsi="Arial" w:cs="Arial"/>
          <w:color w:val="auto"/>
        </w:rPr>
        <w:t>3.4</w:t>
      </w:r>
      <w:r w:rsidR="00292A36" w:rsidRPr="008F566A">
        <w:rPr>
          <w:rFonts w:ascii="Arial" w:hAnsi="Arial" w:cs="Arial"/>
          <w:color w:val="auto"/>
        </w:rPr>
        <w:t xml:space="preserve"> Research Validation</w:t>
      </w:r>
      <w:bookmarkEnd w:id="16"/>
      <w:r w:rsidR="00292A36" w:rsidRPr="008F566A">
        <w:rPr>
          <w:rFonts w:ascii="Arial" w:hAnsi="Arial" w:cs="Arial"/>
          <w:color w:val="auto"/>
        </w:rPr>
        <w:t xml:space="preserve"> </w:t>
      </w:r>
    </w:p>
    <w:p w14:paraId="60927605" w14:textId="7ADC8BD9" w:rsidR="00B575E2" w:rsidRPr="00B575E2" w:rsidRDefault="3ED01DB6" w:rsidP="00597F9E">
      <w:pPr>
        <w:keepLines/>
        <w:rPr>
          <w:rFonts w:ascii="Arial" w:eastAsia="Arial" w:hAnsi="Arial" w:cs="Arial"/>
        </w:rPr>
      </w:pPr>
      <w:r w:rsidRPr="0E260372">
        <w:rPr>
          <w:rFonts w:ascii="Arial" w:eastAsia="Arial" w:hAnsi="Arial" w:cs="Arial"/>
        </w:rPr>
        <w:t>To ensure the inclusion of reputable and relevant material, each article was initially skimmed by evaluating its title, abstract, introduction and conclusion to determine its relevance to the research topic of teenage substance abuse. This first screening enabled the rapid identification of research that directly addressed policy frameworks, psychosocial issues and therapeutic options relevant to the UK context.</w:t>
      </w:r>
    </w:p>
    <w:p w14:paraId="209B1113" w14:textId="27450949" w:rsidR="00B575E2" w:rsidRPr="00B575E2" w:rsidRDefault="12B8A802" w:rsidP="00597F9E">
      <w:pPr>
        <w:keepLines/>
        <w:rPr>
          <w:rFonts w:ascii="Arial" w:eastAsia="Arial" w:hAnsi="Arial" w:cs="Arial"/>
        </w:rPr>
      </w:pPr>
      <w:r w:rsidRPr="0E260372">
        <w:rPr>
          <w:rFonts w:ascii="Arial" w:eastAsia="Arial" w:hAnsi="Arial" w:cs="Arial"/>
        </w:rPr>
        <w:t>The CRAAP test (Currency, Relevance, Authority, Accuracy and Purpose) was used consistently to assess the quality of each source. Materials with high currency, relevance and authority were prioritised, particularly recent peer-reviewed articles and government policy documents.</w:t>
      </w:r>
    </w:p>
    <w:p w14:paraId="7EFE55CC" w14:textId="508F745C" w:rsidR="00B575E2" w:rsidRPr="00B575E2" w:rsidRDefault="25F7FEB5" w:rsidP="00597F9E">
      <w:pPr>
        <w:keepLines/>
        <w:rPr>
          <w:rFonts w:ascii="Arial" w:eastAsia="Arial" w:hAnsi="Arial" w:cs="Arial"/>
        </w:rPr>
      </w:pPr>
      <w:r w:rsidRPr="0E260372">
        <w:rPr>
          <w:rFonts w:ascii="Arial" w:eastAsia="Arial" w:hAnsi="Arial" w:cs="Arial"/>
        </w:rPr>
        <w:t xml:space="preserve">Decisions were made based on how well a source supported public health and social care viewpoints with empirical data or theoretical understanding. According to </w:t>
      </w:r>
      <w:r w:rsidR="4AC863E0" w:rsidRPr="0E260372">
        <w:rPr>
          <w:rFonts w:ascii="Arial" w:eastAsia="Arial" w:hAnsi="Arial" w:cs="Arial"/>
        </w:rPr>
        <w:t>Lancaster (2021)</w:t>
      </w:r>
      <w:r w:rsidRPr="0E260372">
        <w:rPr>
          <w:rFonts w:ascii="Arial" w:eastAsia="Arial" w:hAnsi="Arial" w:cs="Arial"/>
        </w:rPr>
        <w:t>, having an organised and transparent validation procedure improves the dependability and academic integrity of secondary research.</w:t>
      </w:r>
      <w:r w:rsidR="1659FF87" w:rsidRPr="0E260372">
        <w:rPr>
          <w:rFonts w:ascii="Arial" w:eastAsia="Arial" w:hAnsi="Arial" w:cs="Arial"/>
        </w:rPr>
        <w:t xml:space="preserve"> A summary of validated sources is also provided in Appendix B to enhance transparency.</w:t>
      </w:r>
    </w:p>
    <w:p w14:paraId="1C1CD00C" w14:textId="39B4DFF2" w:rsidR="00B575E2" w:rsidRPr="00B575E2" w:rsidRDefault="00B575E2" w:rsidP="00597F9E">
      <w:pPr>
        <w:rPr>
          <w:rFonts w:ascii="Arial" w:eastAsia="Arial" w:hAnsi="Arial" w:cs="Arial"/>
        </w:rPr>
      </w:pPr>
    </w:p>
    <w:p w14:paraId="3648E023" w14:textId="26F89DCD" w:rsidR="00B575E2" w:rsidRPr="00292A36" w:rsidRDefault="065A5AE8" w:rsidP="00597F9E">
      <w:pPr>
        <w:rPr>
          <w:rFonts w:ascii="Arial" w:eastAsia="Arial" w:hAnsi="Arial" w:cs="Arial"/>
        </w:rPr>
      </w:pPr>
      <w:bookmarkStart w:id="17" w:name="_Toc213871353"/>
      <w:r w:rsidRPr="008857D9">
        <w:rPr>
          <w:rStyle w:val="Heading2Char"/>
          <w:rFonts w:ascii="Arial" w:hAnsi="Arial" w:cs="Arial"/>
          <w:color w:val="auto"/>
        </w:rPr>
        <w:t>3.5</w:t>
      </w:r>
      <w:r w:rsidR="00292A36" w:rsidRPr="008857D9">
        <w:rPr>
          <w:rStyle w:val="Heading2Char"/>
          <w:rFonts w:ascii="Arial" w:hAnsi="Arial" w:cs="Arial"/>
          <w:color w:val="auto"/>
        </w:rPr>
        <w:t xml:space="preserve"> Inclusion and Exclusion Criteria</w:t>
      </w:r>
      <w:bookmarkEnd w:id="17"/>
      <w:r w:rsidR="00292A36" w:rsidRPr="008857D9">
        <w:rPr>
          <w:rStyle w:val="Heading2Char"/>
          <w:rFonts w:ascii="Arial" w:hAnsi="Arial" w:cs="Arial"/>
          <w:color w:val="auto"/>
        </w:rPr>
        <w:t xml:space="preserve">  </w:t>
      </w:r>
      <w:r w:rsidRPr="008857D9">
        <w:rPr>
          <w:rStyle w:val="Heading2Char"/>
          <w:rFonts w:ascii="Arial" w:hAnsi="Arial" w:cs="Arial"/>
          <w:color w:val="auto"/>
        </w:rPr>
        <w:br/>
      </w:r>
      <w:r w:rsidR="00B575E2" w:rsidRPr="359E9537">
        <w:rPr>
          <w:rFonts w:ascii="Arial" w:eastAsia="Arial" w:hAnsi="Arial" w:cs="Arial"/>
        </w:rPr>
        <w:t xml:space="preserve"> </w:t>
      </w:r>
      <w:r w:rsidR="3EBE84F7" w:rsidRPr="359E9537">
        <w:rPr>
          <w:rFonts w:ascii="Arial" w:eastAsia="Arial" w:hAnsi="Arial" w:cs="Arial"/>
        </w:rPr>
        <w:t>To preserve methodological rigour and relevance, explicit inclusion and exclusion criteria were used during the literature selection process.</w:t>
      </w:r>
    </w:p>
    <w:p w14:paraId="682C1833" w14:textId="05BBEFBF" w:rsidR="00B575E2" w:rsidRPr="00292A36" w:rsidRDefault="00B575E2" w:rsidP="00597F9E">
      <w:pPr>
        <w:rPr>
          <w:rFonts w:ascii="Arial" w:eastAsia="Arial" w:hAnsi="Arial" w:cs="Arial"/>
        </w:rPr>
      </w:pPr>
    </w:p>
    <w:p w14:paraId="54144265" w14:textId="7094FF86" w:rsidR="00B575E2" w:rsidRPr="00292A36" w:rsidRDefault="3EBE84F7" w:rsidP="00597F9E">
      <w:pPr>
        <w:rPr>
          <w:rFonts w:ascii="Arial" w:eastAsia="Arial" w:hAnsi="Arial" w:cs="Arial"/>
        </w:rPr>
      </w:pPr>
      <w:r w:rsidRPr="0E260372">
        <w:rPr>
          <w:rFonts w:ascii="Arial" w:eastAsia="Arial" w:hAnsi="Arial" w:cs="Arial"/>
        </w:rPr>
        <w:t xml:space="preserve"> </w:t>
      </w:r>
      <w:r w:rsidRPr="0E260372">
        <w:rPr>
          <w:rFonts w:ascii="Arial" w:eastAsia="Arial" w:hAnsi="Arial" w:cs="Arial"/>
          <w:sz w:val="24"/>
          <w:szCs w:val="24"/>
        </w:rPr>
        <w:t xml:space="preserve">Inclusion Criteria </w:t>
      </w:r>
    </w:p>
    <w:p w14:paraId="533573DE" w14:textId="67A98E14" w:rsidR="00B575E2" w:rsidRPr="00292A36" w:rsidRDefault="3EBE84F7" w:rsidP="00597F9E">
      <w:pPr>
        <w:rPr>
          <w:rFonts w:ascii="Arial" w:eastAsia="Arial" w:hAnsi="Arial" w:cs="Arial"/>
        </w:rPr>
      </w:pPr>
      <w:r w:rsidRPr="0E260372">
        <w:rPr>
          <w:rFonts w:ascii="Arial" w:eastAsia="Arial" w:hAnsi="Arial" w:cs="Arial"/>
        </w:rPr>
        <w:t>The review included peer-reviewed academic papers, government and organisation reports, and policy documents published between 2010 and 2024. Priority was given to studies focussing on teenagers aged 13-18 in the United Kingdom, studying substance usage, associated risk factors, and policy interventions</w:t>
      </w:r>
      <w:r w:rsidR="473787BE" w:rsidRPr="0E260372">
        <w:rPr>
          <w:rFonts w:ascii="Arial" w:eastAsia="Arial" w:hAnsi="Arial" w:cs="Arial"/>
        </w:rPr>
        <w:t xml:space="preserve"> (</w:t>
      </w:r>
      <w:proofErr w:type="spellStart"/>
      <w:r w:rsidR="473787BE" w:rsidRPr="0E260372">
        <w:rPr>
          <w:rFonts w:ascii="Arial" w:eastAsia="Arial" w:hAnsi="Arial" w:cs="Arial"/>
        </w:rPr>
        <w:t>Jiloha</w:t>
      </w:r>
      <w:proofErr w:type="spellEnd"/>
      <w:r w:rsidR="473787BE" w:rsidRPr="0E260372">
        <w:rPr>
          <w:rFonts w:ascii="Arial" w:eastAsia="Arial" w:hAnsi="Arial" w:cs="Arial"/>
        </w:rPr>
        <w:t>, 2017</w:t>
      </w:r>
      <w:r w:rsidRPr="0E260372">
        <w:rPr>
          <w:rFonts w:ascii="Arial" w:eastAsia="Arial" w:hAnsi="Arial" w:cs="Arial"/>
        </w:rPr>
        <w:t>).</w:t>
      </w:r>
    </w:p>
    <w:p w14:paraId="4D6B9B5F" w14:textId="0731FFA9" w:rsidR="00B575E2" w:rsidRPr="00292A36" w:rsidRDefault="6D709CF7" w:rsidP="00597F9E">
      <w:pPr>
        <w:rPr>
          <w:rFonts w:ascii="Arial" w:eastAsia="Arial" w:hAnsi="Arial" w:cs="Arial"/>
          <w:sz w:val="24"/>
          <w:szCs w:val="24"/>
        </w:rPr>
      </w:pPr>
      <w:r w:rsidRPr="0E260372">
        <w:rPr>
          <w:rFonts w:ascii="Arial" w:eastAsia="Arial" w:hAnsi="Arial" w:cs="Arial"/>
          <w:sz w:val="24"/>
          <w:szCs w:val="24"/>
        </w:rPr>
        <w:t>Exclusion criteria</w:t>
      </w:r>
    </w:p>
    <w:p w14:paraId="725F2585" w14:textId="4B66A616" w:rsidR="00B575E2" w:rsidRPr="00292A36" w:rsidRDefault="3EBE84F7" w:rsidP="00597F9E">
      <w:pPr>
        <w:rPr>
          <w:rFonts w:ascii="Arial" w:eastAsia="Arial" w:hAnsi="Arial" w:cs="Arial"/>
        </w:rPr>
      </w:pPr>
      <w:r w:rsidRPr="0E260372">
        <w:rPr>
          <w:rFonts w:ascii="Arial" w:eastAsia="Arial" w:hAnsi="Arial" w:cs="Arial"/>
        </w:rPr>
        <w:t xml:space="preserve"> Sources were rejected if they were not peer-reviewed, opinion-based, not focused on the U</w:t>
      </w:r>
      <w:r w:rsidR="00C63BEE">
        <w:rPr>
          <w:rFonts w:ascii="Arial" w:eastAsia="Arial" w:hAnsi="Arial" w:cs="Arial"/>
        </w:rPr>
        <w:t>K</w:t>
      </w:r>
      <w:r w:rsidRPr="0E260372">
        <w:rPr>
          <w:rFonts w:ascii="Arial" w:eastAsia="Arial" w:hAnsi="Arial" w:cs="Arial"/>
        </w:rPr>
        <w:t>, or</w:t>
      </w:r>
      <w:r w:rsidR="009F5959">
        <w:rPr>
          <w:rFonts w:ascii="Arial" w:eastAsia="Arial" w:hAnsi="Arial" w:cs="Arial"/>
        </w:rPr>
        <w:t xml:space="preserve"> </w:t>
      </w:r>
      <w:r w:rsidRPr="0E260372">
        <w:rPr>
          <w:rFonts w:ascii="Arial" w:eastAsia="Arial" w:hAnsi="Arial" w:cs="Arial"/>
        </w:rPr>
        <w:t>primarily concerned with adult populations. Furthermore, research that lacked empirical evidence or methodological transparency were excluded to assure the quality and validity of the findings.</w:t>
      </w:r>
    </w:p>
    <w:p w14:paraId="79EFA533" w14:textId="1592A17A" w:rsidR="00B575E2" w:rsidRPr="00292A36" w:rsidRDefault="3EBE84F7" w:rsidP="00597F9E">
      <w:pPr>
        <w:rPr>
          <w:rFonts w:ascii="Arial" w:eastAsia="Arial" w:hAnsi="Arial" w:cs="Arial"/>
        </w:rPr>
      </w:pPr>
      <w:r w:rsidRPr="0E260372">
        <w:rPr>
          <w:rFonts w:ascii="Arial" w:eastAsia="Arial" w:hAnsi="Arial" w:cs="Arial"/>
        </w:rPr>
        <w:t xml:space="preserve"> These criteria ensured that the chosen literature remained relevant, reliable, and connected with the research goal, allowing for a focused synthesis of information on adolescent substance usage in England.</w:t>
      </w:r>
    </w:p>
    <w:p w14:paraId="01A5598C" w14:textId="1B0B7838" w:rsidR="0021364B" w:rsidRPr="00F1255F" w:rsidRDefault="10A61A36" w:rsidP="00597F9E">
      <w:pPr>
        <w:pStyle w:val="Heading2"/>
        <w:rPr>
          <w:rFonts w:ascii="Arial" w:hAnsi="Arial" w:cs="Arial"/>
          <w:color w:val="auto"/>
        </w:rPr>
      </w:pPr>
      <w:bookmarkStart w:id="18" w:name="_Toc213871354"/>
      <w:r w:rsidRPr="00F1255F">
        <w:rPr>
          <w:rFonts w:ascii="Arial" w:hAnsi="Arial" w:cs="Arial"/>
          <w:color w:val="auto"/>
        </w:rPr>
        <w:t>3.6</w:t>
      </w:r>
      <w:r w:rsidR="00292A36" w:rsidRPr="00F1255F">
        <w:rPr>
          <w:rFonts w:ascii="Arial" w:hAnsi="Arial" w:cs="Arial"/>
          <w:color w:val="auto"/>
        </w:rPr>
        <w:t xml:space="preserve"> Analysing Research</w:t>
      </w:r>
      <w:bookmarkEnd w:id="18"/>
      <w:r w:rsidR="00292A36" w:rsidRPr="00F1255F">
        <w:rPr>
          <w:rFonts w:ascii="Arial" w:hAnsi="Arial" w:cs="Arial"/>
          <w:color w:val="auto"/>
        </w:rPr>
        <w:t xml:space="preserve">  </w:t>
      </w:r>
    </w:p>
    <w:p w14:paraId="1896029B" w14:textId="5F6BEE4A" w:rsidR="00B01396" w:rsidRDefault="60A0984D" w:rsidP="00597F9E">
      <w:pPr>
        <w:rPr>
          <w:rFonts w:ascii="Arial" w:eastAsia="Arial" w:hAnsi="Arial" w:cs="Arial"/>
        </w:rPr>
      </w:pPr>
      <w:r w:rsidRPr="0E260372">
        <w:rPr>
          <w:rFonts w:ascii="Arial" w:eastAsia="Arial" w:hAnsi="Arial" w:cs="Arial"/>
        </w:rPr>
        <w:t>The selected secondary sources were extensively analysed using a thematic coding approach. Each publication was thoroughly analysed to discover common ideas, concepts and patterns linked to teenage substance abuse, such as socioeconomic factors, policy responses and intervention outcomes. Initial codes were created to capture essential concepts arising from the literature, and they were subsequently refined through repeated reading and comparison.</w:t>
      </w:r>
    </w:p>
    <w:p w14:paraId="2527B73C" w14:textId="5D69EB15" w:rsidR="00B01396" w:rsidRDefault="60A0984D" w:rsidP="00597F9E">
      <w:pPr>
        <w:rPr>
          <w:rFonts w:ascii="Arial" w:eastAsia="Arial" w:hAnsi="Arial" w:cs="Arial"/>
        </w:rPr>
      </w:pPr>
      <w:r w:rsidRPr="0E260372">
        <w:rPr>
          <w:rFonts w:ascii="Arial" w:eastAsia="Arial" w:hAnsi="Arial" w:cs="Arial"/>
        </w:rPr>
        <w:t xml:space="preserve"> Similar codes were then grouped into overarching topics relevant to the research aims, such as risk and protective variables, policy efficacy and service accessibility.</w:t>
      </w:r>
      <w:r w:rsidR="273D8534" w:rsidRPr="0E260372">
        <w:rPr>
          <w:rFonts w:ascii="Arial" w:eastAsia="Arial" w:hAnsi="Arial" w:cs="Arial"/>
        </w:rPr>
        <w:t xml:space="preserve"> As the researcher, I recognise that my choices may have shaped the thematic focus, though I remained objective and evidence-based throughout.</w:t>
      </w:r>
      <w:r w:rsidRPr="0E260372">
        <w:rPr>
          <w:rFonts w:ascii="Arial" w:eastAsia="Arial" w:hAnsi="Arial" w:cs="Arial"/>
        </w:rPr>
        <w:t xml:space="preserve"> This technique aided in the discovery of conceptual links between the structural, social and psychological features of teenage substance use. According to</w:t>
      </w:r>
      <w:r w:rsidR="55ED73ED" w:rsidRPr="0E260372">
        <w:rPr>
          <w:rFonts w:ascii="Arial" w:eastAsia="Arial" w:hAnsi="Arial" w:cs="Arial"/>
        </w:rPr>
        <w:t xml:space="preserve"> Castleberry and Nolen, (2018)</w:t>
      </w:r>
      <w:r w:rsidRPr="0E260372">
        <w:rPr>
          <w:rFonts w:ascii="Arial" w:eastAsia="Arial" w:hAnsi="Arial" w:cs="Arial"/>
        </w:rPr>
        <w:t xml:space="preserve"> thematic analysis allows researchers to look beyond surface-level patterns and discern underlying meanings in data in a methodical manner.</w:t>
      </w:r>
    </w:p>
    <w:p w14:paraId="3B4F0000" w14:textId="50BDC819" w:rsidR="506EB6CB" w:rsidRDefault="506EB6CB" w:rsidP="00597F9E">
      <w:pPr>
        <w:rPr>
          <w:rFonts w:ascii="Arial" w:eastAsia="Arial" w:hAnsi="Arial" w:cs="Arial"/>
        </w:rPr>
      </w:pPr>
      <w:r w:rsidRPr="0E260372">
        <w:rPr>
          <w:rFonts w:ascii="Arial" w:eastAsia="Arial" w:hAnsi="Arial" w:cs="Arial"/>
        </w:rPr>
        <w:t>To improve transparency and organisation, a colour-coded spreadsheet and thematic matrix were used to document coding progress and identify emergent patterns. This systematic strategy-maintained consistency, credibility and a clear audit trail for the findings presented in Chapter 4.</w:t>
      </w:r>
      <w:r w:rsidR="3A30AEE9" w:rsidRPr="0E260372">
        <w:rPr>
          <w:rFonts w:ascii="Arial" w:eastAsia="Arial" w:hAnsi="Arial" w:cs="Arial"/>
        </w:rPr>
        <w:t xml:space="preserve"> The identified themes were aligned with the research objectives, ensuring each contributed to the study’s aims on risk factors, policy responses and intervention effectiveness.</w:t>
      </w:r>
    </w:p>
    <w:p w14:paraId="701C686E" w14:textId="452532B1" w:rsidR="00C17A49" w:rsidRPr="00B01396" w:rsidRDefault="00C17A49" w:rsidP="00597F9E">
      <w:pPr>
        <w:rPr>
          <w:rFonts w:ascii="Arial" w:eastAsia="Arial" w:hAnsi="Arial" w:cs="Arial"/>
        </w:rPr>
      </w:pPr>
    </w:p>
    <w:p w14:paraId="34D844F4" w14:textId="563E7CB5" w:rsidR="00B01396" w:rsidRPr="00F1255F" w:rsidRDefault="656F944D" w:rsidP="00597F9E">
      <w:pPr>
        <w:pStyle w:val="Heading2"/>
        <w:rPr>
          <w:rFonts w:ascii="Arial" w:hAnsi="Arial" w:cs="Arial"/>
          <w:color w:val="auto"/>
        </w:rPr>
      </w:pPr>
      <w:bookmarkStart w:id="19" w:name="_Toc213871355"/>
      <w:r w:rsidRPr="00F1255F">
        <w:rPr>
          <w:rFonts w:ascii="Arial" w:hAnsi="Arial" w:cs="Arial"/>
          <w:color w:val="auto"/>
        </w:rPr>
        <w:lastRenderedPageBreak/>
        <w:t>3.7</w:t>
      </w:r>
      <w:r w:rsidR="00292A36" w:rsidRPr="00F1255F">
        <w:rPr>
          <w:rFonts w:ascii="Arial" w:hAnsi="Arial" w:cs="Arial"/>
          <w:color w:val="auto"/>
        </w:rPr>
        <w:t xml:space="preserve"> Ethical Considerations</w:t>
      </w:r>
      <w:bookmarkEnd w:id="19"/>
      <w:r w:rsidR="00292A36" w:rsidRPr="00F1255F">
        <w:rPr>
          <w:rFonts w:ascii="Arial" w:hAnsi="Arial" w:cs="Arial"/>
          <w:color w:val="auto"/>
        </w:rPr>
        <w:t xml:space="preserve"> </w:t>
      </w:r>
    </w:p>
    <w:p w14:paraId="073EA88D" w14:textId="03568DDD" w:rsidR="00C17A49" w:rsidRPr="00C17A49" w:rsidRDefault="7B4F1833" w:rsidP="00597F9E">
      <w:pPr>
        <w:rPr>
          <w:rFonts w:ascii="Arial" w:eastAsia="Arial" w:hAnsi="Arial" w:cs="Arial"/>
        </w:rPr>
      </w:pPr>
      <w:r w:rsidRPr="0E260372">
        <w:rPr>
          <w:rFonts w:ascii="Arial" w:eastAsia="Arial" w:hAnsi="Arial" w:cs="Arial"/>
        </w:rPr>
        <w:t>This dissertation is purely secondary in nature, drawing on pre-existing academic and policy sources without collecting any original data. Therefore, official ethical approval was not necessary. However, ethical norms were rigorously followed throughout the research procedure to maintain credibility and academic integrity.</w:t>
      </w:r>
    </w:p>
    <w:p w14:paraId="0AB836A6" w14:textId="3CCBFC3C" w:rsidR="540F1010" w:rsidRDefault="6CAD0246" w:rsidP="00597F9E">
      <w:pPr>
        <w:rPr>
          <w:rFonts w:ascii="Arial" w:eastAsia="Arial" w:hAnsi="Arial" w:cs="Arial"/>
        </w:rPr>
      </w:pPr>
      <w:r w:rsidRPr="0E260372">
        <w:rPr>
          <w:rFonts w:ascii="Arial" w:eastAsia="Arial" w:hAnsi="Arial" w:cs="Arial"/>
        </w:rPr>
        <w:t xml:space="preserve">Academic integrity was preserved by correctly referencing all sources using the Harvard referencing system and avoiding plagiarism or data fabrication. </w:t>
      </w:r>
      <w:r w:rsidR="70AD651E" w:rsidRPr="0E260372">
        <w:rPr>
          <w:rFonts w:ascii="Arial" w:eastAsia="Arial" w:hAnsi="Arial" w:cs="Arial"/>
        </w:rPr>
        <w:t>Simola (2017)</w:t>
      </w:r>
      <w:r w:rsidRPr="0E260372">
        <w:rPr>
          <w:rFonts w:ascii="Arial" w:eastAsia="Arial" w:hAnsi="Arial" w:cs="Arial"/>
        </w:rPr>
        <w:t xml:space="preserve"> states that while dealing with existing literature, ethical scholarship necessitates transparency, honesty and respect for intellectual property.</w:t>
      </w:r>
    </w:p>
    <w:p w14:paraId="5569F915" w14:textId="03CCE8F3" w:rsidR="001C3AF6" w:rsidRPr="001C3AF6" w:rsidRDefault="6CAD0246" w:rsidP="00597F9E">
      <w:pPr>
        <w:rPr>
          <w:rFonts w:ascii="Arial" w:eastAsia="Arial" w:hAnsi="Arial" w:cs="Arial"/>
        </w:rPr>
      </w:pPr>
      <w:r w:rsidRPr="0E260372">
        <w:rPr>
          <w:rFonts w:ascii="Arial" w:eastAsia="Arial" w:hAnsi="Arial" w:cs="Arial"/>
        </w:rPr>
        <w:t xml:space="preserve"> To enhance transparency and trustworthiness, all material was critically reviewed and presented objectively, ensuring that findings were not selectively reported or interpreted with bias. This technique promotes the creation of a balanced and trustworthy synthesis that adheres to established academic and ethical research guidelines.</w:t>
      </w:r>
    </w:p>
    <w:p w14:paraId="7F51675F" w14:textId="6619AE05" w:rsidR="00292A36" w:rsidRPr="00F1255F" w:rsidRDefault="00E325CF" w:rsidP="00597F9E">
      <w:pPr>
        <w:pStyle w:val="Heading2"/>
        <w:rPr>
          <w:rFonts w:ascii="Arial" w:hAnsi="Arial" w:cs="Arial"/>
          <w:b/>
          <w:bCs/>
          <w:color w:val="auto"/>
        </w:rPr>
      </w:pPr>
      <w:bookmarkStart w:id="20" w:name="_Toc213871356"/>
      <w:r w:rsidRPr="00F1255F">
        <w:rPr>
          <w:rFonts w:ascii="Arial" w:hAnsi="Arial" w:cs="Arial"/>
          <w:color w:val="auto"/>
        </w:rPr>
        <w:t xml:space="preserve">3.8 </w:t>
      </w:r>
      <w:r w:rsidR="00292A36" w:rsidRPr="00F1255F">
        <w:rPr>
          <w:rFonts w:ascii="Arial" w:hAnsi="Arial" w:cs="Arial"/>
          <w:color w:val="auto"/>
        </w:rPr>
        <w:t>Chapter Conclusion</w:t>
      </w:r>
      <w:bookmarkEnd w:id="20"/>
      <w:r w:rsidR="00292A36" w:rsidRPr="00F1255F">
        <w:rPr>
          <w:rFonts w:ascii="Arial" w:hAnsi="Arial" w:cs="Arial"/>
          <w:b/>
          <w:bCs/>
          <w:color w:val="auto"/>
        </w:rPr>
        <w:t xml:space="preserve"> </w:t>
      </w:r>
    </w:p>
    <w:p w14:paraId="7F8BD393" w14:textId="3B7A24F5" w:rsidR="005446BF" w:rsidRDefault="300F8D82" w:rsidP="00597F9E">
      <w:pPr>
        <w:rPr>
          <w:rFonts w:ascii="Arial" w:eastAsia="Arial" w:hAnsi="Arial" w:cs="Arial"/>
        </w:rPr>
      </w:pPr>
      <w:r w:rsidRPr="0E260372">
        <w:rPr>
          <w:rFonts w:ascii="Arial" w:eastAsia="Arial" w:hAnsi="Arial" w:cs="Arial"/>
        </w:rPr>
        <w:t>This chapter described the systematic procedure for identifying, evaluating and analysing relevant material using a structured search strategy and thematic coding approach. Each stage assured the incorporation of reputable, contemporary and contextually suitable sources that were relevant to the study's objectives. Rigorous validation and ethical consideration increased the reliability of the findings. The results of the thematic analysis will be presented in the following chapter, with each subject discussed in relation to the research question and the dissertation's overall aims.</w:t>
      </w:r>
    </w:p>
    <w:p w14:paraId="73898CB8" w14:textId="77777777" w:rsidR="001F19A6" w:rsidRPr="005446BF" w:rsidRDefault="001F19A6" w:rsidP="00597F9E"/>
    <w:p w14:paraId="46875351" w14:textId="404AAAF5" w:rsidR="1EC678D9" w:rsidRDefault="1EC678D9" w:rsidP="00597F9E">
      <w:pPr>
        <w:pStyle w:val="Heading1"/>
        <w:spacing w:line="360" w:lineRule="auto"/>
        <w:ind w:left="0"/>
        <w:jc w:val="both"/>
        <w:rPr>
          <w:rFonts w:ascii="Aptos" w:hAnsi="Aptos"/>
        </w:rPr>
      </w:pPr>
    </w:p>
    <w:p w14:paraId="3BC1B6D9" w14:textId="5192FF3D" w:rsidR="1EC678D9" w:rsidRDefault="1EC678D9" w:rsidP="00597F9E">
      <w:pPr>
        <w:pStyle w:val="Heading1"/>
        <w:spacing w:line="360" w:lineRule="auto"/>
        <w:ind w:left="0"/>
        <w:jc w:val="both"/>
        <w:rPr>
          <w:rFonts w:ascii="Aptos" w:hAnsi="Aptos"/>
        </w:rPr>
      </w:pPr>
    </w:p>
    <w:p w14:paraId="002A9FD0" w14:textId="2D16C45A" w:rsidR="1EC678D9" w:rsidRDefault="1EC678D9" w:rsidP="00597F9E">
      <w:pPr>
        <w:pStyle w:val="Heading1"/>
        <w:spacing w:line="360" w:lineRule="auto"/>
        <w:ind w:left="0"/>
        <w:jc w:val="both"/>
        <w:rPr>
          <w:rFonts w:ascii="Aptos" w:hAnsi="Aptos"/>
        </w:rPr>
      </w:pPr>
    </w:p>
    <w:p w14:paraId="704795FE" w14:textId="1A51351C" w:rsidR="1EC678D9" w:rsidRDefault="1EC678D9" w:rsidP="00597F9E">
      <w:pPr>
        <w:pStyle w:val="Heading1"/>
        <w:spacing w:line="360" w:lineRule="auto"/>
        <w:ind w:left="0"/>
        <w:jc w:val="both"/>
        <w:rPr>
          <w:rFonts w:ascii="Aptos" w:hAnsi="Aptos"/>
        </w:rPr>
      </w:pPr>
    </w:p>
    <w:p w14:paraId="058C8318" w14:textId="26687ECE" w:rsidR="1EC678D9" w:rsidRDefault="1EC678D9" w:rsidP="00597F9E">
      <w:pPr>
        <w:pStyle w:val="Heading1"/>
        <w:spacing w:line="360" w:lineRule="auto"/>
        <w:ind w:left="0"/>
        <w:jc w:val="both"/>
        <w:rPr>
          <w:rFonts w:ascii="Aptos" w:hAnsi="Aptos"/>
        </w:rPr>
      </w:pPr>
    </w:p>
    <w:p w14:paraId="01538BE7" w14:textId="1C6C1E63" w:rsidR="1EC678D9" w:rsidRDefault="1EC678D9" w:rsidP="00597F9E">
      <w:pPr>
        <w:pStyle w:val="Heading1"/>
        <w:spacing w:line="360" w:lineRule="auto"/>
        <w:ind w:left="0"/>
        <w:jc w:val="both"/>
        <w:rPr>
          <w:rFonts w:ascii="Aptos" w:hAnsi="Aptos"/>
        </w:rPr>
      </w:pPr>
    </w:p>
    <w:p w14:paraId="05490202" w14:textId="219158DA" w:rsidR="1EC678D9" w:rsidRDefault="1EC678D9" w:rsidP="00597F9E">
      <w:pPr>
        <w:pStyle w:val="Heading1"/>
        <w:spacing w:line="360" w:lineRule="auto"/>
        <w:ind w:left="0"/>
        <w:jc w:val="both"/>
        <w:rPr>
          <w:rFonts w:ascii="Aptos" w:hAnsi="Aptos"/>
        </w:rPr>
      </w:pPr>
    </w:p>
    <w:p w14:paraId="3505E12A" w14:textId="23A069A3" w:rsidR="1EC678D9" w:rsidRDefault="1EC678D9" w:rsidP="00597F9E">
      <w:pPr>
        <w:pStyle w:val="Heading1"/>
        <w:spacing w:line="360" w:lineRule="auto"/>
        <w:ind w:left="0"/>
        <w:jc w:val="both"/>
        <w:rPr>
          <w:rFonts w:ascii="Aptos" w:hAnsi="Aptos"/>
        </w:rPr>
      </w:pPr>
    </w:p>
    <w:p w14:paraId="659B60AF" w14:textId="2B2C28BA" w:rsidR="1EC678D9" w:rsidRDefault="1EC678D9" w:rsidP="00597F9E">
      <w:pPr>
        <w:pStyle w:val="Heading1"/>
        <w:spacing w:line="360" w:lineRule="auto"/>
        <w:ind w:left="0"/>
        <w:jc w:val="both"/>
        <w:rPr>
          <w:rFonts w:ascii="Aptos" w:hAnsi="Aptos"/>
        </w:rPr>
      </w:pPr>
    </w:p>
    <w:p w14:paraId="1733DC20" w14:textId="1127515E" w:rsidR="1EC678D9" w:rsidRDefault="1EC678D9" w:rsidP="00597F9E">
      <w:pPr>
        <w:pStyle w:val="Heading1"/>
        <w:spacing w:line="360" w:lineRule="auto"/>
        <w:ind w:left="0"/>
        <w:jc w:val="both"/>
        <w:rPr>
          <w:rFonts w:ascii="Aptos" w:hAnsi="Aptos"/>
        </w:rPr>
      </w:pPr>
    </w:p>
    <w:p w14:paraId="05250EF7" w14:textId="39F69431" w:rsidR="1EC678D9" w:rsidRDefault="1EC678D9" w:rsidP="00597F9E">
      <w:pPr>
        <w:pStyle w:val="Heading1"/>
        <w:spacing w:line="360" w:lineRule="auto"/>
        <w:ind w:left="0"/>
        <w:jc w:val="both"/>
        <w:rPr>
          <w:rFonts w:ascii="Aptos" w:hAnsi="Aptos"/>
        </w:rPr>
      </w:pPr>
    </w:p>
    <w:p w14:paraId="2AD392D5" w14:textId="4292F063" w:rsidR="1EC678D9" w:rsidRDefault="1EC678D9" w:rsidP="00597F9E">
      <w:pPr>
        <w:pStyle w:val="Heading1"/>
        <w:spacing w:line="360" w:lineRule="auto"/>
        <w:ind w:left="0"/>
        <w:jc w:val="both"/>
        <w:rPr>
          <w:rFonts w:ascii="Aptos" w:hAnsi="Aptos"/>
        </w:rPr>
      </w:pPr>
    </w:p>
    <w:p w14:paraId="47BB1201" w14:textId="3CE90E80" w:rsidR="1EC678D9" w:rsidRDefault="1EC678D9" w:rsidP="00597F9E">
      <w:pPr>
        <w:pStyle w:val="Heading1"/>
        <w:spacing w:line="360" w:lineRule="auto"/>
        <w:ind w:left="0"/>
        <w:jc w:val="both"/>
        <w:rPr>
          <w:rFonts w:ascii="Aptos" w:hAnsi="Aptos"/>
        </w:rPr>
      </w:pPr>
    </w:p>
    <w:p w14:paraId="094E2690" w14:textId="2798ED95" w:rsidR="1EC678D9" w:rsidRDefault="1EC678D9" w:rsidP="00597F9E">
      <w:pPr>
        <w:pStyle w:val="Heading1"/>
        <w:spacing w:line="360" w:lineRule="auto"/>
        <w:ind w:left="0"/>
        <w:jc w:val="both"/>
        <w:rPr>
          <w:rFonts w:ascii="Aptos" w:hAnsi="Aptos"/>
        </w:rPr>
      </w:pPr>
    </w:p>
    <w:p w14:paraId="3E27A013" w14:textId="36838064" w:rsidR="001C3AF6" w:rsidRPr="00F1255F" w:rsidRDefault="001C3AF6" w:rsidP="00814299">
      <w:pPr>
        <w:pStyle w:val="Heading1"/>
        <w:spacing w:line="360" w:lineRule="auto"/>
        <w:ind w:left="0"/>
        <w:jc w:val="both"/>
        <w:rPr>
          <w:rFonts w:eastAsia="Arial" w:cs="Arial"/>
          <w:b w:val="0"/>
          <w:bCs/>
        </w:rPr>
      </w:pPr>
      <w:bookmarkStart w:id="21" w:name="_Toc213871357"/>
      <w:r w:rsidRPr="00F1255F">
        <w:rPr>
          <w:rStyle w:val="Heading1Char"/>
          <w:b/>
          <w:bCs/>
        </w:rPr>
        <w:t>C</w:t>
      </w:r>
      <w:r w:rsidR="00636D9A" w:rsidRPr="00F1255F">
        <w:rPr>
          <w:rStyle w:val="Heading1Char"/>
          <w:b/>
          <w:bCs/>
        </w:rPr>
        <w:t>HAPTER</w:t>
      </w:r>
      <w:r w:rsidRPr="00F1255F">
        <w:rPr>
          <w:rStyle w:val="Heading1Char"/>
          <w:b/>
          <w:bCs/>
        </w:rPr>
        <w:t xml:space="preserve"> 4 Findings and Discussion</w:t>
      </w:r>
      <w:bookmarkEnd w:id="21"/>
      <w:r w:rsidRPr="00F1255F">
        <w:rPr>
          <w:rFonts w:eastAsia="Arial" w:cs="Arial"/>
          <w:b w:val="0"/>
          <w:bCs/>
        </w:rPr>
        <w:t xml:space="preserve"> </w:t>
      </w:r>
    </w:p>
    <w:p w14:paraId="7991C57B" w14:textId="103DA35A" w:rsidR="00636D9A" w:rsidRDefault="00636D9A" w:rsidP="00597F9E">
      <w:pPr>
        <w:rPr>
          <w:rFonts w:ascii="Arial" w:eastAsia="Arial" w:hAnsi="Arial" w:cs="Arial"/>
          <w:b/>
          <w:bCs/>
          <w:sz w:val="24"/>
          <w:szCs w:val="24"/>
        </w:rPr>
      </w:pPr>
    </w:p>
    <w:p w14:paraId="0CB43921" w14:textId="00BFB98D" w:rsidR="001C3AF6" w:rsidRPr="00F1255F" w:rsidRDefault="001C3AF6" w:rsidP="00597F9E">
      <w:pPr>
        <w:pStyle w:val="Heading2"/>
        <w:rPr>
          <w:rFonts w:ascii="Arial" w:hAnsi="Arial" w:cs="Arial"/>
          <w:color w:val="auto"/>
        </w:rPr>
      </w:pPr>
      <w:bookmarkStart w:id="22" w:name="_Toc213871358"/>
      <w:r w:rsidRPr="00F1255F">
        <w:rPr>
          <w:rFonts w:ascii="Arial" w:hAnsi="Arial" w:cs="Arial"/>
          <w:color w:val="auto"/>
        </w:rPr>
        <w:t>4.1 Introduction</w:t>
      </w:r>
      <w:bookmarkEnd w:id="22"/>
      <w:r w:rsidRPr="00F1255F">
        <w:rPr>
          <w:rFonts w:ascii="Arial" w:hAnsi="Arial" w:cs="Arial"/>
          <w:color w:val="auto"/>
        </w:rPr>
        <w:t xml:space="preserve"> </w:t>
      </w:r>
    </w:p>
    <w:p w14:paraId="35FEE6BB" w14:textId="08F7EEFC" w:rsidR="1062E658" w:rsidRDefault="1062E658" w:rsidP="00597F9E">
      <w:pPr>
        <w:rPr>
          <w:rFonts w:eastAsia="Aptos" w:cs="Aptos"/>
        </w:rPr>
      </w:pPr>
      <w:r w:rsidRPr="1EC678D9">
        <w:rPr>
          <w:rFonts w:ascii="Arial" w:eastAsia="Arial" w:hAnsi="Arial" w:cs="Arial"/>
        </w:rPr>
        <w:t xml:space="preserve">This chapter addresses the primary findings and critical discussion resulting from a thematic analysis of literature on adolescent substance misuse in England. The goal is to assess and evaluate the data gathered through the systematic search approach indicated in Chapter 3, and to connect these findings to the study goal of understanding the social, psychological, and structural factors impacting teenage substance addiction. According to </w:t>
      </w:r>
      <w:r w:rsidRPr="1EC678D9">
        <w:t>(</w:t>
      </w:r>
      <w:r w:rsidRPr="1EC678D9">
        <w:rPr>
          <w:rFonts w:ascii="Arial" w:eastAsia="Arial" w:hAnsi="Arial" w:cs="Arial"/>
        </w:rPr>
        <w:t>Verboom, Montgomery and Bennett, 2016), thematic analysis allows for a structured but flexible interpretation of qualitative data. The sections that follow explore the primary themes identified—social factors, policy effectiveness and intervention accessibility</w:t>
      </w:r>
      <w:r w:rsidR="034594C8" w:rsidRPr="1EC678D9">
        <w:rPr>
          <w:rFonts w:ascii="Arial" w:eastAsia="Arial" w:hAnsi="Arial" w:cs="Arial"/>
        </w:rPr>
        <w:t xml:space="preserve"> </w:t>
      </w:r>
      <w:r w:rsidRPr="1EC678D9">
        <w:rPr>
          <w:rFonts w:ascii="Arial" w:eastAsia="Arial" w:hAnsi="Arial" w:cs="Arial"/>
        </w:rPr>
        <w:t>with an emphasis on their implications for practice and policy</w:t>
      </w:r>
      <w:r w:rsidR="075B0CAC" w:rsidRPr="1EC678D9">
        <w:rPr>
          <w:rFonts w:ascii="Arial" w:eastAsia="Arial" w:hAnsi="Arial" w:cs="Arial"/>
        </w:rPr>
        <w:t xml:space="preserve"> (Flemming </w:t>
      </w:r>
      <w:r w:rsidR="075B0CAC" w:rsidRPr="1EC678D9">
        <w:rPr>
          <w:rFonts w:ascii="Arial" w:eastAsia="Arial" w:hAnsi="Arial" w:cs="Arial"/>
          <w:i/>
          <w:iCs/>
        </w:rPr>
        <w:t xml:space="preserve">et al., </w:t>
      </w:r>
      <w:r w:rsidR="075B0CAC" w:rsidRPr="1EC678D9">
        <w:rPr>
          <w:rFonts w:ascii="Arial" w:eastAsia="Arial" w:hAnsi="Arial" w:cs="Arial"/>
        </w:rPr>
        <w:t>2018)</w:t>
      </w:r>
      <w:r w:rsidRPr="1EC678D9">
        <w:rPr>
          <w:rFonts w:eastAsia="Aptos" w:cs="Aptos"/>
        </w:rPr>
        <w:t>.</w:t>
      </w:r>
    </w:p>
    <w:p w14:paraId="49AC5888" w14:textId="04F4BF35" w:rsidR="001C3AF6" w:rsidRPr="00F1255F" w:rsidRDefault="50EA2C30" w:rsidP="00597F9E">
      <w:pPr>
        <w:pStyle w:val="Heading2"/>
        <w:rPr>
          <w:rFonts w:ascii="Arial" w:hAnsi="Arial" w:cs="Arial"/>
          <w:color w:val="auto"/>
        </w:rPr>
      </w:pPr>
      <w:bookmarkStart w:id="23" w:name="_Toc213871359"/>
      <w:r w:rsidRPr="00F1255F">
        <w:rPr>
          <w:rFonts w:ascii="Arial" w:hAnsi="Arial" w:cs="Arial"/>
          <w:color w:val="auto"/>
        </w:rPr>
        <w:t>4.2 Thematic</w:t>
      </w:r>
      <w:r w:rsidR="001C3AF6" w:rsidRPr="00F1255F">
        <w:rPr>
          <w:rFonts w:ascii="Arial" w:hAnsi="Arial" w:cs="Arial"/>
          <w:color w:val="auto"/>
        </w:rPr>
        <w:t xml:space="preserve"> Analysis</w:t>
      </w:r>
      <w:bookmarkEnd w:id="23"/>
      <w:r w:rsidR="001C3AF6" w:rsidRPr="00F1255F">
        <w:rPr>
          <w:rFonts w:ascii="Arial" w:hAnsi="Arial" w:cs="Arial"/>
          <w:color w:val="auto"/>
        </w:rPr>
        <w:t xml:space="preserve"> </w:t>
      </w:r>
    </w:p>
    <w:p w14:paraId="2739E815" w14:textId="648AA6AE" w:rsidR="00636D9A" w:rsidRDefault="2D5F74E3" w:rsidP="00597F9E">
      <w:pPr>
        <w:rPr>
          <w:rFonts w:ascii="Arial" w:eastAsia="Arial" w:hAnsi="Arial" w:cs="Arial"/>
        </w:rPr>
      </w:pPr>
      <w:r w:rsidRPr="0E260372">
        <w:rPr>
          <w:rFonts w:ascii="Arial" w:eastAsia="Arial" w:hAnsi="Arial" w:cs="Arial"/>
        </w:rPr>
        <w:t xml:space="preserve">Thematic analysis is a qualitative method for identifying, interpreting and reporting patterns in data, allowing researchers to organise and describe their material in great depth (as defined by </w:t>
      </w:r>
      <w:r w:rsidR="5C166399" w:rsidRPr="0E260372">
        <w:rPr>
          <w:rFonts w:ascii="Arial" w:eastAsia="Arial" w:hAnsi="Arial" w:cs="Arial"/>
        </w:rPr>
        <w:t>Mackieson, Shlonsky and Connolly, 2019)</w:t>
      </w:r>
      <w:r w:rsidRPr="0E260372">
        <w:rPr>
          <w:rFonts w:ascii="Arial" w:eastAsia="Arial" w:hAnsi="Arial" w:cs="Arial"/>
        </w:rPr>
        <w:t xml:space="preserve">. In this secondary study, thematic analysis was used to synthesise data from peer-reviewed literature, policy documents, and government reports on adolescent substance misuse in England. The approach entailed thoroughly evaluating each study, categorising reoccurring concepts and issues, and categorising them into larger conceptual themes. Themes were identified based on patterns seen in the research and described in the finding's summary table using key code words and conceptual relationships (as proposed by </w:t>
      </w:r>
      <w:proofErr w:type="spellStart"/>
      <w:r w:rsidR="0CA5D118" w:rsidRPr="0E260372">
        <w:rPr>
          <w:rFonts w:ascii="Arial" w:eastAsia="Arial" w:hAnsi="Arial" w:cs="Arial"/>
        </w:rPr>
        <w:t>Segrott</w:t>
      </w:r>
      <w:proofErr w:type="spellEnd"/>
      <w:r w:rsidRPr="0E260372">
        <w:rPr>
          <w:rFonts w:ascii="Arial" w:eastAsia="Arial" w:hAnsi="Arial" w:cs="Arial"/>
        </w:rPr>
        <w:t xml:space="preserve"> et al., 20</w:t>
      </w:r>
      <w:r w:rsidR="50EA6213" w:rsidRPr="0E260372">
        <w:rPr>
          <w:rFonts w:ascii="Arial" w:eastAsia="Arial" w:hAnsi="Arial" w:cs="Arial"/>
        </w:rPr>
        <w:t>22</w:t>
      </w:r>
      <w:r w:rsidRPr="0E260372">
        <w:rPr>
          <w:rFonts w:ascii="Arial" w:eastAsia="Arial" w:hAnsi="Arial" w:cs="Arial"/>
        </w:rPr>
        <w:t>).</w:t>
      </w:r>
    </w:p>
    <w:p w14:paraId="53ACCB19" w14:textId="6F7C9BBB" w:rsidR="6EE56AA6" w:rsidRDefault="6EE56AA6" w:rsidP="00597F9E">
      <w:pPr>
        <w:rPr>
          <w:rFonts w:ascii="Arial" w:eastAsia="Arial" w:hAnsi="Arial" w:cs="Arial"/>
        </w:rPr>
      </w:pPr>
      <w:r w:rsidRPr="0E260372">
        <w:rPr>
          <w:rFonts w:ascii="Arial" w:eastAsia="Arial" w:hAnsi="Arial" w:cs="Arial"/>
        </w:rPr>
        <w:t xml:space="preserve">This method assured that interpretations were evidence-based and that themes represented both theoretical viewpoints and practical policy consequences. Thematic grouping assisted in organising complex data into coherent analytical categories, which was consistent with the </w:t>
      </w:r>
      <w:r w:rsidRPr="0E260372">
        <w:rPr>
          <w:rFonts w:ascii="Arial" w:eastAsia="Arial" w:hAnsi="Arial" w:cs="Arial"/>
        </w:rPr>
        <w:lastRenderedPageBreak/>
        <w:t>research goal of understanding social, psychological and structural influences on teenage substance abuse</w:t>
      </w:r>
      <w:r w:rsidR="0155AFB3" w:rsidRPr="0E260372">
        <w:rPr>
          <w:rFonts w:ascii="Arial" w:eastAsia="Arial" w:hAnsi="Arial" w:cs="Arial"/>
        </w:rPr>
        <w:t xml:space="preserve"> (Guise </w:t>
      </w:r>
      <w:r w:rsidR="0155AFB3" w:rsidRPr="0E260372">
        <w:rPr>
          <w:rFonts w:ascii="Arial" w:eastAsia="Arial" w:hAnsi="Arial" w:cs="Arial"/>
          <w:i/>
          <w:iCs/>
        </w:rPr>
        <w:t xml:space="preserve">et al., </w:t>
      </w:r>
      <w:r w:rsidR="0155AFB3" w:rsidRPr="0E260372">
        <w:rPr>
          <w:rFonts w:ascii="Arial" w:eastAsia="Arial" w:hAnsi="Arial" w:cs="Arial"/>
        </w:rPr>
        <w:t>2017)</w:t>
      </w:r>
      <w:r w:rsidRPr="0E260372">
        <w:rPr>
          <w:rFonts w:ascii="Arial" w:eastAsia="Arial" w:hAnsi="Arial" w:cs="Arial"/>
        </w:rPr>
        <w:t>. This analysis revealed three broad themes: social determinants and peer impact, policy and prevention efficacy and access to support and intervention services. These will be critically evaluated in the next sections.</w:t>
      </w:r>
      <w:r w:rsidR="00527737" w:rsidRPr="00527737">
        <w:t xml:space="preserve"> </w:t>
      </w:r>
      <w:r w:rsidR="00527737" w:rsidRPr="00527737">
        <w:rPr>
          <w:rFonts w:ascii="Arial" w:eastAsia="Arial" w:hAnsi="Arial" w:cs="Arial"/>
        </w:rPr>
        <w:t xml:space="preserve">These themes were developed directly from the coded data recorded in the Results Summary Table, ensuring a transparent link between the coding process and the findings presented (see Appendix </w:t>
      </w:r>
      <w:r w:rsidR="00527737">
        <w:rPr>
          <w:rFonts w:ascii="Arial" w:eastAsia="Arial" w:hAnsi="Arial" w:cs="Arial"/>
        </w:rPr>
        <w:t>B)</w:t>
      </w:r>
      <w:r w:rsidR="00070A79">
        <w:rPr>
          <w:rFonts w:ascii="Arial" w:eastAsia="Arial" w:hAnsi="Arial" w:cs="Arial"/>
        </w:rPr>
        <w:t>.</w:t>
      </w:r>
    </w:p>
    <w:p w14:paraId="3B39D7B4" w14:textId="77777777" w:rsidR="00636D9A" w:rsidRDefault="00636D9A" w:rsidP="00597F9E"/>
    <w:p w14:paraId="6C323831" w14:textId="06F300A1" w:rsidR="1EC678D9" w:rsidRDefault="1EC678D9" w:rsidP="00597F9E">
      <w:pPr>
        <w:pStyle w:val="Heading2"/>
      </w:pPr>
    </w:p>
    <w:p w14:paraId="1E614ABD" w14:textId="298E9722" w:rsidR="001C3AF6" w:rsidRPr="00636D9A" w:rsidRDefault="001C3AF6" w:rsidP="00597F9E">
      <w:pPr>
        <w:pStyle w:val="Heading2"/>
      </w:pPr>
      <w:bookmarkStart w:id="24" w:name="_Toc213871360"/>
      <w:r w:rsidRPr="0046434F">
        <w:rPr>
          <w:rFonts w:ascii="Arial" w:hAnsi="Arial" w:cs="Arial"/>
          <w:color w:val="auto"/>
        </w:rPr>
        <w:t>4.3 Theme 1 (</w:t>
      </w:r>
      <w:r w:rsidR="5768F81B" w:rsidRPr="0046434F">
        <w:rPr>
          <w:rFonts w:ascii="Arial" w:hAnsi="Arial" w:cs="Arial"/>
          <w:color w:val="auto"/>
        </w:rPr>
        <w:t>Social Determinants and Peer Impact</w:t>
      </w:r>
      <w:r w:rsidRPr="0046434F">
        <w:rPr>
          <w:rFonts w:ascii="Arial" w:hAnsi="Arial" w:cs="Arial"/>
          <w:color w:val="auto"/>
        </w:rPr>
        <w:t>)</w:t>
      </w:r>
      <w:bookmarkEnd w:id="24"/>
      <w:r w:rsidRPr="0046434F">
        <w:rPr>
          <w:color w:val="auto"/>
        </w:rPr>
        <w:t xml:space="preserve"> </w:t>
      </w:r>
    </w:p>
    <w:p w14:paraId="54500684" w14:textId="4B667C41" w:rsidR="3D28B6FA" w:rsidRDefault="3D28B6FA" w:rsidP="00597F9E">
      <w:pPr>
        <w:rPr>
          <w:rFonts w:ascii="Arial" w:eastAsia="Arial" w:hAnsi="Arial" w:cs="Arial"/>
          <w:b/>
          <w:bCs/>
          <w:sz w:val="24"/>
          <w:szCs w:val="24"/>
        </w:rPr>
      </w:pPr>
      <w:r w:rsidRPr="0E260372">
        <w:rPr>
          <w:rFonts w:ascii="Arial" w:eastAsia="Arial" w:hAnsi="Arial" w:cs="Arial"/>
          <w:sz w:val="24"/>
          <w:szCs w:val="24"/>
        </w:rPr>
        <w:t>Definition &amp; Context</w:t>
      </w:r>
    </w:p>
    <w:p w14:paraId="493E8ADB" w14:textId="6F56C298" w:rsidR="00860D9D" w:rsidRDefault="6A2D45F2" w:rsidP="00597F9E">
      <w:pPr>
        <w:rPr>
          <w:rFonts w:ascii="Arial" w:eastAsia="Arial" w:hAnsi="Arial" w:cs="Arial"/>
        </w:rPr>
      </w:pPr>
      <w:r w:rsidRPr="0E260372">
        <w:rPr>
          <w:rFonts w:ascii="Arial" w:eastAsia="Arial" w:hAnsi="Arial" w:cs="Arial"/>
        </w:rPr>
        <w:t xml:space="preserve">Social determinants are non-biological factors that influence health and behaviour, such as family structure, socioeconomic status, education and peer interactions. In the context of adolescent substance abuse, these factors include the environmental and social variables that influence young people's exposure, attitudes and coping mechanisms to drugs and alcohol. Peer effect, a key component of these factors, defines the influence peers have on one another's conduct and identity formation, particularly during adolescence, a period of increased social sensitivity and identity exploration </w:t>
      </w:r>
      <w:r w:rsidR="3BABD03A" w:rsidRPr="0E260372">
        <w:rPr>
          <w:rFonts w:ascii="Arial" w:eastAsia="Arial" w:hAnsi="Arial" w:cs="Arial"/>
        </w:rPr>
        <w:t xml:space="preserve">(Yoon </w:t>
      </w:r>
      <w:r w:rsidR="3BABD03A" w:rsidRPr="0E260372">
        <w:rPr>
          <w:rFonts w:ascii="Arial" w:eastAsia="Arial" w:hAnsi="Arial" w:cs="Arial"/>
          <w:i/>
          <w:iCs/>
        </w:rPr>
        <w:t xml:space="preserve">et al., </w:t>
      </w:r>
      <w:r w:rsidR="3BABD03A" w:rsidRPr="0E260372">
        <w:rPr>
          <w:rFonts w:ascii="Arial" w:eastAsia="Arial" w:hAnsi="Arial" w:cs="Arial"/>
        </w:rPr>
        <w:t>2018)</w:t>
      </w:r>
      <w:r w:rsidRPr="0E260372">
        <w:rPr>
          <w:rFonts w:ascii="Arial" w:eastAsia="Arial" w:hAnsi="Arial" w:cs="Arial"/>
        </w:rPr>
        <w:t xml:space="preserve">. </w:t>
      </w:r>
    </w:p>
    <w:p w14:paraId="7F885927" w14:textId="7BE2DCD3" w:rsidR="00636D9A" w:rsidRPr="00636D9A" w:rsidRDefault="6A2D45F2" w:rsidP="00597F9E">
      <w:pPr>
        <w:rPr>
          <w:rFonts w:ascii="Arial" w:eastAsia="Arial" w:hAnsi="Arial" w:cs="Arial"/>
        </w:rPr>
      </w:pPr>
      <w:r w:rsidRPr="0E260372">
        <w:rPr>
          <w:rFonts w:ascii="Arial" w:eastAsia="Arial" w:hAnsi="Arial" w:cs="Arial"/>
        </w:rPr>
        <w:t>Understanding these variables is critical for investigating why some teenagers are more susceptible to substance abuse than others and identifying the most effective intervention areas within social networks.</w:t>
      </w:r>
      <w:r w:rsidR="515D6B1C" w:rsidRPr="0E260372">
        <w:rPr>
          <w:rFonts w:ascii="Arial" w:eastAsia="Arial" w:hAnsi="Arial" w:cs="Arial"/>
        </w:rPr>
        <w:t xml:space="preserve"> </w:t>
      </w:r>
      <w:r w:rsidR="337EC930" w:rsidRPr="0E260372">
        <w:rPr>
          <w:rFonts w:ascii="Arial" w:eastAsia="Arial" w:hAnsi="Arial" w:cs="Arial"/>
        </w:rPr>
        <w:t>However,</w:t>
      </w:r>
      <w:r w:rsidR="1AF07FF6" w:rsidRPr="0E260372">
        <w:rPr>
          <w:rFonts w:ascii="Arial" w:eastAsia="Arial" w:hAnsi="Arial" w:cs="Arial"/>
        </w:rPr>
        <w:t xml:space="preserve"> Heard- Garris </w:t>
      </w:r>
      <w:r w:rsidR="20189B49" w:rsidRPr="0E260372">
        <w:rPr>
          <w:rFonts w:ascii="Arial" w:eastAsia="Arial" w:hAnsi="Arial" w:cs="Arial"/>
        </w:rPr>
        <w:t>et al.</w:t>
      </w:r>
      <w:r w:rsidR="47F7FF2B" w:rsidRPr="0E260372">
        <w:rPr>
          <w:rFonts w:ascii="Arial" w:eastAsia="Arial" w:hAnsi="Arial" w:cs="Arial"/>
        </w:rPr>
        <w:t>,</w:t>
      </w:r>
      <w:r w:rsidR="20189B49" w:rsidRPr="0E260372">
        <w:rPr>
          <w:rFonts w:ascii="Arial" w:eastAsia="Arial" w:hAnsi="Arial" w:cs="Arial"/>
        </w:rPr>
        <w:t xml:space="preserve"> (</w:t>
      </w:r>
      <w:r w:rsidR="1AF07FF6" w:rsidRPr="0E260372">
        <w:rPr>
          <w:rFonts w:ascii="Arial" w:eastAsia="Arial" w:hAnsi="Arial" w:cs="Arial"/>
        </w:rPr>
        <w:t>2021)</w:t>
      </w:r>
      <w:r w:rsidR="0BBC55E9" w:rsidRPr="0E260372">
        <w:rPr>
          <w:rFonts w:ascii="Arial" w:eastAsia="Arial" w:hAnsi="Arial" w:cs="Arial"/>
        </w:rPr>
        <w:t xml:space="preserve"> argued</w:t>
      </w:r>
      <w:r w:rsidR="515D6B1C" w:rsidRPr="0E260372">
        <w:rPr>
          <w:rFonts w:ascii="Arial" w:eastAsia="Arial" w:hAnsi="Arial" w:cs="Arial"/>
        </w:rPr>
        <w:t xml:space="preserve"> if structural inequality, such as poverty or limited access to school, are not acknowledged equally, such social explanations risk oversimplifying adolescent vulnerability, emphasising the need for intersectional investigations.</w:t>
      </w:r>
    </w:p>
    <w:p w14:paraId="4B5EDA6B" w14:textId="6736BE65" w:rsidR="0780A8A6" w:rsidRDefault="0780A8A6" w:rsidP="00597F9E">
      <w:pPr>
        <w:rPr>
          <w:rFonts w:ascii="Arial" w:eastAsia="Arial" w:hAnsi="Arial" w:cs="Arial"/>
          <w:b/>
          <w:bCs/>
        </w:rPr>
      </w:pPr>
      <w:r w:rsidRPr="0E260372">
        <w:rPr>
          <w:rFonts w:ascii="Arial" w:eastAsia="Arial" w:hAnsi="Arial" w:cs="Arial"/>
          <w:sz w:val="24"/>
          <w:szCs w:val="24"/>
        </w:rPr>
        <w:t>Historical and contextual backgr</w:t>
      </w:r>
      <w:r w:rsidR="005C293C">
        <w:rPr>
          <w:rFonts w:ascii="Arial" w:eastAsia="Arial" w:hAnsi="Arial" w:cs="Arial"/>
          <w:sz w:val="24"/>
          <w:szCs w:val="24"/>
        </w:rPr>
        <w:t>ound</w:t>
      </w:r>
    </w:p>
    <w:p w14:paraId="4BCA8948" w14:textId="662F555D" w:rsidR="0780A8A6" w:rsidRDefault="0780A8A6" w:rsidP="00597F9E">
      <w:r w:rsidRPr="0E260372">
        <w:rPr>
          <w:rFonts w:ascii="Arial" w:eastAsia="Arial" w:hAnsi="Arial" w:cs="Arial"/>
        </w:rPr>
        <w:t>Historically, research on adolescent substance use has moved away from individual-based theories (such as moral weakness or genetic predisposition) and towards socially and environmentally focused frameworks. Since the late twentieth century, public health and educational interventions have been guided by the fact that teens' substance use behaviours closely mimic those of their social settings. Following the Marmot Review (2010), which highlighted the impact of inequality and the environment on young people's health practices, social determinants gained prominence in UK policy discourse.</w:t>
      </w:r>
      <w:r w:rsidR="5310A8C9" w:rsidRPr="0E260372">
        <w:rPr>
          <w:rFonts w:ascii="Arial" w:eastAsia="Arial" w:hAnsi="Arial" w:cs="Arial"/>
        </w:rPr>
        <w:t xml:space="preserve"> </w:t>
      </w:r>
    </w:p>
    <w:p w14:paraId="2E37F512" w14:textId="5AE3C6D4" w:rsidR="5310A8C9" w:rsidRDefault="5310A8C9" w:rsidP="00597F9E">
      <w:r w:rsidRPr="0E260372">
        <w:rPr>
          <w:rFonts w:ascii="Arial" w:eastAsia="Arial" w:hAnsi="Arial" w:cs="Arial"/>
        </w:rPr>
        <w:t xml:space="preserve">According to </w:t>
      </w:r>
      <w:proofErr w:type="spellStart"/>
      <w:r w:rsidRPr="0E260372">
        <w:rPr>
          <w:rFonts w:ascii="Arial" w:eastAsia="Arial" w:hAnsi="Arial" w:cs="Arial"/>
        </w:rPr>
        <w:t>Segrott</w:t>
      </w:r>
      <w:proofErr w:type="spellEnd"/>
      <w:r w:rsidRPr="0E260372">
        <w:rPr>
          <w:rFonts w:ascii="Arial" w:eastAsia="Arial" w:hAnsi="Arial" w:cs="Arial"/>
        </w:rPr>
        <w:t xml:space="preserve"> et al. (2022), current research reveals that peer groups, family relationships, and community standards continue to be powerful motivators of early drug and </w:t>
      </w:r>
      <w:r w:rsidRPr="0E260372">
        <w:rPr>
          <w:rFonts w:ascii="Arial" w:eastAsia="Arial" w:hAnsi="Arial" w:cs="Arial"/>
        </w:rPr>
        <w:lastRenderedPageBreak/>
        <w:t>alcohol use. However, these frameworks have been criticised for undervaluing individuality and cultural variety, which can mediate or oppose prevailing societal effects. As a result, this topic provides a foundation for understanding how individual decisions and social contexts interact to shape young people's substance-related actions</w:t>
      </w:r>
      <w:r w:rsidR="54D96F91" w:rsidRPr="0E260372">
        <w:rPr>
          <w:rFonts w:ascii="Arial" w:eastAsia="Arial" w:hAnsi="Arial" w:cs="Arial"/>
        </w:rPr>
        <w:t xml:space="preserve"> (Watts </w:t>
      </w:r>
      <w:r w:rsidR="54D96F91" w:rsidRPr="0E260372">
        <w:rPr>
          <w:rFonts w:ascii="Arial" w:eastAsia="Arial" w:hAnsi="Arial" w:cs="Arial"/>
          <w:i/>
          <w:iCs/>
        </w:rPr>
        <w:t>et al.,</w:t>
      </w:r>
      <w:r w:rsidR="10208131" w:rsidRPr="0E260372">
        <w:rPr>
          <w:rFonts w:ascii="Arial" w:eastAsia="Arial" w:hAnsi="Arial" w:cs="Arial"/>
        </w:rPr>
        <w:t>2024,</w:t>
      </w:r>
      <w:r w:rsidR="54D96F91" w:rsidRPr="0E260372">
        <w:rPr>
          <w:rFonts w:ascii="Arial" w:eastAsia="Arial" w:hAnsi="Arial" w:cs="Arial"/>
        </w:rPr>
        <w:t xml:space="preserve"> </w:t>
      </w:r>
      <w:proofErr w:type="spellStart"/>
      <w:r w:rsidR="54D96F91" w:rsidRPr="0E260372">
        <w:rPr>
          <w:rFonts w:ascii="Arial" w:eastAsia="Arial" w:hAnsi="Arial" w:cs="Arial"/>
        </w:rPr>
        <w:t>Segrott</w:t>
      </w:r>
      <w:proofErr w:type="spellEnd"/>
      <w:r w:rsidR="54D96F91" w:rsidRPr="0E260372">
        <w:rPr>
          <w:rFonts w:ascii="Arial" w:eastAsia="Arial" w:hAnsi="Arial" w:cs="Arial"/>
        </w:rPr>
        <w:t xml:space="preserve"> et al., 2022)</w:t>
      </w:r>
      <w:r w:rsidRPr="0E260372">
        <w:rPr>
          <w:rFonts w:ascii="Arial" w:eastAsia="Arial" w:hAnsi="Arial" w:cs="Arial"/>
        </w:rPr>
        <w:t>.</w:t>
      </w:r>
    </w:p>
    <w:p w14:paraId="02BCDBE3" w14:textId="48F5D4E7" w:rsidR="0B44645B" w:rsidRDefault="0B44645B" w:rsidP="00597F9E">
      <w:pPr>
        <w:rPr>
          <w:rFonts w:ascii="Arial" w:eastAsia="Arial" w:hAnsi="Arial" w:cs="Arial"/>
          <w:sz w:val="24"/>
          <w:szCs w:val="24"/>
        </w:rPr>
      </w:pPr>
      <w:r w:rsidRPr="0E260372">
        <w:rPr>
          <w:rFonts w:ascii="Arial" w:eastAsia="Arial" w:hAnsi="Arial" w:cs="Arial"/>
          <w:sz w:val="24"/>
          <w:szCs w:val="24"/>
        </w:rPr>
        <w:t>Relevance to research question</w:t>
      </w:r>
    </w:p>
    <w:p w14:paraId="5AD96B91" w14:textId="48DED3C2" w:rsidR="00514BC6" w:rsidRPr="00514BC6" w:rsidRDefault="0B44645B" w:rsidP="00597F9E">
      <w:pPr>
        <w:rPr>
          <w:rFonts w:ascii="Arial" w:eastAsia="Arial" w:hAnsi="Arial" w:cs="Arial"/>
        </w:rPr>
      </w:pPr>
      <w:r w:rsidRPr="0E260372">
        <w:rPr>
          <w:rFonts w:ascii="Arial" w:eastAsia="Arial" w:hAnsi="Arial" w:cs="Arial"/>
        </w:rPr>
        <w:t>This topic is strongly related to the dissertation's main question, which investigates how social and systemic factors influence teenage substance abuse and the efficacy of intervention options in England. The concept contextualises individual drug use within larger sociocultural systems, shedding light on why some teenagers participate in risky behaviours while others do not. It reveals the processes via which prevention and early intervention activities, such as family-based programs or peer mentorship, can be most successfully implemented by investigating peer and family effects. As a result, this theme serves as the foundation for later consideration of how policies and support services (Themes 2 and 3) address these social realities.</w:t>
      </w:r>
      <w:r w:rsidR="00514BC6" w:rsidRPr="00514BC6">
        <w:rPr>
          <w:rFonts w:ascii="Times New Roman" w:eastAsia="Times New Roman" w:hAnsi="Times New Roman" w:cs="Times New Roman"/>
          <w:kern w:val="0"/>
          <w:sz w:val="24"/>
          <w:szCs w:val="24"/>
          <w:lang w:eastAsia="en-GB"/>
          <w14:ligatures w14:val="none"/>
        </w:rPr>
        <w:t xml:space="preserve"> </w:t>
      </w:r>
      <w:r w:rsidR="00514BC6" w:rsidRPr="00514BC6">
        <w:rPr>
          <w:rFonts w:ascii="Arial" w:eastAsia="Arial" w:hAnsi="Arial" w:cs="Arial"/>
        </w:rPr>
        <w:t>This theme directly supports the study's goal by demonstrating how social inequality and peer dynamics produce the environment that influence early substance use behaviour among adolescents in England.</w:t>
      </w:r>
    </w:p>
    <w:p w14:paraId="0A847B37" w14:textId="62008442" w:rsidR="0B44645B" w:rsidRDefault="0B44645B" w:rsidP="00597F9E"/>
    <w:p w14:paraId="7BB340FD" w14:textId="10DC4A9A" w:rsidR="75539DF8" w:rsidRDefault="75539DF8" w:rsidP="00597F9E">
      <w:pPr>
        <w:rPr>
          <w:rFonts w:ascii="Arial" w:eastAsia="Arial" w:hAnsi="Arial" w:cs="Arial"/>
          <w:sz w:val="24"/>
          <w:szCs w:val="24"/>
        </w:rPr>
      </w:pPr>
      <w:r w:rsidRPr="0E260372">
        <w:rPr>
          <w:rFonts w:ascii="Arial" w:eastAsia="Arial" w:hAnsi="Arial" w:cs="Arial"/>
          <w:sz w:val="24"/>
          <w:szCs w:val="24"/>
        </w:rPr>
        <w:t>Statistical Overview</w:t>
      </w:r>
    </w:p>
    <w:p w14:paraId="743BF615" w14:textId="77777777" w:rsidR="00067868" w:rsidRDefault="75539DF8" w:rsidP="00597F9E">
      <w:pPr>
        <w:rPr>
          <w:rFonts w:ascii="Arial" w:eastAsia="Arial" w:hAnsi="Arial" w:cs="Arial"/>
        </w:rPr>
      </w:pPr>
      <w:r w:rsidRPr="0E260372">
        <w:rPr>
          <w:rFonts w:ascii="Arial" w:eastAsia="Arial" w:hAnsi="Arial" w:cs="Arial"/>
        </w:rPr>
        <w:t xml:space="preserve"> Recent national statistics highlight the continued importance of social variables in shaping youth substance use. According to the Office for Health Improvement and Disparities (2024), around 11,847 young people in England sought substance abuse treatment in 2023-24, with cannabis and alcohol continuing the most common substances. The results show that young persons admitted to treatment frequently have complicated psychosocial difficulties, such as unstable family settings, educational marginalisation and peer involvement in substance use networks. </w:t>
      </w:r>
    </w:p>
    <w:p w14:paraId="7E07B2A9" w14:textId="5817FF02" w:rsidR="75539DF8" w:rsidRPr="00067868" w:rsidRDefault="75539DF8" w:rsidP="00597F9E">
      <w:r w:rsidRPr="0E260372">
        <w:rPr>
          <w:rFonts w:ascii="Arial" w:eastAsia="Arial" w:hAnsi="Arial" w:cs="Arial"/>
        </w:rPr>
        <w:t>These statistics show that substance abuse among adolescents is rarely an isolated occurrence, but rather part of a larger web of social deprivation and relationship influence.</w:t>
      </w:r>
      <w:r w:rsidR="00067868">
        <w:t xml:space="preserve"> </w:t>
      </w:r>
      <w:r w:rsidRPr="0E260372">
        <w:rPr>
          <w:rFonts w:ascii="Arial" w:eastAsia="Arial" w:hAnsi="Arial" w:cs="Arial"/>
        </w:rPr>
        <w:t>However, relying on service-based data may obscure hidden groups, particularly those disconnected from schooling or health systems, thereby underestimating the true volume and diversity of youth substance misuse</w:t>
      </w:r>
      <w:r w:rsidR="02B5D908" w:rsidRPr="0E260372">
        <w:rPr>
          <w:rFonts w:ascii="Arial" w:eastAsia="Arial" w:hAnsi="Arial" w:cs="Arial"/>
        </w:rPr>
        <w:t xml:space="preserve">. </w:t>
      </w:r>
      <w:r w:rsidR="1CE47432" w:rsidRPr="0E260372">
        <w:rPr>
          <w:rFonts w:ascii="Arial" w:eastAsia="Arial" w:hAnsi="Arial" w:cs="Arial"/>
        </w:rPr>
        <w:t>Nonetheless</w:t>
      </w:r>
      <w:r w:rsidR="02B5D908" w:rsidRPr="0E260372">
        <w:rPr>
          <w:rFonts w:ascii="Arial" w:eastAsia="Arial" w:hAnsi="Arial" w:cs="Arial"/>
        </w:rPr>
        <w:t>, the quantitative form of the data limits insight into the lived experiences and social complexities hidden behind these numbers</w:t>
      </w:r>
      <w:r w:rsidR="00B07451">
        <w:rPr>
          <w:rFonts w:ascii="Arial" w:eastAsia="Arial" w:hAnsi="Arial" w:cs="Arial"/>
        </w:rPr>
        <w:t xml:space="preserve"> </w:t>
      </w:r>
      <w:r w:rsidR="02B5D908" w:rsidRPr="0E260372">
        <w:rPr>
          <w:rFonts w:ascii="Arial" w:eastAsia="Arial" w:hAnsi="Arial" w:cs="Arial"/>
        </w:rPr>
        <w:t xml:space="preserve">a problem addressed by qualitative studies </w:t>
      </w:r>
      <w:r w:rsidR="5EB26C4F" w:rsidRPr="0E260372">
        <w:rPr>
          <w:rFonts w:ascii="Arial" w:eastAsia="Arial" w:hAnsi="Arial" w:cs="Arial"/>
        </w:rPr>
        <w:t>by</w:t>
      </w:r>
      <w:r w:rsidR="02B5D908" w:rsidRPr="0E260372">
        <w:rPr>
          <w:rFonts w:ascii="Arial" w:eastAsia="Arial" w:hAnsi="Arial" w:cs="Arial"/>
        </w:rPr>
        <w:t xml:space="preserve"> Alderson et al. (2019).</w:t>
      </w:r>
    </w:p>
    <w:p w14:paraId="242A78CA" w14:textId="086143F7" w:rsidR="3DD98999" w:rsidRDefault="3DD98999" w:rsidP="00597F9E">
      <w:pPr>
        <w:rPr>
          <w:rFonts w:ascii="Arial" w:eastAsia="Arial" w:hAnsi="Arial" w:cs="Arial"/>
          <w:sz w:val="24"/>
          <w:szCs w:val="24"/>
        </w:rPr>
      </w:pPr>
      <w:r w:rsidRPr="0E260372">
        <w:rPr>
          <w:rFonts w:ascii="Arial" w:eastAsia="Arial" w:hAnsi="Arial" w:cs="Arial"/>
          <w:sz w:val="24"/>
          <w:szCs w:val="24"/>
        </w:rPr>
        <w:lastRenderedPageBreak/>
        <w:t>Theoretical Framework</w:t>
      </w:r>
    </w:p>
    <w:p w14:paraId="1C56E732" w14:textId="5730322B" w:rsidR="3DD98999" w:rsidRDefault="3DD98999" w:rsidP="00597F9E">
      <w:r w:rsidRPr="0E260372">
        <w:rPr>
          <w:rFonts w:ascii="Arial" w:eastAsia="Arial" w:hAnsi="Arial" w:cs="Arial"/>
        </w:rPr>
        <w:t xml:space="preserve">The social determinants perspective is strongly aligned with Social Learning Theory, which argues that behaviours are learnt through observation and imitation of others, particularly in influential peer or family environments </w:t>
      </w:r>
      <w:r w:rsidR="6956C7EE" w:rsidRPr="0E260372">
        <w:rPr>
          <w:rFonts w:ascii="Arial" w:eastAsia="Arial" w:hAnsi="Arial" w:cs="Arial"/>
        </w:rPr>
        <w:t>(Li, Hong and Craig, 2023)</w:t>
      </w:r>
      <w:r w:rsidRPr="0E260372">
        <w:rPr>
          <w:rFonts w:ascii="Arial" w:eastAsia="Arial" w:hAnsi="Arial" w:cs="Arial"/>
        </w:rPr>
        <w:t>. Exposure to substance-using peers considerably increases the likelihood of experimentation during adolescence, when peer approbation is a major incentive. This theoretical framework is supported by Bronfenbrenner's Ecological Systems Theory, which views conduct as the result of various interacting systems, including the family microsystem to larger societal and policy contexts. These theories serve to contextualise findings by Judith Watson et al. (2017), who found that integrating family and social networks in therapy increased recovery involvement, showing that behavioural change is most effective when relational ecosystems are positively engaged.</w:t>
      </w:r>
    </w:p>
    <w:p w14:paraId="7C05CAAE" w14:textId="40C40B5B" w:rsidR="1DC7C19E" w:rsidRDefault="1DC7C19E" w:rsidP="00597F9E">
      <w:r w:rsidRPr="0E260372">
        <w:rPr>
          <w:rFonts w:ascii="Arial" w:eastAsia="Arial" w:hAnsi="Arial" w:cs="Arial"/>
        </w:rPr>
        <w:t>However, while both theories highlight the social embeddedness of behaviour, they may understate the structural determinants</w:t>
      </w:r>
      <w:r w:rsidR="198FA886" w:rsidRPr="0E260372">
        <w:rPr>
          <w:rFonts w:ascii="Arial" w:eastAsia="Arial" w:hAnsi="Arial" w:cs="Arial"/>
        </w:rPr>
        <w:t xml:space="preserve">, </w:t>
      </w:r>
      <w:r w:rsidRPr="0E260372">
        <w:rPr>
          <w:rFonts w:ascii="Arial" w:eastAsia="Arial" w:hAnsi="Arial" w:cs="Arial"/>
        </w:rPr>
        <w:t>such as deprivation and service accessibility</w:t>
      </w:r>
      <w:r w:rsidR="55D95E44" w:rsidRPr="0E260372">
        <w:rPr>
          <w:rFonts w:ascii="Arial" w:eastAsia="Arial" w:hAnsi="Arial" w:cs="Arial"/>
        </w:rPr>
        <w:t xml:space="preserve"> </w:t>
      </w:r>
      <w:r w:rsidRPr="0E260372">
        <w:rPr>
          <w:rFonts w:ascii="Arial" w:eastAsia="Arial" w:hAnsi="Arial" w:cs="Arial"/>
        </w:rPr>
        <w:t>that limit behavioural choices, implying the need for integration with socio-ecological or critical public health perspectives to capture these larger influences</w:t>
      </w:r>
      <w:r w:rsidR="6AD041E1" w:rsidRPr="0E260372">
        <w:rPr>
          <w:rFonts w:ascii="Arial" w:eastAsia="Arial" w:hAnsi="Arial" w:cs="Arial"/>
        </w:rPr>
        <w:t xml:space="preserve"> (Wilkhu, 2022)</w:t>
      </w:r>
      <w:r w:rsidRPr="0E260372">
        <w:rPr>
          <w:rFonts w:ascii="Arial" w:eastAsia="Arial" w:hAnsi="Arial" w:cs="Arial"/>
        </w:rPr>
        <w:t>.</w:t>
      </w:r>
    </w:p>
    <w:p w14:paraId="0B7E5BCE" w14:textId="5C388EEC" w:rsidR="4065034C" w:rsidRDefault="4065034C" w:rsidP="00597F9E">
      <w:pPr>
        <w:rPr>
          <w:rFonts w:ascii="Arial" w:eastAsia="Arial" w:hAnsi="Arial" w:cs="Arial"/>
          <w:sz w:val="24"/>
          <w:szCs w:val="24"/>
        </w:rPr>
      </w:pPr>
      <w:r w:rsidRPr="0E260372">
        <w:rPr>
          <w:rFonts w:ascii="Arial" w:eastAsia="Arial" w:hAnsi="Arial" w:cs="Arial"/>
          <w:sz w:val="24"/>
          <w:szCs w:val="24"/>
        </w:rPr>
        <w:t>Empirical Evidence and Examples</w:t>
      </w:r>
    </w:p>
    <w:p w14:paraId="577A41B9" w14:textId="003061C4" w:rsidR="4065034C" w:rsidRDefault="4065034C" w:rsidP="00597F9E">
      <w:pPr>
        <w:rPr>
          <w:rFonts w:ascii="Arial" w:eastAsia="Arial" w:hAnsi="Arial" w:cs="Arial"/>
          <w:sz w:val="24"/>
          <w:szCs w:val="24"/>
        </w:rPr>
      </w:pPr>
      <w:r w:rsidRPr="0E260372">
        <w:rPr>
          <w:rFonts w:ascii="Arial" w:eastAsia="Arial" w:hAnsi="Arial" w:cs="Arial"/>
          <w:sz w:val="24"/>
          <w:szCs w:val="24"/>
        </w:rPr>
        <w:t xml:space="preserve"> Family-Based Prevention and Peer Influence</w:t>
      </w:r>
    </w:p>
    <w:p w14:paraId="1DEBA5C9" w14:textId="55B73A2E" w:rsidR="4065034C" w:rsidRDefault="4065034C" w:rsidP="00597F9E">
      <w:proofErr w:type="spellStart"/>
      <w:r w:rsidRPr="0E260372">
        <w:rPr>
          <w:rFonts w:ascii="Arial" w:eastAsia="Arial" w:hAnsi="Arial" w:cs="Arial"/>
        </w:rPr>
        <w:t>Segrott</w:t>
      </w:r>
      <w:proofErr w:type="spellEnd"/>
      <w:r w:rsidRPr="0E260372">
        <w:rPr>
          <w:rFonts w:ascii="Arial" w:eastAsia="Arial" w:hAnsi="Arial" w:cs="Arial"/>
        </w:rPr>
        <w:t xml:space="preserve"> et al. (2022)</w:t>
      </w:r>
      <w:r w:rsidR="7264BA8E" w:rsidRPr="0E260372">
        <w:rPr>
          <w:rFonts w:ascii="Arial" w:eastAsia="Arial" w:hAnsi="Arial" w:cs="Arial"/>
        </w:rPr>
        <w:t>,</w:t>
      </w:r>
      <w:r w:rsidRPr="0E260372">
        <w:rPr>
          <w:rFonts w:ascii="Arial" w:eastAsia="Arial" w:hAnsi="Arial" w:cs="Arial"/>
        </w:rPr>
        <w:t xml:space="preserve"> conducted a pragmatic randomised controlled study of the Strengthening Families Programme (SFP 10-14) in several UK locations. The study discovered significant decreases in early substance use among adolescents who participated in structured family-based interventions, implying that positive parental involvement and enhanced communication reduce peer-driven risk behaviours. This finding significantly supports preventative methods that focus on strengthening family relationships rather than just on changing individual behaviour. However, </w:t>
      </w:r>
      <w:proofErr w:type="spellStart"/>
      <w:r w:rsidRPr="0E260372">
        <w:rPr>
          <w:rFonts w:ascii="Arial" w:eastAsia="Arial" w:hAnsi="Arial" w:cs="Arial"/>
        </w:rPr>
        <w:t>Segrott</w:t>
      </w:r>
      <w:proofErr w:type="spellEnd"/>
      <w:r w:rsidRPr="0E260372">
        <w:rPr>
          <w:rFonts w:ascii="Arial" w:eastAsia="Arial" w:hAnsi="Arial" w:cs="Arial"/>
        </w:rPr>
        <w:t xml:space="preserve"> </w:t>
      </w:r>
      <w:r w:rsidR="2566DF4B" w:rsidRPr="0E260372">
        <w:rPr>
          <w:rFonts w:ascii="Arial" w:eastAsia="Arial" w:hAnsi="Arial" w:cs="Arial"/>
        </w:rPr>
        <w:t>et al. (2022),</w:t>
      </w:r>
      <w:r w:rsidRPr="0E260372">
        <w:rPr>
          <w:rFonts w:ascii="Arial" w:eastAsia="Arial" w:hAnsi="Arial" w:cs="Arial"/>
        </w:rPr>
        <w:t xml:space="preserve"> noticed a lack of long-term follow-up data, implying that maintaining behavioural change necessitates ongoing social support</w:t>
      </w:r>
      <w:r w:rsidR="64514EA7" w:rsidRPr="0E260372">
        <w:rPr>
          <w:rFonts w:ascii="Arial" w:eastAsia="Arial" w:hAnsi="Arial" w:cs="Arial"/>
        </w:rPr>
        <w:t xml:space="preserve"> </w:t>
      </w:r>
      <w:r w:rsidRPr="0E260372">
        <w:rPr>
          <w:rFonts w:ascii="Arial" w:eastAsia="Arial" w:hAnsi="Arial" w:cs="Arial"/>
        </w:rPr>
        <w:t>a feature related to the later debate in Theme 3 on access to services.</w:t>
      </w:r>
    </w:p>
    <w:p w14:paraId="67B8EA28" w14:textId="1D1C9E4B" w:rsidR="14CCD933" w:rsidRDefault="14CCD933" w:rsidP="00597F9E">
      <w:r w:rsidRPr="0E260372">
        <w:rPr>
          <w:rFonts w:ascii="Arial" w:eastAsia="Arial" w:hAnsi="Arial" w:cs="Arial"/>
        </w:rPr>
        <w:t>Similarly, Judith Watson et al. (2017), investigated Youth Social Behaviour and Network Therapy (Y-SBNT), a family- and peer-based intervention for juvenile substance users. Their findings showed that engaging an adolescent's social network increased treatment adherence and motivation for behavioural change. This study shows how social reinforcement, rather than punitive tactics, might promote recovery. However, as the authors pointed out, small sample numbers and feasibility limits limit generalisability, emphasising the need for larger-scale studies.</w:t>
      </w:r>
    </w:p>
    <w:p w14:paraId="78622218" w14:textId="2E36CC4E" w:rsidR="509B0342" w:rsidRDefault="509B0342" w:rsidP="00597F9E">
      <w:pPr>
        <w:rPr>
          <w:rFonts w:ascii="Arial" w:eastAsia="Arial" w:hAnsi="Arial" w:cs="Arial"/>
          <w:sz w:val="24"/>
          <w:szCs w:val="24"/>
        </w:rPr>
      </w:pPr>
      <w:r w:rsidRPr="0E260372">
        <w:rPr>
          <w:rFonts w:ascii="Arial" w:eastAsia="Arial" w:hAnsi="Arial" w:cs="Arial"/>
          <w:sz w:val="24"/>
          <w:szCs w:val="24"/>
        </w:rPr>
        <w:lastRenderedPageBreak/>
        <w:t>Vulnerable Youth and Relationship Dynamics</w:t>
      </w:r>
    </w:p>
    <w:p w14:paraId="30F8801D" w14:textId="0B175FCD" w:rsidR="509B0342" w:rsidRPr="00C0408F" w:rsidRDefault="00E43281" w:rsidP="00597F9E">
      <w:pPr>
        <w:rPr>
          <w:rFonts w:ascii="Arial" w:eastAsia="Arial" w:hAnsi="Arial" w:cs="Arial"/>
        </w:rPr>
      </w:pPr>
      <w:r w:rsidRPr="00E43281">
        <w:rPr>
          <w:rFonts w:ascii="Arial" w:eastAsia="Arial" w:hAnsi="Arial" w:cs="Arial"/>
        </w:rPr>
        <w:t xml:space="preserve">In contrast, Alderson </w:t>
      </w:r>
      <w:r w:rsidR="00BD6644" w:rsidRPr="00E43281">
        <w:rPr>
          <w:rFonts w:ascii="Arial" w:eastAsia="Arial" w:hAnsi="Arial" w:cs="Arial"/>
        </w:rPr>
        <w:t>et al.</w:t>
      </w:r>
      <w:r w:rsidR="00BD6644">
        <w:rPr>
          <w:rFonts w:ascii="Arial" w:eastAsia="Arial" w:hAnsi="Arial" w:cs="Arial"/>
        </w:rPr>
        <w:t xml:space="preserve"> (</w:t>
      </w:r>
      <w:r w:rsidRPr="00E43281">
        <w:rPr>
          <w:rFonts w:ascii="Arial" w:eastAsia="Arial" w:hAnsi="Arial" w:cs="Arial"/>
        </w:rPr>
        <w:t xml:space="preserve">2019) used a qualitative approach to explore therapeutic connections between looked-after children and care leavers, showing that trust, empathy and relational stability are central to reducing substance use. Although the small sample limits generalisability, the findings highlight how relational disruption heightens vulnerability. These relational and communication barriers are particularly significant for care leavers, school-excluded young people and those in socioeconomically deprived areas, who already experience fragmented support networks and greater susceptibility to early substance use. While </w:t>
      </w:r>
      <w:proofErr w:type="spellStart"/>
      <w:r w:rsidRPr="00E43281">
        <w:rPr>
          <w:rFonts w:ascii="Arial" w:eastAsia="Arial" w:hAnsi="Arial" w:cs="Arial"/>
        </w:rPr>
        <w:t>Segrott</w:t>
      </w:r>
      <w:proofErr w:type="spellEnd"/>
      <w:r w:rsidRPr="00E43281">
        <w:rPr>
          <w:rFonts w:ascii="Arial" w:eastAsia="Arial" w:hAnsi="Arial" w:cs="Arial"/>
        </w:rPr>
        <w:t xml:space="preserve"> et al. (2022) emphasise the protective value of structured family relationships, Alderson et al. (2019) demonstrate how inconsistent caregiving weakens these protective effects</w:t>
      </w:r>
      <w:r w:rsidR="00BD6644">
        <w:rPr>
          <w:rFonts w:ascii="Arial" w:eastAsia="Arial" w:hAnsi="Arial" w:cs="Arial"/>
        </w:rPr>
        <w:t xml:space="preserve"> </w:t>
      </w:r>
      <w:r w:rsidR="713BAE05" w:rsidRPr="00C0408F">
        <w:rPr>
          <w:rFonts w:ascii="Arial" w:eastAsia="Arial" w:hAnsi="Arial" w:cs="Arial"/>
        </w:rPr>
        <w:t>(Paquin et al., 2025)</w:t>
      </w:r>
      <w:r w:rsidR="509B0342" w:rsidRPr="00C0408F">
        <w:rPr>
          <w:rFonts w:ascii="Arial" w:eastAsia="Arial" w:hAnsi="Arial" w:cs="Arial"/>
        </w:rPr>
        <w:t>.</w:t>
      </w:r>
    </w:p>
    <w:p w14:paraId="757D60D2" w14:textId="2C5FE7E1" w:rsidR="6ACC2816" w:rsidRDefault="6ACC2816" w:rsidP="00597F9E">
      <w:pPr>
        <w:rPr>
          <w:rFonts w:ascii="Arial" w:eastAsia="Arial" w:hAnsi="Arial" w:cs="Arial"/>
          <w:sz w:val="24"/>
          <w:szCs w:val="24"/>
        </w:rPr>
      </w:pPr>
      <w:r w:rsidRPr="0E260372">
        <w:rPr>
          <w:rFonts w:ascii="Arial" w:eastAsia="Arial" w:hAnsi="Arial" w:cs="Arial"/>
          <w:sz w:val="24"/>
          <w:szCs w:val="24"/>
        </w:rPr>
        <w:t>Policy and Legislation</w:t>
      </w:r>
    </w:p>
    <w:p w14:paraId="6D4A6679" w14:textId="77777777" w:rsidR="00504D04" w:rsidRDefault="6ACC2816" w:rsidP="00597F9E">
      <w:pPr>
        <w:rPr>
          <w:rFonts w:ascii="Arial" w:eastAsia="Arial" w:hAnsi="Arial" w:cs="Arial"/>
        </w:rPr>
      </w:pPr>
      <w:r w:rsidRPr="0E260372">
        <w:rPr>
          <w:rFonts w:ascii="Arial" w:eastAsia="Arial" w:hAnsi="Arial" w:cs="Arial"/>
        </w:rPr>
        <w:t xml:space="preserve">From a policy perspective, social determinants have been partially integrated into the UK's public health agenda. The UK government's 10-Year Drug Strategy (2021-2031) recognises the importance of family and community settings in prevention and recovery, although it has been criticised for investing in youth-focused preventative programs (Holland et al., 2023). This argument underlines a divergence between evidence and practice, although research regularly shows that social and family-based treatments are successful, policy generally focusses on treatment and enforcement rather than prevention. </w:t>
      </w:r>
    </w:p>
    <w:p w14:paraId="1428964B" w14:textId="570EC939" w:rsidR="6ACC2816" w:rsidRDefault="79BE2929" w:rsidP="00597F9E">
      <w:r w:rsidRPr="0E260372">
        <w:rPr>
          <w:rFonts w:ascii="Arial" w:eastAsia="Arial" w:hAnsi="Arial" w:cs="Arial"/>
        </w:rPr>
        <w:t xml:space="preserve">Furthermore, Rogowski (2021), suggested that </w:t>
      </w:r>
      <w:r w:rsidR="6ACC2816" w:rsidRPr="0E260372">
        <w:rPr>
          <w:rFonts w:ascii="Arial" w:eastAsia="Arial" w:hAnsi="Arial" w:cs="Arial"/>
        </w:rPr>
        <w:t>austerity policies and cuts to youth programs have diminished options for structured social assistance, which may exacerbate vulnerabilities among at-risk adolescents. As a result, these subject stresses both the evidence-based rationale for socially grounded prevention and the institutional hurdles to its complete implementation.</w:t>
      </w:r>
    </w:p>
    <w:p w14:paraId="1AC9AD18" w14:textId="4BD7A8EE" w:rsidR="5155DA6B" w:rsidRDefault="5155DA6B" w:rsidP="00597F9E">
      <w:pPr>
        <w:rPr>
          <w:rFonts w:ascii="Arial" w:eastAsia="Arial" w:hAnsi="Arial" w:cs="Arial"/>
          <w:sz w:val="24"/>
          <w:szCs w:val="24"/>
        </w:rPr>
      </w:pPr>
      <w:r w:rsidRPr="0E260372">
        <w:rPr>
          <w:rFonts w:ascii="Arial" w:eastAsia="Arial" w:hAnsi="Arial" w:cs="Arial"/>
          <w:sz w:val="24"/>
          <w:szCs w:val="24"/>
        </w:rPr>
        <w:t>Implications and Critical Reflection</w:t>
      </w:r>
    </w:p>
    <w:p w14:paraId="53430894" w14:textId="1E9A0EFF" w:rsidR="5155DA6B" w:rsidRDefault="5155DA6B" w:rsidP="00597F9E">
      <w:r w:rsidRPr="0E260372">
        <w:rPr>
          <w:rFonts w:ascii="Arial" w:eastAsia="Arial" w:hAnsi="Arial" w:cs="Arial"/>
        </w:rPr>
        <w:t>Analysing socioeconomic factors and peer influence reveals both good and negative effects on teenage substance abuse prevention. Strengthening family and community networks significantly reduces early substance use and promotes recovery, whereas social hardship, peer pressure, and inadequate adolescent services increase risk. According to the literature</w:t>
      </w:r>
      <w:r w:rsidR="075EE89C" w:rsidRPr="0E260372">
        <w:rPr>
          <w:rFonts w:ascii="Arial" w:eastAsia="Arial" w:hAnsi="Arial" w:cs="Arial"/>
        </w:rPr>
        <w:t xml:space="preserve"> by (Capraro </w:t>
      </w:r>
      <w:r w:rsidR="075EE89C" w:rsidRPr="0E260372">
        <w:rPr>
          <w:rFonts w:ascii="Arial" w:eastAsia="Arial" w:hAnsi="Arial" w:cs="Arial"/>
          <w:i/>
          <w:iCs/>
        </w:rPr>
        <w:t>et al.,</w:t>
      </w:r>
      <w:r w:rsidR="075EE89C" w:rsidRPr="0E260372">
        <w:rPr>
          <w:rFonts w:ascii="Arial" w:eastAsia="Arial" w:hAnsi="Arial" w:cs="Arial"/>
        </w:rPr>
        <w:t>2024) it is believed that</w:t>
      </w:r>
      <w:r w:rsidRPr="0E260372">
        <w:rPr>
          <w:rFonts w:ascii="Arial" w:eastAsia="Arial" w:hAnsi="Arial" w:cs="Arial"/>
        </w:rPr>
        <w:t xml:space="preserve"> isolated interventions that fail to address underlying socioeconomic inequality are unlikely to produce long-term results. Furthermore, the dependence on short-term, small-scale studies reduces generalisability. An integrated approach including legislative reform, education, and community investment is required to </w:t>
      </w:r>
      <w:r w:rsidRPr="0E260372">
        <w:rPr>
          <w:rFonts w:ascii="Arial" w:eastAsia="Arial" w:hAnsi="Arial" w:cs="Arial"/>
        </w:rPr>
        <w:lastRenderedPageBreak/>
        <w:t>transform evidence into long-term, equitable prevention initiatives that address the structural and social circumstances of teenage substance use.</w:t>
      </w:r>
    </w:p>
    <w:p w14:paraId="485ADDEE" w14:textId="3036057A" w:rsidR="36300812" w:rsidRDefault="36300812" w:rsidP="00597F9E">
      <w:pPr>
        <w:rPr>
          <w:rFonts w:ascii="Arial" w:eastAsia="Arial" w:hAnsi="Arial" w:cs="Arial"/>
          <w:sz w:val="24"/>
          <w:szCs w:val="24"/>
        </w:rPr>
      </w:pPr>
      <w:r w:rsidRPr="0E260372">
        <w:rPr>
          <w:rFonts w:ascii="Arial" w:eastAsia="Arial" w:hAnsi="Arial" w:cs="Arial"/>
          <w:sz w:val="24"/>
          <w:szCs w:val="24"/>
        </w:rPr>
        <w:t>Connection with Other Themes</w:t>
      </w:r>
    </w:p>
    <w:p w14:paraId="0DCBF700" w14:textId="355CEC3E" w:rsidR="00542E40" w:rsidRPr="00542E40" w:rsidRDefault="36300812" w:rsidP="00597F9E">
      <w:pPr>
        <w:rPr>
          <w:rFonts w:ascii="Arial" w:eastAsia="Arial" w:hAnsi="Arial" w:cs="Arial"/>
          <w:b/>
          <w:bCs/>
        </w:rPr>
      </w:pPr>
      <w:r w:rsidRPr="0E260372">
        <w:rPr>
          <w:rFonts w:ascii="Arial" w:eastAsia="Arial" w:hAnsi="Arial" w:cs="Arial"/>
        </w:rPr>
        <w:t xml:space="preserve"> This issue is related to policy and prevention efficacy, as well as access to support and intervention services. Understanding social settings improves policymaking, whereas strong social networks encourage participation in therapy. Together, these themes present adolescent substance use as a social phenomenon rather than a single habit, emphasising the importance of multifaceted, integrated solutions that combine policy, community support and tailored treatments to achieve successful and equitable preventative results.</w:t>
      </w:r>
      <w:r w:rsidR="00E31816" w:rsidRPr="00E31816">
        <w:rPr>
          <w:rFonts w:ascii="Times New Roman" w:eastAsia="Times New Roman" w:hAnsi="Times New Roman" w:cs="Times New Roman"/>
          <w:sz w:val="24"/>
          <w:szCs w:val="24"/>
        </w:rPr>
        <w:t xml:space="preserve"> </w:t>
      </w:r>
      <w:r w:rsidR="00E31816" w:rsidRPr="00E31816">
        <w:rPr>
          <w:rFonts w:ascii="Arial" w:eastAsia="Arial" w:hAnsi="Arial" w:cs="Arial"/>
        </w:rPr>
        <w:t>These social and relational influences underpin prevention policies and directly inform the policy analysis explored in Theme 2.</w:t>
      </w:r>
      <w:r w:rsidR="00542E40" w:rsidRPr="00542E40">
        <w:rPr>
          <w:rFonts w:ascii="Times New Roman" w:eastAsia="Times New Roman" w:hAnsi="Times New Roman" w:cs="Times New Roman"/>
          <w:sz w:val="24"/>
          <w:szCs w:val="24"/>
        </w:rPr>
        <w:t xml:space="preserve"> </w:t>
      </w:r>
      <w:r w:rsidR="00542E40" w:rsidRPr="00542E40">
        <w:rPr>
          <w:rFonts w:ascii="Arial" w:eastAsia="Arial" w:hAnsi="Arial" w:cs="Arial"/>
        </w:rPr>
        <w:t>This theme supports the research aim by showing how inequality, peer influence and family instability shape adolescent substance use.</w:t>
      </w:r>
    </w:p>
    <w:p w14:paraId="5971636F" w14:textId="64CF6196" w:rsidR="00E31816" w:rsidRPr="00E31816" w:rsidRDefault="00E31816" w:rsidP="00597F9E">
      <w:pPr>
        <w:rPr>
          <w:rFonts w:ascii="Arial" w:eastAsia="Arial" w:hAnsi="Arial" w:cs="Arial"/>
        </w:rPr>
      </w:pPr>
    </w:p>
    <w:p w14:paraId="0E1F715B" w14:textId="6E0078EE" w:rsidR="36300812" w:rsidRDefault="36300812" w:rsidP="00597F9E"/>
    <w:p w14:paraId="620F671D" w14:textId="5A888D9D" w:rsidR="001C3AF6" w:rsidRPr="0046434F" w:rsidRDefault="001C3AF6" w:rsidP="00597F9E">
      <w:pPr>
        <w:pStyle w:val="Heading2"/>
        <w:rPr>
          <w:rFonts w:ascii="Arial" w:hAnsi="Arial" w:cs="Arial"/>
          <w:color w:val="auto"/>
        </w:rPr>
      </w:pPr>
      <w:bookmarkStart w:id="25" w:name="_Toc213871361"/>
      <w:r w:rsidRPr="0046434F">
        <w:rPr>
          <w:rFonts w:ascii="Arial" w:hAnsi="Arial" w:cs="Arial"/>
          <w:color w:val="auto"/>
        </w:rPr>
        <w:t xml:space="preserve">4.4 Theme 2 </w:t>
      </w:r>
      <w:r w:rsidR="2CD9CF64" w:rsidRPr="0046434F">
        <w:rPr>
          <w:rFonts w:ascii="Arial" w:hAnsi="Arial" w:cs="Arial"/>
          <w:color w:val="auto"/>
        </w:rPr>
        <w:t>Policy and Prevention Efficacy</w:t>
      </w:r>
      <w:bookmarkEnd w:id="25"/>
    </w:p>
    <w:p w14:paraId="252A8056" w14:textId="52850E9E" w:rsidR="46B63EF6" w:rsidRDefault="46B63EF6" w:rsidP="00597F9E">
      <w:pPr>
        <w:rPr>
          <w:rFonts w:ascii="Arial" w:eastAsia="Arial" w:hAnsi="Arial" w:cs="Arial"/>
          <w:sz w:val="24"/>
          <w:szCs w:val="24"/>
        </w:rPr>
      </w:pPr>
      <w:r w:rsidRPr="0E260372">
        <w:rPr>
          <w:rFonts w:ascii="Arial" w:eastAsia="Arial" w:hAnsi="Arial" w:cs="Arial"/>
          <w:sz w:val="24"/>
          <w:szCs w:val="24"/>
        </w:rPr>
        <w:t>Definition of the Theme</w:t>
      </w:r>
    </w:p>
    <w:p w14:paraId="6656DFC0" w14:textId="0F2B1179" w:rsidR="55D1F926" w:rsidRDefault="55D1F926" w:rsidP="00597F9E">
      <w:r w:rsidRPr="0E260372">
        <w:rPr>
          <w:rFonts w:ascii="Arial" w:eastAsia="Arial" w:hAnsi="Arial" w:cs="Arial"/>
        </w:rPr>
        <w:t xml:space="preserve">Policy and prevention efficacy refers to the effectiveness of government led, institutional and community-based activities targeted at lowering the prevalence and harms of substance abuse among youth. In the United Kingdom, preventative policy includes both comprehensive strategies (such as public education campaigns and legislative limitations on alcohol and tobacco) and specific treatments for at-risk juvenile populations. As indicated by </w:t>
      </w:r>
      <w:r w:rsidR="49CD874E" w:rsidRPr="0E260372">
        <w:rPr>
          <w:rFonts w:ascii="Arial" w:eastAsia="Arial" w:hAnsi="Arial" w:cs="Arial"/>
        </w:rPr>
        <w:t xml:space="preserve">(Csete </w:t>
      </w:r>
      <w:r w:rsidR="49CD874E" w:rsidRPr="0E260372">
        <w:rPr>
          <w:rFonts w:ascii="Arial" w:eastAsia="Arial" w:hAnsi="Arial" w:cs="Arial"/>
          <w:i/>
          <w:iCs/>
        </w:rPr>
        <w:t>et al.,</w:t>
      </w:r>
      <w:r w:rsidR="49CD874E" w:rsidRPr="0E260372">
        <w:rPr>
          <w:rFonts w:ascii="Arial" w:eastAsia="Arial" w:hAnsi="Arial" w:cs="Arial"/>
        </w:rPr>
        <w:t>2016)</w:t>
      </w:r>
      <w:r w:rsidRPr="0E260372">
        <w:rPr>
          <w:rFonts w:ascii="Arial" w:eastAsia="Arial" w:hAnsi="Arial" w:cs="Arial"/>
        </w:rPr>
        <w:t>, policy efficacy is judged not only by execution, but also by its ability to impact behavioural outcomes and address the socioeconomic determinants of substance use. Thus, studying this subject entails reviewing how evidence-based policies translates into real consequences for teenage health and well-being.</w:t>
      </w:r>
    </w:p>
    <w:p w14:paraId="5211AC67" w14:textId="200C86D3" w:rsidR="09AE0719" w:rsidRDefault="09AE0719" w:rsidP="00597F9E">
      <w:pPr>
        <w:rPr>
          <w:rFonts w:ascii="Arial" w:eastAsia="Arial" w:hAnsi="Arial" w:cs="Arial"/>
          <w:sz w:val="24"/>
          <w:szCs w:val="24"/>
        </w:rPr>
      </w:pPr>
      <w:r w:rsidRPr="0E260372">
        <w:rPr>
          <w:rFonts w:ascii="Arial" w:eastAsia="Arial" w:hAnsi="Arial" w:cs="Arial"/>
          <w:sz w:val="24"/>
          <w:szCs w:val="24"/>
        </w:rPr>
        <w:t>Historical and Contextual Background</w:t>
      </w:r>
    </w:p>
    <w:p w14:paraId="0C21E9DD" w14:textId="15EBDDC1" w:rsidR="09AE0719" w:rsidRDefault="09AE0719" w:rsidP="00597F9E">
      <w:pPr>
        <w:rPr>
          <w:rFonts w:ascii="Arial" w:eastAsia="Arial" w:hAnsi="Arial" w:cs="Arial"/>
        </w:rPr>
      </w:pPr>
      <w:r w:rsidRPr="0E260372">
        <w:rPr>
          <w:rFonts w:ascii="Arial" w:eastAsia="Arial" w:hAnsi="Arial" w:cs="Arial"/>
        </w:rPr>
        <w:t>Historically, UK substance abuse policy has shifted in accordance with changing public health ideas. Earlier policy efforts in the 1980s and 1990s focused primarily on criminal justice and abstinence-based models, frequently ignoring the social and environmental determinants of youth substance use. However, in the early 2000s, harm reduction principles were integrated into public health frameworks that stressed prevention, early intervention and treatment access (as claimed by</w:t>
      </w:r>
      <w:r w:rsidR="48C43704" w:rsidRPr="0E260372">
        <w:rPr>
          <w:rFonts w:ascii="Arial" w:eastAsia="Arial" w:hAnsi="Arial" w:cs="Arial"/>
        </w:rPr>
        <w:t xml:space="preserve"> Vearrier, 2019)</w:t>
      </w:r>
      <w:r w:rsidR="7235F94F" w:rsidRPr="0E260372">
        <w:rPr>
          <w:rFonts w:ascii="Arial" w:eastAsia="Arial" w:hAnsi="Arial" w:cs="Arial"/>
        </w:rPr>
        <w:t>.</w:t>
      </w:r>
    </w:p>
    <w:p w14:paraId="3BEB2E85" w14:textId="3D514661" w:rsidR="7235F94F" w:rsidRDefault="7235F94F" w:rsidP="00597F9E">
      <w:r w:rsidRPr="0E260372">
        <w:rPr>
          <w:rFonts w:ascii="Arial" w:eastAsia="Arial" w:hAnsi="Arial" w:cs="Arial"/>
        </w:rPr>
        <w:lastRenderedPageBreak/>
        <w:t>The 2010 Marmot Review profoundly reshaped health policy by acknowledging inequality as a predictor of harmful health behaviours, such as substance abuse. Subsequent efforts, most notably the UK Government's from Harm to Hope, A 10 Year Drugs Strategy (2021), emphasised early prevention and family-centred interventions. Nonetheless, critics such as Holland et al. (2023), argue that policy rhetoric frequently outpaces implementation capacity, with underinvestment in youth-focused prevention and poor integration across education, health, and social care systems. This historical trend demonstrates that, while prevention has acquired conceptual traction, its implementation remains scattered and inconsistent across regions.</w:t>
      </w:r>
    </w:p>
    <w:p w14:paraId="29B2A6BD" w14:textId="0895D935" w:rsidR="0DDD6D96" w:rsidRDefault="0DDD6D96" w:rsidP="00597F9E">
      <w:pPr>
        <w:rPr>
          <w:rFonts w:ascii="Arial" w:eastAsia="Arial" w:hAnsi="Arial" w:cs="Arial"/>
          <w:sz w:val="24"/>
          <w:szCs w:val="24"/>
        </w:rPr>
      </w:pPr>
      <w:r w:rsidRPr="0E260372">
        <w:rPr>
          <w:rFonts w:ascii="Arial" w:eastAsia="Arial" w:hAnsi="Arial" w:cs="Arial"/>
          <w:sz w:val="24"/>
          <w:szCs w:val="24"/>
        </w:rPr>
        <w:t>Relevance to Research Objectives</w:t>
      </w:r>
    </w:p>
    <w:p w14:paraId="3F872AEB" w14:textId="4FD6E254" w:rsidR="00C56BE0" w:rsidRPr="00C56BE0" w:rsidRDefault="0F66C0E1" w:rsidP="00597F9E">
      <w:pPr>
        <w:rPr>
          <w:rFonts w:ascii="Arial" w:eastAsia="Arial" w:hAnsi="Arial" w:cs="Arial"/>
        </w:rPr>
      </w:pPr>
      <w:r w:rsidRPr="0E260372">
        <w:rPr>
          <w:rFonts w:ascii="Arial" w:eastAsia="Arial" w:hAnsi="Arial" w:cs="Arial"/>
        </w:rPr>
        <w:t xml:space="preserve">This theme directly addresses Objective 4, which is to assess the efficacy of current public health policies and strategies for treating adolescent substance addiction. It also contributes to Objective 2, as prevention frameworks strive to reduce environmental and social risk factors like peer influence, trauma and deprivation. Evaluation of policy and preventative efficacy helps to determine whether present approaches sufficiently address the various causes of teenage substance usage. According </w:t>
      </w:r>
      <w:r w:rsidR="76672259" w:rsidRPr="0E260372">
        <w:rPr>
          <w:rFonts w:ascii="Arial" w:eastAsia="Arial" w:hAnsi="Arial" w:cs="Arial"/>
        </w:rPr>
        <w:t>to research by (Nair and Howlett, 2016)</w:t>
      </w:r>
      <w:r w:rsidRPr="0E260372">
        <w:rPr>
          <w:rFonts w:ascii="Arial" w:eastAsia="Arial" w:hAnsi="Arial" w:cs="Arial"/>
        </w:rPr>
        <w:t>, the success of a policy is measured not just by lowering prevalence rates, but also by generating long-term behavioural resilience through structural change.</w:t>
      </w:r>
      <w:r w:rsidR="00C56BE0" w:rsidRPr="00C56BE0">
        <w:rPr>
          <w:rFonts w:ascii="Times New Roman" w:eastAsia="Times New Roman" w:hAnsi="Times New Roman" w:cs="Times New Roman"/>
          <w:sz w:val="24"/>
          <w:szCs w:val="24"/>
        </w:rPr>
        <w:t xml:space="preserve"> </w:t>
      </w:r>
      <w:r w:rsidR="00C56BE0" w:rsidRPr="00C56BE0">
        <w:rPr>
          <w:rFonts w:ascii="Arial" w:eastAsia="Arial" w:hAnsi="Arial" w:cs="Arial"/>
        </w:rPr>
        <w:t>This theme evaluates how well current policy addresses key risk factors to meet the dissertation’s aim.</w:t>
      </w:r>
    </w:p>
    <w:p w14:paraId="307E2EB4" w14:textId="3F86401B" w:rsidR="0F66C0E1" w:rsidRDefault="0F66C0E1" w:rsidP="00597F9E">
      <w:pPr>
        <w:rPr>
          <w:rFonts w:ascii="Arial" w:eastAsia="Arial" w:hAnsi="Arial" w:cs="Arial"/>
        </w:rPr>
      </w:pPr>
    </w:p>
    <w:p w14:paraId="65BF8B5B" w14:textId="2004A2C4" w:rsidR="09021DD4" w:rsidRDefault="09021DD4" w:rsidP="00597F9E">
      <w:pPr>
        <w:rPr>
          <w:rFonts w:ascii="Arial" w:eastAsia="Arial" w:hAnsi="Arial" w:cs="Arial"/>
          <w:sz w:val="24"/>
          <w:szCs w:val="24"/>
        </w:rPr>
      </w:pPr>
      <w:r w:rsidRPr="0E260372">
        <w:rPr>
          <w:rFonts w:ascii="Arial" w:eastAsia="Arial" w:hAnsi="Arial" w:cs="Arial"/>
          <w:sz w:val="24"/>
          <w:szCs w:val="24"/>
        </w:rPr>
        <w:t>Statistical Overview</w:t>
      </w:r>
    </w:p>
    <w:p w14:paraId="602B5E0E" w14:textId="65B789C3" w:rsidR="0FDAECC7" w:rsidRDefault="0FDAECC7" w:rsidP="00597F9E">
      <w:r w:rsidRPr="0E260372">
        <w:rPr>
          <w:rFonts w:ascii="Arial" w:eastAsia="Arial" w:hAnsi="Arial" w:cs="Arial"/>
        </w:rPr>
        <w:t>Recent national statistics demonstrate both success and ongoing problems in preventative results. According to the Office for Health Improvement and Disparities (2024), there were 11,847 young people in England receiving treatment for substance abuse in 2023-24, a minor decrease from previous years. Cannabis and alcohol remain the key sources of concern, although vaping has emerged as a growing risk activity among adolescents (as demonstrated by Becker and Rice, 2022). Despite stable or slightly dropping total treatment numbers, disparities remain among young people from disadvantaged areas are disproportionately represented in treatment statistics, indicating that preventative initiatives have not yet broken underlying social inequalities.</w:t>
      </w:r>
    </w:p>
    <w:p w14:paraId="5512CB7B" w14:textId="5D25B992" w:rsidR="704847EC" w:rsidRDefault="704847EC" w:rsidP="00597F9E">
      <w:pPr>
        <w:rPr>
          <w:rFonts w:ascii="Arial" w:eastAsia="Arial" w:hAnsi="Arial" w:cs="Arial"/>
        </w:rPr>
      </w:pPr>
      <w:r w:rsidRPr="0E260372">
        <w:rPr>
          <w:rFonts w:ascii="Arial" w:eastAsia="Arial" w:hAnsi="Arial" w:cs="Arial"/>
        </w:rPr>
        <w:t xml:space="preserve">These statistics indicate that, while laws have mitigated some trends, their ability to prevent initiation remains limited. Quantitative metrics, while useful for measuring progress, may not disclose the underlying quality or reach of preventative interventions, necessitating additional qualitative understanding. This emphasises the importance of assessing not only what works </w:t>
      </w:r>
      <w:r w:rsidRPr="0E260372">
        <w:rPr>
          <w:rFonts w:ascii="Arial" w:eastAsia="Arial" w:hAnsi="Arial" w:cs="Arial"/>
        </w:rPr>
        <w:lastRenderedPageBreak/>
        <w:t>statistically, but also why particular populations continue to fall through policy gaps (</w:t>
      </w:r>
      <w:r w:rsidR="3AD932E3" w:rsidRPr="0E260372">
        <w:rPr>
          <w:rFonts w:ascii="Arial" w:eastAsia="Arial" w:hAnsi="Arial" w:cs="Arial"/>
        </w:rPr>
        <w:t xml:space="preserve">Abildgaard, </w:t>
      </w:r>
      <w:proofErr w:type="spellStart"/>
      <w:r w:rsidR="3AD932E3" w:rsidRPr="0E260372">
        <w:rPr>
          <w:rFonts w:ascii="Arial" w:eastAsia="Arial" w:hAnsi="Arial" w:cs="Arial"/>
        </w:rPr>
        <w:t>Saksvik</w:t>
      </w:r>
      <w:proofErr w:type="spellEnd"/>
      <w:r w:rsidR="3AD932E3" w:rsidRPr="0E260372">
        <w:rPr>
          <w:rFonts w:ascii="Arial" w:eastAsia="Arial" w:hAnsi="Arial" w:cs="Arial"/>
        </w:rPr>
        <w:t xml:space="preserve"> and Nielsen, 2016)</w:t>
      </w:r>
      <w:r w:rsidRPr="0E260372">
        <w:rPr>
          <w:rFonts w:ascii="Arial" w:eastAsia="Arial" w:hAnsi="Arial" w:cs="Arial"/>
        </w:rPr>
        <w:t>.</w:t>
      </w:r>
    </w:p>
    <w:p w14:paraId="1D9ADE8B" w14:textId="6EC34D97" w:rsidR="0F02000F" w:rsidRDefault="0F02000F" w:rsidP="00597F9E">
      <w:pPr>
        <w:rPr>
          <w:rFonts w:ascii="Arial" w:eastAsia="Arial" w:hAnsi="Arial" w:cs="Arial"/>
          <w:sz w:val="24"/>
          <w:szCs w:val="24"/>
        </w:rPr>
      </w:pPr>
      <w:r w:rsidRPr="0E260372">
        <w:rPr>
          <w:rFonts w:ascii="Arial" w:eastAsia="Arial" w:hAnsi="Arial" w:cs="Arial"/>
          <w:sz w:val="24"/>
          <w:szCs w:val="24"/>
        </w:rPr>
        <w:t>Theoretical Frameworks</w:t>
      </w:r>
    </w:p>
    <w:p w14:paraId="4B93C71A" w14:textId="77777777" w:rsidR="00D9238F" w:rsidRDefault="0E8220E9" w:rsidP="00597F9E">
      <w:pPr>
        <w:rPr>
          <w:rFonts w:ascii="Arial" w:eastAsia="Arial" w:hAnsi="Arial" w:cs="Arial"/>
        </w:rPr>
      </w:pPr>
      <w:r w:rsidRPr="0E260372">
        <w:rPr>
          <w:rFonts w:ascii="Arial" w:eastAsia="Arial" w:hAnsi="Arial" w:cs="Arial"/>
        </w:rPr>
        <w:t xml:space="preserve">Several theoretical frameworks serve as the foundation for youth substance abuse policy and preventive activities. The public health approach highlights the interaction of individual conduct, environment and policy infrastructure, arguing for multilevel interventions that address both personal and systemic causes. </w:t>
      </w:r>
    </w:p>
    <w:p w14:paraId="2761E328" w14:textId="5C79E6B0" w:rsidR="0E8220E9" w:rsidRDefault="0E8220E9" w:rsidP="00597F9E">
      <w:r w:rsidRPr="0E260372">
        <w:rPr>
          <w:rFonts w:ascii="Arial" w:eastAsia="Arial" w:hAnsi="Arial" w:cs="Arial"/>
        </w:rPr>
        <w:t>Bandura (1986) established Social Cognitive Theory, which emphasises the importance of social learning and environmental modelling, meaning that successful prevention must address both knowledge and social norms.</w:t>
      </w:r>
    </w:p>
    <w:p w14:paraId="1B126FF3" w14:textId="057CCAFD" w:rsidR="5B393D04" w:rsidRDefault="5B393D04" w:rsidP="00597F9E">
      <w:r w:rsidRPr="0E260372">
        <w:rPr>
          <w:rFonts w:ascii="Arial" w:eastAsia="Arial" w:hAnsi="Arial" w:cs="Arial"/>
        </w:rPr>
        <w:t xml:space="preserve">However, modern critics argue that, while these frameworks are strong, they risk oversimplifying behavioural attribution. According to </w:t>
      </w:r>
      <w:r w:rsidR="248AEEC5" w:rsidRPr="0E260372">
        <w:rPr>
          <w:rFonts w:ascii="Arial" w:eastAsia="Arial" w:hAnsi="Arial" w:cs="Arial"/>
        </w:rPr>
        <w:t xml:space="preserve">Tinner </w:t>
      </w:r>
      <w:r w:rsidR="248AEEC5" w:rsidRPr="0E260372">
        <w:rPr>
          <w:rFonts w:ascii="Arial" w:eastAsia="Arial" w:hAnsi="Arial" w:cs="Arial"/>
          <w:i/>
          <w:iCs/>
        </w:rPr>
        <w:t>et al.</w:t>
      </w:r>
      <w:r w:rsidR="248AEEC5" w:rsidRPr="0E260372">
        <w:rPr>
          <w:rFonts w:ascii="Arial" w:eastAsia="Arial" w:hAnsi="Arial" w:cs="Arial"/>
        </w:rPr>
        <w:t xml:space="preserve"> (2021)</w:t>
      </w:r>
      <w:r w:rsidRPr="0E260372">
        <w:rPr>
          <w:rFonts w:ascii="Arial" w:eastAsia="Arial" w:hAnsi="Arial" w:cs="Arial"/>
        </w:rPr>
        <w:t>, relying too heavily on behaviourist principles may hide the impact of structural inequalities such as poverty, housing instability, and educational marginalisation on teenagers' vulnerability to substance use. Thus, incorporating socio-ecological concepts into preventative policy is crucial to accomplishing adequate outcomes.</w:t>
      </w:r>
    </w:p>
    <w:p w14:paraId="05267450" w14:textId="42E54230" w:rsidR="3E240FAF" w:rsidRDefault="3E240FAF" w:rsidP="00597F9E">
      <w:r w:rsidRPr="0E260372">
        <w:rPr>
          <w:rFonts w:ascii="Arial" w:eastAsia="Arial" w:hAnsi="Arial" w:cs="Arial"/>
        </w:rPr>
        <w:t>Volkow and Blanco (2023) add a neurobiological dimension, saying that adolescence is a developmental period marked by increased reward sensitivity and reduced impulse control, making early prevention biologically crucial. While such findings reinforce the scientific case for early intervention, they must be contextualised within social realities as biological vulnerability alone cannot explain differences in risk exposure across socioeconomic groups (Becker and Rice, 2022).</w:t>
      </w:r>
    </w:p>
    <w:p w14:paraId="62793F63" w14:textId="07EF8AD4" w:rsidR="0DBF03D7" w:rsidRDefault="0DBF03D7" w:rsidP="00597F9E">
      <w:pPr>
        <w:rPr>
          <w:rFonts w:ascii="Arial" w:eastAsia="Arial" w:hAnsi="Arial" w:cs="Arial"/>
          <w:sz w:val="24"/>
          <w:szCs w:val="24"/>
        </w:rPr>
      </w:pPr>
      <w:r w:rsidRPr="0E260372">
        <w:rPr>
          <w:rFonts w:ascii="Arial" w:eastAsia="Arial" w:hAnsi="Arial" w:cs="Arial"/>
          <w:sz w:val="24"/>
          <w:szCs w:val="24"/>
        </w:rPr>
        <w:t>Policy and Legislation</w:t>
      </w:r>
    </w:p>
    <w:p w14:paraId="7906666E" w14:textId="285A54C1" w:rsidR="77CA6A28" w:rsidRDefault="77CA6A28" w:rsidP="00597F9E">
      <w:r w:rsidRPr="0E260372">
        <w:rPr>
          <w:rFonts w:ascii="Arial" w:eastAsia="Arial" w:hAnsi="Arial" w:cs="Arial"/>
        </w:rPr>
        <w:t>The UK's 10-Year Drug Strategy (2021) outlines a framework for prevention, including early intervention, family engagement and adolescent education programs. It is consistent with international recommendations such as the World Health Organization's Global Strategy to Reduce the Harmful Use of Alcohol and the United Nations Youth Drug Prevention Framework. However, implementation issues persist. Holland et al. (2023), point out that, despite optimistic policy statements, teenage prevention continues to get insufficient financial support, with funds disproportionately given to enforcement rather than education and support services.</w:t>
      </w:r>
    </w:p>
    <w:p w14:paraId="544DB845" w14:textId="779489E6" w:rsidR="76296051" w:rsidRDefault="76296051" w:rsidP="00597F9E">
      <w:r w:rsidRPr="0E260372">
        <w:rPr>
          <w:rFonts w:ascii="Arial" w:eastAsia="Arial" w:hAnsi="Arial" w:cs="Arial"/>
        </w:rPr>
        <w:t xml:space="preserve">According to Babor et al. (2022), nations with rigorous alcohol regulations, such as higher pricing, restricted marketing and controlled availability, have considerable decreases in teenage alcohol consumption and related consequences. This comparative study highlights </w:t>
      </w:r>
      <w:r w:rsidRPr="0E260372">
        <w:rPr>
          <w:rFonts w:ascii="Arial" w:eastAsia="Arial" w:hAnsi="Arial" w:cs="Arial"/>
        </w:rPr>
        <w:lastRenderedPageBreak/>
        <w:t>the potential impact of structural changes, implying that UK policy could benefit from increased regulatory alignment. However, the transferability of such interventions must be carefully considered in various cultural and economic circumstances.</w:t>
      </w:r>
    </w:p>
    <w:p w14:paraId="549DAD72" w14:textId="401101B0" w:rsidR="31A0855E" w:rsidRDefault="31A0855E" w:rsidP="00597F9E">
      <w:r w:rsidRPr="0E260372">
        <w:rPr>
          <w:rFonts w:ascii="Arial" w:eastAsia="Arial" w:hAnsi="Arial" w:cs="Arial"/>
        </w:rPr>
        <w:t>Furthermore,</w:t>
      </w:r>
      <w:r w:rsidR="2AF42305" w:rsidRPr="0E260372">
        <w:rPr>
          <w:rFonts w:ascii="Arial" w:eastAsia="Arial" w:hAnsi="Arial" w:cs="Arial"/>
        </w:rPr>
        <w:t xml:space="preserve"> study by Degenhardt et al, (2016</w:t>
      </w:r>
      <w:r w:rsidR="2D070FEA" w:rsidRPr="0E260372">
        <w:rPr>
          <w:rFonts w:ascii="Arial" w:eastAsia="Arial" w:hAnsi="Arial" w:cs="Arial"/>
        </w:rPr>
        <w:t xml:space="preserve">), suggested that </w:t>
      </w:r>
      <w:r w:rsidRPr="0E260372">
        <w:rPr>
          <w:rFonts w:ascii="Arial" w:eastAsia="Arial" w:hAnsi="Arial" w:cs="Arial"/>
        </w:rPr>
        <w:t>inconsistency in local implementation can decrease preventative efficacy. While some local governments have effectively implemented family-based and school-linked interventions, others lack the resources to continue programs, resulting in unequal service access. This disparity demonstrates that major policy objectives require better accountability systems and long-term investment to achieve noticeable improvements.</w:t>
      </w:r>
    </w:p>
    <w:p w14:paraId="554E69E8" w14:textId="5A134E64" w:rsidR="0CC85995" w:rsidRDefault="0CC85995" w:rsidP="00597F9E">
      <w:pPr>
        <w:rPr>
          <w:rFonts w:ascii="Arial" w:eastAsia="Arial" w:hAnsi="Arial" w:cs="Arial"/>
          <w:sz w:val="24"/>
          <w:szCs w:val="24"/>
        </w:rPr>
      </w:pPr>
      <w:r w:rsidRPr="0E260372">
        <w:rPr>
          <w:rFonts w:ascii="Arial" w:eastAsia="Arial" w:hAnsi="Arial" w:cs="Arial"/>
          <w:sz w:val="24"/>
          <w:szCs w:val="24"/>
        </w:rPr>
        <w:t>Positive and Negative Implications</w:t>
      </w:r>
    </w:p>
    <w:p w14:paraId="1AA3C0D4" w14:textId="17391712" w:rsidR="67EA54BA" w:rsidRDefault="67EA54BA" w:rsidP="00597F9E">
      <w:r w:rsidRPr="0E260372">
        <w:rPr>
          <w:rFonts w:ascii="Arial" w:eastAsia="Arial" w:hAnsi="Arial" w:cs="Arial"/>
        </w:rPr>
        <w:t xml:space="preserve">The increased policy emphasis on prevention has resulted in good effects, such as stronger cross-sector collaboration and greater understanding of youth specific requirements. </w:t>
      </w:r>
      <w:proofErr w:type="spellStart"/>
      <w:r w:rsidRPr="0E260372">
        <w:rPr>
          <w:rFonts w:ascii="Arial" w:eastAsia="Arial" w:hAnsi="Arial" w:cs="Arial"/>
        </w:rPr>
        <w:t>Segrott</w:t>
      </w:r>
      <w:proofErr w:type="spellEnd"/>
      <w:r w:rsidRPr="0E260372">
        <w:rPr>
          <w:rFonts w:ascii="Arial" w:eastAsia="Arial" w:hAnsi="Arial" w:cs="Arial"/>
        </w:rPr>
        <w:t xml:space="preserve"> et al. (2022), found that when sufficiently supported, family-based treatments minimise early substance use while also strengthening protective factors like as communication and parental supervision. Similarly, Judith Watson et al. (2017), discovered that social network techniques improve treatment engagement and long-term outcomes.</w:t>
      </w:r>
    </w:p>
    <w:p w14:paraId="17CA53C2" w14:textId="77777777" w:rsidR="007B6FE8" w:rsidRDefault="7FCAD8BE" w:rsidP="00597F9E">
      <w:pPr>
        <w:rPr>
          <w:rFonts w:ascii="Arial" w:eastAsia="Arial" w:hAnsi="Arial" w:cs="Arial"/>
        </w:rPr>
      </w:pPr>
      <w:r w:rsidRPr="0E260372">
        <w:rPr>
          <w:rFonts w:ascii="Arial" w:eastAsia="Arial" w:hAnsi="Arial" w:cs="Arial"/>
        </w:rPr>
        <w:t>However, preventative plans frequently follow a one-size-fits-all approach that ignores cultural, regional and individual differences. Young people in foster care, those who are excluded from school, and those living in economically depressed areas face distinct challenges that general programs fail to overcome.</w:t>
      </w:r>
      <w:r w:rsidR="0075518A" w:rsidRPr="0075518A">
        <w:t xml:space="preserve"> </w:t>
      </w:r>
      <w:r w:rsidR="007B6FE8">
        <w:t>T</w:t>
      </w:r>
      <w:r w:rsidR="0075518A" w:rsidRPr="0075518A">
        <w:rPr>
          <w:rFonts w:ascii="Arial" w:eastAsia="Arial" w:hAnsi="Arial" w:cs="Arial"/>
        </w:rPr>
        <w:t>his directly relates to the study’s aim by showing how prevention policy often fails to meet the needs of the most vulnerable youth, reinforcing unequal access to effective support</w:t>
      </w:r>
      <w:r w:rsidR="007B6FE8">
        <w:rPr>
          <w:rFonts w:ascii="Arial" w:eastAsia="Arial" w:hAnsi="Arial" w:cs="Arial"/>
        </w:rPr>
        <w:t>.</w:t>
      </w:r>
    </w:p>
    <w:p w14:paraId="2991EDFF" w14:textId="35FBCBE8" w:rsidR="7FCAD8BE" w:rsidRDefault="7FCAD8BE" w:rsidP="00597F9E">
      <w:r w:rsidRPr="0E260372">
        <w:rPr>
          <w:rFonts w:ascii="Arial" w:eastAsia="Arial" w:hAnsi="Arial" w:cs="Arial"/>
        </w:rPr>
        <w:t xml:space="preserve"> This disparity is consistent with the findings of James, Nash and Comiskey (2024), who found stigma, poor program design and a lack of youth centred delivery as significant impediments to engagement. As a result, while present policies serve as an essential basis, their lack of inclusion limits overall effectiveness.</w:t>
      </w:r>
    </w:p>
    <w:p w14:paraId="56B866E9" w14:textId="4491ADBD" w:rsidR="7FCAD8BE" w:rsidRDefault="7FCAD8BE" w:rsidP="00597F9E">
      <w:pPr>
        <w:rPr>
          <w:rFonts w:ascii="Arial" w:eastAsia="Arial" w:hAnsi="Arial" w:cs="Arial"/>
          <w:sz w:val="24"/>
          <w:szCs w:val="24"/>
        </w:rPr>
      </w:pPr>
      <w:r w:rsidRPr="0E260372">
        <w:rPr>
          <w:rFonts w:ascii="Arial" w:eastAsia="Arial" w:hAnsi="Arial" w:cs="Arial"/>
          <w:sz w:val="24"/>
          <w:szCs w:val="24"/>
        </w:rPr>
        <w:t>Examples from Reviewed Literature</w:t>
      </w:r>
    </w:p>
    <w:p w14:paraId="192F978F" w14:textId="2D5F43E8" w:rsidR="42E6813E" w:rsidRDefault="42E6813E" w:rsidP="00597F9E">
      <w:r w:rsidRPr="0E260372">
        <w:rPr>
          <w:rFonts w:ascii="Arial" w:eastAsia="Arial" w:hAnsi="Arial" w:cs="Arial"/>
        </w:rPr>
        <w:t>Several key studies highlight both the benefits and weaknesses of existing preventative policies. Holland et al. (2023), critically examined the UK Government's 10-Year Drugs policy and discovered a large shortage in adolescents prevention funding, indicating that without structural reform, the policy risks repeating previous inefficiencies. Babor et al. (2022), found that globally best practices, including regulatory constraints and price-based interventions, might effectively lower youth consumption, providing useful policy insights for the UK context.</w:t>
      </w:r>
    </w:p>
    <w:p w14:paraId="732EDDD7" w14:textId="7863B3B4" w:rsidR="1D29F72A" w:rsidRDefault="1D29F72A" w:rsidP="00597F9E">
      <w:r w:rsidRPr="0E260372">
        <w:rPr>
          <w:rFonts w:ascii="Arial" w:eastAsia="Arial" w:hAnsi="Arial" w:cs="Arial"/>
        </w:rPr>
        <w:lastRenderedPageBreak/>
        <w:t>Becker and Rice, (2022) broadened the debate to include emergent forms of risk behaviour, such as vaping, demonstrating the importance of adaptable policy frameworks that respond to changing trends rather than depending on old substance categories.</w:t>
      </w:r>
      <w:r w:rsidR="008D31A2" w:rsidRPr="008D31A2">
        <w:t xml:space="preserve"> </w:t>
      </w:r>
      <w:r w:rsidR="008D31A2" w:rsidRPr="008D31A2">
        <w:rPr>
          <w:rFonts w:ascii="Arial" w:eastAsia="Arial" w:hAnsi="Arial" w:cs="Arial"/>
        </w:rPr>
        <w:t>While Holland et al. (2023)</w:t>
      </w:r>
      <w:r w:rsidR="00887C5B">
        <w:rPr>
          <w:rFonts w:ascii="Arial" w:eastAsia="Arial" w:hAnsi="Arial" w:cs="Arial"/>
        </w:rPr>
        <w:t>,</w:t>
      </w:r>
      <w:r w:rsidR="008D31A2" w:rsidRPr="008D31A2">
        <w:rPr>
          <w:rFonts w:ascii="Arial" w:eastAsia="Arial" w:hAnsi="Arial" w:cs="Arial"/>
        </w:rPr>
        <w:t xml:space="preserve"> attribute prevention weaknesses primarily to structural underfunding, Becker and Rice (2022) highlight changing behavioural trends as equally significant barriers, illustrating differing views on where policy reform is most urgently needed</w:t>
      </w:r>
      <w:r w:rsidR="00B8603A" w:rsidRPr="00B8603A">
        <w:rPr>
          <w:rFonts w:ascii="Arial" w:eastAsia="Arial" w:hAnsi="Arial" w:cs="Arial"/>
        </w:rPr>
        <w:t>.</w:t>
      </w:r>
    </w:p>
    <w:p w14:paraId="69A9F0EE" w14:textId="67E46ED8" w:rsidR="1D29F72A" w:rsidRDefault="1D29F72A" w:rsidP="00597F9E">
      <w:pPr>
        <w:rPr>
          <w:rFonts w:ascii="Arial" w:eastAsia="Arial" w:hAnsi="Arial" w:cs="Arial"/>
          <w:sz w:val="24"/>
          <w:szCs w:val="24"/>
        </w:rPr>
      </w:pPr>
      <w:r w:rsidRPr="0E260372">
        <w:rPr>
          <w:rFonts w:ascii="Arial" w:eastAsia="Arial" w:hAnsi="Arial" w:cs="Arial"/>
          <w:sz w:val="24"/>
          <w:szCs w:val="24"/>
        </w:rPr>
        <w:t>Interconnections with Other Themes</w:t>
      </w:r>
    </w:p>
    <w:p w14:paraId="03BF9BBA" w14:textId="7A17644C" w:rsidR="3860AB3F" w:rsidRDefault="3860AB3F" w:rsidP="00597F9E">
      <w:r w:rsidRPr="0E260372">
        <w:rPr>
          <w:rFonts w:ascii="Arial" w:eastAsia="Arial" w:hAnsi="Arial" w:cs="Arial"/>
        </w:rPr>
        <w:t>This subject is closely related to theme 1 (Social Determinants and Peer Impact) and Theme 3 (Access to Support and Intervention Services). Inequality, peer influence and family stability are all societal characteristics that determine substance abuse prevention policies. Simultaneously, the effectiveness of prevention initiatives is dependent on the availability and quality of support systems for young people. As a result, policy and prevention efficacy cannot be evaluated in isolation, but rather as a mediator between broader social settings and individual outcomes.</w:t>
      </w:r>
      <w:r w:rsidR="00EA64AA" w:rsidRPr="00EA64AA">
        <w:t xml:space="preserve"> </w:t>
      </w:r>
      <w:r w:rsidR="00EA64AA" w:rsidRPr="00EA64AA">
        <w:rPr>
          <w:rFonts w:ascii="Arial" w:eastAsia="Arial" w:hAnsi="Arial" w:cs="Arial"/>
        </w:rPr>
        <w:t xml:space="preserve">This naturally leads into Theme 3, which explores how </w:t>
      </w:r>
      <w:r w:rsidR="00EA64AA" w:rsidRPr="00EA64AA">
        <w:rPr>
          <w:rFonts w:ascii="Arial" w:eastAsia="Arial" w:hAnsi="Arial" w:cs="Arial"/>
        </w:rPr>
        <w:t>this policy</w:t>
      </w:r>
      <w:r w:rsidR="00EA64AA" w:rsidRPr="00EA64AA">
        <w:rPr>
          <w:rFonts w:ascii="Arial" w:eastAsia="Arial" w:hAnsi="Arial" w:cs="Arial"/>
        </w:rPr>
        <w:t xml:space="preserve"> shortcomings shape young people’s access to support and intervention services</w:t>
      </w:r>
      <w:r w:rsidR="00D93194" w:rsidRPr="00D93194">
        <w:rPr>
          <w:rFonts w:ascii="Arial" w:eastAsia="Arial" w:hAnsi="Arial" w:cs="Arial"/>
        </w:rPr>
        <w:t>.</w:t>
      </w:r>
    </w:p>
    <w:p w14:paraId="3CADB6AC" w14:textId="61C3FC06" w:rsidR="001C3AF6" w:rsidRPr="00594CDC" w:rsidRDefault="001C3AF6" w:rsidP="00597F9E">
      <w:pPr>
        <w:pStyle w:val="Heading2"/>
        <w:rPr>
          <w:rFonts w:ascii="Arial" w:hAnsi="Arial" w:cs="Arial"/>
          <w:color w:val="auto"/>
        </w:rPr>
      </w:pPr>
      <w:bookmarkStart w:id="26" w:name="_Toc213871362"/>
      <w:r w:rsidRPr="00594CDC">
        <w:rPr>
          <w:rFonts w:ascii="Arial" w:hAnsi="Arial" w:cs="Arial"/>
          <w:color w:val="auto"/>
        </w:rPr>
        <w:t xml:space="preserve">4.5 Theme 3 </w:t>
      </w:r>
      <w:r w:rsidR="50AADF5F" w:rsidRPr="00594CDC">
        <w:rPr>
          <w:rFonts w:ascii="Arial" w:hAnsi="Arial" w:cs="Arial"/>
          <w:color w:val="auto"/>
        </w:rPr>
        <w:t>Access to Support and Intervention Services</w:t>
      </w:r>
      <w:bookmarkEnd w:id="26"/>
    </w:p>
    <w:p w14:paraId="0D8B4DA0" w14:textId="2141C00C" w:rsidR="00636D9A" w:rsidRPr="00636D9A" w:rsidRDefault="2BCECA81" w:rsidP="00597F9E">
      <w:pPr>
        <w:rPr>
          <w:rFonts w:ascii="Arial" w:eastAsia="Arial" w:hAnsi="Arial" w:cs="Arial"/>
          <w:sz w:val="24"/>
          <w:szCs w:val="24"/>
        </w:rPr>
      </w:pPr>
      <w:r w:rsidRPr="0E260372">
        <w:rPr>
          <w:rFonts w:ascii="Arial" w:eastAsia="Arial" w:hAnsi="Arial" w:cs="Arial"/>
          <w:sz w:val="24"/>
          <w:szCs w:val="24"/>
        </w:rPr>
        <w:t>Definition of the Theme</w:t>
      </w:r>
    </w:p>
    <w:p w14:paraId="6DC07EC5" w14:textId="1558A256" w:rsidR="6207E543" w:rsidRDefault="6207E543" w:rsidP="00597F9E">
      <w:r w:rsidRPr="0E260372">
        <w:rPr>
          <w:rFonts w:ascii="Arial" w:eastAsia="Arial" w:hAnsi="Arial" w:cs="Arial"/>
        </w:rPr>
        <w:t xml:space="preserve">Access to support and intervention services relates to how rapidly, appropriately and effectively young people suffering from substance abuse can receive assistance. This includes professional treatment programs, community-based preventative measures and informal family or peer support groups. </w:t>
      </w:r>
      <w:r w:rsidR="27AB38A6" w:rsidRPr="0E260372">
        <w:rPr>
          <w:rFonts w:ascii="Arial" w:eastAsia="Arial" w:hAnsi="Arial" w:cs="Arial"/>
        </w:rPr>
        <w:t>It is believed by Gleeson, Duke and Thom (2019) that e</w:t>
      </w:r>
      <w:r w:rsidRPr="0E260372">
        <w:rPr>
          <w:rFonts w:ascii="Arial" w:eastAsia="Arial" w:hAnsi="Arial" w:cs="Arial"/>
        </w:rPr>
        <w:t>ffective access is determined not just by service availability, but also by acceptability, cultural relevance and continuity of treatment. In the context of teenage substance use, access includes both structural components like policy funding, geographic coverage, and service coordination, as well as psychosocial factors like stigma, motivation, and family involvement. Understanding access is thus critical for assessing the real-world effectiveness of preventative and recovery initiatives.</w:t>
      </w:r>
    </w:p>
    <w:p w14:paraId="37C351C6" w14:textId="4D095ADF" w:rsidR="6FF6AD19" w:rsidRDefault="6FF6AD19" w:rsidP="00597F9E">
      <w:pPr>
        <w:rPr>
          <w:rFonts w:ascii="Arial" w:eastAsia="Arial" w:hAnsi="Arial" w:cs="Arial"/>
          <w:sz w:val="24"/>
          <w:szCs w:val="24"/>
        </w:rPr>
      </w:pPr>
      <w:r w:rsidRPr="0E260372">
        <w:rPr>
          <w:rFonts w:ascii="Arial" w:eastAsia="Arial" w:hAnsi="Arial" w:cs="Arial"/>
          <w:sz w:val="24"/>
          <w:szCs w:val="24"/>
        </w:rPr>
        <w:t>Historical and Contextual Background</w:t>
      </w:r>
    </w:p>
    <w:p w14:paraId="79E8145A" w14:textId="77777777" w:rsidR="00771706" w:rsidRDefault="4CA41DBA" w:rsidP="00597F9E">
      <w:pPr>
        <w:rPr>
          <w:rFonts w:ascii="Arial" w:eastAsia="Arial" w:hAnsi="Arial" w:cs="Arial"/>
        </w:rPr>
      </w:pPr>
      <w:r w:rsidRPr="0E260372">
        <w:rPr>
          <w:rFonts w:ascii="Arial" w:eastAsia="Arial" w:hAnsi="Arial" w:cs="Arial"/>
        </w:rPr>
        <w:t>Historically, service provision for young people with substance misuse difficulties in the UK has varied by location. Prior to the early 2000s, therapy frameworks were mostly adult-oriented, with little consideration for teenagers' developmental, social and psychological needs (as observed by</w:t>
      </w:r>
      <w:r w:rsidR="3CCA986D" w:rsidRPr="0E260372">
        <w:rPr>
          <w:rFonts w:ascii="Arial" w:eastAsia="Arial" w:hAnsi="Arial" w:cs="Arial"/>
        </w:rPr>
        <w:t xml:space="preserve"> Schoenberger </w:t>
      </w:r>
      <w:r w:rsidR="3CCA986D" w:rsidRPr="0E260372">
        <w:rPr>
          <w:rFonts w:ascii="Arial" w:eastAsia="Arial" w:hAnsi="Arial" w:cs="Arial"/>
          <w:i/>
          <w:iCs/>
        </w:rPr>
        <w:t>et al.,</w:t>
      </w:r>
      <w:r w:rsidR="3CCA986D" w:rsidRPr="0E260372">
        <w:rPr>
          <w:rFonts w:ascii="Arial" w:eastAsia="Arial" w:hAnsi="Arial" w:cs="Arial"/>
        </w:rPr>
        <w:t>2022)</w:t>
      </w:r>
      <w:r w:rsidRPr="0E260372">
        <w:rPr>
          <w:rFonts w:ascii="Arial" w:eastAsia="Arial" w:hAnsi="Arial" w:cs="Arial"/>
        </w:rPr>
        <w:t xml:space="preserve">). The introduction of youth-focused programs under the National Treatment Agency for Substance Abuse </w:t>
      </w:r>
      <w:r w:rsidR="4529CDA1" w:rsidRPr="0E260372">
        <w:rPr>
          <w:rFonts w:ascii="Arial" w:eastAsia="Arial" w:hAnsi="Arial" w:cs="Arial"/>
        </w:rPr>
        <w:t>(</w:t>
      </w:r>
      <w:r w:rsidRPr="0E260372">
        <w:rPr>
          <w:rFonts w:ascii="Arial" w:eastAsia="Arial" w:hAnsi="Arial" w:cs="Arial"/>
        </w:rPr>
        <w:t>2001</w:t>
      </w:r>
      <w:r w:rsidR="505F9BDA" w:rsidRPr="0E260372">
        <w:rPr>
          <w:rFonts w:ascii="Arial" w:eastAsia="Arial" w:hAnsi="Arial" w:cs="Arial"/>
        </w:rPr>
        <w:t>)</w:t>
      </w:r>
      <w:r w:rsidRPr="0E260372">
        <w:rPr>
          <w:rFonts w:ascii="Arial" w:eastAsia="Arial" w:hAnsi="Arial" w:cs="Arial"/>
        </w:rPr>
        <w:t xml:space="preserve"> was a turning point moment, bringing integrated care pathways and early intervention initiatives. </w:t>
      </w:r>
    </w:p>
    <w:p w14:paraId="1E87B903" w14:textId="16908547" w:rsidR="428150FB" w:rsidRPr="00771706" w:rsidRDefault="4CA41DBA" w:rsidP="00597F9E">
      <w:r w:rsidRPr="0E260372">
        <w:rPr>
          <w:rFonts w:ascii="Arial" w:eastAsia="Arial" w:hAnsi="Arial" w:cs="Arial"/>
        </w:rPr>
        <w:lastRenderedPageBreak/>
        <w:t xml:space="preserve">However, austerity policies implemented beginning in 2010 resulted in considerable funding reductions throughout local authority services, disproportionately harming youth-specific </w:t>
      </w:r>
      <w:r w:rsidR="001C6B3B" w:rsidRPr="0E260372">
        <w:rPr>
          <w:rFonts w:ascii="Arial" w:eastAsia="Arial" w:hAnsi="Arial" w:cs="Arial"/>
        </w:rPr>
        <w:t>provision. The</w:t>
      </w:r>
      <w:r w:rsidR="428150FB" w:rsidRPr="0E260372">
        <w:rPr>
          <w:rFonts w:ascii="Arial" w:eastAsia="Arial" w:hAnsi="Arial" w:cs="Arial"/>
        </w:rPr>
        <w:t xml:space="preserve"> 10-Year Drugs Strategy (2021) aimed to reverse this trend by increasing spending and focussing on prevention and treatment for young people. However, as Holland et al. (2023), noted implementation issues exist, particularly in terms of collaboration among school, mental health and social care institutions. Access is still shaped by historical injustices and policy unpredictability. Critically, this shows that, while the policy landscape generally favours integrated methods, poor implementation continues to impede equal access to effective therapies (Fl</w:t>
      </w:r>
      <w:r w:rsidR="146D5B28" w:rsidRPr="0E260372">
        <w:rPr>
          <w:rFonts w:ascii="Arial" w:eastAsia="Arial" w:hAnsi="Arial" w:cs="Arial"/>
        </w:rPr>
        <w:t>acks, 2018)</w:t>
      </w:r>
      <w:r w:rsidR="428150FB" w:rsidRPr="0E260372">
        <w:rPr>
          <w:rFonts w:ascii="Arial" w:eastAsia="Arial" w:hAnsi="Arial" w:cs="Arial"/>
        </w:rPr>
        <w:t>.</w:t>
      </w:r>
    </w:p>
    <w:p w14:paraId="017CC41C" w14:textId="390A854C" w:rsidR="1FC68BA4" w:rsidRDefault="1FC68BA4" w:rsidP="00597F9E">
      <w:pPr>
        <w:rPr>
          <w:rFonts w:ascii="Arial" w:eastAsia="Arial" w:hAnsi="Arial" w:cs="Arial"/>
          <w:sz w:val="24"/>
          <w:szCs w:val="24"/>
        </w:rPr>
      </w:pPr>
      <w:r w:rsidRPr="0E260372">
        <w:rPr>
          <w:rFonts w:ascii="Arial" w:eastAsia="Arial" w:hAnsi="Arial" w:cs="Arial"/>
          <w:sz w:val="24"/>
          <w:szCs w:val="24"/>
        </w:rPr>
        <w:t>Relevance to the Research Question</w:t>
      </w:r>
    </w:p>
    <w:p w14:paraId="695C2220" w14:textId="77777777" w:rsidR="00DD439C" w:rsidRDefault="3B39FEFA" w:rsidP="00597F9E">
      <w:pPr>
        <w:rPr>
          <w:rFonts w:ascii="Arial" w:eastAsia="Arial" w:hAnsi="Arial" w:cs="Arial"/>
        </w:rPr>
      </w:pPr>
      <w:r w:rsidRPr="0E260372">
        <w:rPr>
          <w:rFonts w:ascii="Arial" w:eastAsia="Arial" w:hAnsi="Arial" w:cs="Arial"/>
        </w:rPr>
        <w:t xml:space="preserve">This theme directly addresses Research Objectives 3 and 4, which investigate the prevalence and concealment of substance abuse among vulnerable young people, as well as the efficacy of current therapeutic strategies. Limited access to help contributes to the persistence of covert substance use, especially among looked after children, those excluded from school and those living in economically challenged regions. </w:t>
      </w:r>
    </w:p>
    <w:p w14:paraId="22BDA4CA" w14:textId="50B0E727" w:rsidR="00DD439C" w:rsidRPr="00DD439C" w:rsidRDefault="3B39FEFA" w:rsidP="00597F9E">
      <w:pPr>
        <w:rPr>
          <w:rFonts w:ascii="Arial" w:eastAsia="Arial" w:hAnsi="Arial" w:cs="Arial"/>
        </w:rPr>
      </w:pPr>
      <w:r w:rsidRPr="0E260372">
        <w:rPr>
          <w:rFonts w:ascii="Arial" w:eastAsia="Arial" w:hAnsi="Arial" w:cs="Arial"/>
        </w:rPr>
        <w:t>As previously stated by (Mold, 2019), the ultimate effectiveness of any preventative or treatment endeavour is determined by whether young people can actively connect with and sustain their participation in these services. Exploring barriers and enablers of access thus provides vital insight into whether policy goals are being met in practice.</w:t>
      </w:r>
      <w:r w:rsidR="00DD439C" w:rsidRPr="00DD439C">
        <w:rPr>
          <w:rFonts w:ascii="Times New Roman" w:eastAsia="Times New Roman" w:hAnsi="Times New Roman" w:cs="Times New Roman"/>
          <w:sz w:val="24"/>
          <w:szCs w:val="24"/>
        </w:rPr>
        <w:t xml:space="preserve"> </w:t>
      </w:r>
      <w:r w:rsidR="00DD439C" w:rsidRPr="00DD439C">
        <w:rPr>
          <w:rFonts w:ascii="Arial" w:eastAsia="Arial" w:hAnsi="Arial" w:cs="Arial"/>
        </w:rPr>
        <w:t>This theme supports the study aim by showing how structural and psychosocial barriers affect adolescents’ access to support.</w:t>
      </w:r>
    </w:p>
    <w:p w14:paraId="285AC0F9" w14:textId="6067A80E" w:rsidR="3B39FEFA" w:rsidRDefault="3B39FEFA" w:rsidP="00597F9E"/>
    <w:p w14:paraId="0273FCCA" w14:textId="1EE1A881" w:rsidR="00735607" w:rsidRDefault="00735607" w:rsidP="00597F9E">
      <w:pPr>
        <w:rPr>
          <w:rFonts w:ascii="Arial" w:eastAsia="Arial" w:hAnsi="Arial" w:cs="Arial"/>
          <w:sz w:val="24"/>
          <w:szCs w:val="24"/>
        </w:rPr>
      </w:pPr>
      <w:r w:rsidRPr="0E260372">
        <w:rPr>
          <w:rFonts w:ascii="Arial" w:eastAsia="Arial" w:hAnsi="Arial" w:cs="Arial"/>
          <w:sz w:val="24"/>
          <w:szCs w:val="24"/>
        </w:rPr>
        <w:t>Statistical Overview</w:t>
      </w:r>
    </w:p>
    <w:p w14:paraId="68BEF93F" w14:textId="77777777" w:rsidR="00B0283B" w:rsidRDefault="00735607" w:rsidP="00597F9E">
      <w:pPr>
        <w:rPr>
          <w:rFonts w:ascii="Arial" w:eastAsia="Arial" w:hAnsi="Arial" w:cs="Arial"/>
        </w:rPr>
      </w:pPr>
      <w:r w:rsidRPr="0E260372">
        <w:rPr>
          <w:rFonts w:ascii="Arial" w:eastAsia="Arial" w:hAnsi="Arial" w:cs="Arial"/>
        </w:rPr>
        <w:t>According to the Office for Health Improvement and Disparities (2024), 11,847 young people in England received structured substance abuse treatment in 2023-24, which is largely similar with recent years. While treatment numbers remain stable, it is possible that preventative initiatives have not reduced the need for intervention significantly. Cannabis accounted for 82% of primary substance use in this cohort, followed by alcohol, indicating ongoing patterns of early experimentation</w:t>
      </w:r>
      <w:r w:rsidR="29D24C06" w:rsidRPr="0E260372">
        <w:rPr>
          <w:rFonts w:ascii="Arial" w:eastAsia="Arial" w:hAnsi="Arial" w:cs="Arial"/>
        </w:rPr>
        <w:t xml:space="preserve"> (Das, 2019</w:t>
      </w:r>
      <w:r w:rsidR="00D12BE7" w:rsidRPr="0E260372">
        <w:rPr>
          <w:rFonts w:ascii="Arial" w:eastAsia="Arial" w:hAnsi="Arial" w:cs="Arial"/>
        </w:rPr>
        <w:t>). Significantly</w:t>
      </w:r>
      <w:r w:rsidR="70F1D1E3" w:rsidRPr="0E260372">
        <w:rPr>
          <w:rFonts w:ascii="Arial" w:eastAsia="Arial" w:hAnsi="Arial" w:cs="Arial"/>
        </w:rPr>
        <w:t xml:space="preserve">, the same dataset shows that over half of those entering treatment had several vulnerabilities, such as mental health issues, family instability or school exclusion. This correlation demonstrates that substance abuse is frequently an indicator of larger social hardship. </w:t>
      </w:r>
    </w:p>
    <w:p w14:paraId="4DFFECC8" w14:textId="65B19571" w:rsidR="70F1D1E3" w:rsidRPr="00D12BE7" w:rsidRDefault="70F1D1E3" w:rsidP="00597F9E">
      <w:pPr>
        <w:rPr>
          <w:rFonts w:ascii="Arial" w:eastAsia="Arial" w:hAnsi="Arial" w:cs="Arial"/>
        </w:rPr>
      </w:pPr>
      <w:r w:rsidRPr="0E260372">
        <w:rPr>
          <w:rFonts w:ascii="Arial" w:eastAsia="Arial" w:hAnsi="Arial" w:cs="Arial"/>
        </w:rPr>
        <w:lastRenderedPageBreak/>
        <w:t>However, as Alderson et al. (2019), indicate quantitative data alone cannot explain why certain young people disengage from or fail to use programs. These difficulties are better captured through qualitative inquiry. This strengthens the idea that evaluating access necessitates considering both measured service uptake and the lived experiences that shape participation.</w:t>
      </w:r>
    </w:p>
    <w:p w14:paraId="3D52C50A" w14:textId="7D441442" w:rsidR="70F1D1E3" w:rsidRDefault="70F1D1E3" w:rsidP="00597F9E">
      <w:pPr>
        <w:rPr>
          <w:rFonts w:ascii="Arial" w:eastAsia="Arial" w:hAnsi="Arial" w:cs="Arial"/>
          <w:sz w:val="24"/>
          <w:szCs w:val="24"/>
        </w:rPr>
      </w:pPr>
      <w:r w:rsidRPr="0E260372">
        <w:rPr>
          <w:rFonts w:ascii="Arial" w:eastAsia="Arial" w:hAnsi="Arial" w:cs="Arial"/>
          <w:sz w:val="24"/>
          <w:szCs w:val="24"/>
        </w:rPr>
        <w:t>Theoretical Framework</w:t>
      </w:r>
    </w:p>
    <w:p w14:paraId="6843C772" w14:textId="5358D455" w:rsidR="55B3B97B" w:rsidRDefault="55B3B97B" w:rsidP="00597F9E">
      <w:r w:rsidRPr="0E260372">
        <w:rPr>
          <w:rFonts w:ascii="Arial" w:eastAsia="Arial" w:hAnsi="Arial" w:cs="Arial"/>
        </w:rPr>
        <w:t>The barriers and facilitators impacting young people's access to support can be explored using Bronfenbrenner's Ecological Systems Theory, which views development as impacted by several interacting systems, including individual, family, community and policy</w:t>
      </w:r>
      <w:r w:rsidR="41F4DC42" w:rsidRPr="0E260372">
        <w:rPr>
          <w:rFonts w:ascii="Arial" w:eastAsia="Arial" w:hAnsi="Arial" w:cs="Arial"/>
        </w:rPr>
        <w:t xml:space="preserve"> highlighted by (Paat, 2013)</w:t>
      </w:r>
      <w:r w:rsidRPr="0E260372">
        <w:rPr>
          <w:rFonts w:ascii="Arial" w:eastAsia="Arial" w:hAnsi="Arial" w:cs="Arial"/>
        </w:rPr>
        <w:t>. Within this concept, access hurdles arise not only from individual hesitation, but also from systemic failings in the institutions that surround the adolescent.</w:t>
      </w:r>
    </w:p>
    <w:p w14:paraId="14B5E1CB" w14:textId="078CA5B0" w:rsidR="44A1B2FD" w:rsidRDefault="44A1B2FD" w:rsidP="00597F9E">
      <w:r w:rsidRPr="0E260372">
        <w:rPr>
          <w:rFonts w:ascii="Arial" w:eastAsia="Arial" w:hAnsi="Arial" w:cs="Arial"/>
        </w:rPr>
        <w:t xml:space="preserve">Similarly, Social Support Theory highlights the protective function of positive interpersonal relationships in developing resilience and recovery. </w:t>
      </w:r>
      <w:r w:rsidR="3D379BA2" w:rsidRPr="0E260372">
        <w:rPr>
          <w:rFonts w:ascii="Arial" w:eastAsia="Arial" w:hAnsi="Arial" w:cs="Arial"/>
        </w:rPr>
        <w:t>Judith Watson et al., (2017)</w:t>
      </w:r>
      <w:r w:rsidR="00044042">
        <w:rPr>
          <w:rFonts w:ascii="Arial" w:eastAsia="Arial" w:hAnsi="Arial" w:cs="Arial"/>
        </w:rPr>
        <w:t>,</w:t>
      </w:r>
      <w:r w:rsidRPr="0E260372">
        <w:rPr>
          <w:rFonts w:ascii="Arial" w:eastAsia="Arial" w:hAnsi="Arial" w:cs="Arial"/>
        </w:rPr>
        <w:t xml:space="preserve"> found that engaging family and social networks in treatment improves engagement and recovery results. However,</w:t>
      </w:r>
      <w:r w:rsidR="002E0CC4">
        <w:t xml:space="preserve"> </w:t>
      </w:r>
      <w:r w:rsidR="002E0CC4" w:rsidRPr="002E0CC4">
        <w:rPr>
          <w:rFonts w:ascii="Arial" w:eastAsia="Arial" w:hAnsi="Arial" w:cs="Arial"/>
        </w:rPr>
        <w:t xml:space="preserve">Tinner et al. (2021) note that family-based approaches are not always suitable for adolescents lacking reliable </w:t>
      </w:r>
      <w:r w:rsidR="002E0CC4" w:rsidRPr="002E0CC4">
        <w:rPr>
          <w:rFonts w:ascii="Arial" w:eastAsia="Arial" w:hAnsi="Arial" w:cs="Arial"/>
        </w:rPr>
        <w:t>support.</w:t>
      </w:r>
      <w:r w:rsidRPr="0E260372">
        <w:rPr>
          <w:rFonts w:ascii="Arial" w:eastAsia="Arial" w:hAnsi="Arial" w:cs="Arial"/>
        </w:rPr>
        <w:t xml:space="preserve"> As a result, interventions centred only on familial engagement risk neglecting individuals most in need, emphasising the significance of adaptable, context-sensitive service models.</w:t>
      </w:r>
      <w:r w:rsidR="00EB3555" w:rsidRPr="00EB3555">
        <w:t xml:space="preserve"> </w:t>
      </w:r>
      <w:r w:rsidR="00EB3555" w:rsidRPr="00EB3555">
        <w:rPr>
          <w:rFonts w:ascii="Arial" w:eastAsia="Arial" w:hAnsi="Arial" w:cs="Arial"/>
        </w:rPr>
        <w:t>While Judith Watson et al. (2017)</w:t>
      </w:r>
      <w:r w:rsidR="001C6B3B">
        <w:rPr>
          <w:rFonts w:ascii="Arial" w:eastAsia="Arial" w:hAnsi="Arial" w:cs="Arial"/>
        </w:rPr>
        <w:t>,</w:t>
      </w:r>
      <w:r w:rsidR="00EB3555" w:rsidRPr="00EB3555">
        <w:rPr>
          <w:rFonts w:ascii="Arial" w:eastAsia="Arial" w:hAnsi="Arial" w:cs="Arial"/>
        </w:rPr>
        <w:t xml:space="preserve"> emphasise family-based benefits, Tinner et al. (2021)</w:t>
      </w:r>
      <w:r w:rsidR="001C6B3B">
        <w:rPr>
          <w:rFonts w:ascii="Arial" w:eastAsia="Arial" w:hAnsi="Arial" w:cs="Arial"/>
        </w:rPr>
        <w:t>,</w:t>
      </w:r>
      <w:r w:rsidR="00EB3555" w:rsidRPr="00EB3555">
        <w:rPr>
          <w:rFonts w:ascii="Arial" w:eastAsia="Arial" w:hAnsi="Arial" w:cs="Arial"/>
        </w:rPr>
        <w:t xml:space="preserve"> stress its limits for vulnerable adolescents</w:t>
      </w:r>
    </w:p>
    <w:p w14:paraId="03334F8D" w14:textId="2EDD74DF" w:rsidR="658C6E75" w:rsidRDefault="658C6E75" w:rsidP="00597F9E">
      <w:pPr>
        <w:rPr>
          <w:rFonts w:ascii="Arial" w:eastAsia="Arial" w:hAnsi="Arial" w:cs="Arial"/>
          <w:sz w:val="24"/>
          <w:szCs w:val="24"/>
        </w:rPr>
      </w:pPr>
      <w:r w:rsidRPr="0E260372">
        <w:rPr>
          <w:rFonts w:ascii="Arial" w:eastAsia="Arial" w:hAnsi="Arial" w:cs="Arial"/>
          <w:sz w:val="24"/>
          <w:szCs w:val="24"/>
        </w:rPr>
        <w:t>Policy and Legislation</w:t>
      </w:r>
    </w:p>
    <w:p w14:paraId="6C5387C1" w14:textId="6E1CC259" w:rsidR="733DD7E9" w:rsidRDefault="733DD7E9" w:rsidP="00597F9E">
      <w:r w:rsidRPr="0E260372">
        <w:rPr>
          <w:rFonts w:ascii="Arial" w:eastAsia="Arial" w:hAnsi="Arial" w:cs="Arial"/>
        </w:rPr>
        <w:t>The From Harm to Hope strategy</w:t>
      </w:r>
      <w:r w:rsidR="031FA62A" w:rsidRPr="0E260372">
        <w:rPr>
          <w:rFonts w:ascii="Arial" w:eastAsia="Arial" w:hAnsi="Arial" w:cs="Arial"/>
        </w:rPr>
        <w:t xml:space="preserve"> (2021)</w:t>
      </w:r>
      <w:r w:rsidRPr="0E260372">
        <w:rPr>
          <w:rFonts w:ascii="Arial" w:eastAsia="Arial" w:hAnsi="Arial" w:cs="Arial"/>
        </w:rPr>
        <w:t xml:space="preserve"> outlines the UK's current drug prevention and rehabilitation framework, highlighting early intervention and youth-specific pathways as critical targets. While the plan expresses a strong theoretical commitment to integrated, family-centred care, its implementation in practice has been inconsistent. </w:t>
      </w:r>
      <w:r w:rsidR="00DF5489" w:rsidRPr="00DF5489">
        <w:rPr>
          <w:rFonts w:ascii="Arial" w:eastAsia="Arial" w:hAnsi="Arial" w:cs="Arial"/>
        </w:rPr>
        <w:t xml:space="preserve">According to James, Nash and Comiskey (2024), service fragmentation and limited adolescent-specific expertise continue to impede successful </w:t>
      </w:r>
      <w:r w:rsidR="001E2091">
        <w:rPr>
          <w:rFonts w:ascii="Arial" w:eastAsia="Arial" w:hAnsi="Arial" w:cs="Arial"/>
        </w:rPr>
        <w:t xml:space="preserve">service </w:t>
      </w:r>
      <w:r w:rsidRPr="0E260372">
        <w:rPr>
          <w:rFonts w:ascii="Arial" w:eastAsia="Arial" w:hAnsi="Arial" w:cs="Arial"/>
        </w:rPr>
        <w:t>and practitioners' lack of adolescent knowledge continue to impede successful delivery, indicating a gap between policy purpose and implementation reality.</w:t>
      </w:r>
    </w:p>
    <w:p w14:paraId="0D79559A" w14:textId="6145ECA9" w:rsidR="7122220A" w:rsidRDefault="7122220A" w:rsidP="00597F9E">
      <w:r w:rsidRPr="0E260372">
        <w:rPr>
          <w:rFonts w:ascii="Arial" w:eastAsia="Arial" w:hAnsi="Arial" w:cs="Arial"/>
        </w:rPr>
        <w:t>Public Health England's Young People's Substance Misuse Treatment Guidance (2017) encourages early, community-based interventions, however ongoing budget shortages have hindered local governments' ability to uphold these standards. This financial instability impairs long-term policy effectiveness, especially in impoverished areas where service demand is highest</w:t>
      </w:r>
      <w:r w:rsidR="3C97DBFE" w:rsidRPr="0E260372">
        <w:rPr>
          <w:rFonts w:ascii="Arial" w:eastAsia="Arial" w:hAnsi="Arial" w:cs="Arial"/>
        </w:rPr>
        <w:t xml:space="preserve"> (Bekkering </w:t>
      </w:r>
      <w:r w:rsidR="3C97DBFE" w:rsidRPr="0E260372">
        <w:rPr>
          <w:rFonts w:ascii="Arial" w:eastAsia="Arial" w:hAnsi="Arial" w:cs="Arial"/>
          <w:i/>
          <w:iCs/>
        </w:rPr>
        <w:t xml:space="preserve">et al., </w:t>
      </w:r>
      <w:r w:rsidR="3C97DBFE" w:rsidRPr="0E260372">
        <w:rPr>
          <w:rFonts w:ascii="Arial" w:eastAsia="Arial" w:hAnsi="Arial" w:cs="Arial"/>
        </w:rPr>
        <w:t>2014)</w:t>
      </w:r>
      <w:r w:rsidRPr="0E260372">
        <w:rPr>
          <w:rFonts w:ascii="Arial" w:eastAsia="Arial" w:hAnsi="Arial" w:cs="Arial"/>
        </w:rPr>
        <w:t>.</w:t>
      </w:r>
    </w:p>
    <w:p w14:paraId="6786F7F4" w14:textId="3D4A81E1" w:rsidR="7122220A" w:rsidRDefault="7122220A" w:rsidP="00597F9E">
      <w:r w:rsidRPr="0E260372">
        <w:rPr>
          <w:rFonts w:ascii="Arial" w:eastAsia="Arial" w:hAnsi="Arial" w:cs="Arial"/>
        </w:rPr>
        <w:lastRenderedPageBreak/>
        <w:t xml:space="preserve"> Comparative international evidence, such as Stockings et al. (2016), demonstrates that multi-component methods that incorporate preventive, harm reduction and treatment produce the most long-term results. However, its applicability to the UK context is limited by fragmented governance and unpredictable finance. Furthermore, without institutional transformation to ensure inter-agency collaboration across education, health and social care, policy advancements risk becoming symbolic rather than revolutionary</w:t>
      </w:r>
      <w:r w:rsidR="017ACB95" w:rsidRPr="0E260372">
        <w:rPr>
          <w:rFonts w:ascii="Arial" w:eastAsia="Arial" w:hAnsi="Arial" w:cs="Arial"/>
        </w:rPr>
        <w:t xml:space="preserve"> (Csete </w:t>
      </w:r>
      <w:r w:rsidR="017ACB95" w:rsidRPr="0E260372">
        <w:rPr>
          <w:rFonts w:ascii="Arial" w:eastAsia="Arial" w:hAnsi="Arial" w:cs="Arial"/>
          <w:i/>
          <w:iCs/>
        </w:rPr>
        <w:t>et al.,</w:t>
      </w:r>
      <w:r w:rsidR="017ACB95" w:rsidRPr="0E260372">
        <w:rPr>
          <w:rFonts w:ascii="Arial" w:eastAsia="Arial" w:hAnsi="Arial" w:cs="Arial"/>
        </w:rPr>
        <w:t>2016)</w:t>
      </w:r>
      <w:r w:rsidRPr="0E260372">
        <w:rPr>
          <w:rFonts w:ascii="Arial" w:eastAsia="Arial" w:hAnsi="Arial" w:cs="Arial"/>
        </w:rPr>
        <w:t>.</w:t>
      </w:r>
    </w:p>
    <w:p w14:paraId="14128E66" w14:textId="732A196C" w:rsidR="6ED638CE" w:rsidRDefault="6ED638CE" w:rsidP="00597F9E">
      <w:pPr>
        <w:rPr>
          <w:rFonts w:ascii="Arial" w:eastAsia="Arial" w:hAnsi="Arial" w:cs="Arial"/>
          <w:sz w:val="24"/>
          <w:szCs w:val="24"/>
        </w:rPr>
      </w:pPr>
      <w:r w:rsidRPr="0E260372">
        <w:rPr>
          <w:rFonts w:ascii="Arial" w:eastAsia="Arial" w:hAnsi="Arial" w:cs="Arial"/>
          <w:sz w:val="24"/>
          <w:szCs w:val="24"/>
        </w:rPr>
        <w:t>Positive and Negative Implications</w:t>
      </w:r>
    </w:p>
    <w:p w14:paraId="4967C7F3" w14:textId="25F48D49" w:rsidR="209E9823" w:rsidRDefault="209E9823" w:rsidP="00597F9E">
      <w:r w:rsidRPr="0E260372">
        <w:rPr>
          <w:rFonts w:ascii="Arial" w:eastAsia="Arial" w:hAnsi="Arial" w:cs="Arial"/>
        </w:rPr>
        <w:t>The increase of youth-focused services produced several positive outcomes. Greater legislative identification of adolescent-specific needs has fostered multi-agency collaboration and the implementation of family-based and peer-support models, which have been demonstrated to improve participation (</w:t>
      </w:r>
      <w:proofErr w:type="spellStart"/>
      <w:r w:rsidRPr="0E260372">
        <w:rPr>
          <w:rFonts w:ascii="Arial" w:eastAsia="Arial" w:hAnsi="Arial" w:cs="Arial"/>
        </w:rPr>
        <w:t>Segrott</w:t>
      </w:r>
      <w:proofErr w:type="spellEnd"/>
      <w:r w:rsidRPr="0E260372">
        <w:rPr>
          <w:rFonts w:ascii="Arial" w:eastAsia="Arial" w:hAnsi="Arial" w:cs="Arial"/>
        </w:rPr>
        <w:t xml:space="preserve"> et al., 2022). The incorporation of early intervention activities inside schools has also aided in the earlier detection of risk behaviours.</w:t>
      </w:r>
    </w:p>
    <w:p w14:paraId="0E472DAC" w14:textId="078610C2" w:rsidR="38FE7751" w:rsidRDefault="38FE7751" w:rsidP="00597F9E">
      <w:pPr>
        <w:rPr>
          <w:rFonts w:ascii="Arial" w:eastAsia="Arial" w:hAnsi="Arial" w:cs="Arial"/>
        </w:rPr>
      </w:pPr>
      <w:r w:rsidRPr="0E260372">
        <w:rPr>
          <w:rFonts w:ascii="Arial" w:eastAsia="Arial" w:hAnsi="Arial" w:cs="Arial"/>
        </w:rPr>
        <w:t xml:space="preserve">However, critical evaluation exposes long-standing disparities. Service access remains geographically uneven, with rural and deprived urban regions having the greatest gaps. Furthermore, social stigma continues to deter young people from getting help, especially when substance abuse is criminalised or morally condemned according to </w:t>
      </w:r>
      <w:r w:rsidR="4FB3D4C8" w:rsidRPr="0E260372">
        <w:rPr>
          <w:rFonts w:ascii="Arial" w:eastAsia="Arial" w:hAnsi="Arial" w:cs="Arial"/>
        </w:rPr>
        <w:t>Degenhardt, (</w:t>
      </w:r>
      <w:r w:rsidR="7C79CA37" w:rsidRPr="0E260372">
        <w:rPr>
          <w:rFonts w:ascii="Arial" w:eastAsia="Arial" w:hAnsi="Arial" w:cs="Arial"/>
        </w:rPr>
        <w:t>2016</w:t>
      </w:r>
      <w:r w:rsidRPr="0E260372">
        <w:rPr>
          <w:rFonts w:ascii="Arial" w:eastAsia="Arial" w:hAnsi="Arial" w:cs="Arial"/>
        </w:rPr>
        <w:t>). Although digital and remote support alternatives have increased since the COVID-19 epidemic, Layman et al. (2022)</w:t>
      </w:r>
      <w:r w:rsidR="006F65FA">
        <w:rPr>
          <w:rFonts w:ascii="Arial" w:eastAsia="Arial" w:hAnsi="Arial" w:cs="Arial"/>
        </w:rPr>
        <w:t>,</w:t>
      </w:r>
      <w:r w:rsidRPr="0E260372">
        <w:rPr>
          <w:rFonts w:ascii="Arial" w:eastAsia="Arial" w:hAnsi="Arial" w:cs="Arial"/>
        </w:rPr>
        <w:t xml:space="preserve"> discovered that isolation and anxiety during lockdown enhanced substance use while concurrently lowering service participation, emphasising the vulnerability of access during times of social disruption.</w:t>
      </w:r>
    </w:p>
    <w:p w14:paraId="7B7048F2" w14:textId="258EBB6D" w:rsidR="11A3D19D" w:rsidRDefault="11A3D19D" w:rsidP="00597F9E">
      <w:r w:rsidRPr="0E260372">
        <w:rPr>
          <w:rFonts w:ascii="Arial" w:eastAsia="Arial" w:hAnsi="Arial" w:cs="Arial"/>
        </w:rPr>
        <w:t xml:space="preserve">Furthermore, while family-centred programs work for certain people, they may unintentionally marginalise those who lack reliable support structures. According to Alderson et al. (2019), the most important therapeutic qualities for looked-after children are trust, consistency, and sympathetic practitioner relationships all of which cannot always be repeated inside structured programmes. These findings show that interventions must strike a balance between evidence-based structure and relational flexibility </w:t>
      </w:r>
      <w:r w:rsidR="36AE9A17" w:rsidRPr="0E260372">
        <w:rPr>
          <w:rFonts w:ascii="Arial" w:eastAsia="Arial" w:hAnsi="Arial" w:cs="Arial"/>
        </w:rPr>
        <w:t>to</w:t>
      </w:r>
      <w:r w:rsidRPr="0E260372">
        <w:rPr>
          <w:rFonts w:ascii="Arial" w:eastAsia="Arial" w:hAnsi="Arial" w:cs="Arial"/>
        </w:rPr>
        <w:t xml:space="preserve"> accommodate distinct life circumstances.</w:t>
      </w:r>
    </w:p>
    <w:p w14:paraId="63CDF441" w14:textId="6FBEA75D" w:rsidR="05AEB29A" w:rsidRDefault="05AEB29A" w:rsidP="00597F9E">
      <w:pPr>
        <w:rPr>
          <w:rFonts w:ascii="Arial" w:eastAsia="Arial" w:hAnsi="Arial" w:cs="Arial"/>
          <w:sz w:val="24"/>
          <w:szCs w:val="24"/>
        </w:rPr>
      </w:pPr>
      <w:r w:rsidRPr="0E260372">
        <w:rPr>
          <w:rFonts w:ascii="Arial" w:eastAsia="Arial" w:hAnsi="Arial" w:cs="Arial"/>
          <w:sz w:val="24"/>
          <w:szCs w:val="24"/>
        </w:rPr>
        <w:t>Examples from Reviewed Literature</w:t>
      </w:r>
    </w:p>
    <w:p w14:paraId="0D5C933D" w14:textId="29BBC0FC" w:rsidR="00A55462" w:rsidRDefault="008C4155" w:rsidP="00597F9E">
      <w:pPr>
        <w:rPr>
          <w:rFonts w:ascii="Arial" w:eastAsia="Arial" w:hAnsi="Arial" w:cs="Arial"/>
        </w:rPr>
      </w:pPr>
      <w:r w:rsidRPr="008C4155">
        <w:rPr>
          <w:rFonts w:ascii="Arial" w:eastAsia="Arial" w:hAnsi="Arial" w:cs="Arial"/>
        </w:rPr>
        <w:t>Various research highlights the complexities of accessing intervention services. James, Nash and Comiskey (2024) identified stigma, accessibility and family support as key predictors of engagement, indicating that treatment outcomes remain limited when these barriers are unaddressed. Similarly, Alderson et al. (2019)</w:t>
      </w:r>
      <w:r w:rsidR="00A55462">
        <w:rPr>
          <w:rFonts w:ascii="Arial" w:eastAsia="Arial" w:hAnsi="Arial" w:cs="Arial"/>
        </w:rPr>
        <w:t>,</w:t>
      </w:r>
      <w:r w:rsidRPr="008C4155">
        <w:rPr>
          <w:rFonts w:ascii="Arial" w:eastAsia="Arial" w:hAnsi="Arial" w:cs="Arial"/>
        </w:rPr>
        <w:t xml:space="preserve"> found that relational trust and compassionate practice are essential for sustaining involvement among vulnerable young people. Stockings et al. (2016) added a global perspective, showing that multi-component</w:t>
      </w:r>
      <w:r w:rsidR="00A55462">
        <w:rPr>
          <w:rFonts w:ascii="Arial" w:eastAsia="Arial" w:hAnsi="Arial" w:cs="Arial"/>
        </w:rPr>
        <w:t xml:space="preserve"> </w:t>
      </w:r>
      <w:r w:rsidRPr="008C4155">
        <w:rPr>
          <w:rFonts w:ascii="Arial" w:eastAsia="Arial" w:hAnsi="Arial" w:cs="Arial"/>
        </w:rPr>
        <w:t xml:space="preserve">system-wide approaches yield the best outcomes. </w:t>
      </w:r>
    </w:p>
    <w:p w14:paraId="4CDE4E5A" w14:textId="002F1816" w:rsidR="008C4155" w:rsidRPr="008C4155" w:rsidRDefault="008C4155" w:rsidP="00597F9E">
      <w:pPr>
        <w:rPr>
          <w:rFonts w:ascii="Arial" w:eastAsia="Arial" w:hAnsi="Arial" w:cs="Arial"/>
        </w:rPr>
      </w:pPr>
      <w:r w:rsidRPr="008C4155">
        <w:rPr>
          <w:rFonts w:ascii="Arial" w:eastAsia="Arial" w:hAnsi="Arial" w:cs="Arial"/>
        </w:rPr>
        <w:lastRenderedPageBreak/>
        <w:t>While James, Nash and Comiskey (2024) emphasise stigma and service design barriers, Stockings et al. (2016)</w:t>
      </w:r>
      <w:r w:rsidR="00A55462">
        <w:rPr>
          <w:rFonts w:ascii="Arial" w:eastAsia="Arial" w:hAnsi="Arial" w:cs="Arial"/>
        </w:rPr>
        <w:t>,</w:t>
      </w:r>
      <w:r w:rsidRPr="008C4155">
        <w:rPr>
          <w:rFonts w:ascii="Arial" w:eastAsia="Arial" w:hAnsi="Arial" w:cs="Arial"/>
        </w:rPr>
        <w:t xml:space="preserve"> stress structural coordination, illustrating different explanations for inconsistent access. The Office for Health Improvement and Disparities (2024) further demonstrates that adolescents with multiple vulnerabilities remain under-represented in successful outcomes.</w:t>
      </w:r>
    </w:p>
    <w:p w14:paraId="213EFF9C" w14:textId="63015507" w:rsidR="64BFB0EF" w:rsidRDefault="64BFB0EF" w:rsidP="00597F9E">
      <w:pPr>
        <w:rPr>
          <w:rFonts w:ascii="Arial" w:eastAsia="Arial" w:hAnsi="Arial" w:cs="Arial"/>
          <w:sz w:val="24"/>
          <w:szCs w:val="24"/>
        </w:rPr>
      </w:pPr>
      <w:r w:rsidRPr="0E260372">
        <w:rPr>
          <w:rFonts w:ascii="Arial" w:eastAsia="Arial" w:hAnsi="Arial" w:cs="Arial"/>
          <w:sz w:val="24"/>
          <w:szCs w:val="24"/>
        </w:rPr>
        <w:t>Interconnections with Other Themes</w:t>
      </w:r>
    </w:p>
    <w:p w14:paraId="24E3D41A" w14:textId="4F8B69C3" w:rsidR="639FE3D0" w:rsidRDefault="639FE3D0" w:rsidP="00597F9E">
      <w:r w:rsidRPr="0E260372">
        <w:rPr>
          <w:rFonts w:ascii="Arial" w:eastAsia="Arial" w:hAnsi="Arial" w:cs="Arial"/>
        </w:rPr>
        <w:t>This theme is closely related to Theme 1 (Social Determinants and Peer Impact) and 2 (Policy and Prevention Efficacy). Social deprivation and peer situations influence both the likelihood of substance abuse and the ability to seek treatment, whereas policy design determines whether support institutions are appropriately funded and responsive. As a result, access to support and intervention services represents the practical confluence of the structural, social and policy elements discussed in the previous themes. Improving access needs a comprehensive grasp of all three dimensions social background, policy design, and service implementation.</w:t>
      </w:r>
    </w:p>
    <w:p w14:paraId="0B7345EE" w14:textId="6AABEF0E" w:rsidR="001C3AF6" w:rsidRPr="00594CDC" w:rsidRDefault="59F17DB7" w:rsidP="00597F9E">
      <w:pPr>
        <w:pStyle w:val="Heading2"/>
        <w:rPr>
          <w:rFonts w:ascii="Arial" w:hAnsi="Arial" w:cs="Arial"/>
          <w:color w:val="auto"/>
        </w:rPr>
      </w:pPr>
      <w:bookmarkStart w:id="27" w:name="_Toc213871363"/>
      <w:r w:rsidRPr="00594CDC">
        <w:rPr>
          <w:rFonts w:ascii="Arial" w:hAnsi="Arial" w:cs="Arial"/>
          <w:color w:val="auto"/>
        </w:rPr>
        <w:t>4.6 Chapter</w:t>
      </w:r>
      <w:r w:rsidR="001C3AF6" w:rsidRPr="00594CDC">
        <w:rPr>
          <w:rFonts w:ascii="Arial" w:hAnsi="Arial" w:cs="Arial"/>
          <w:color w:val="auto"/>
        </w:rPr>
        <w:t xml:space="preserve"> Conclusion</w:t>
      </w:r>
      <w:bookmarkEnd w:id="27"/>
      <w:r w:rsidR="001C3AF6" w:rsidRPr="00594CDC">
        <w:rPr>
          <w:rFonts w:ascii="Arial" w:hAnsi="Arial" w:cs="Arial"/>
          <w:color w:val="auto"/>
        </w:rPr>
        <w:t xml:space="preserve"> </w:t>
      </w:r>
    </w:p>
    <w:p w14:paraId="7E16FF17" w14:textId="17530DEF" w:rsidR="505388F5" w:rsidRDefault="505388F5" w:rsidP="00597F9E">
      <w:pPr>
        <w:rPr>
          <w:rFonts w:ascii="Arial" w:eastAsia="Arial" w:hAnsi="Arial" w:cs="Arial"/>
        </w:rPr>
      </w:pPr>
      <w:r w:rsidRPr="0E260372">
        <w:rPr>
          <w:rFonts w:ascii="Arial" w:eastAsia="Arial" w:hAnsi="Arial" w:cs="Arial"/>
        </w:rPr>
        <w:t>This chapter critically examines the three major issues identified in the literature: social determinants and peer influence, policy and prevention efficacy and access to support and intervention services. The discussion demonstrated how these interconnected elements affect teenage substance misuse in England and influence the efficacy of current interventions. Collectively, the findings highlight ongoing structural and policy deficiencies that necessitate coordinated, evidence-based remedies. Building on these findings, the following chapter will discuss the study's overall conclusion as well as practical recommendations for enhancing prevention, intervention and policy measures for teenage substance misuse.</w:t>
      </w:r>
    </w:p>
    <w:p w14:paraId="5AC1A4AB" w14:textId="127F3523" w:rsidR="06329E2C" w:rsidRDefault="06329E2C" w:rsidP="00597F9E">
      <w:pPr>
        <w:pStyle w:val="Heading1"/>
        <w:spacing w:line="360" w:lineRule="auto"/>
        <w:ind w:left="0"/>
        <w:jc w:val="both"/>
        <w:rPr>
          <w:rFonts w:ascii="Aptos" w:hAnsi="Aptos"/>
        </w:rPr>
      </w:pPr>
    </w:p>
    <w:p w14:paraId="05F7A674" w14:textId="59CB0053" w:rsidR="06329E2C" w:rsidRDefault="06329E2C" w:rsidP="00597F9E">
      <w:pPr>
        <w:pStyle w:val="Heading1"/>
        <w:spacing w:line="360" w:lineRule="auto"/>
        <w:ind w:left="0"/>
        <w:jc w:val="both"/>
        <w:rPr>
          <w:rFonts w:ascii="Aptos" w:hAnsi="Aptos"/>
        </w:rPr>
      </w:pPr>
    </w:p>
    <w:p w14:paraId="05891C39" w14:textId="2BAECAD0" w:rsidR="06329E2C" w:rsidRDefault="06329E2C" w:rsidP="00597F9E">
      <w:pPr>
        <w:pStyle w:val="Heading1"/>
        <w:spacing w:line="360" w:lineRule="auto"/>
        <w:ind w:left="0"/>
        <w:jc w:val="both"/>
        <w:rPr>
          <w:rFonts w:ascii="Aptos" w:hAnsi="Aptos"/>
        </w:rPr>
      </w:pPr>
    </w:p>
    <w:p w14:paraId="614B7A36" w14:textId="5CED9754" w:rsidR="06329E2C" w:rsidRDefault="06329E2C" w:rsidP="00597F9E">
      <w:pPr>
        <w:pStyle w:val="Heading1"/>
        <w:spacing w:line="360" w:lineRule="auto"/>
        <w:ind w:left="0"/>
        <w:jc w:val="both"/>
        <w:rPr>
          <w:rFonts w:ascii="Aptos" w:hAnsi="Aptos"/>
        </w:rPr>
      </w:pPr>
    </w:p>
    <w:p w14:paraId="783F7CB6" w14:textId="6D9F1489" w:rsidR="06329E2C" w:rsidRDefault="06329E2C" w:rsidP="00597F9E">
      <w:pPr>
        <w:pStyle w:val="Heading1"/>
        <w:spacing w:line="360" w:lineRule="auto"/>
        <w:ind w:left="0"/>
        <w:jc w:val="both"/>
        <w:rPr>
          <w:rFonts w:ascii="Aptos" w:hAnsi="Aptos"/>
        </w:rPr>
      </w:pPr>
    </w:p>
    <w:p w14:paraId="173D312B" w14:textId="399EA587" w:rsidR="06329E2C" w:rsidRDefault="06329E2C" w:rsidP="00597F9E">
      <w:pPr>
        <w:pStyle w:val="Heading1"/>
        <w:spacing w:line="360" w:lineRule="auto"/>
        <w:ind w:left="0"/>
        <w:jc w:val="both"/>
        <w:rPr>
          <w:rFonts w:ascii="Aptos" w:hAnsi="Aptos"/>
        </w:rPr>
      </w:pPr>
    </w:p>
    <w:p w14:paraId="416BC52E" w14:textId="012D93CB" w:rsidR="06329E2C" w:rsidRDefault="06329E2C" w:rsidP="00597F9E">
      <w:pPr>
        <w:pStyle w:val="Heading1"/>
        <w:spacing w:line="360" w:lineRule="auto"/>
        <w:ind w:left="0"/>
        <w:jc w:val="both"/>
        <w:rPr>
          <w:rFonts w:ascii="Aptos" w:hAnsi="Aptos"/>
        </w:rPr>
      </w:pPr>
    </w:p>
    <w:p w14:paraId="66FB7257" w14:textId="3E51766C" w:rsidR="06329E2C" w:rsidRDefault="06329E2C" w:rsidP="00597F9E">
      <w:pPr>
        <w:pStyle w:val="Heading1"/>
        <w:spacing w:line="360" w:lineRule="auto"/>
        <w:ind w:left="0"/>
        <w:jc w:val="both"/>
        <w:rPr>
          <w:rFonts w:ascii="Aptos" w:hAnsi="Aptos"/>
        </w:rPr>
      </w:pPr>
    </w:p>
    <w:p w14:paraId="43F40939" w14:textId="676CBCB7" w:rsidR="06329E2C" w:rsidRDefault="06329E2C" w:rsidP="00597F9E">
      <w:pPr>
        <w:pStyle w:val="Heading1"/>
        <w:spacing w:line="360" w:lineRule="auto"/>
        <w:ind w:left="0"/>
        <w:jc w:val="both"/>
        <w:rPr>
          <w:rFonts w:ascii="Aptos" w:hAnsi="Aptos"/>
        </w:rPr>
      </w:pPr>
    </w:p>
    <w:p w14:paraId="2508AB8A" w14:textId="19333E97" w:rsidR="06329E2C" w:rsidRDefault="06329E2C" w:rsidP="00597F9E">
      <w:pPr>
        <w:pStyle w:val="Heading1"/>
        <w:spacing w:line="360" w:lineRule="auto"/>
        <w:ind w:left="0"/>
        <w:jc w:val="both"/>
        <w:rPr>
          <w:rFonts w:ascii="Aptos" w:hAnsi="Aptos"/>
        </w:rPr>
      </w:pPr>
    </w:p>
    <w:p w14:paraId="5FB43F2E" w14:textId="406CA080" w:rsidR="06329E2C" w:rsidRDefault="06329E2C" w:rsidP="00597F9E">
      <w:pPr>
        <w:pStyle w:val="Heading1"/>
        <w:spacing w:line="360" w:lineRule="auto"/>
        <w:ind w:left="0"/>
        <w:jc w:val="both"/>
        <w:rPr>
          <w:rFonts w:ascii="Aptos" w:hAnsi="Aptos"/>
        </w:rPr>
      </w:pPr>
    </w:p>
    <w:p w14:paraId="20F02905" w14:textId="4867C9B9" w:rsidR="06329E2C" w:rsidRDefault="06329E2C" w:rsidP="00597F9E">
      <w:pPr>
        <w:pStyle w:val="Heading1"/>
        <w:spacing w:line="360" w:lineRule="auto"/>
        <w:ind w:left="0"/>
        <w:jc w:val="both"/>
        <w:rPr>
          <w:rFonts w:ascii="Aptos" w:hAnsi="Aptos"/>
        </w:rPr>
      </w:pPr>
    </w:p>
    <w:p w14:paraId="34173F31" w14:textId="698F4533" w:rsidR="06329E2C" w:rsidRDefault="06329E2C" w:rsidP="00597F9E">
      <w:pPr>
        <w:pStyle w:val="Heading1"/>
        <w:spacing w:line="360" w:lineRule="auto"/>
        <w:ind w:left="0"/>
        <w:jc w:val="both"/>
        <w:rPr>
          <w:rFonts w:ascii="Aptos" w:hAnsi="Aptos"/>
        </w:rPr>
      </w:pPr>
    </w:p>
    <w:p w14:paraId="33EB61A1" w14:textId="6B74EB2A" w:rsidR="06329E2C" w:rsidRDefault="06329E2C" w:rsidP="00597F9E">
      <w:pPr>
        <w:pStyle w:val="Heading1"/>
        <w:spacing w:line="360" w:lineRule="auto"/>
        <w:ind w:left="0"/>
        <w:jc w:val="both"/>
        <w:rPr>
          <w:rFonts w:ascii="Aptos" w:hAnsi="Aptos"/>
        </w:rPr>
      </w:pPr>
    </w:p>
    <w:p w14:paraId="37789B5E" w14:textId="73637FB2" w:rsidR="06329E2C" w:rsidRDefault="06329E2C" w:rsidP="00597F9E">
      <w:pPr>
        <w:pStyle w:val="Heading1"/>
        <w:spacing w:line="360" w:lineRule="auto"/>
        <w:ind w:left="0"/>
        <w:jc w:val="both"/>
        <w:rPr>
          <w:rFonts w:ascii="Aptos" w:hAnsi="Aptos"/>
        </w:rPr>
      </w:pPr>
    </w:p>
    <w:p w14:paraId="76D06A25" w14:textId="77777777" w:rsidR="00213E12" w:rsidRDefault="00213E12" w:rsidP="00597F9E">
      <w:pPr>
        <w:pStyle w:val="Heading1"/>
        <w:spacing w:line="360" w:lineRule="auto"/>
        <w:ind w:left="0"/>
        <w:jc w:val="both"/>
        <w:rPr>
          <w:rFonts w:eastAsia="Arial" w:cs="Arial"/>
        </w:rPr>
      </w:pPr>
      <w:bookmarkStart w:id="28" w:name="_Toc213871364"/>
    </w:p>
    <w:p w14:paraId="519EB35A" w14:textId="543D6D68" w:rsidR="00636D9A" w:rsidRPr="00636D9A" w:rsidRDefault="00636D9A" w:rsidP="00597F9E">
      <w:pPr>
        <w:pStyle w:val="Heading1"/>
        <w:spacing w:line="360" w:lineRule="auto"/>
        <w:ind w:left="0"/>
        <w:jc w:val="both"/>
        <w:rPr>
          <w:rFonts w:eastAsia="Arial" w:cs="Arial"/>
        </w:rPr>
      </w:pPr>
      <w:r w:rsidRPr="359E9537">
        <w:rPr>
          <w:rFonts w:eastAsia="Arial" w:cs="Arial"/>
        </w:rPr>
        <w:t>CHAPTER 5 Conclusion and Recommendations</w:t>
      </w:r>
      <w:bookmarkEnd w:id="28"/>
      <w:r w:rsidRPr="359E9537">
        <w:rPr>
          <w:rFonts w:eastAsia="Arial" w:cs="Arial"/>
        </w:rPr>
        <w:t xml:space="preserve"> </w:t>
      </w:r>
    </w:p>
    <w:p w14:paraId="2C633CBA" w14:textId="2732ABBE" w:rsidR="00636D9A" w:rsidRPr="00594CDC" w:rsidRDefault="1B02C9C5" w:rsidP="00597F9E">
      <w:pPr>
        <w:pStyle w:val="Heading2"/>
        <w:rPr>
          <w:rFonts w:ascii="Arial" w:hAnsi="Arial" w:cs="Arial"/>
          <w:color w:val="auto"/>
        </w:rPr>
      </w:pPr>
      <w:bookmarkStart w:id="29" w:name="_Toc213871365"/>
      <w:r w:rsidRPr="00594CDC">
        <w:rPr>
          <w:rFonts w:ascii="Arial" w:hAnsi="Arial" w:cs="Arial"/>
          <w:color w:val="auto"/>
        </w:rPr>
        <w:t>5.1 Overall</w:t>
      </w:r>
      <w:r w:rsidR="00636D9A" w:rsidRPr="00594CDC">
        <w:rPr>
          <w:rFonts w:ascii="Arial" w:hAnsi="Arial" w:cs="Arial"/>
          <w:color w:val="auto"/>
        </w:rPr>
        <w:t xml:space="preserve"> Conclusion</w:t>
      </w:r>
      <w:bookmarkEnd w:id="29"/>
      <w:r w:rsidR="00636D9A" w:rsidRPr="00594CDC">
        <w:rPr>
          <w:rFonts w:ascii="Arial" w:hAnsi="Arial" w:cs="Arial"/>
          <w:color w:val="auto"/>
        </w:rPr>
        <w:t xml:space="preserve"> </w:t>
      </w:r>
    </w:p>
    <w:p w14:paraId="7E7A21E7" w14:textId="58A150C8" w:rsidR="7C268BFD" w:rsidRDefault="7C268BFD" w:rsidP="00597F9E">
      <w:r w:rsidRPr="0E260372">
        <w:rPr>
          <w:rFonts w:ascii="Arial" w:eastAsia="Arial" w:hAnsi="Arial" w:cs="Arial"/>
        </w:rPr>
        <w:t>This dissertation sought to critically examine how substance abuse affects adolescents in England, focussing on the origins, consequences and policy solutions. The study objectives were addressed successfully by thematic synthesis of available material. The first objective, to investigate the short and long-term impacts of alcohol and cannabis, was accomplished by identifying physical and psychological harm in national and academic sources (Stockings et al., 2016). The second objective, investigating environmental and social risk variables, was met by findings that linked peer influence, family instability and deprivation to substance use (</w:t>
      </w:r>
      <w:proofErr w:type="spellStart"/>
      <w:r w:rsidRPr="0E260372">
        <w:rPr>
          <w:rFonts w:ascii="Arial" w:eastAsia="Arial" w:hAnsi="Arial" w:cs="Arial"/>
        </w:rPr>
        <w:t>Segrott</w:t>
      </w:r>
      <w:proofErr w:type="spellEnd"/>
      <w:r w:rsidRPr="0E260372">
        <w:rPr>
          <w:rFonts w:ascii="Arial" w:eastAsia="Arial" w:hAnsi="Arial" w:cs="Arial"/>
        </w:rPr>
        <w:t xml:space="preserve"> et al., 2022). The third objective, identifying hidden and at-risk young populations, was accomplished using national treatment data that revealed continuing inequalities (Office for Health Improvement and Disparities, 2024).</w:t>
      </w:r>
      <w:r w:rsidR="4A1864B8" w:rsidRPr="0E260372">
        <w:rPr>
          <w:rFonts w:ascii="Arial" w:eastAsia="Arial" w:hAnsi="Arial" w:cs="Arial"/>
        </w:rPr>
        <w:t xml:space="preserve"> The final objective, measuring policy efficacy, was partially met since, policies like the 10-Year Drugs Strategy indicated strong intent, poor implementation and resource constraints limited their overall impact (Holland et al., 2023).</w:t>
      </w:r>
      <w:r w:rsidR="00F67ABF" w:rsidRPr="00F67ABF">
        <w:t xml:space="preserve"> </w:t>
      </w:r>
      <w:r w:rsidR="00F67ABF" w:rsidRPr="00F67ABF">
        <w:rPr>
          <w:rFonts w:ascii="Arial" w:eastAsia="Arial" w:hAnsi="Arial" w:cs="Arial"/>
        </w:rPr>
        <w:t>One limitation of this study is its reliance on secondary literature, which varies in quality, scope and recency</w:t>
      </w:r>
      <w:r w:rsidR="00F67ABF">
        <w:rPr>
          <w:rFonts w:ascii="Arial" w:eastAsia="Arial" w:hAnsi="Arial" w:cs="Arial"/>
        </w:rPr>
        <w:t>.</w:t>
      </w:r>
    </w:p>
    <w:p w14:paraId="3628F6DF" w14:textId="77777777" w:rsidR="00292A36" w:rsidRDefault="00292A36" w:rsidP="00597F9E"/>
    <w:p w14:paraId="6599D6CF" w14:textId="0E3C6E83" w:rsidR="005C5E80" w:rsidRPr="00594CDC" w:rsidRDefault="00636D9A" w:rsidP="00597F9E">
      <w:pPr>
        <w:pStyle w:val="Heading2"/>
        <w:rPr>
          <w:rFonts w:ascii="Arial" w:hAnsi="Arial" w:cs="Arial"/>
          <w:color w:val="auto"/>
        </w:rPr>
      </w:pPr>
      <w:bookmarkStart w:id="30" w:name="_Toc213871366"/>
      <w:r w:rsidRPr="00594CDC">
        <w:rPr>
          <w:rFonts w:ascii="Arial" w:hAnsi="Arial" w:cs="Arial"/>
          <w:color w:val="auto"/>
        </w:rPr>
        <w:t>5.</w:t>
      </w:r>
      <w:r w:rsidR="005C5E80" w:rsidRPr="00594CDC">
        <w:rPr>
          <w:rFonts w:ascii="Arial" w:hAnsi="Arial" w:cs="Arial"/>
          <w:color w:val="auto"/>
        </w:rPr>
        <w:t>2</w:t>
      </w:r>
      <w:r w:rsidRPr="00594CDC">
        <w:rPr>
          <w:rFonts w:ascii="Arial" w:hAnsi="Arial" w:cs="Arial"/>
          <w:color w:val="auto"/>
        </w:rPr>
        <w:t xml:space="preserve"> </w:t>
      </w:r>
      <w:r w:rsidR="005C5E80" w:rsidRPr="00594CDC">
        <w:rPr>
          <w:rFonts w:ascii="Arial" w:hAnsi="Arial" w:cs="Arial"/>
          <w:color w:val="auto"/>
        </w:rPr>
        <w:t>Recommendations</w:t>
      </w:r>
      <w:bookmarkEnd w:id="30"/>
      <w:r w:rsidRPr="00594CDC">
        <w:rPr>
          <w:rFonts w:ascii="Arial" w:hAnsi="Arial" w:cs="Arial"/>
          <w:b/>
          <w:bCs/>
          <w:color w:val="auto"/>
        </w:rPr>
        <w:t xml:space="preserve"> </w:t>
      </w:r>
      <w:r w:rsidRPr="00594CDC">
        <w:rPr>
          <w:rFonts w:ascii="Arial" w:hAnsi="Arial" w:cs="Arial"/>
          <w:color w:val="auto"/>
        </w:rPr>
        <w:t xml:space="preserve"> </w:t>
      </w:r>
    </w:p>
    <w:p w14:paraId="6D481D61" w14:textId="7934B1F5" w:rsidR="005C5E80" w:rsidRPr="005C5E80" w:rsidRDefault="005C5E80" w:rsidP="00597F9E">
      <w:pPr>
        <w:rPr>
          <w:rFonts w:ascii="Arial" w:eastAsia="Arial" w:hAnsi="Arial" w:cs="Arial"/>
          <w:b/>
          <w:bCs/>
        </w:rPr>
      </w:pPr>
      <w:r w:rsidRPr="0E260372">
        <w:rPr>
          <w:rFonts w:ascii="Arial" w:eastAsia="Arial" w:hAnsi="Arial" w:cs="Arial"/>
          <w:sz w:val="24"/>
          <w:szCs w:val="24"/>
        </w:rPr>
        <w:t>5.2.1 Recommendation 1</w:t>
      </w:r>
      <w:r w:rsidR="45DD1005" w:rsidRPr="0E260372">
        <w:rPr>
          <w:rFonts w:ascii="Arial" w:eastAsia="Arial" w:hAnsi="Arial" w:cs="Arial"/>
          <w:sz w:val="24"/>
          <w:szCs w:val="24"/>
        </w:rPr>
        <w:t xml:space="preserve"> </w:t>
      </w:r>
      <w:r w:rsidR="0E90527A" w:rsidRPr="0E260372">
        <w:rPr>
          <w:rFonts w:ascii="Arial" w:eastAsia="Arial" w:hAnsi="Arial" w:cs="Arial"/>
          <w:sz w:val="24"/>
          <w:szCs w:val="24"/>
        </w:rPr>
        <w:t>Integrate Family-Based Prevention Programmes</w:t>
      </w:r>
      <w:r w:rsidR="0E90527A" w:rsidRPr="0E260372">
        <w:rPr>
          <w:rFonts w:ascii="Arial" w:eastAsia="Arial" w:hAnsi="Arial" w:cs="Arial"/>
          <w:b/>
          <w:bCs/>
        </w:rPr>
        <w:t xml:space="preserve"> </w:t>
      </w:r>
    </w:p>
    <w:p w14:paraId="6815593A" w14:textId="52175661" w:rsidR="36885F0F" w:rsidRDefault="36885F0F" w:rsidP="00597F9E">
      <w:pPr>
        <w:rPr>
          <w:rFonts w:ascii="Arial" w:eastAsia="Arial" w:hAnsi="Arial" w:cs="Arial"/>
        </w:rPr>
      </w:pPr>
      <w:r w:rsidRPr="0E260372">
        <w:rPr>
          <w:rFonts w:ascii="Arial" w:eastAsia="Arial" w:hAnsi="Arial" w:cs="Arial"/>
        </w:rPr>
        <w:t>The study found that family factors and peer influence play a significant effect in adolescent substance abuse. Evidence from treatments like as the Strengthening Families Programme (</w:t>
      </w:r>
      <w:proofErr w:type="spellStart"/>
      <w:r w:rsidRPr="0E260372">
        <w:rPr>
          <w:rFonts w:ascii="Arial" w:eastAsia="Arial" w:hAnsi="Arial" w:cs="Arial"/>
        </w:rPr>
        <w:t>Segrott</w:t>
      </w:r>
      <w:proofErr w:type="spellEnd"/>
      <w:r w:rsidRPr="0E260372">
        <w:rPr>
          <w:rFonts w:ascii="Arial" w:eastAsia="Arial" w:hAnsi="Arial" w:cs="Arial"/>
        </w:rPr>
        <w:t xml:space="preserve"> et al., 2022) suggests that organised family-based models can reduce early </w:t>
      </w:r>
      <w:r w:rsidRPr="0E260372">
        <w:rPr>
          <w:rFonts w:ascii="Arial" w:eastAsia="Arial" w:hAnsi="Arial" w:cs="Arial"/>
        </w:rPr>
        <w:lastRenderedPageBreak/>
        <w:t>experimentation by enhancing communication, parental monitoring and problem-solving. Integrating these activities into schools and local community hubs would allow for earlier interaction with both young people and their families, thereby aiding in the development of resilience before patterns of abuse emerge.</w:t>
      </w:r>
      <w:r w:rsidR="00A944E9" w:rsidRPr="00A944E9">
        <w:t xml:space="preserve"> </w:t>
      </w:r>
      <w:r w:rsidR="00A944E9" w:rsidRPr="00A944E9">
        <w:rPr>
          <w:rFonts w:ascii="Arial" w:eastAsia="Arial" w:hAnsi="Arial" w:cs="Arial"/>
        </w:rPr>
        <w:t>This recommendation directly responds to the family and peer influence findings highlighted in Theme 1</w:t>
      </w:r>
      <w:r w:rsidR="00095E03">
        <w:rPr>
          <w:rFonts w:ascii="Arial" w:eastAsia="Arial" w:hAnsi="Arial" w:cs="Arial"/>
        </w:rPr>
        <w:t>.</w:t>
      </w:r>
      <w:r w:rsidRPr="0E260372">
        <w:rPr>
          <w:rFonts w:ascii="Arial" w:eastAsia="Arial" w:hAnsi="Arial" w:cs="Arial"/>
        </w:rPr>
        <w:t xml:space="preserve"> This strategy could be implemented within existing frameworks supported by NHS England and local governments, which promote prevention and early intervention.</w:t>
      </w:r>
    </w:p>
    <w:p w14:paraId="04C93C3E" w14:textId="42513F61" w:rsidR="7908E743" w:rsidRDefault="7908E743" w:rsidP="00597F9E">
      <w:pPr>
        <w:rPr>
          <w:rFonts w:ascii="Arial" w:eastAsia="Arial" w:hAnsi="Arial" w:cs="Arial"/>
        </w:rPr>
      </w:pPr>
      <w:r w:rsidRPr="0E260372">
        <w:rPr>
          <w:rFonts w:ascii="Arial" w:eastAsia="Arial" w:hAnsi="Arial" w:cs="Arial"/>
        </w:rPr>
        <w:t xml:space="preserve">However, there are some limits. </w:t>
      </w:r>
      <w:r w:rsidR="7AF884E0" w:rsidRPr="0E260372">
        <w:rPr>
          <w:rFonts w:ascii="Arial" w:eastAsia="Arial" w:hAnsi="Arial" w:cs="Arial"/>
        </w:rPr>
        <w:t xml:space="preserve"> A study by Graham </w:t>
      </w:r>
      <w:r w:rsidR="7AF884E0" w:rsidRPr="0E260372">
        <w:rPr>
          <w:rFonts w:ascii="Arial" w:eastAsia="Arial" w:hAnsi="Arial" w:cs="Arial"/>
          <w:i/>
          <w:iCs/>
        </w:rPr>
        <w:t>et al.</w:t>
      </w:r>
      <w:r w:rsidR="7AF884E0" w:rsidRPr="0E260372">
        <w:rPr>
          <w:rFonts w:ascii="Arial" w:eastAsia="Arial" w:hAnsi="Arial" w:cs="Arial"/>
        </w:rPr>
        <w:t xml:space="preserve"> (2021)</w:t>
      </w:r>
      <w:r w:rsidR="2C7457DD" w:rsidRPr="0E260372">
        <w:rPr>
          <w:rFonts w:ascii="Arial" w:eastAsia="Arial" w:hAnsi="Arial" w:cs="Arial"/>
        </w:rPr>
        <w:t>, indicates that</w:t>
      </w:r>
      <w:r w:rsidR="7AF884E0" w:rsidRPr="0E260372">
        <w:rPr>
          <w:rFonts w:ascii="Arial" w:eastAsia="Arial" w:hAnsi="Arial" w:cs="Arial"/>
        </w:rPr>
        <w:t xml:space="preserve"> </w:t>
      </w:r>
      <w:r w:rsidR="7E0643A0" w:rsidRPr="0E260372">
        <w:rPr>
          <w:rFonts w:ascii="Arial" w:eastAsia="Arial" w:hAnsi="Arial" w:cs="Arial"/>
        </w:rPr>
        <w:t>s</w:t>
      </w:r>
      <w:r w:rsidRPr="0E260372">
        <w:rPr>
          <w:rFonts w:ascii="Arial" w:eastAsia="Arial" w:hAnsi="Arial" w:cs="Arial"/>
        </w:rPr>
        <w:t>chools may lack qualified facilitators or time to include such efforts into curriculum, and family engagement may be hampered by stigma, low trust in services, or logistical challenges such as transportation and work schedules. These variables frequently lead to lower uptake among the most vulnerable groups.</w:t>
      </w:r>
    </w:p>
    <w:p w14:paraId="1191954E" w14:textId="0D33F569" w:rsidR="43BF6D55" w:rsidRPr="00420A3F" w:rsidRDefault="43BF6D55" w:rsidP="00597F9E">
      <w:pPr>
        <w:rPr>
          <w:rFonts w:ascii="Arial" w:eastAsia="Arial" w:hAnsi="Arial" w:cs="Arial"/>
        </w:rPr>
      </w:pPr>
      <w:r w:rsidRPr="00420A3F">
        <w:rPr>
          <w:rFonts w:ascii="Arial" w:eastAsia="Arial" w:hAnsi="Arial" w:cs="Arial"/>
        </w:rPr>
        <w:t>To address such limitations, collaborations between schools, public health teams and charitable organisations might be strengthened to exchange expertise and resources. Flexible session schedules, digital possibilities and incentives for family participation would all improve accessibility. This is consistent with the Public Health England Framework for Young People's Health and Wellbeing (2015), which promotes early intervention through partnership across families, education and health services. Implementing clear evaluation criteria would ensure quality, whilst incorporating family-based programs into community and school settings would create a culturally responsive and preventative support framework</w:t>
      </w:r>
      <w:r w:rsidR="5024E879" w:rsidRPr="00420A3F">
        <w:rPr>
          <w:rFonts w:ascii="Arial" w:eastAsia="Arial" w:hAnsi="Arial" w:cs="Arial"/>
        </w:rPr>
        <w:t xml:space="preserve"> for adolescent substance misuse</w:t>
      </w:r>
      <w:r w:rsidR="28323BDF" w:rsidRPr="00420A3F">
        <w:rPr>
          <w:rFonts w:ascii="Arial" w:eastAsia="Arial" w:hAnsi="Arial" w:cs="Arial"/>
        </w:rPr>
        <w:t xml:space="preserve"> (Graham </w:t>
      </w:r>
      <w:r w:rsidR="28323BDF" w:rsidRPr="00420A3F">
        <w:rPr>
          <w:rFonts w:ascii="Arial" w:eastAsia="Arial" w:hAnsi="Arial" w:cs="Arial"/>
          <w:i/>
          <w:iCs/>
        </w:rPr>
        <w:t xml:space="preserve">et al., </w:t>
      </w:r>
      <w:r w:rsidR="28323BDF" w:rsidRPr="00420A3F">
        <w:rPr>
          <w:rFonts w:ascii="Arial" w:eastAsia="Arial" w:hAnsi="Arial" w:cs="Arial"/>
        </w:rPr>
        <w:t>2021)</w:t>
      </w:r>
      <w:r w:rsidR="5024E879" w:rsidRPr="00420A3F">
        <w:rPr>
          <w:rFonts w:ascii="Arial" w:eastAsia="Arial" w:hAnsi="Arial" w:cs="Arial"/>
        </w:rPr>
        <w:t>.</w:t>
      </w:r>
    </w:p>
    <w:p w14:paraId="4263DD9E" w14:textId="77777777" w:rsidR="005C5E80" w:rsidRPr="005C5E80" w:rsidRDefault="005C5E80" w:rsidP="00597F9E">
      <w:pPr>
        <w:rPr>
          <w:rFonts w:eastAsia="Arial"/>
          <w:b/>
          <w:sz w:val="24"/>
          <w:szCs w:val="24"/>
        </w:rPr>
      </w:pPr>
    </w:p>
    <w:p w14:paraId="1019826B" w14:textId="08D5969B" w:rsidR="005C5E80" w:rsidRPr="005C5E80" w:rsidRDefault="005C5E80" w:rsidP="00597F9E">
      <w:pPr>
        <w:rPr>
          <w:rFonts w:eastAsia="Arial"/>
          <w:sz w:val="24"/>
          <w:szCs w:val="24"/>
        </w:rPr>
      </w:pPr>
      <w:r w:rsidRPr="0E260372">
        <w:rPr>
          <w:rFonts w:eastAsia="Arial"/>
          <w:sz w:val="24"/>
          <w:szCs w:val="24"/>
        </w:rPr>
        <w:t>5.2. Recommendation 2</w:t>
      </w:r>
      <w:r w:rsidR="69BBAEBF" w:rsidRPr="0E260372">
        <w:rPr>
          <w:rFonts w:eastAsia="Arial"/>
          <w:sz w:val="24"/>
          <w:szCs w:val="24"/>
        </w:rPr>
        <w:t xml:space="preserve"> Enhance Multi-Agency Collaboration and Funding Stability</w:t>
      </w:r>
    </w:p>
    <w:p w14:paraId="593EFCAB" w14:textId="6114D2DB" w:rsidR="1D32C9FB" w:rsidRDefault="1D32C9FB" w:rsidP="00597F9E">
      <w:r w:rsidRPr="0E260372">
        <w:rPr>
          <w:rFonts w:ascii="Arial" w:eastAsia="Arial" w:hAnsi="Arial" w:cs="Arial"/>
        </w:rPr>
        <w:t>Fragmented service delivery and variable funding continue to be significant impediments to effectively addressing adolescent substance misuse. While UK policy frameworks increasingly stress early intervention, collaboration between education, health and social care sectors is often inconsistent and ineffective (Holland et al., 2023). Strengthening inter-agency coordination will allow for earlier identification of risk factors such as family instability, school exclusion and mental health concerns, ensuring that young people receive ongoing and sustained care rather than reactive, short-term interventions.</w:t>
      </w:r>
      <w:r w:rsidR="00E11529">
        <w:rPr>
          <w:rFonts w:ascii="Arial" w:eastAsia="Arial" w:hAnsi="Arial" w:cs="Arial"/>
        </w:rPr>
        <w:t xml:space="preserve"> </w:t>
      </w:r>
      <w:r w:rsidR="00E11529" w:rsidRPr="00E11529">
        <w:rPr>
          <w:rFonts w:ascii="Arial" w:eastAsia="Arial" w:hAnsi="Arial" w:cs="Arial"/>
        </w:rPr>
        <w:t>This recommendation builds on the policy implementation gaps and structural barriers identified in Theme 2</w:t>
      </w:r>
      <w:r w:rsidR="00E11529">
        <w:rPr>
          <w:rFonts w:ascii="Arial" w:eastAsia="Arial" w:hAnsi="Arial" w:cs="Arial"/>
        </w:rPr>
        <w:t>.</w:t>
      </w:r>
    </w:p>
    <w:p w14:paraId="7CA9B722" w14:textId="5D88E752" w:rsidR="54E37156" w:rsidRDefault="54E37156" w:rsidP="00597F9E">
      <w:r w:rsidRPr="0E260372">
        <w:rPr>
          <w:rFonts w:ascii="Arial" w:eastAsia="Arial" w:hAnsi="Arial" w:cs="Arial"/>
        </w:rPr>
        <w:t xml:space="preserve">A significant barrier is the insecurity of financing sources for adolescent programs, which are usually linked to short-term political agendas or local government budgets. This leads to worker turnover, loss of knowledge and fragmented care pathways. Agencies may also </w:t>
      </w:r>
      <w:r w:rsidRPr="0E260372">
        <w:rPr>
          <w:rFonts w:ascii="Arial" w:eastAsia="Arial" w:hAnsi="Arial" w:cs="Arial"/>
        </w:rPr>
        <w:lastRenderedPageBreak/>
        <w:t>confront competing priorities and data-sharing restrictions, which hinder collaborative capacity</w:t>
      </w:r>
      <w:r w:rsidR="1F1A5F83" w:rsidRPr="0E260372">
        <w:rPr>
          <w:rFonts w:ascii="Arial" w:eastAsia="Arial" w:hAnsi="Arial" w:cs="Arial"/>
        </w:rPr>
        <w:t xml:space="preserve"> (</w:t>
      </w:r>
      <w:proofErr w:type="spellStart"/>
      <w:r w:rsidR="1F1A5F83" w:rsidRPr="0E260372">
        <w:rPr>
          <w:rFonts w:ascii="Arial" w:eastAsia="Arial" w:hAnsi="Arial" w:cs="Arial"/>
        </w:rPr>
        <w:t>Camenga</w:t>
      </w:r>
      <w:proofErr w:type="spellEnd"/>
      <w:r w:rsidR="1F1A5F83" w:rsidRPr="0E260372">
        <w:rPr>
          <w:rFonts w:ascii="Arial" w:eastAsia="Arial" w:hAnsi="Arial" w:cs="Arial"/>
        </w:rPr>
        <w:t xml:space="preserve"> and Hammer, 2022)</w:t>
      </w:r>
      <w:r w:rsidRPr="0E260372">
        <w:rPr>
          <w:rFonts w:ascii="Arial" w:eastAsia="Arial" w:hAnsi="Arial" w:cs="Arial"/>
        </w:rPr>
        <w:t>.</w:t>
      </w:r>
    </w:p>
    <w:p w14:paraId="2F1F7B0E" w14:textId="717698FC" w:rsidR="7CC1DA4D" w:rsidRDefault="7CC1DA4D" w:rsidP="00597F9E">
      <w:pPr>
        <w:rPr>
          <w:rFonts w:ascii="Arial" w:eastAsia="Arial" w:hAnsi="Arial" w:cs="Arial"/>
        </w:rPr>
      </w:pPr>
      <w:r w:rsidRPr="0E260372">
        <w:rPr>
          <w:rFonts w:ascii="Arial" w:eastAsia="Arial" w:hAnsi="Arial" w:cs="Arial"/>
        </w:rPr>
        <w:t>The Working Together to Safeguard Children (2018) legislative advice establishes a shared duty for protecting vulnerable young people through information sharing and collaborative decision-making. Incorporating these ideas into substance abuse pathways may improve service cohesiveness and accountability. Creating shared digital referral systems, cross-agency outcome frameworks, and protected multi-year financing managed by regional safeguarding partnerships will ensure stability and continuity. Investing in combined professional training would help to create a more unified knowledge of adolescent risk, ensuring that collaboration becomes a long-term, systemic component of youth substance misuse prevention and care</w:t>
      </w:r>
      <w:r w:rsidR="0404C3AC" w:rsidRPr="0E260372">
        <w:rPr>
          <w:rFonts w:ascii="Arial" w:eastAsia="Arial" w:hAnsi="Arial" w:cs="Arial"/>
        </w:rPr>
        <w:t xml:space="preserve"> (Baginsky, 2022)</w:t>
      </w:r>
      <w:r w:rsidRPr="0E260372">
        <w:rPr>
          <w:rFonts w:ascii="Arial" w:eastAsia="Arial" w:hAnsi="Arial" w:cs="Arial"/>
        </w:rPr>
        <w:t>.</w:t>
      </w:r>
    </w:p>
    <w:p w14:paraId="1F80D6A6" w14:textId="77777777" w:rsidR="005C5E80" w:rsidRPr="005C5E80" w:rsidRDefault="005C5E80" w:rsidP="00597F9E">
      <w:pPr>
        <w:pStyle w:val="Heading1"/>
        <w:spacing w:line="360" w:lineRule="auto"/>
        <w:jc w:val="both"/>
        <w:rPr>
          <w:rFonts w:ascii="Aptos" w:hAnsi="Aptos"/>
          <w:sz w:val="28"/>
          <w:szCs w:val="28"/>
        </w:rPr>
      </w:pPr>
    </w:p>
    <w:p w14:paraId="6DEFF1C6" w14:textId="1F5BDE7E" w:rsidR="005C5E80" w:rsidRPr="005C5E80" w:rsidRDefault="005C5E80" w:rsidP="00597F9E">
      <w:pPr>
        <w:rPr>
          <w:rFonts w:ascii="Arial" w:eastAsia="Arial" w:hAnsi="Arial" w:cs="Arial"/>
          <w:sz w:val="24"/>
          <w:szCs w:val="24"/>
        </w:rPr>
      </w:pPr>
      <w:r w:rsidRPr="0E260372">
        <w:rPr>
          <w:rFonts w:ascii="Arial" w:eastAsia="Arial" w:hAnsi="Arial" w:cs="Arial"/>
          <w:sz w:val="24"/>
          <w:szCs w:val="24"/>
        </w:rPr>
        <w:t>5.2.3 Recommendation 3</w:t>
      </w:r>
      <w:r w:rsidR="2FD28F51" w:rsidRPr="0E260372">
        <w:rPr>
          <w:rFonts w:ascii="Arial" w:eastAsia="Arial" w:hAnsi="Arial" w:cs="Arial"/>
          <w:sz w:val="24"/>
          <w:szCs w:val="24"/>
        </w:rPr>
        <w:t>: Reduce Stigma and Strengthen Youth Access to Support</w:t>
      </w:r>
      <w:r w:rsidRPr="0E260372">
        <w:rPr>
          <w:rFonts w:ascii="Arial" w:eastAsia="Arial" w:hAnsi="Arial" w:cs="Arial"/>
          <w:sz w:val="24"/>
          <w:szCs w:val="24"/>
        </w:rPr>
        <w:t xml:space="preserve"> </w:t>
      </w:r>
    </w:p>
    <w:p w14:paraId="4CD201BA" w14:textId="77777777" w:rsidR="00094CDD" w:rsidRDefault="30C6766D" w:rsidP="00597F9E">
      <w:pPr>
        <w:rPr>
          <w:rFonts w:ascii="Arial" w:eastAsia="Arial" w:hAnsi="Arial" w:cs="Arial"/>
        </w:rPr>
      </w:pPr>
      <w:r w:rsidRPr="0E260372">
        <w:rPr>
          <w:rFonts w:ascii="Arial" w:eastAsia="Arial" w:hAnsi="Arial" w:cs="Arial"/>
        </w:rPr>
        <w:t>Despite increased knowledge of teenage substance abuse stigma, poor service delivery and restricted accessibility continue to discourage young people from seeking help. Many teenagers, particularly those in care, excluded from education or from impoverished families, stay disconnected from formal support systems due to fear of being judged or a lack of faith in statutory services (James, Nash &amp; Comiskey, 2024).</w:t>
      </w:r>
      <w:r w:rsidR="006324EE" w:rsidRPr="006324EE">
        <w:t xml:space="preserve"> </w:t>
      </w:r>
      <w:r w:rsidR="006324EE" w:rsidRPr="006324EE">
        <w:rPr>
          <w:rFonts w:ascii="Arial" w:eastAsia="Arial" w:hAnsi="Arial" w:cs="Arial"/>
        </w:rPr>
        <w:t>This recommendation directly addresses the access barriers and stigma affecting vulnerable groups identified in Theme 3</w:t>
      </w:r>
      <w:r w:rsidR="00094CDD">
        <w:rPr>
          <w:rFonts w:ascii="Arial" w:eastAsia="Arial" w:hAnsi="Arial" w:cs="Arial"/>
        </w:rPr>
        <w:t>.</w:t>
      </w:r>
    </w:p>
    <w:p w14:paraId="0B75B39B" w14:textId="0D388E1B" w:rsidR="47642124" w:rsidRPr="00094CDD" w:rsidRDefault="30C6766D" w:rsidP="00597F9E">
      <w:pPr>
        <w:rPr>
          <w:rFonts w:ascii="Arial" w:eastAsia="Arial" w:hAnsi="Arial" w:cs="Arial"/>
        </w:rPr>
      </w:pPr>
      <w:r w:rsidRPr="0E260372">
        <w:rPr>
          <w:rFonts w:ascii="Arial" w:eastAsia="Arial" w:hAnsi="Arial" w:cs="Arial"/>
        </w:rPr>
        <w:t xml:space="preserve"> Expanding youth-focused outreach and integrating stigma reduction tactics into education and community settings would promote earlier participation and continuity of </w:t>
      </w:r>
      <w:r w:rsidR="00B006EA" w:rsidRPr="0E260372">
        <w:rPr>
          <w:rFonts w:ascii="Arial" w:eastAsia="Arial" w:hAnsi="Arial" w:cs="Arial"/>
        </w:rPr>
        <w:t>care. The</w:t>
      </w:r>
      <w:r w:rsidR="47642124" w:rsidRPr="0E260372">
        <w:rPr>
          <w:rFonts w:ascii="Arial" w:eastAsia="Arial" w:hAnsi="Arial" w:cs="Arial"/>
        </w:rPr>
        <w:t xml:space="preserve"> NHS Long Term Plan (2019) emphasises the importance of increasing young people's access to mental health and substance abuse treatments, such as community-based interventions and digital outreach. Applying this approach to teenage substance abuse could improve accessibility by incorporating adaptable, youth-led models within schools, youth centres and community health clinics</w:t>
      </w:r>
      <w:r w:rsidR="00CA6705">
        <w:rPr>
          <w:rFonts w:ascii="Arial" w:eastAsia="Arial" w:hAnsi="Arial" w:cs="Arial"/>
        </w:rPr>
        <w:t xml:space="preserve"> (</w:t>
      </w:r>
      <w:r w:rsidR="00CA6705" w:rsidRPr="0E260372">
        <w:rPr>
          <w:rFonts w:ascii="Arial" w:eastAsia="Arial" w:hAnsi="Arial" w:cs="Arial"/>
        </w:rPr>
        <w:t>Nath et al.</w:t>
      </w:r>
      <w:r w:rsidR="00CA6705">
        <w:rPr>
          <w:rFonts w:ascii="Arial" w:eastAsia="Arial" w:hAnsi="Arial" w:cs="Arial"/>
        </w:rPr>
        <w:t xml:space="preserve">, </w:t>
      </w:r>
      <w:r w:rsidR="00CA6705" w:rsidRPr="0E260372">
        <w:rPr>
          <w:rFonts w:ascii="Arial" w:eastAsia="Arial" w:hAnsi="Arial" w:cs="Arial"/>
        </w:rPr>
        <w:t>2022)</w:t>
      </w:r>
      <w:r w:rsidR="47642124" w:rsidRPr="0E260372">
        <w:rPr>
          <w:rFonts w:ascii="Arial" w:eastAsia="Arial" w:hAnsi="Arial" w:cs="Arial"/>
        </w:rPr>
        <w:t>.</w:t>
      </w:r>
    </w:p>
    <w:p w14:paraId="5A769A73" w14:textId="42E08F7F" w:rsidR="1083158D" w:rsidRDefault="1083158D" w:rsidP="00597F9E">
      <w:r w:rsidRPr="0E260372">
        <w:rPr>
          <w:rFonts w:ascii="Arial" w:eastAsia="Arial" w:hAnsi="Arial" w:cs="Arial"/>
        </w:rPr>
        <w:t>However, significant constraints remain, including insufficient staff training, underfunding and cultural hurdles in some communities. To address these issues, agencies should collaborate with young people to create interventions that are relevant and inclusive, backed up by public awareness campaigns that normalise help-seeking behaviour. Including substance abuse screening in existing child mental health programs and expanding mobile and internet outreach would further eliminate obstacles</w:t>
      </w:r>
      <w:r w:rsidR="08650CAB" w:rsidRPr="0E260372">
        <w:rPr>
          <w:rFonts w:ascii="Arial" w:eastAsia="Arial" w:hAnsi="Arial" w:cs="Arial"/>
        </w:rPr>
        <w:t xml:space="preserve"> (NHS England, 2020)</w:t>
      </w:r>
      <w:r w:rsidRPr="0E260372">
        <w:rPr>
          <w:rFonts w:ascii="Arial" w:eastAsia="Arial" w:hAnsi="Arial" w:cs="Arial"/>
        </w:rPr>
        <w:t>. The access to treatment may become equitable, non-stigmatizing and responsive to the various needs of young people across England with continuous investment and collaborative delivery.</w:t>
      </w:r>
    </w:p>
    <w:p w14:paraId="61CD43C9" w14:textId="61766C34" w:rsidR="00211184" w:rsidRDefault="1F312399" w:rsidP="00597F9E">
      <w:pPr>
        <w:rPr>
          <w:rFonts w:ascii="Arial" w:eastAsia="Arial" w:hAnsi="Arial" w:cs="Arial"/>
          <w:sz w:val="24"/>
          <w:szCs w:val="24"/>
        </w:rPr>
      </w:pPr>
      <w:r w:rsidRPr="0E260372">
        <w:rPr>
          <w:rFonts w:ascii="Arial" w:eastAsia="Arial" w:hAnsi="Arial" w:cs="Arial"/>
          <w:sz w:val="24"/>
          <w:szCs w:val="24"/>
        </w:rPr>
        <w:lastRenderedPageBreak/>
        <w:t>Summary</w:t>
      </w:r>
    </w:p>
    <w:p w14:paraId="57DCB64D" w14:textId="362EB2C6" w:rsidR="005A22F1" w:rsidRPr="005A22F1" w:rsidRDefault="005A22F1" w:rsidP="00597F9E">
      <w:pPr>
        <w:rPr>
          <w:rFonts w:ascii="Arial" w:hAnsi="Arial" w:cs="Arial"/>
        </w:rPr>
      </w:pPr>
      <w:r w:rsidRPr="005A22F1">
        <w:rPr>
          <w:rFonts w:ascii="Arial" w:hAnsi="Arial" w:cs="Arial"/>
        </w:rPr>
        <w:t>Collectively, these recommendations address the concerns mentioned in Themes 1-3, such as insufficient family engagement, policy fragmentation and unequal access to help. Embedding family-centred prevention (Theme 1), stabilising multi-agency collaboration (Theme 2)</w:t>
      </w:r>
      <w:r w:rsidR="00367437">
        <w:rPr>
          <w:rFonts w:ascii="Arial" w:hAnsi="Arial" w:cs="Arial"/>
        </w:rPr>
        <w:t xml:space="preserve"> </w:t>
      </w:r>
      <w:r w:rsidRPr="005A22F1">
        <w:rPr>
          <w:rFonts w:ascii="Arial" w:hAnsi="Arial" w:cs="Arial"/>
        </w:rPr>
        <w:t>and tackling stigma and accessibility barriers (Theme 3) create a cohesive framework for lowering adolescent substance use in England. While challenges such as funding instability, workforce capacity and diverse youth participation remain, sustained investment, policy alignment and inclusive practice are critical for achieving long-term and equitable progress in prevention and intervention.</w:t>
      </w:r>
    </w:p>
    <w:p w14:paraId="65F969F3" w14:textId="77777777" w:rsidR="000400E4" w:rsidRDefault="000400E4" w:rsidP="0E260372"/>
    <w:p w14:paraId="59D70DFF" w14:textId="77777777" w:rsidR="000400E4" w:rsidRDefault="000400E4" w:rsidP="0E260372"/>
    <w:p w14:paraId="132A973C" w14:textId="77777777" w:rsidR="000400E4" w:rsidRDefault="000400E4" w:rsidP="0E260372"/>
    <w:p w14:paraId="54494726" w14:textId="77777777" w:rsidR="000400E4" w:rsidRDefault="000400E4" w:rsidP="0E260372"/>
    <w:p w14:paraId="722FC155" w14:textId="77777777" w:rsidR="000400E4" w:rsidRDefault="000400E4" w:rsidP="0E260372"/>
    <w:p w14:paraId="2E19E1E0" w14:textId="77777777" w:rsidR="000400E4" w:rsidRDefault="000400E4"/>
    <w:p w14:paraId="0AE97BAA" w14:textId="77777777" w:rsidR="000400E4" w:rsidRDefault="000400E4"/>
    <w:p w14:paraId="5A974663" w14:textId="77777777" w:rsidR="000400E4" w:rsidRDefault="000400E4"/>
    <w:p w14:paraId="1C6879D3" w14:textId="77777777" w:rsidR="000400E4" w:rsidRDefault="000400E4"/>
    <w:p w14:paraId="4890622C" w14:textId="77777777" w:rsidR="000400E4" w:rsidRDefault="000400E4"/>
    <w:p w14:paraId="03F2ECBE" w14:textId="77777777" w:rsidR="000400E4" w:rsidRDefault="000400E4"/>
    <w:p w14:paraId="1AA892C7" w14:textId="77777777" w:rsidR="000400E4" w:rsidRDefault="000400E4"/>
    <w:p w14:paraId="2D2ED30B" w14:textId="6BBF3C13" w:rsidR="068953FA" w:rsidRDefault="068953FA" w:rsidP="540F1010">
      <w:pPr>
        <w:pStyle w:val="Heading1"/>
      </w:pPr>
    </w:p>
    <w:p w14:paraId="7C0682E6" w14:textId="6DCF59B0" w:rsidR="0E260372" w:rsidRDefault="0E260372" w:rsidP="0E260372">
      <w:pPr>
        <w:pStyle w:val="Heading1"/>
        <w:ind w:left="0"/>
        <w:rPr>
          <w:rFonts w:ascii="Aptos" w:hAnsi="Aptos"/>
        </w:rPr>
      </w:pPr>
    </w:p>
    <w:p w14:paraId="493C5DFD" w14:textId="33D7DBCF" w:rsidR="0E260372" w:rsidRDefault="0E260372" w:rsidP="0E260372">
      <w:pPr>
        <w:pStyle w:val="Heading1"/>
        <w:ind w:left="0"/>
        <w:rPr>
          <w:rFonts w:ascii="Aptos" w:hAnsi="Aptos"/>
        </w:rPr>
      </w:pPr>
    </w:p>
    <w:p w14:paraId="39DD4D1A" w14:textId="529DBE9B" w:rsidR="0E260372" w:rsidRDefault="0E260372" w:rsidP="0E260372">
      <w:pPr>
        <w:pStyle w:val="Heading1"/>
        <w:ind w:left="0"/>
        <w:rPr>
          <w:rFonts w:ascii="Aptos" w:hAnsi="Aptos"/>
        </w:rPr>
      </w:pPr>
    </w:p>
    <w:p w14:paraId="0B2C2784" w14:textId="60871D67" w:rsidR="0E260372" w:rsidRDefault="0E260372" w:rsidP="0E260372">
      <w:pPr>
        <w:pStyle w:val="Heading1"/>
        <w:ind w:left="0"/>
        <w:rPr>
          <w:rFonts w:ascii="Aptos" w:hAnsi="Aptos"/>
        </w:rPr>
      </w:pPr>
    </w:p>
    <w:p w14:paraId="0FDE6BD2" w14:textId="685DE0E1" w:rsidR="0E260372" w:rsidRDefault="0E260372" w:rsidP="0E260372">
      <w:pPr>
        <w:pStyle w:val="Heading1"/>
        <w:ind w:left="0"/>
        <w:rPr>
          <w:rFonts w:ascii="Aptos" w:hAnsi="Aptos"/>
        </w:rPr>
      </w:pPr>
    </w:p>
    <w:p w14:paraId="43437194" w14:textId="4B2B701E" w:rsidR="0E260372" w:rsidRDefault="0E260372" w:rsidP="0E260372">
      <w:pPr>
        <w:pStyle w:val="Heading1"/>
        <w:ind w:left="0"/>
        <w:rPr>
          <w:rFonts w:ascii="Aptos" w:hAnsi="Aptos"/>
        </w:rPr>
      </w:pPr>
    </w:p>
    <w:p w14:paraId="6E13FB0D" w14:textId="300417E0" w:rsidR="0E260372" w:rsidRDefault="0E260372" w:rsidP="0E260372">
      <w:pPr>
        <w:pStyle w:val="Heading1"/>
        <w:ind w:left="0"/>
        <w:rPr>
          <w:rFonts w:ascii="Aptos" w:hAnsi="Aptos"/>
        </w:rPr>
      </w:pPr>
    </w:p>
    <w:p w14:paraId="3041BEDF" w14:textId="3164CFB8" w:rsidR="0E260372" w:rsidRDefault="0E260372" w:rsidP="0E260372">
      <w:pPr>
        <w:pStyle w:val="Heading1"/>
        <w:ind w:left="0"/>
        <w:rPr>
          <w:rFonts w:ascii="Aptos" w:hAnsi="Aptos"/>
        </w:rPr>
      </w:pPr>
    </w:p>
    <w:p w14:paraId="0F404E43" w14:textId="2735DB51" w:rsidR="0E260372" w:rsidRDefault="0E260372" w:rsidP="0E260372">
      <w:pPr>
        <w:pStyle w:val="Heading1"/>
        <w:ind w:left="0"/>
        <w:rPr>
          <w:rFonts w:ascii="Aptos" w:hAnsi="Aptos"/>
        </w:rPr>
      </w:pPr>
    </w:p>
    <w:p w14:paraId="060B0E0C" w14:textId="3A1D3BF9" w:rsidR="0E260372" w:rsidRDefault="0E260372" w:rsidP="0E260372">
      <w:pPr>
        <w:pStyle w:val="Heading1"/>
        <w:ind w:left="0"/>
        <w:rPr>
          <w:rFonts w:ascii="Aptos" w:hAnsi="Aptos"/>
        </w:rPr>
      </w:pPr>
    </w:p>
    <w:p w14:paraId="593AF5D1" w14:textId="4F1C8A0F" w:rsidR="0E260372" w:rsidRDefault="0E260372" w:rsidP="0E260372">
      <w:pPr>
        <w:rPr>
          <w:rFonts w:ascii="Arial" w:eastAsia="Arial" w:hAnsi="Arial" w:cs="Arial"/>
          <w:b/>
          <w:bCs/>
          <w:sz w:val="32"/>
          <w:szCs w:val="32"/>
        </w:rPr>
      </w:pPr>
    </w:p>
    <w:p w14:paraId="08F87311" w14:textId="77777777" w:rsidR="00CB38FD" w:rsidRDefault="00CB38FD" w:rsidP="00A4007E">
      <w:pPr>
        <w:pStyle w:val="Heading1"/>
      </w:pPr>
      <w:bookmarkStart w:id="31" w:name="_Toc213871367"/>
    </w:p>
    <w:p w14:paraId="77900B83" w14:textId="77777777" w:rsidR="00CB38FD" w:rsidRDefault="00CB38FD" w:rsidP="00A4007E">
      <w:pPr>
        <w:pStyle w:val="Heading1"/>
      </w:pPr>
    </w:p>
    <w:p w14:paraId="2BB92836" w14:textId="77777777" w:rsidR="00EB4989" w:rsidRDefault="00EB4989" w:rsidP="00A4007E">
      <w:pPr>
        <w:pStyle w:val="Heading1"/>
      </w:pPr>
    </w:p>
    <w:p w14:paraId="6C87EDC0" w14:textId="77777777" w:rsidR="00EB4989" w:rsidRDefault="00EB4989" w:rsidP="00A4007E">
      <w:pPr>
        <w:pStyle w:val="Heading1"/>
      </w:pPr>
    </w:p>
    <w:p w14:paraId="534BE1AD" w14:textId="77777777" w:rsidR="002F6E90" w:rsidRDefault="002F6E90" w:rsidP="00A4007E">
      <w:pPr>
        <w:pStyle w:val="Heading1"/>
      </w:pPr>
    </w:p>
    <w:p w14:paraId="6D51383C" w14:textId="79487A47" w:rsidR="1504F64D" w:rsidRDefault="00211184" w:rsidP="00A4007E">
      <w:pPr>
        <w:pStyle w:val="Heading1"/>
      </w:pPr>
      <w:r>
        <w:t xml:space="preserve">CHAPTER 6 – </w:t>
      </w:r>
      <w:r w:rsidR="1504F64D">
        <w:t>References</w:t>
      </w:r>
      <w:bookmarkEnd w:id="31"/>
    </w:p>
    <w:p w14:paraId="020975DD" w14:textId="16A395E8" w:rsidR="00621776" w:rsidRPr="008C38C3" w:rsidRDefault="00621776" w:rsidP="0E260372">
      <w:pPr>
        <w:rPr>
          <w:rFonts w:ascii="Arial" w:eastAsia="Arial" w:hAnsi="Arial" w:cs="Arial"/>
          <w:b/>
          <w:bCs/>
          <w:sz w:val="28"/>
          <w:szCs w:val="28"/>
        </w:rPr>
      </w:pPr>
      <w:r w:rsidRPr="0E260372">
        <w:rPr>
          <w:rFonts w:ascii="Arial" w:eastAsia="Arial" w:hAnsi="Arial" w:cs="Arial"/>
          <w:b/>
          <w:bCs/>
          <w:sz w:val="28"/>
          <w:szCs w:val="28"/>
        </w:rPr>
        <w:t xml:space="preserve">6.1 – References </w:t>
      </w:r>
    </w:p>
    <w:p w14:paraId="177D47C3" w14:textId="77777777" w:rsidR="00621776" w:rsidRDefault="00621776" w:rsidP="1EC678D9">
      <w:pPr>
        <w:jc w:val="left"/>
        <w:rPr>
          <w:rFonts w:ascii="Arial" w:eastAsia="Arial" w:hAnsi="Arial" w:cs="Arial"/>
        </w:rPr>
      </w:pPr>
    </w:p>
    <w:p w14:paraId="10F7621B" w14:textId="7003054E" w:rsidR="5E08FCAB" w:rsidRDefault="5E08FCAB" w:rsidP="1EC678D9">
      <w:pPr>
        <w:pStyle w:val="ListParagraph"/>
        <w:numPr>
          <w:ilvl w:val="0"/>
          <w:numId w:val="1"/>
        </w:numPr>
        <w:rPr>
          <w:rFonts w:ascii="Arial" w:eastAsia="Arial" w:hAnsi="Arial" w:cs="Arial"/>
        </w:rPr>
      </w:pPr>
      <w:r w:rsidRPr="1EC678D9">
        <w:rPr>
          <w:rFonts w:ascii="Arial" w:eastAsia="Arial" w:hAnsi="Arial" w:cs="Arial"/>
        </w:rPr>
        <w:t>Alharbi, A. and Stevenson, R. (2020) ‘</w:t>
      </w:r>
      <w:r w:rsidRPr="00725741">
        <w:rPr>
          <w:rFonts w:ascii="Arial" w:eastAsia="Arial" w:hAnsi="Arial" w:cs="Arial"/>
          <w:i/>
          <w:iCs/>
        </w:rPr>
        <w:t>Refining Boolean queries to identify relevant studies for systematic review updates.</w:t>
      </w:r>
      <w:r w:rsidRPr="1EC678D9">
        <w:rPr>
          <w:rFonts w:ascii="Arial" w:eastAsia="Arial" w:hAnsi="Arial" w:cs="Arial"/>
        </w:rPr>
        <w:t xml:space="preserve"> Available at: </w:t>
      </w:r>
      <w:hyperlink r:id="rId14">
        <w:r w:rsidRPr="1EC678D9">
          <w:rPr>
            <w:rStyle w:val="Hyperlink"/>
            <w:rFonts w:ascii="Arial" w:eastAsia="Arial" w:hAnsi="Arial" w:cs="Arial"/>
          </w:rPr>
          <w:t>https://doi.org/10.1093/jamia/ocaa148</w:t>
        </w:r>
      </w:hyperlink>
      <w:r w:rsidRPr="1EC678D9">
        <w:rPr>
          <w:rFonts w:ascii="Arial" w:eastAsia="Arial" w:hAnsi="Arial" w:cs="Arial"/>
        </w:rPr>
        <w:t>.</w:t>
      </w:r>
    </w:p>
    <w:p w14:paraId="6A04E595" w14:textId="287D0C42" w:rsidR="068953FA" w:rsidRDefault="068953FA" w:rsidP="1EC678D9">
      <w:pPr>
        <w:widowControl w:val="0"/>
        <w:jc w:val="left"/>
        <w:rPr>
          <w:rFonts w:ascii="Arial" w:eastAsia="Arial" w:hAnsi="Arial" w:cs="Arial"/>
        </w:rPr>
      </w:pPr>
    </w:p>
    <w:p w14:paraId="1AE2A028" w14:textId="1F2EC38F" w:rsidR="072205D5" w:rsidRDefault="072205D5"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Aly, S.M., Omran, A., </w:t>
      </w:r>
      <w:proofErr w:type="spellStart"/>
      <w:r w:rsidRPr="1EC678D9">
        <w:rPr>
          <w:rFonts w:ascii="Arial" w:eastAsia="Arial" w:hAnsi="Arial" w:cs="Arial"/>
        </w:rPr>
        <w:t>Gaulier</w:t>
      </w:r>
      <w:proofErr w:type="spellEnd"/>
      <w:r w:rsidRPr="1EC678D9">
        <w:rPr>
          <w:rFonts w:ascii="Arial" w:eastAsia="Arial" w:hAnsi="Arial" w:cs="Arial"/>
        </w:rPr>
        <w:t xml:space="preserve">, J.-M. and </w:t>
      </w:r>
      <w:proofErr w:type="spellStart"/>
      <w:r w:rsidRPr="1EC678D9">
        <w:rPr>
          <w:rFonts w:ascii="Arial" w:eastAsia="Arial" w:hAnsi="Arial" w:cs="Arial"/>
        </w:rPr>
        <w:t>Allorge</w:t>
      </w:r>
      <w:proofErr w:type="spellEnd"/>
      <w:r w:rsidRPr="1EC678D9">
        <w:rPr>
          <w:rFonts w:ascii="Arial" w:eastAsia="Arial" w:hAnsi="Arial" w:cs="Arial"/>
        </w:rPr>
        <w:t xml:space="preserve">, D. (2020). </w:t>
      </w:r>
      <w:r w:rsidRPr="00725741">
        <w:rPr>
          <w:rFonts w:ascii="Arial" w:eastAsia="Arial" w:hAnsi="Arial" w:cs="Arial"/>
          <w:i/>
          <w:iCs/>
        </w:rPr>
        <w:t>Substance abuse among children</w:t>
      </w:r>
      <w:r w:rsidRPr="1EC678D9">
        <w:rPr>
          <w:rFonts w:ascii="Arial" w:eastAsia="Arial" w:hAnsi="Arial" w:cs="Arial"/>
        </w:rPr>
        <w:t xml:space="preserve">. Archives de </w:t>
      </w:r>
      <w:proofErr w:type="spellStart"/>
      <w:r w:rsidRPr="1EC678D9">
        <w:rPr>
          <w:rFonts w:ascii="Arial" w:eastAsia="Arial" w:hAnsi="Arial" w:cs="Arial"/>
        </w:rPr>
        <w:t>Pédiatrie</w:t>
      </w:r>
      <w:proofErr w:type="spellEnd"/>
      <w:r w:rsidRPr="1EC678D9">
        <w:rPr>
          <w:rFonts w:ascii="Arial" w:eastAsia="Arial" w:hAnsi="Arial" w:cs="Arial"/>
        </w:rPr>
        <w:t xml:space="preserve">, 27(8), pp.480–484.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://doi.org/10.1016/j.arcped.2020.09.006</w:t>
      </w:r>
      <w:proofErr w:type="gramEnd"/>
      <w:r w:rsidRPr="1EC678D9">
        <w:rPr>
          <w:rFonts w:ascii="Arial" w:eastAsia="Arial" w:hAnsi="Arial" w:cs="Arial"/>
        </w:rPr>
        <w:t>.</w:t>
      </w:r>
    </w:p>
    <w:p w14:paraId="21085912" w14:textId="21F7C41A" w:rsidR="0559B97C" w:rsidRDefault="0559B97C" w:rsidP="1EC678D9">
      <w:pPr>
        <w:rPr>
          <w:rFonts w:ascii="Arial" w:eastAsia="Arial" w:hAnsi="Arial" w:cs="Arial"/>
        </w:rPr>
      </w:pPr>
    </w:p>
    <w:p w14:paraId="2573DADB" w14:textId="1AB2351B" w:rsidR="6ED568EA" w:rsidRDefault="6ED568EA" w:rsidP="06329E2C">
      <w:pPr>
        <w:pStyle w:val="ListParagraph"/>
        <w:numPr>
          <w:ilvl w:val="0"/>
          <w:numId w:val="1"/>
        </w:numPr>
        <w:rPr>
          <w:rFonts w:ascii="Arial" w:eastAsia="Arial" w:hAnsi="Arial" w:cs="Arial"/>
          <w:color w:val="000000" w:themeColor="text1"/>
        </w:rPr>
      </w:pPr>
      <w:proofErr w:type="spellStart"/>
      <w:r w:rsidRPr="06329E2C">
        <w:rPr>
          <w:rFonts w:ascii="Arial" w:eastAsia="Arial" w:hAnsi="Arial" w:cs="Arial"/>
        </w:rPr>
        <w:t>Aytur</w:t>
      </w:r>
      <w:proofErr w:type="spellEnd"/>
      <w:r w:rsidRPr="06329E2C">
        <w:rPr>
          <w:rFonts w:ascii="Arial" w:eastAsia="Arial" w:hAnsi="Arial" w:cs="Arial"/>
        </w:rPr>
        <w:t xml:space="preserve">, S.A., Carlino, S., Bernard, F., West, K., Dobrzycki, V. and Malik, R. (2021). </w:t>
      </w:r>
      <w:r w:rsidRPr="002D7282">
        <w:rPr>
          <w:rFonts w:ascii="Arial" w:eastAsia="Arial" w:hAnsi="Arial" w:cs="Arial"/>
          <w:i/>
          <w:iCs/>
        </w:rPr>
        <w:t>Social‐ecological theory, substance misuse, adverse childhood experiences, and adolescent suicidal ideation</w:t>
      </w:r>
      <w:r w:rsidRPr="06329E2C">
        <w:rPr>
          <w:rFonts w:ascii="Arial" w:eastAsia="Arial" w:hAnsi="Arial" w:cs="Arial"/>
        </w:rPr>
        <w:t xml:space="preserve">: Applications for community–academic partnerships. Journal of Community Psychology, 50(1).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://doi.org/10.1002/jcop.22560</w:t>
      </w:r>
      <w:proofErr w:type="gramEnd"/>
      <w:r w:rsidRPr="06329E2C">
        <w:rPr>
          <w:rFonts w:ascii="Arial" w:eastAsia="Arial" w:hAnsi="Arial" w:cs="Arial"/>
        </w:rPr>
        <w:t>.</w:t>
      </w:r>
    </w:p>
    <w:p w14:paraId="5014286C" w14:textId="2C16573A" w:rsidR="59AE6312" w:rsidRDefault="59AE6312" w:rsidP="06329E2C">
      <w:pPr>
        <w:pStyle w:val="ListParagraph"/>
        <w:ind w:left="720"/>
        <w:rPr>
          <w:rFonts w:ascii="Arial" w:eastAsia="Arial" w:hAnsi="Arial" w:cs="Arial"/>
          <w:color w:val="000000" w:themeColor="text1"/>
        </w:rPr>
      </w:pPr>
    </w:p>
    <w:p w14:paraId="15568294" w14:textId="5514FF74" w:rsidR="59AE6312" w:rsidRDefault="37943171" w:rsidP="06329E2C">
      <w:pPr>
        <w:pStyle w:val="ListParagraph"/>
        <w:numPr>
          <w:ilvl w:val="0"/>
          <w:numId w:val="1"/>
        </w:numPr>
        <w:rPr>
          <w:rFonts w:ascii="Arial" w:eastAsia="Arial" w:hAnsi="Arial" w:cs="Arial"/>
        </w:rPr>
      </w:pPr>
      <w:r w:rsidRPr="06329E2C">
        <w:rPr>
          <w:rFonts w:ascii="Arial" w:eastAsia="Arial" w:hAnsi="Arial" w:cs="Arial"/>
        </w:rPr>
        <w:t xml:space="preserve">Abildgaard, J.S., </w:t>
      </w:r>
      <w:proofErr w:type="spellStart"/>
      <w:r w:rsidRPr="06329E2C">
        <w:rPr>
          <w:rFonts w:ascii="Arial" w:eastAsia="Arial" w:hAnsi="Arial" w:cs="Arial"/>
        </w:rPr>
        <w:t>Saksvik</w:t>
      </w:r>
      <w:proofErr w:type="spellEnd"/>
      <w:r w:rsidRPr="06329E2C">
        <w:rPr>
          <w:rFonts w:ascii="Arial" w:eastAsia="Arial" w:hAnsi="Arial" w:cs="Arial"/>
        </w:rPr>
        <w:t>, P.Ø. and Nielsen, K. (2016) ‘</w:t>
      </w:r>
      <w:r w:rsidRPr="002D7282">
        <w:rPr>
          <w:rFonts w:ascii="Arial" w:eastAsia="Arial" w:hAnsi="Arial" w:cs="Arial"/>
          <w:i/>
          <w:iCs/>
        </w:rPr>
        <w:t>How to Measure the Intervention Process?</w:t>
      </w:r>
      <w:r w:rsidRPr="06329E2C">
        <w:rPr>
          <w:rFonts w:ascii="Arial" w:eastAsia="Arial" w:hAnsi="Arial" w:cs="Arial"/>
        </w:rPr>
        <w:t xml:space="preserve"> An Assessment of Qualitative and Quantitative Approaches to Data Collection in the Process Evaluation of Organizational Interventions’, </w:t>
      </w:r>
      <w:r w:rsidRPr="06329E2C">
        <w:rPr>
          <w:rFonts w:ascii="Arial" w:eastAsia="Arial" w:hAnsi="Arial" w:cs="Arial"/>
          <w:i/>
          <w:iCs/>
        </w:rPr>
        <w:t>Frontiers in psychology</w:t>
      </w:r>
      <w:r w:rsidRPr="06329E2C">
        <w:rPr>
          <w:rFonts w:ascii="Arial" w:eastAsia="Arial" w:hAnsi="Arial" w:cs="Arial"/>
        </w:rPr>
        <w:t xml:space="preserve">, 7, pp. 1380–1380. Available at: </w:t>
      </w:r>
      <w:hyperlink r:id="rId15">
        <w:r w:rsidRPr="06329E2C">
          <w:rPr>
            <w:rStyle w:val="Hyperlink"/>
            <w:rFonts w:ascii="Arial" w:eastAsia="Arial" w:hAnsi="Arial" w:cs="Arial"/>
          </w:rPr>
          <w:t>https://doi.org/10.3389/fpsyg.2016.01380</w:t>
        </w:r>
      </w:hyperlink>
      <w:r w:rsidRPr="06329E2C">
        <w:rPr>
          <w:rFonts w:ascii="Arial" w:eastAsia="Arial" w:hAnsi="Arial" w:cs="Arial"/>
        </w:rPr>
        <w:t>.</w:t>
      </w:r>
    </w:p>
    <w:p w14:paraId="549DB44E" w14:textId="543E2A42" w:rsidR="59AE6312" w:rsidRDefault="59AE6312" w:rsidP="1EC678D9">
      <w:pPr>
        <w:rPr>
          <w:rFonts w:ascii="Arial" w:eastAsia="Arial" w:hAnsi="Arial" w:cs="Arial"/>
        </w:rPr>
      </w:pPr>
    </w:p>
    <w:p w14:paraId="559B4985" w14:textId="0234DFE4" w:rsidR="5C95741F" w:rsidRDefault="4FF2DF7E"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 xml:space="preserve">Aldridge, J. (2013). </w:t>
      </w:r>
      <w:r w:rsidRPr="00F14BB1">
        <w:rPr>
          <w:rFonts w:ascii="Arial" w:eastAsia="Arial" w:hAnsi="Arial" w:cs="Arial"/>
          <w:i/>
          <w:iCs/>
        </w:rPr>
        <w:t>Illegal Leisure Revisited</w:t>
      </w:r>
      <w:r w:rsidRPr="0E260372">
        <w:rPr>
          <w:rFonts w:ascii="Arial" w:eastAsia="Arial" w:hAnsi="Arial" w:cs="Arial"/>
        </w:rPr>
        <w:t>. Routledge</w:t>
      </w:r>
      <w:r w:rsidR="5710320C" w:rsidRPr="0E260372">
        <w:rPr>
          <w:rFonts w:ascii="Arial" w:eastAsia="Arial" w:hAnsi="Arial" w:cs="Arial"/>
        </w:rPr>
        <w:t>.: https://doi.org/10.4324/9780203830468</w:t>
      </w:r>
      <w:r w:rsidRPr="0E260372">
        <w:rPr>
          <w:rFonts w:ascii="Arial" w:eastAsia="Arial" w:hAnsi="Arial" w:cs="Arial"/>
        </w:rPr>
        <w:t>.</w:t>
      </w:r>
    </w:p>
    <w:p w14:paraId="484ABE6A" w14:textId="57189DEE" w:rsidR="5C95741F" w:rsidRDefault="5C95741F" w:rsidP="1EC678D9">
      <w:pPr>
        <w:rPr>
          <w:rFonts w:ascii="Arial" w:eastAsia="Arial" w:hAnsi="Arial" w:cs="Arial"/>
        </w:rPr>
      </w:pPr>
    </w:p>
    <w:p w14:paraId="74CA75CF" w14:textId="226B017A" w:rsidR="093CD4FA" w:rsidRDefault="093CD4FA" w:rsidP="1EC678D9">
      <w:pPr>
        <w:pStyle w:val="ListParagraph"/>
        <w:numPr>
          <w:ilvl w:val="0"/>
          <w:numId w:val="1"/>
        </w:numPr>
        <w:rPr>
          <w:rFonts w:ascii="Arial" w:eastAsia="Arial" w:hAnsi="Arial" w:cs="Arial"/>
        </w:rPr>
      </w:pPr>
      <w:r w:rsidRPr="06329E2C">
        <w:rPr>
          <w:rFonts w:ascii="Arial" w:eastAsia="Arial" w:hAnsi="Arial" w:cs="Arial"/>
        </w:rPr>
        <w:t>Alderson, H. et al. (2019) ‘</w:t>
      </w:r>
      <w:r w:rsidRPr="002D403B">
        <w:rPr>
          <w:rFonts w:ascii="Arial" w:eastAsia="Arial" w:hAnsi="Arial" w:cs="Arial"/>
          <w:i/>
          <w:iCs/>
        </w:rPr>
        <w:t>The key therapeutic factors needed to deliver behavioural change interventions to decrease risky substance use (drug and alcohol) for looked after children and care leavers</w:t>
      </w:r>
      <w:r w:rsidRPr="06329E2C">
        <w:rPr>
          <w:rFonts w:ascii="Arial" w:eastAsia="Arial" w:hAnsi="Arial" w:cs="Arial"/>
        </w:rPr>
        <w:t xml:space="preserve">: a qualitative exploration with young people, carers and </w:t>
      </w:r>
      <w:proofErr w:type="gramStart"/>
      <w:r w:rsidRPr="06329E2C">
        <w:rPr>
          <w:rFonts w:ascii="Arial" w:eastAsia="Arial" w:hAnsi="Arial" w:cs="Arial"/>
        </w:rPr>
        <w:t>front line</w:t>
      </w:r>
      <w:proofErr w:type="gramEnd"/>
      <w:r w:rsidRPr="06329E2C">
        <w:rPr>
          <w:rFonts w:ascii="Arial" w:eastAsia="Arial" w:hAnsi="Arial" w:cs="Arial"/>
        </w:rPr>
        <w:t xml:space="preserve"> workers’, BMC medical research methodology, 19(1). Available at: </w:t>
      </w:r>
      <w:hyperlink r:id="rId16">
        <w:r w:rsidRPr="06329E2C">
          <w:rPr>
            <w:rStyle w:val="Hyperlink"/>
            <w:rFonts w:ascii="Arial" w:eastAsia="Arial" w:hAnsi="Arial" w:cs="Arial"/>
          </w:rPr>
          <w:t>https://doi.org/10.1186/s12874-019-0674-3</w:t>
        </w:r>
      </w:hyperlink>
      <w:r w:rsidRPr="06329E2C">
        <w:rPr>
          <w:rFonts w:ascii="Arial" w:eastAsia="Arial" w:hAnsi="Arial" w:cs="Arial"/>
        </w:rPr>
        <w:t>.</w:t>
      </w:r>
    </w:p>
    <w:p w14:paraId="19ED3D42" w14:textId="2CD32B8D" w:rsidR="1EC678D9" w:rsidRDefault="1EC678D9" w:rsidP="1EC678D9">
      <w:pPr>
        <w:rPr>
          <w:rFonts w:ascii="Arial" w:eastAsia="Arial" w:hAnsi="Arial" w:cs="Arial"/>
        </w:rPr>
      </w:pPr>
    </w:p>
    <w:p w14:paraId="3A1801F2" w14:textId="1F87C9A3" w:rsidR="2D48953B" w:rsidRDefault="2D48953B" w:rsidP="1EC678D9">
      <w:pPr>
        <w:pStyle w:val="ListParagraph"/>
        <w:numPr>
          <w:ilvl w:val="0"/>
          <w:numId w:val="1"/>
        </w:numPr>
        <w:rPr>
          <w:rFonts w:ascii="Arial" w:eastAsia="Arial" w:hAnsi="Arial" w:cs="Arial"/>
        </w:rPr>
      </w:pPr>
      <w:r w:rsidRPr="1EC678D9">
        <w:rPr>
          <w:rFonts w:ascii="Arial" w:eastAsia="Arial" w:hAnsi="Arial" w:cs="Arial"/>
        </w:rPr>
        <w:lastRenderedPageBreak/>
        <w:t xml:space="preserve">Alhammad, M. </w:t>
      </w:r>
      <w:r w:rsidRPr="1EC678D9">
        <w:rPr>
          <w:rFonts w:ascii="Arial" w:eastAsia="Arial" w:hAnsi="Arial" w:cs="Arial"/>
          <w:i/>
          <w:iCs/>
        </w:rPr>
        <w:t>et al.</w:t>
      </w:r>
      <w:r w:rsidRPr="1EC678D9">
        <w:rPr>
          <w:rFonts w:ascii="Arial" w:eastAsia="Arial" w:hAnsi="Arial" w:cs="Arial"/>
        </w:rPr>
        <w:t xml:space="preserve"> (2022) ‘</w:t>
      </w:r>
      <w:r w:rsidRPr="002D403B">
        <w:rPr>
          <w:rFonts w:ascii="Arial" w:eastAsia="Arial" w:hAnsi="Arial" w:cs="Arial"/>
          <w:i/>
          <w:iCs/>
        </w:rPr>
        <w:t>Family, Individual, and Other Risk Factors Contributing to Risk of Substance Abuse in Young Adults</w:t>
      </w:r>
      <w:r w:rsidRPr="1EC678D9">
        <w:rPr>
          <w:rFonts w:ascii="Arial" w:eastAsia="Arial" w:hAnsi="Arial" w:cs="Arial"/>
        </w:rPr>
        <w:t xml:space="preserve">: A Narrative Review’, </w:t>
      </w:r>
      <w:proofErr w:type="spellStart"/>
      <w:r w:rsidRPr="1EC678D9">
        <w:rPr>
          <w:rFonts w:ascii="Arial" w:eastAsia="Arial" w:hAnsi="Arial" w:cs="Arial"/>
          <w:i/>
          <w:iCs/>
        </w:rPr>
        <w:t>Curēus</w:t>
      </w:r>
      <w:proofErr w:type="spellEnd"/>
      <w:r w:rsidRPr="1EC678D9">
        <w:rPr>
          <w:rFonts w:ascii="Arial" w:eastAsia="Arial" w:hAnsi="Arial" w:cs="Arial"/>
        </w:rPr>
        <w:t xml:space="preserve">. Available at: </w:t>
      </w:r>
      <w:hyperlink r:id="rId17">
        <w:r w:rsidRPr="1EC678D9">
          <w:rPr>
            <w:rStyle w:val="Hyperlink"/>
            <w:rFonts w:ascii="Arial" w:eastAsia="Arial" w:hAnsi="Arial" w:cs="Arial"/>
          </w:rPr>
          <w:t>https://doi.org/10.7759/cureus.32316</w:t>
        </w:r>
      </w:hyperlink>
      <w:r w:rsidRPr="1EC678D9">
        <w:rPr>
          <w:rFonts w:ascii="Arial" w:eastAsia="Arial" w:hAnsi="Arial" w:cs="Arial"/>
        </w:rPr>
        <w:t>.</w:t>
      </w:r>
    </w:p>
    <w:p w14:paraId="795A6918" w14:textId="6432BFCA" w:rsidR="1EC678D9" w:rsidRDefault="1EC678D9" w:rsidP="1EC678D9">
      <w:pPr>
        <w:pStyle w:val="ListParagraph"/>
        <w:ind w:left="720"/>
        <w:rPr>
          <w:rFonts w:ascii="Arial" w:eastAsia="Arial" w:hAnsi="Arial" w:cs="Arial"/>
        </w:rPr>
      </w:pPr>
    </w:p>
    <w:p w14:paraId="41FF7E86" w14:textId="0EE3E0A5" w:rsidR="1F27C9E9" w:rsidRDefault="1F27C9E9" w:rsidP="1EC678D9">
      <w:pPr>
        <w:pStyle w:val="ListParagraph"/>
        <w:numPr>
          <w:ilvl w:val="0"/>
          <w:numId w:val="1"/>
        </w:numPr>
        <w:rPr>
          <w:rFonts w:ascii="Arial" w:eastAsia="Arial" w:hAnsi="Arial" w:cs="Arial"/>
        </w:rPr>
      </w:pPr>
      <w:r w:rsidRPr="1EC678D9">
        <w:rPr>
          <w:rFonts w:ascii="Arial" w:eastAsia="Arial" w:hAnsi="Arial" w:cs="Arial"/>
        </w:rPr>
        <w:t>Becker, T.D. and Rice, T.R. (2022) ‘</w:t>
      </w:r>
      <w:r w:rsidRPr="0043226D">
        <w:rPr>
          <w:rFonts w:ascii="Arial" w:eastAsia="Arial" w:hAnsi="Arial" w:cs="Arial"/>
          <w:i/>
          <w:iCs/>
        </w:rPr>
        <w:t>Youth vaping</w:t>
      </w:r>
      <w:r w:rsidR="0043226D">
        <w:rPr>
          <w:rFonts w:ascii="Arial" w:eastAsia="Arial" w:hAnsi="Arial" w:cs="Arial"/>
        </w:rPr>
        <w:t>:</w:t>
      </w:r>
      <w:r w:rsidRPr="1EC678D9">
        <w:rPr>
          <w:rFonts w:ascii="Arial" w:eastAsia="Arial" w:hAnsi="Arial" w:cs="Arial"/>
        </w:rPr>
        <w:t xml:space="preserve"> a review and update on global epidemiology, physical and </w:t>
      </w:r>
      <w:proofErr w:type="spellStart"/>
      <w:r w:rsidRPr="1EC678D9">
        <w:rPr>
          <w:rFonts w:ascii="Arial" w:eastAsia="Arial" w:hAnsi="Arial" w:cs="Arial"/>
        </w:rPr>
        <w:t>behavioral</w:t>
      </w:r>
      <w:proofErr w:type="spellEnd"/>
      <w:r w:rsidRPr="1EC678D9">
        <w:rPr>
          <w:rFonts w:ascii="Arial" w:eastAsia="Arial" w:hAnsi="Arial" w:cs="Arial"/>
        </w:rPr>
        <w:t xml:space="preserve"> health risks, and clinical considerations’, </w:t>
      </w:r>
      <w:r w:rsidRPr="1EC678D9">
        <w:rPr>
          <w:rFonts w:ascii="Arial" w:eastAsia="Arial" w:hAnsi="Arial" w:cs="Arial"/>
          <w:i/>
          <w:iCs/>
        </w:rPr>
        <w:t xml:space="preserve">European journal of </w:t>
      </w:r>
      <w:proofErr w:type="spellStart"/>
      <w:r w:rsidRPr="1EC678D9">
        <w:rPr>
          <w:rFonts w:ascii="Arial" w:eastAsia="Arial" w:hAnsi="Arial" w:cs="Arial"/>
          <w:i/>
          <w:iCs/>
        </w:rPr>
        <w:t>pediatrics</w:t>
      </w:r>
      <w:proofErr w:type="spellEnd"/>
      <w:r w:rsidRPr="1EC678D9">
        <w:rPr>
          <w:rFonts w:ascii="Arial" w:eastAsia="Arial" w:hAnsi="Arial" w:cs="Arial"/>
        </w:rPr>
        <w:t xml:space="preserve">, 181(2), pp. 453–462. Available at: </w:t>
      </w:r>
      <w:hyperlink r:id="rId18">
        <w:r w:rsidRPr="1EC678D9">
          <w:rPr>
            <w:rStyle w:val="Hyperlink"/>
            <w:rFonts w:ascii="Arial" w:eastAsia="Arial" w:hAnsi="Arial" w:cs="Arial"/>
          </w:rPr>
          <w:t>https://doi.org/10.1007/s00431-021-04220-x</w:t>
        </w:r>
      </w:hyperlink>
      <w:r w:rsidRPr="1EC678D9">
        <w:rPr>
          <w:rFonts w:ascii="Arial" w:eastAsia="Arial" w:hAnsi="Arial" w:cs="Arial"/>
        </w:rPr>
        <w:t>.</w:t>
      </w:r>
    </w:p>
    <w:p w14:paraId="701EED6F" w14:textId="7FE7B0E7" w:rsidR="1EC678D9" w:rsidRDefault="1EC678D9" w:rsidP="1EC678D9">
      <w:pPr>
        <w:spacing w:after="0"/>
        <w:rPr>
          <w:rFonts w:ascii="Arial" w:eastAsia="Arial" w:hAnsi="Arial" w:cs="Arial"/>
        </w:rPr>
      </w:pPr>
    </w:p>
    <w:p w14:paraId="0268EC0E" w14:textId="6BDA75E2" w:rsidR="63313B37" w:rsidRDefault="63313B37" w:rsidP="1EC678D9">
      <w:pPr>
        <w:pStyle w:val="ListParagraph"/>
        <w:numPr>
          <w:ilvl w:val="0"/>
          <w:numId w:val="1"/>
        </w:numPr>
        <w:rPr>
          <w:rFonts w:ascii="Arial" w:eastAsia="Arial" w:hAnsi="Arial" w:cs="Arial"/>
        </w:rPr>
      </w:pPr>
      <w:r w:rsidRPr="1EC678D9">
        <w:rPr>
          <w:rFonts w:ascii="Arial" w:eastAsia="Arial" w:hAnsi="Arial" w:cs="Arial"/>
        </w:rPr>
        <w:t xml:space="preserve">Babor, T.F. </w:t>
      </w:r>
      <w:r w:rsidRPr="1EC678D9">
        <w:rPr>
          <w:rFonts w:ascii="Arial" w:eastAsia="Arial" w:hAnsi="Arial" w:cs="Arial"/>
          <w:i/>
          <w:iCs/>
        </w:rPr>
        <w:t>et al.</w:t>
      </w:r>
      <w:r w:rsidRPr="1EC678D9">
        <w:rPr>
          <w:rFonts w:ascii="Arial" w:eastAsia="Arial" w:hAnsi="Arial" w:cs="Arial"/>
        </w:rPr>
        <w:t xml:space="preserve"> (2022) </w:t>
      </w:r>
      <w:r w:rsidRPr="0043226D">
        <w:rPr>
          <w:rFonts w:ascii="Arial" w:eastAsia="Arial" w:hAnsi="Arial" w:cs="Arial"/>
          <w:i/>
          <w:iCs/>
        </w:rPr>
        <w:t>‘Alcohol: No Ordinary Commodity—a summary of the third edition’</w:t>
      </w:r>
      <w:r w:rsidRPr="1EC678D9">
        <w:rPr>
          <w:rFonts w:ascii="Arial" w:eastAsia="Arial" w:hAnsi="Arial" w:cs="Arial"/>
        </w:rPr>
        <w:t xml:space="preserve">, </w:t>
      </w:r>
      <w:r w:rsidRPr="1EC678D9">
        <w:rPr>
          <w:rFonts w:ascii="Arial" w:eastAsia="Arial" w:hAnsi="Arial" w:cs="Arial"/>
          <w:i/>
          <w:iCs/>
        </w:rPr>
        <w:t>Addiction (Abingdon, England)</w:t>
      </w:r>
      <w:r w:rsidRPr="1EC678D9">
        <w:rPr>
          <w:rFonts w:ascii="Arial" w:eastAsia="Arial" w:hAnsi="Arial" w:cs="Arial"/>
        </w:rPr>
        <w:t xml:space="preserve">, 117(12), pp. 3024–3036. Available at: </w:t>
      </w:r>
      <w:hyperlink r:id="rId19">
        <w:r w:rsidRPr="1EC678D9">
          <w:rPr>
            <w:rStyle w:val="Hyperlink"/>
            <w:rFonts w:ascii="Arial" w:eastAsia="Arial" w:hAnsi="Arial" w:cs="Arial"/>
          </w:rPr>
          <w:t>https://doi.org/10.1111/add.16003</w:t>
        </w:r>
      </w:hyperlink>
      <w:r w:rsidRPr="1EC678D9">
        <w:rPr>
          <w:rFonts w:ascii="Arial" w:eastAsia="Arial" w:hAnsi="Arial" w:cs="Arial"/>
        </w:rPr>
        <w:t>.</w:t>
      </w:r>
    </w:p>
    <w:p w14:paraId="13B47B39" w14:textId="79C1E7FC" w:rsidR="1EC678D9" w:rsidRDefault="1EC678D9" w:rsidP="0E260372">
      <w:pPr>
        <w:spacing w:after="0"/>
        <w:rPr>
          <w:rFonts w:ascii="Arial" w:eastAsia="Arial" w:hAnsi="Arial" w:cs="Arial"/>
        </w:rPr>
      </w:pPr>
    </w:p>
    <w:p w14:paraId="02F3B346" w14:textId="20EA3D65" w:rsidR="59AE6312" w:rsidRDefault="59AE6312" w:rsidP="1EC678D9">
      <w:pPr>
        <w:rPr>
          <w:rFonts w:ascii="Arial" w:eastAsia="Arial" w:hAnsi="Arial" w:cs="Arial"/>
        </w:rPr>
      </w:pPr>
    </w:p>
    <w:p w14:paraId="547C479A" w14:textId="537AD7FD" w:rsidR="5A928D55" w:rsidRDefault="5A928D55"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Bonell, C., Fletcher, A., Jamal, F., Aveyard, P. and Markham, W. (2016). </w:t>
      </w:r>
      <w:r w:rsidRPr="003A063A">
        <w:rPr>
          <w:rFonts w:ascii="Arial" w:eastAsia="Arial" w:hAnsi="Arial" w:cs="Arial"/>
          <w:i/>
          <w:iCs/>
        </w:rPr>
        <w:t>Where next with theory and research on how the school environment influences young people’s substance use?</w:t>
      </w:r>
      <w:r w:rsidRPr="1EC678D9">
        <w:rPr>
          <w:rFonts w:ascii="Arial" w:eastAsia="Arial" w:hAnsi="Arial" w:cs="Arial"/>
        </w:rPr>
        <w:t xml:space="preserve"> Health &amp; Place, 40, pp.91–97.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://doi.org/10.1016/j.healthplace.2016.05.006</w:t>
      </w:r>
      <w:proofErr w:type="gramEnd"/>
      <w:r w:rsidRPr="1EC678D9">
        <w:rPr>
          <w:rFonts w:ascii="Arial" w:eastAsia="Arial" w:hAnsi="Arial" w:cs="Arial"/>
        </w:rPr>
        <w:t>.</w:t>
      </w:r>
    </w:p>
    <w:p w14:paraId="22960FB7" w14:textId="31227965" w:rsidR="1EC678D9" w:rsidRDefault="1EC678D9" w:rsidP="1EC678D9">
      <w:pPr>
        <w:pStyle w:val="ListParagraph"/>
        <w:ind w:left="720"/>
        <w:rPr>
          <w:rFonts w:ascii="Arial" w:eastAsia="Arial" w:hAnsi="Arial" w:cs="Arial"/>
          <w:color w:val="000000" w:themeColor="text1"/>
        </w:rPr>
      </w:pPr>
    </w:p>
    <w:p w14:paraId="4CC737D3" w14:textId="6EA00E5E" w:rsidR="0559B97C" w:rsidRDefault="5A928D55" w:rsidP="1EC678D9">
      <w:pPr>
        <w:pStyle w:val="ListParagraph"/>
        <w:numPr>
          <w:ilvl w:val="0"/>
          <w:numId w:val="1"/>
        </w:numPr>
        <w:rPr>
          <w:rFonts w:ascii="Arial" w:eastAsia="Arial" w:hAnsi="Arial" w:cs="Arial"/>
        </w:rPr>
      </w:pPr>
      <w:r w:rsidRPr="1EC678D9">
        <w:rPr>
          <w:rFonts w:ascii="Arial" w:eastAsia="Arial" w:hAnsi="Arial" w:cs="Arial"/>
        </w:rPr>
        <w:t>‌</w:t>
      </w:r>
      <w:r w:rsidR="49A3ED83" w:rsidRPr="1EC678D9">
        <w:rPr>
          <w:rFonts w:ascii="Arial" w:eastAsia="Arial" w:hAnsi="Arial" w:cs="Arial"/>
        </w:rPr>
        <w:t xml:space="preserve"> Baginsky, M. (2022) </w:t>
      </w:r>
      <w:r w:rsidR="49A3ED83" w:rsidRPr="003A063A">
        <w:rPr>
          <w:rFonts w:ascii="Arial" w:eastAsia="Arial" w:hAnsi="Arial" w:cs="Arial"/>
          <w:i/>
          <w:iCs/>
        </w:rPr>
        <w:t xml:space="preserve">Protecting and safeguarding children in </w:t>
      </w:r>
      <w:proofErr w:type="gramStart"/>
      <w:r w:rsidR="49A3ED83" w:rsidRPr="003A063A">
        <w:rPr>
          <w:rFonts w:ascii="Arial" w:eastAsia="Arial" w:hAnsi="Arial" w:cs="Arial"/>
          <w:i/>
          <w:iCs/>
        </w:rPr>
        <w:t>schools</w:t>
      </w:r>
      <w:r w:rsidR="49A3ED83" w:rsidRPr="1EC678D9">
        <w:rPr>
          <w:rFonts w:ascii="Arial" w:eastAsia="Arial" w:hAnsi="Arial" w:cs="Arial"/>
        </w:rPr>
        <w:t> :</w:t>
      </w:r>
      <w:proofErr w:type="gramEnd"/>
      <w:r w:rsidR="49A3ED83" w:rsidRPr="1EC678D9">
        <w:rPr>
          <w:rFonts w:ascii="Arial" w:eastAsia="Arial" w:hAnsi="Arial" w:cs="Arial"/>
        </w:rPr>
        <w:t xml:space="preserve"> a multi-agency approach. 1st ed. Bristol, England: Policy Press. Available at: </w:t>
      </w:r>
      <w:hyperlink r:id="rId20">
        <w:r w:rsidR="49A3ED83" w:rsidRPr="1EC678D9">
          <w:rPr>
            <w:rStyle w:val="Hyperlink"/>
            <w:rFonts w:ascii="Arial" w:eastAsia="Arial" w:hAnsi="Arial" w:cs="Arial"/>
          </w:rPr>
          <w:t>https://doi.org/10.56687/9781447358299</w:t>
        </w:r>
      </w:hyperlink>
      <w:r w:rsidR="49A3ED83" w:rsidRPr="1EC678D9">
        <w:rPr>
          <w:rFonts w:ascii="Arial" w:eastAsia="Arial" w:hAnsi="Arial" w:cs="Arial"/>
        </w:rPr>
        <w:t>.</w:t>
      </w:r>
    </w:p>
    <w:p w14:paraId="57936471" w14:textId="5AD2DF4B" w:rsidR="0559B97C" w:rsidRDefault="0559B97C" w:rsidP="1EC678D9">
      <w:pPr>
        <w:rPr>
          <w:rFonts w:ascii="Arial" w:eastAsia="Arial" w:hAnsi="Arial" w:cs="Arial"/>
        </w:rPr>
      </w:pPr>
    </w:p>
    <w:p w14:paraId="5E1D3160" w14:textId="2369A7F8" w:rsidR="0559B97C" w:rsidRDefault="0F105504"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 xml:space="preserve">Bonell, C., Hinds, K., Dickson, K., Thomas, J., Fletcher, A., Murphy, S., Melendez-Torres, G.J., Bonell, C. and Campbell, R. (2015). </w:t>
      </w:r>
      <w:r w:rsidRPr="00147825">
        <w:rPr>
          <w:rFonts w:ascii="Arial" w:eastAsia="Arial" w:hAnsi="Arial" w:cs="Arial"/>
          <w:i/>
          <w:iCs/>
        </w:rPr>
        <w:t>What is positive youth development and how might it reduce substance use and violence?</w:t>
      </w:r>
      <w:r w:rsidRPr="0E260372">
        <w:rPr>
          <w:rFonts w:ascii="Arial" w:eastAsia="Arial" w:hAnsi="Arial" w:cs="Arial"/>
        </w:rPr>
        <w:t xml:space="preserve"> A systematic review and synthesis of theoretical literature. BMC Public Health</w:t>
      </w:r>
      <w:r w:rsidR="007B21E2">
        <w:rPr>
          <w:rFonts w:ascii="Arial" w:eastAsia="Arial" w:hAnsi="Arial" w:cs="Arial"/>
        </w:rPr>
        <w:t>,</w:t>
      </w:r>
      <w:r w:rsidRPr="0E260372">
        <w:rPr>
          <w:rFonts w:ascii="Arial" w:eastAsia="Arial" w:hAnsi="Arial" w:cs="Arial"/>
        </w:rPr>
        <w:t xml:space="preserve"> 16(1). </w:t>
      </w:r>
      <w:proofErr w:type="spellStart"/>
      <w:proofErr w:type="gramStart"/>
      <w:r w:rsidRPr="0E260372">
        <w:rPr>
          <w:rFonts w:ascii="Arial" w:eastAsia="Arial" w:hAnsi="Arial" w:cs="Arial"/>
        </w:rPr>
        <w:t>doi:https</w:t>
      </w:r>
      <w:proofErr w:type="spellEnd"/>
      <w:r w:rsidRPr="0E260372">
        <w:rPr>
          <w:rFonts w:ascii="Arial" w:eastAsia="Arial" w:hAnsi="Arial" w:cs="Arial"/>
        </w:rPr>
        <w:t>://doi.org/10.1186/s12889-016-2817-3</w:t>
      </w:r>
      <w:proofErr w:type="gramEnd"/>
      <w:r w:rsidRPr="0E260372">
        <w:rPr>
          <w:rFonts w:ascii="Arial" w:eastAsia="Arial" w:hAnsi="Arial" w:cs="Arial"/>
        </w:rPr>
        <w:t>.</w:t>
      </w:r>
    </w:p>
    <w:p w14:paraId="76C0EA19" w14:textId="6F12F9A9" w:rsidR="0E260372" w:rsidRDefault="0E260372" w:rsidP="0E260372">
      <w:pPr>
        <w:pStyle w:val="ListParagraph"/>
        <w:ind w:left="720"/>
        <w:rPr>
          <w:rFonts w:ascii="Arial" w:eastAsia="Arial" w:hAnsi="Arial" w:cs="Arial"/>
          <w:color w:val="000000" w:themeColor="text1"/>
        </w:rPr>
      </w:pPr>
    </w:p>
    <w:p w14:paraId="6DFFCAB3" w14:textId="47D8390B" w:rsidR="499EBB08" w:rsidRDefault="499EBB08" w:rsidP="0E260372">
      <w:pPr>
        <w:pStyle w:val="ListParagraph"/>
        <w:numPr>
          <w:ilvl w:val="0"/>
          <w:numId w:val="1"/>
        </w:numPr>
        <w:rPr>
          <w:rFonts w:ascii="Arial" w:eastAsia="Arial" w:hAnsi="Arial" w:cs="Arial"/>
        </w:rPr>
      </w:pPr>
      <w:r w:rsidRPr="0E260372">
        <w:rPr>
          <w:rFonts w:ascii="Arial" w:eastAsia="Arial" w:hAnsi="Arial" w:cs="Arial"/>
        </w:rPr>
        <w:t xml:space="preserve">Bekkering, G.E. </w:t>
      </w:r>
      <w:r w:rsidRPr="0E260372">
        <w:rPr>
          <w:rFonts w:ascii="Arial" w:eastAsia="Arial" w:hAnsi="Arial" w:cs="Arial"/>
          <w:i/>
          <w:iCs/>
        </w:rPr>
        <w:t>et al.</w:t>
      </w:r>
      <w:r w:rsidRPr="0E260372">
        <w:rPr>
          <w:rFonts w:ascii="Arial" w:eastAsia="Arial" w:hAnsi="Arial" w:cs="Arial"/>
        </w:rPr>
        <w:t xml:space="preserve"> (2014) ‘Practitioner Review: </w:t>
      </w:r>
      <w:r w:rsidRPr="00147825">
        <w:rPr>
          <w:rFonts w:ascii="Arial" w:eastAsia="Arial" w:hAnsi="Arial" w:cs="Arial"/>
          <w:i/>
          <w:iCs/>
        </w:rPr>
        <w:t>Evidence-based practice guidelines on alcohol and drug misuse among adolescents</w:t>
      </w:r>
      <w:r w:rsidRPr="0E260372">
        <w:rPr>
          <w:rFonts w:ascii="Arial" w:eastAsia="Arial" w:hAnsi="Arial" w:cs="Arial"/>
        </w:rPr>
        <w:t xml:space="preserve">: a systematic review’, </w:t>
      </w:r>
      <w:r w:rsidRPr="0E260372">
        <w:rPr>
          <w:rFonts w:ascii="Arial" w:eastAsia="Arial" w:hAnsi="Arial" w:cs="Arial"/>
          <w:i/>
          <w:iCs/>
        </w:rPr>
        <w:t>Journal of child psychology and psychiatry</w:t>
      </w:r>
      <w:r w:rsidRPr="0E260372">
        <w:rPr>
          <w:rFonts w:ascii="Arial" w:eastAsia="Arial" w:hAnsi="Arial" w:cs="Arial"/>
        </w:rPr>
        <w:t xml:space="preserve">, 55(1), pp. 3–21. Available at: </w:t>
      </w:r>
      <w:hyperlink r:id="rId21">
        <w:r w:rsidRPr="0E260372">
          <w:rPr>
            <w:rStyle w:val="Hyperlink"/>
            <w:rFonts w:ascii="Arial" w:eastAsia="Arial" w:hAnsi="Arial" w:cs="Arial"/>
          </w:rPr>
          <w:t>https://doi.org/10.1111/jcpp.12145</w:t>
        </w:r>
      </w:hyperlink>
      <w:r w:rsidRPr="0E260372">
        <w:rPr>
          <w:rFonts w:ascii="Arial" w:eastAsia="Arial" w:hAnsi="Arial" w:cs="Arial"/>
        </w:rPr>
        <w:t>.</w:t>
      </w:r>
    </w:p>
    <w:p w14:paraId="670AB9BE" w14:textId="2C724BB2" w:rsidR="0E260372" w:rsidRDefault="0E260372" w:rsidP="0E260372">
      <w:pPr>
        <w:pStyle w:val="ListParagraph"/>
        <w:ind w:left="720"/>
        <w:rPr>
          <w:rFonts w:ascii="Arial" w:eastAsia="Arial" w:hAnsi="Arial" w:cs="Arial"/>
          <w:color w:val="000000" w:themeColor="text1"/>
        </w:rPr>
      </w:pPr>
    </w:p>
    <w:p w14:paraId="53BE24B3" w14:textId="7B619C3B" w:rsidR="0559B97C" w:rsidRDefault="0559B97C" w:rsidP="1EC678D9">
      <w:pPr>
        <w:rPr>
          <w:rFonts w:ascii="Arial" w:eastAsia="Arial" w:hAnsi="Arial" w:cs="Arial"/>
        </w:rPr>
      </w:pPr>
    </w:p>
    <w:p w14:paraId="1C3EA9A0" w14:textId="3B2B919B" w:rsidR="0559B97C" w:rsidRDefault="7B3E57C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Carson, D.C., Sullivan, C.J., Cochran, J.K. and Lersch, K.M. (2008). </w:t>
      </w:r>
      <w:r w:rsidRPr="00147825">
        <w:rPr>
          <w:rFonts w:ascii="Arial" w:eastAsia="Arial" w:hAnsi="Arial" w:cs="Arial"/>
          <w:i/>
          <w:iCs/>
        </w:rPr>
        <w:t xml:space="preserve">General Strain Theory and the Relationship Between Early Victimization and Drug Use. Deviant </w:t>
      </w:r>
      <w:proofErr w:type="spellStart"/>
      <w:r w:rsidRPr="00147825">
        <w:rPr>
          <w:rFonts w:ascii="Arial" w:eastAsia="Arial" w:hAnsi="Arial" w:cs="Arial"/>
          <w:i/>
          <w:iCs/>
        </w:rPr>
        <w:t>Behavior</w:t>
      </w:r>
      <w:proofErr w:type="spellEnd"/>
      <w:r w:rsidRPr="06329E2C">
        <w:rPr>
          <w:rFonts w:ascii="Arial" w:eastAsia="Arial" w:hAnsi="Arial" w:cs="Arial"/>
        </w:rPr>
        <w:t xml:space="preserve">, 30(1), pp.54–88.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://doi.org/10.1080/01639620802050023</w:t>
      </w:r>
      <w:proofErr w:type="gramEnd"/>
      <w:r w:rsidRPr="06329E2C">
        <w:rPr>
          <w:rFonts w:ascii="Arial" w:eastAsia="Arial" w:hAnsi="Arial" w:cs="Arial"/>
        </w:rPr>
        <w:t>.</w:t>
      </w:r>
    </w:p>
    <w:p w14:paraId="5D664CBC" w14:textId="2D5F48AD" w:rsidR="068953FA" w:rsidRDefault="068953FA" w:rsidP="06329E2C">
      <w:pPr>
        <w:pStyle w:val="ListParagraph"/>
        <w:ind w:left="720"/>
        <w:rPr>
          <w:rFonts w:ascii="Arial" w:eastAsia="Arial" w:hAnsi="Arial" w:cs="Arial"/>
          <w:color w:val="000000" w:themeColor="text1"/>
        </w:rPr>
      </w:pPr>
    </w:p>
    <w:p w14:paraId="23D12E0D" w14:textId="61CAA6D7" w:rsidR="068953FA" w:rsidRDefault="265CC3CD" w:rsidP="06329E2C">
      <w:pPr>
        <w:pStyle w:val="ListParagraph"/>
        <w:numPr>
          <w:ilvl w:val="0"/>
          <w:numId w:val="1"/>
        </w:numPr>
        <w:rPr>
          <w:rFonts w:ascii="Arial" w:eastAsia="Arial" w:hAnsi="Arial" w:cs="Arial"/>
        </w:rPr>
      </w:pPr>
      <w:r w:rsidRPr="06329E2C">
        <w:rPr>
          <w:rFonts w:ascii="Arial" w:eastAsia="Arial" w:hAnsi="Arial" w:cs="Arial"/>
        </w:rPr>
        <w:t xml:space="preserve">Csete, J. </w:t>
      </w:r>
      <w:r w:rsidRPr="06329E2C">
        <w:rPr>
          <w:rFonts w:ascii="Arial" w:eastAsia="Arial" w:hAnsi="Arial" w:cs="Arial"/>
          <w:i/>
          <w:iCs/>
        </w:rPr>
        <w:t>et al.</w:t>
      </w:r>
      <w:r w:rsidRPr="06329E2C">
        <w:rPr>
          <w:rFonts w:ascii="Arial" w:eastAsia="Arial" w:hAnsi="Arial" w:cs="Arial"/>
        </w:rPr>
        <w:t xml:space="preserve"> (2016) ‘</w:t>
      </w:r>
      <w:r w:rsidRPr="00147825">
        <w:rPr>
          <w:rFonts w:ascii="Arial" w:eastAsia="Arial" w:hAnsi="Arial" w:cs="Arial"/>
          <w:i/>
          <w:iCs/>
        </w:rPr>
        <w:t>Public health and international drug policy’</w:t>
      </w:r>
      <w:r w:rsidRPr="06329E2C">
        <w:rPr>
          <w:rFonts w:ascii="Arial" w:eastAsia="Arial" w:hAnsi="Arial" w:cs="Arial"/>
        </w:rPr>
        <w:t xml:space="preserve">, </w:t>
      </w:r>
      <w:r w:rsidRPr="06329E2C">
        <w:rPr>
          <w:rFonts w:ascii="Arial" w:eastAsia="Arial" w:hAnsi="Arial" w:cs="Arial"/>
          <w:i/>
          <w:iCs/>
        </w:rPr>
        <w:t>The Lancet (British edition)</w:t>
      </w:r>
      <w:r w:rsidRPr="06329E2C">
        <w:rPr>
          <w:rFonts w:ascii="Arial" w:eastAsia="Arial" w:hAnsi="Arial" w:cs="Arial"/>
        </w:rPr>
        <w:t xml:space="preserve">, 387(10026), pp. 1427–1480. Available at: </w:t>
      </w:r>
      <w:hyperlink r:id="rId22">
        <w:r w:rsidRPr="06329E2C">
          <w:rPr>
            <w:rStyle w:val="Hyperlink"/>
            <w:rFonts w:ascii="Arial" w:eastAsia="Arial" w:hAnsi="Arial" w:cs="Arial"/>
          </w:rPr>
          <w:t>https://doi.org/10.1016/S0140-6736(16)00619-X</w:t>
        </w:r>
      </w:hyperlink>
      <w:r w:rsidRPr="06329E2C">
        <w:rPr>
          <w:rFonts w:ascii="Arial" w:eastAsia="Arial" w:hAnsi="Arial" w:cs="Arial"/>
        </w:rPr>
        <w:t>.</w:t>
      </w:r>
    </w:p>
    <w:p w14:paraId="5EDC7787" w14:textId="5DAB8B73" w:rsidR="068953FA" w:rsidRDefault="068953FA" w:rsidP="1EC678D9">
      <w:pPr>
        <w:rPr>
          <w:rFonts w:ascii="Arial" w:eastAsia="Arial" w:hAnsi="Arial" w:cs="Arial"/>
        </w:rPr>
      </w:pPr>
    </w:p>
    <w:p w14:paraId="7D898502" w14:textId="5287CC40" w:rsidR="02C00E46" w:rsidRDefault="02C00E46" w:rsidP="1EC678D9">
      <w:pPr>
        <w:pStyle w:val="ListParagraph"/>
        <w:numPr>
          <w:ilvl w:val="0"/>
          <w:numId w:val="1"/>
        </w:numPr>
        <w:rPr>
          <w:rFonts w:ascii="Arial" w:eastAsia="Arial" w:hAnsi="Arial" w:cs="Arial"/>
        </w:rPr>
      </w:pPr>
      <w:r w:rsidRPr="1EC678D9">
        <w:rPr>
          <w:rFonts w:ascii="Arial" w:eastAsia="Arial" w:hAnsi="Arial" w:cs="Arial"/>
        </w:rPr>
        <w:t>Cooper, C. et al. (2017) ‘</w:t>
      </w:r>
      <w:r w:rsidRPr="00147825">
        <w:rPr>
          <w:rFonts w:ascii="Arial" w:eastAsia="Arial" w:hAnsi="Arial" w:cs="Arial"/>
          <w:i/>
          <w:iCs/>
        </w:rPr>
        <w:t>A comparison of results of empirical studies of supplementary search techniques and recommendations in review methodology handbooks: a methodological review’</w:t>
      </w:r>
      <w:r w:rsidRPr="1EC678D9">
        <w:rPr>
          <w:rFonts w:ascii="Arial" w:eastAsia="Arial" w:hAnsi="Arial" w:cs="Arial"/>
        </w:rPr>
        <w:t xml:space="preserve">. Available at: </w:t>
      </w:r>
      <w:hyperlink r:id="rId23">
        <w:r w:rsidRPr="1EC678D9">
          <w:rPr>
            <w:rStyle w:val="Hyperlink"/>
            <w:rFonts w:ascii="Arial" w:eastAsia="Arial" w:hAnsi="Arial" w:cs="Arial"/>
          </w:rPr>
          <w:t>https://doi.org/10.1186/s13643-017-0625-1</w:t>
        </w:r>
      </w:hyperlink>
      <w:r w:rsidRPr="1EC678D9">
        <w:rPr>
          <w:rFonts w:ascii="Arial" w:eastAsia="Arial" w:hAnsi="Arial" w:cs="Arial"/>
        </w:rPr>
        <w:t>.</w:t>
      </w:r>
    </w:p>
    <w:p w14:paraId="7182C500" w14:textId="60CCBD83" w:rsidR="540F1010" w:rsidRDefault="540F1010" w:rsidP="1EC678D9">
      <w:pPr>
        <w:rPr>
          <w:rFonts w:ascii="Arial" w:eastAsia="Arial" w:hAnsi="Arial" w:cs="Arial"/>
        </w:rPr>
      </w:pPr>
    </w:p>
    <w:p w14:paraId="4C6C4CB9" w14:textId="3BAFD310" w:rsidR="428F2F02" w:rsidRDefault="428F2F02" w:rsidP="1EC678D9">
      <w:pPr>
        <w:pStyle w:val="ListParagraph"/>
        <w:numPr>
          <w:ilvl w:val="0"/>
          <w:numId w:val="1"/>
        </w:numPr>
        <w:rPr>
          <w:rFonts w:ascii="Arial" w:eastAsia="Arial" w:hAnsi="Arial" w:cs="Arial"/>
        </w:rPr>
      </w:pPr>
      <w:r w:rsidRPr="1EC678D9">
        <w:rPr>
          <w:rFonts w:ascii="Arial" w:eastAsia="Arial" w:hAnsi="Arial" w:cs="Arial"/>
        </w:rPr>
        <w:lastRenderedPageBreak/>
        <w:t xml:space="preserve">Castleberry, A. and Nolen, A. (2018) </w:t>
      </w:r>
      <w:r w:rsidRPr="00333329">
        <w:rPr>
          <w:rFonts w:ascii="Arial" w:eastAsia="Arial" w:hAnsi="Arial" w:cs="Arial"/>
          <w:i/>
          <w:iCs/>
        </w:rPr>
        <w:t xml:space="preserve">‘Thematic analysis of qualitative research data: Is it as easy as it sounds?’, </w:t>
      </w:r>
      <w:r w:rsidRPr="1EC678D9">
        <w:rPr>
          <w:rFonts w:ascii="Arial" w:eastAsia="Arial" w:hAnsi="Arial" w:cs="Arial"/>
        </w:rPr>
        <w:t xml:space="preserve">Currents in pharmacy teaching and learning, 10(6), pp. 807–815. Available at: </w:t>
      </w:r>
      <w:hyperlink r:id="rId24">
        <w:r w:rsidRPr="1EC678D9">
          <w:rPr>
            <w:rStyle w:val="Hyperlink"/>
            <w:rFonts w:ascii="Arial" w:eastAsia="Arial" w:hAnsi="Arial" w:cs="Arial"/>
          </w:rPr>
          <w:t>https://doi.org/10.1016/j.cptl.2018.03.019</w:t>
        </w:r>
      </w:hyperlink>
      <w:r w:rsidRPr="1EC678D9">
        <w:rPr>
          <w:rFonts w:ascii="Arial" w:eastAsia="Arial" w:hAnsi="Arial" w:cs="Arial"/>
        </w:rPr>
        <w:t>.</w:t>
      </w:r>
    </w:p>
    <w:p w14:paraId="167B908E" w14:textId="731D1A77" w:rsidR="540F1010" w:rsidRDefault="540F1010" w:rsidP="1EC678D9">
      <w:pPr>
        <w:rPr>
          <w:rFonts w:ascii="Arial" w:eastAsia="Arial" w:hAnsi="Arial" w:cs="Arial"/>
        </w:rPr>
      </w:pPr>
    </w:p>
    <w:p w14:paraId="56FA73F1" w14:textId="34D256D1" w:rsidR="068953FA" w:rsidRDefault="068953FA" w:rsidP="1EC678D9">
      <w:pPr>
        <w:rPr>
          <w:rFonts w:ascii="Arial" w:eastAsia="Arial" w:hAnsi="Arial" w:cs="Arial"/>
        </w:rPr>
      </w:pPr>
    </w:p>
    <w:p w14:paraId="304A46C4" w14:textId="25C984D5" w:rsidR="59AE6312" w:rsidRDefault="0A709CED" w:rsidP="1EC678D9">
      <w:pPr>
        <w:pStyle w:val="ListParagraph"/>
        <w:numPr>
          <w:ilvl w:val="0"/>
          <w:numId w:val="1"/>
        </w:numPr>
        <w:rPr>
          <w:rFonts w:ascii="Arial" w:eastAsia="Arial" w:hAnsi="Arial" w:cs="Arial"/>
        </w:rPr>
      </w:pPr>
      <w:r w:rsidRPr="0E260372">
        <w:rPr>
          <w:rFonts w:ascii="Arial" w:eastAsia="Arial" w:hAnsi="Arial" w:cs="Arial"/>
        </w:rPr>
        <w:t>Capraro, V. et al. (2024) ‘</w:t>
      </w:r>
      <w:r w:rsidRPr="00333329">
        <w:rPr>
          <w:rFonts w:ascii="Arial" w:eastAsia="Arial" w:hAnsi="Arial" w:cs="Arial"/>
          <w:i/>
          <w:iCs/>
        </w:rPr>
        <w:t>The impact of generative artificial intelligence on socioeconomic inequalities and policy making’</w:t>
      </w:r>
      <w:r w:rsidRPr="0E260372">
        <w:rPr>
          <w:rFonts w:ascii="Arial" w:eastAsia="Arial" w:hAnsi="Arial" w:cs="Arial"/>
        </w:rPr>
        <w:t xml:space="preserve">, PNAS nexus, 3(6), p. pgae191. Available at: </w:t>
      </w:r>
      <w:hyperlink r:id="rId25">
        <w:r w:rsidRPr="0E260372">
          <w:rPr>
            <w:rStyle w:val="Hyperlink"/>
            <w:rFonts w:ascii="Arial" w:eastAsia="Arial" w:hAnsi="Arial" w:cs="Arial"/>
          </w:rPr>
          <w:t>https://doi.org/10.1093/pnasnexus/pgae191</w:t>
        </w:r>
      </w:hyperlink>
      <w:r w:rsidRPr="0E260372">
        <w:rPr>
          <w:rFonts w:ascii="Arial" w:eastAsia="Arial" w:hAnsi="Arial" w:cs="Arial"/>
        </w:rPr>
        <w:t>.</w:t>
      </w:r>
    </w:p>
    <w:p w14:paraId="3E44D1C3" w14:textId="3E2A1981" w:rsidR="1EC678D9" w:rsidRDefault="1EC678D9" w:rsidP="0E260372">
      <w:pPr>
        <w:pStyle w:val="ListParagraph"/>
        <w:ind w:left="720"/>
        <w:rPr>
          <w:rFonts w:ascii="Arial" w:eastAsia="Arial" w:hAnsi="Arial" w:cs="Arial"/>
        </w:rPr>
      </w:pPr>
    </w:p>
    <w:p w14:paraId="13794377" w14:textId="3922A9EC" w:rsidR="1EC678D9" w:rsidRDefault="342D40AB" w:rsidP="0E260372">
      <w:pPr>
        <w:pStyle w:val="ListParagraph"/>
        <w:numPr>
          <w:ilvl w:val="0"/>
          <w:numId w:val="1"/>
        </w:numPr>
        <w:rPr>
          <w:rFonts w:ascii="Arial" w:eastAsia="Arial" w:hAnsi="Arial" w:cs="Arial"/>
        </w:rPr>
      </w:pPr>
      <w:proofErr w:type="spellStart"/>
      <w:r w:rsidRPr="0E260372">
        <w:rPr>
          <w:rFonts w:ascii="Arial" w:eastAsia="Arial" w:hAnsi="Arial" w:cs="Arial"/>
        </w:rPr>
        <w:t>Camenga</w:t>
      </w:r>
      <w:proofErr w:type="spellEnd"/>
      <w:r w:rsidRPr="0E260372">
        <w:rPr>
          <w:rFonts w:ascii="Arial" w:eastAsia="Arial" w:hAnsi="Arial" w:cs="Arial"/>
        </w:rPr>
        <w:t>, D.R. and Hammer, L.D. (2022) ‘</w:t>
      </w:r>
      <w:r w:rsidRPr="00333329">
        <w:rPr>
          <w:rFonts w:ascii="Arial" w:eastAsia="Arial" w:hAnsi="Arial" w:cs="Arial"/>
          <w:i/>
          <w:iCs/>
        </w:rPr>
        <w:t>Improving Substance Use Prevention, Assessment, and Treatment Financing to Enhance Equity and Improve Outcomes Among Children, Adolescents, and Young Adults’</w:t>
      </w:r>
      <w:r w:rsidRPr="0E260372">
        <w:rPr>
          <w:rFonts w:ascii="Arial" w:eastAsia="Arial" w:hAnsi="Arial" w:cs="Arial"/>
        </w:rPr>
        <w:t xml:space="preserve">, </w:t>
      </w:r>
      <w:proofErr w:type="spellStart"/>
      <w:r w:rsidRPr="0E260372">
        <w:rPr>
          <w:rFonts w:ascii="Arial" w:eastAsia="Arial" w:hAnsi="Arial" w:cs="Arial"/>
          <w:i/>
          <w:iCs/>
        </w:rPr>
        <w:t>Pediatrics</w:t>
      </w:r>
      <w:proofErr w:type="spellEnd"/>
      <w:r w:rsidRPr="0E260372">
        <w:rPr>
          <w:rFonts w:ascii="Arial" w:eastAsia="Arial" w:hAnsi="Arial" w:cs="Arial"/>
        </w:rPr>
        <w:t xml:space="preserve">, 150(1). Available at: </w:t>
      </w:r>
      <w:hyperlink r:id="rId26">
        <w:r w:rsidRPr="0E260372">
          <w:rPr>
            <w:rStyle w:val="Hyperlink"/>
            <w:rFonts w:ascii="Arial" w:eastAsia="Arial" w:hAnsi="Arial" w:cs="Arial"/>
          </w:rPr>
          <w:t>https://doi.org/10.1542/peds.2022-057992</w:t>
        </w:r>
      </w:hyperlink>
      <w:r w:rsidRPr="0E260372">
        <w:rPr>
          <w:rFonts w:ascii="Arial" w:eastAsia="Arial" w:hAnsi="Arial" w:cs="Arial"/>
        </w:rPr>
        <w:t>.</w:t>
      </w:r>
    </w:p>
    <w:p w14:paraId="00D28658" w14:textId="1B26B913" w:rsidR="1EC678D9" w:rsidRDefault="1EC678D9" w:rsidP="0E260372">
      <w:pPr>
        <w:ind w:left="720"/>
        <w:rPr>
          <w:rFonts w:ascii="Arial" w:eastAsia="Arial" w:hAnsi="Arial" w:cs="Arial"/>
        </w:rPr>
      </w:pPr>
    </w:p>
    <w:p w14:paraId="0DF0A28C" w14:textId="666415CC" w:rsidR="0559B97C" w:rsidRDefault="6CC7BD1F"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Dunne, T., Bishop, L., Avery, S. and Darcy, S. (2017). </w:t>
      </w:r>
      <w:r w:rsidRPr="00333329">
        <w:rPr>
          <w:rFonts w:ascii="Arial" w:eastAsia="Arial" w:hAnsi="Arial" w:cs="Arial"/>
          <w:i/>
          <w:iCs/>
        </w:rPr>
        <w:t>A Review of Effective Youth Engagement Strategies for Mental Health and Substance Use Interventions</w:t>
      </w:r>
      <w:r w:rsidRPr="1EC678D9">
        <w:rPr>
          <w:rFonts w:ascii="Arial" w:eastAsia="Arial" w:hAnsi="Arial" w:cs="Arial"/>
        </w:rPr>
        <w:t xml:space="preserve">. Journal of Adolescent Health, 60(5), pp.487–512.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://doi.org/10.1016/j.jadohealth.2016.11.019</w:t>
      </w:r>
      <w:proofErr w:type="gramEnd"/>
      <w:r w:rsidRPr="1EC678D9">
        <w:rPr>
          <w:rFonts w:ascii="Arial" w:eastAsia="Arial" w:hAnsi="Arial" w:cs="Arial"/>
        </w:rPr>
        <w:t>.</w:t>
      </w:r>
    </w:p>
    <w:p w14:paraId="5C5B0B8B" w14:textId="42CC12B5" w:rsidR="59AE6312" w:rsidRDefault="59AE6312" w:rsidP="1EC678D9">
      <w:pPr>
        <w:rPr>
          <w:rFonts w:ascii="Arial" w:eastAsia="Arial" w:hAnsi="Arial" w:cs="Arial"/>
        </w:rPr>
      </w:pPr>
    </w:p>
    <w:p w14:paraId="56A94A1D" w14:textId="5F422610" w:rsidR="59AE6312" w:rsidRDefault="42F68E0C"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Degenhardt, L., Stockings, E., Patton, G., Hall, W.D. and Lynskey, M. (2016</w:t>
      </w:r>
      <w:r w:rsidRPr="00AB721F">
        <w:rPr>
          <w:rFonts w:ascii="Arial" w:eastAsia="Arial" w:hAnsi="Arial" w:cs="Arial"/>
          <w:i/>
          <w:iCs/>
        </w:rPr>
        <w:t xml:space="preserve">). The increasing global health priority of substance </w:t>
      </w:r>
      <w:proofErr w:type="gramStart"/>
      <w:r w:rsidRPr="00AB721F">
        <w:rPr>
          <w:rFonts w:ascii="Arial" w:eastAsia="Arial" w:hAnsi="Arial" w:cs="Arial"/>
          <w:i/>
          <w:iCs/>
        </w:rPr>
        <w:t>use</w:t>
      </w:r>
      <w:proofErr w:type="gramEnd"/>
      <w:r w:rsidRPr="00AB721F">
        <w:rPr>
          <w:rFonts w:ascii="Arial" w:eastAsia="Arial" w:hAnsi="Arial" w:cs="Arial"/>
          <w:i/>
          <w:iCs/>
        </w:rPr>
        <w:t xml:space="preserve"> in young people</w:t>
      </w:r>
      <w:r w:rsidRPr="06329E2C">
        <w:rPr>
          <w:rFonts w:ascii="Arial" w:eastAsia="Arial" w:hAnsi="Arial" w:cs="Arial"/>
        </w:rPr>
        <w:t xml:space="preserve">. The Lancet Psychiatry, 3(3), pp.251–264.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://doi.org/10.1016/s2215-0366(15)00508-8</w:t>
      </w:r>
      <w:proofErr w:type="gramEnd"/>
      <w:r w:rsidRPr="06329E2C">
        <w:rPr>
          <w:rFonts w:ascii="Arial" w:eastAsia="Arial" w:hAnsi="Arial" w:cs="Arial"/>
        </w:rPr>
        <w:t>.</w:t>
      </w:r>
    </w:p>
    <w:p w14:paraId="17DA5E45" w14:textId="695E8597" w:rsidR="06329E2C" w:rsidRDefault="06329E2C" w:rsidP="06329E2C">
      <w:pPr>
        <w:pStyle w:val="ListParagraph"/>
        <w:ind w:left="720"/>
        <w:rPr>
          <w:rFonts w:ascii="Arial" w:eastAsia="Arial" w:hAnsi="Arial" w:cs="Arial"/>
          <w:color w:val="000000" w:themeColor="text1"/>
        </w:rPr>
      </w:pPr>
    </w:p>
    <w:p w14:paraId="02D815A1" w14:textId="2EFFF8F7" w:rsidR="59AE6312" w:rsidRDefault="00F054D4" w:rsidP="0E260372">
      <w:pPr>
        <w:pStyle w:val="ListParagraph"/>
        <w:numPr>
          <w:ilvl w:val="0"/>
          <w:numId w:val="1"/>
        </w:numPr>
        <w:rPr>
          <w:rFonts w:ascii="Arial" w:eastAsia="Arial" w:hAnsi="Arial" w:cs="Arial"/>
          <w:color w:val="000000" w:themeColor="text1"/>
        </w:rPr>
      </w:pPr>
      <w:r w:rsidRPr="0E260372">
        <w:rPr>
          <w:rFonts w:ascii="Arial" w:eastAsia="Arial" w:hAnsi="Arial" w:cs="Arial"/>
        </w:rPr>
        <w:t xml:space="preserve">Das, J.K., Salam, R.A., Arshad, A., Finkelstein, Y. and Bhutta, Z.A. (2019). </w:t>
      </w:r>
      <w:r w:rsidRPr="00AB721F">
        <w:rPr>
          <w:rFonts w:ascii="Arial" w:eastAsia="Arial" w:hAnsi="Arial" w:cs="Arial"/>
          <w:i/>
          <w:iCs/>
        </w:rPr>
        <w:t>Interventions for Adolescent Substance Abuse</w:t>
      </w:r>
      <w:r w:rsidRPr="0E260372">
        <w:rPr>
          <w:rFonts w:ascii="Arial" w:eastAsia="Arial" w:hAnsi="Arial" w:cs="Arial"/>
        </w:rPr>
        <w:t xml:space="preserve">: An Overview of Systematic Reviews. Journal of Adolescent Health, 59(4), </w:t>
      </w:r>
      <w:proofErr w:type="gramStart"/>
      <w:r w:rsidRPr="0E260372">
        <w:rPr>
          <w:rFonts w:ascii="Arial" w:eastAsia="Arial" w:hAnsi="Arial" w:cs="Arial"/>
        </w:rPr>
        <w:t>pp.S</w:t>
      </w:r>
      <w:proofErr w:type="gramEnd"/>
      <w:r w:rsidRPr="0E260372">
        <w:rPr>
          <w:rFonts w:ascii="Arial" w:eastAsia="Arial" w:hAnsi="Arial" w:cs="Arial"/>
        </w:rPr>
        <w:t xml:space="preserve">61–S75. </w:t>
      </w:r>
      <w:proofErr w:type="spellStart"/>
      <w:proofErr w:type="gramStart"/>
      <w:r w:rsidRPr="0E260372">
        <w:rPr>
          <w:rFonts w:ascii="Arial" w:eastAsia="Arial" w:hAnsi="Arial" w:cs="Arial"/>
        </w:rPr>
        <w:t>doi:https</w:t>
      </w:r>
      <w:proofErr w:type="spellEnd"/>
      <w:r w:rsidRPr="0E260372">
        <w:rPr>
          <w:rFonts w:ascii="Arial" w:eastAsia="Arial" w:hAnsi="Arial" w:cs="Arial"/>
        </w:rPr>
        <w:t>://doi.org/10.1016/j.jadohealth.2016.06.021</w:t>
      </w:r>
      <w:proofErr w:type="gramEnd"/>
      <w:r w:rsidRPr="0E260372">
        <w:rPr>
          <w:rFonts w:ascii="Arial" w:eastAsia="Arial" w:hAnsi="Arial" w:cs="Arial"/>
        </w:rPr>
        <w:t>.</w:t>
      </w:r>
    </w:p>
    <w:p w14:paraId="42442B36" w14:textId="474736A4" w:rsidR="0E260372" w:rsidRDefault="0E260372" w:rsidP="0E260372">
      <w:pPr>
        <w:pStyle w:val="ListParagraph"/>
        <w:ind w:left="720"/>
        <w:rPr>
          <w:rFonts w:ascii="Arial" w:eastAsia="Arial" w:hAnsi="Arial" w:cs="Arial"/>
          <w:color w:val="000000" w:themeColor="text1"/>
        </w:rPr>
      </w:pPr>
    </w:p>
    <w:p w14:paraId="3A4E2ABB" w14:textId="33343154" w:rsidR="43542B72" w:rsidRDefault="43542B72"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Department for Education (2025). </w:t>
      </w:r>
      <w:r w:rsidRPr="0E260372">
        <w:rPr>
          <w:rFonts w:ascii="Arial" w:eastAsia="Arial" w:hAnsi="Arial" w:cs="Arial"/>
          <w:i/>
          <w:iCs/>
          <w:color w:val="000000" w:themeColor="text1"/>
        </w:rPr>
        <w:t>Working Together to Safeguard Children</w:t>
      </w:r>
      <w:r w:rsidRPr="0E260372">
        <w:rPr>
          <w:rFonts w:ascii="Arial" w:eastAsia="Arial" w:hAnsi="Arial" w:cs="Arial"/>
          <w:color w:val="000000" w:themeColor="text1"/>
        </w:rPr>
        <w:t xml:space="preserve">.  GOV.UK. Available at: </w:t>
      </w:r>
      <w:hyperlink r:id="rId27">
        <w:r w:rsidRPr="0E260372">
          <w:rPr>
            <w:rStyle w:val="Hyperlink"/>
            <w:rFonts w:ascii="Arial" w:eastAsia="Arial" w:hAnsi="Arial" w:cs="Arial"/>
          </w:rPr>
          <w:t>https://www.gov.uk/government/publications/working-together-to-safeguard-children--2</w:t>
        </w:r>
      </w:hyperlink>
      <w:r w:rsidRPr="0E260372">
        <w:rPr>
          <w:rFonts w:ascii="Arial" w:eastAsia="Arial" w:hAnsi="Arial" w:cs="Arial"/>
          <w:color w:val="000000" w:themeColor="text1"/>
        </w:rPr>
        <w:t>. (Accessed: 11 Nov</w:t>
      </w:r>
      <w:r w:rsidR="00AB721F">
        <w:rPr>
          <w:rFonts w:ascii="Arial" w:eastAsia="Arial" w:hAnsi="Arial" w:cs="Arial"/>
          <w:color w:val="000000" w:themeColor="text1"/>
        </w:rPr>
        <w:t>ember</w:t>
      </w:r>
      <w:r w:rsidRPr="0E260372">
        <w:rPr>
          <w:rFonts w:ascii="Arial" w:eastAsia="Arial" w:hAnsi="Arial" w:cs="Arial"/>
          <w:color w:val="000000" w:themeColor="text1"/>
        </w:rPr>
        <w:t xml:space="preserve"> 2025).</w:t>
      </w:r>
    </w:p>
    <w:p w14:paraId="6CF63C5A" w14:textId="52681C63" w:rsidR="59AE6312" w:rsidRDefault="59AE6312" w:rsidP="06329E2C">
      <w:pPr>
        <w:pStyle w:val="ListParagraph"/>
        <w:ind w:left="360" w:firstLine="0"/>
        <w:rPr>
          <w:rFonts w:ascii="Arial" w:eastAsia="Arial" w:hAnsi="Arial" w:cs="Arial"/>
        </w:rPr>
      </w:pPr>
    </w:p>
    <w:p w14:paraId="7076B41F" w14:textId="4E6135BC" w:rsidR="59AE6312" w:rsidRDefault="59AE6312" w:rsidP="1EC678D9">
      <w:pPr>
        <w:rPr>
          <w:rFonts w:ascii="Arial" w:eastAsia="Arial" w:hAnsi="Arial" w:cs="Arial"/>
        </w:rPr>
      </w:pPr>
    </w:p>
    <w:p w14:paraId="2DED36BB" w14:textId="3E520B09" w:rsidR="42F68E0C" w:rsidRDefault="42F68E0C"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Flacks, S.J. (2018). </w:t>
      </w:r>
      <w:r w:rsidRPr="00AB721F">
        <w:rPr>
          <w:rFonts w:ascii="Arial" w:eastAsia="Arial" w:hAnsi="Arial" w:cs="Arial"/>
          <w:i/>
          <w:iCs/>
        </w:rPr>
        <w:t>Drug law reform, performativity and the politics of childhood</w:t>
      </w:r>
      <w:r w:rsidRPr="1EC678D9">
        <w:rPr>
          <w:rFonts w:ascii="Arial" w:eastAsia="Arial" w:hAnsi="Arial" w:cs="Arial"/>
        </w:rPr>
        <w:t xml:space="preserve">. International Journal of Drug Policy, 51, pp.56–66.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://doi.org/10.1016/j.drugpo.2017.10.003</w:t>
      </w:r>
      <w:proofErr w:type="gramEnd"/>
      <w:r w:rsidRPr="1EC678D9">
        <w:rPr>
          <w:rFonts w:ascii="Arial" w:eastAsia="Arial" w:hAnsi="Arial" w:cs="Arial"/>
        </w:rPr>
        <w:t>.</w:t>
      </w:r>
    </w:p>
    <w:p w14:paraId="4D139E2B" w14:textId="0A8CE42E" w:rsidR="59AE6312" w:rsidRDefault="59AE6312" w:rsidP="1EC678D9">
      <w:pPr>
        <w:rPr>
          <w:rFonts w:ascii="Arial" w:eastAsia="Arial" w:hAnsi="Arial" w:cs="Arial"/>
        </w:rPr>
      </w:pPr>
    </w:p>
    <w:p w14:paraId="66B6D051" w14:textId="1D8DBB5A" w:rsidR="5C95741F" w:rsidRDefault="5C95741F" w:rsidP="1EC678D9">
      <w:pPr>
        <w:rPr>
          <w:rFonts w:ascii="Arial" w:eastAsia="Arial" w:hAnsi="Arial" w:cs="Arial"/>
        </w:rPr>
      </w:pPr>
    </w:p>
    <w:p w14:paraId="0A50ABF6" w14:textId="4CE51283" w:rsidR="6CAB2A73" w:rsidRDefault="6CAB2A73" w:rsidP="1EC678D9">
      <w:pPr>
        <w:pStyle w:val="ListParagraph"/>
        <w:numPr>
          <w:ilvl w:val="0"/>
          <w:numId w:val="1"/>
        </w:numPr>
        <w:rPr>
          <w:rFonts w:ascii="Arial" w:eastAsia="Arial" w:hAnsi="Arial" w:cs="Arial"/>
        </w:rPr>
      </w:pPr>
      <w:r w:rsidRPr="1EC678D9">
        <w:rPr>
          <w:rFonts w:ascii="Arial" w:eastAsia="Arial" w:hAnsi="Arial" w:cs="Arial"/>
        </w:rPr>
        <w:t xml:space="preserve">Flacks, S. (2019) </w:t>
      </w:r>
      <w:r w:rsidRPr="00AB721F">
        <w:rPr>
          <w:rFonts w:ascii="Arial" w:eastAsia="Arial" w:hAnsi="Arial" w:cs="Arial"/>
          <w:i/>
          <w:iCs/>
        </w:rPr>
        <w:t xml:space="preserve">‘Making drug harms: Punishments for drugs offenders who pose risks to children’, </w:t>
      </w:r>
      <w:r w:rsidRPr="1EC678D9">
        <w:rPr>
          <w:rFonts w:ascii="Arial" w:eastAsia="Arial" w:hAnsi="Arial" w:cs="Arial"/>
        </w:rPr>
        <w:t xml:space="preserve">European journal of criminology, 16(6), pp. 652–670. Available at: </w:t>
      </w:r>
      <w:hyperlink r:id="rId28">
        <w:r w:rsidRPr="1EC678D9">
          <w:rPr>
            <w:rStyle w:val="Hyperlink"/>
            <w:rFonts w:ascii="Arial" w:eastAsia="Arial" w:hAnsi="Arial" w:cs="Arial"/>
          </w:rPr>
          <w:t>https://doi.org/10.1177/1477370818775291</w:t>
        </w:r>
      </w:hyperlink>
      <w:r w:rsidRPr="1EC678D9">
        <w:rPr>
          <w:rFonts w:ascii="Arial" w:eastAsia="Arial" w:hAnsi="Arial" w:cs="Arial"/>
        </w:rPr>
        <w:t>.</w:t>
      </w:r>
    </w:p>
    <w:p w14:paraId="0AB3ED1D" w14:textId="5D0FB5BB" w:rsidR="5C95741F" w:rsidRDefault="5C95741F" w:rsidP="1EC678D9">
      <w:pPr>
        <w:rPr>
          <w:rFonts w:ascii="Arial" w:eastAsia="Arial" w:hAnsi="Arial" w:cs="Arial"/>
        </w:rPr>
      </w:pPr>
    </w:p>
    <w:p w14:paraId="477B4C58" w14:textId="3A221684" w:rsidR="69E97986" w:rsidRDefault="69E97986" w:rsidP="1EC678D9">
      <w:pPr>
        <w:pStyle w:val="ListParagraph"/>
        <w:numPr>
          <w:ilvl w:val="0"/>
          <w:numId w:val="1"/>
        </w:numPr>
        <w:rPr>
          <w:rFonts w:ascii="Arial" w:eastAsia="Arial" w:hAnsi="Arial" w:cs="Arial"/>
        </w:rPr>
      </w:pPr>
      <w:r w:rsidRPr="1EC678D9">
        <w:rPr>
          <w:rFonts w:ascii="Arial" w:eastAsia="Arial" w:hAnsi="Arial" w:cs="Arial"/>
        </w:rPr>
        <w:t>Flemming, K. et al. (2018) ‘</w:t>
      </w:r>
      <w:r w:rsidRPr="00AB721F">
        <w:rPr>
          <w:rFonts w:ascii="Arial" w:eastAsia="Arial" w:hAnsi="Arial" w:cs="Arial"/>
          <w:i/>
          <w:iCs/>
        </w:rPr>
        <w:t>Cochrane Qualitative and Implementation Methods Group guidance series—paper 6: reporting guidelines for qualitative, implementation, and process evaluation evidence syntheses’</w:t>
      </w:r>
      <w:r w:rsidRPr="1EC678D9">
        <w:rPr>
          <w:rFonts w:ascii="Arial" w:eastAsia="Arial" w:hAnsi="Arial" w:cs="Arial"/>
        </w:rPr>
        <w:t xml:space="preserve">, Journal of clinical epidemiology, 97, pp. 79–85. Available at: </w:t>
      </w:r>
      <w:hyperlink r:id="rId29">
        <w:r w:rsidRPr="1EC678D9">
          <w:rPr>
            <w:rStyle w:val="Hyperlink"/>
            <w:rFonts w:ascii="Arial" w:eastAsia="Arial" w:hAnsi="Arial" w:cs="Arial"/>
          </w:rPr>
          <w:t>https://doi.org/10.1016/j.jclinepi.2017.10.022</w:t>
        </w:r>
      </w:hyperlink>
      <w:r w:rsidRPr="1EC678D9">
        <w:rPr>
          <w:rFonts w:ascii="Arial" w:eastAsia="Arial" w:hAnsi="Arial" w:cs="Arial"/>
        </w:rPr>
        <w:t>.</w:t>
      </w:r>
    </w:p>
    <w:p w14:paraId="5CEDE861" w14:textId="662EFAA1" w:rsidR="1EC678D9" w:rsidRDefault="1EC678D9" w:rsidP="1EC678D9">
      <w:pPr>
        <w:rPr>
          <w:rFonts w:ascii="Arial" w:eastAsia="Arial" w:hAnsi="Arial" w:cs="Arial"/>
        </w:rPr>
      </w:pPr>
    </w:p>
    <w:p w14:paraId="51B6D5E4" w14:textId="36BF8349" w:rsidR="53F5A3B6" w:rsidRDefault="53F5A3B6" w:rsidP="1EC678D9">
      <w:pPr>
        <w:pStyle w:val="ListParagraph"/>
        <w:numPr>
          <w:ilvl w:val="0"/>
          <w:numId w:val="1"/>
        </w:numPr>
        <w:rPr>
          <w:rFonts w:ascii="Arial" w:eastAsia="Arial" w:hAnsi="Arial" w:cs="Arial"/>
        </w:rPr>
      </w:pPr>
      <w:r w:rsidRPr="06329E2C">
        <w:rPr>
          <w:rFonts w:ascii="Arial" w:eastAsia="Arial" w:hAnsi="Arial" w:cs="Arial"/>
        </w:rPr>
        <w:t>Guise, A. et al. (2017) ‘</w:t>
      </w:r>
      <w:r w:rsidRPr="00742922">
        <w:rPr>
          <w:rFonts w:ascii="Arial" w:eastAsia="Arial" w:hAnsi="Arial" w:cs="Arial"/>
          <w:i/>
          <w:iCs/>
        </w:rPr>
        <w:t>The experience of initiating injection drug use and its social context: a qualitative systematic review and thematic synthesis’,</w:t>
      </w:r>
      <w:r w:rsidRPr="06329E2C">
        <w:rPr>
          <w:rFonts w:ascii="Arial" w:eastAsia="Arial" w:hAnsi="Arial" w:cs="Arial"/>
        </w:rPr>
        <w:t xml:space="preserve"> Addiction (Abingdon, England), 112(12), pp. 2098–2111. Available at: </w:t>
      </w:r>
      <w:hyperlink r:id="rId30">
        <w:r w:rsidRPr="06329E2C">
          <w:rPr>
            <w:rStyle w:val="Hyperlink"/>
            <w:rFonts w:ascii="Arial" w:eastAsia="Arial" w:hAnsi="Arial" w:cs="Arial"/>
          </w:rPr>
          <w:t>https://doi.org/10.1111/add.13957</w:t>
        </w:r>
      </w:hyperlink>
      <w:r w:rsidRPr="06329E2C">
        <w:rPr>
          <w:rFonts w:ascii="Arial" w:eastAsia="Arial" w:hAnsi="Arial" w:cs="Arial"/>
        </w:rPr>
        <w:t>.</w:t>
      </w:r>
    </w:p>
    <w:p w14:paraId="4DAEBD0A" w14:textId="58938820" w:rsidR="5C95741F" w:rsidRDefault="5C95741F" w:rsidP="06329E2C">
      <w:pPr>
        <w:pStyle w:val="ListParagraph"/>
        <w:ind w:left="720"/>
        <w:rPr>
          <w:rFonts w:ascii="Arial" w:eastAsia="Arial" w:hAnsi="Arial" w:cs="Arial"/>
        </w:rPr>
      </w:pPr>
    </w:p>
    <w:p w14:paraId="657A1AE5" w14:textId="18D8B541" w:rsidR="5C95741F" w:rsidRDefault="500ACC3D" w:rsidP="06329E2C">
      <w:pPr>
        <w:pStyle w:val="ListParagraph"/>
        <w:numPr>
          <w:ilvl w:val="0"/>
          <w:numId w:val="1"/>
        </w:numPr>
        <w:rPr>
          <w:rFonts w:ascii="Arial" w:eastAsia="Arial" w:hAnsi="Arial" w:cs="Arial"/>
        </w:rPr>
      </w:pPr>
      <w:r w:rsidRPr="06329E2C">
        <w:rPr>
          <w:rFonts w:ascii="Arial" w:eastAsia="Arial" w:hAnsi="Arial" w:cs="Arial"/>
        </w:rPr>
        <w:t xml:space="preserve">Gleeson, H., Duke, K. and Thom, B. (2019) </w:t>
      </w:r>
      <w:r w:rsidRPr="00742922">
        <w:rPr>
          <w:rFonts w:ascii="Arial" w:eastAsia="Arial" w:hAnsi="Arial" w:cs="Arial"/>
          <w:i/>
          <w:iCs/>
        </w:rPr>
        <w:t>‘Challenges to providing culturally sensitive drug interventions for black and Asian minority ethnic (BAME) groups within UK youth justice systems’</w:t>
      </w:r>
      <w:r w:rsidRPr="06329E2C">
        <w:rPr>
          <w:rFonts w:ascii="Arial" w:eastAsia="Arial" w:hAnsi="Arial" w:cs="Arial"/>
        </w:rPr>
        <w:t xml:space="preserve">, </w:t>
      </w:r>
      <w:r w:rsidRPr="06329E2C">
        <w:rPr>
          <w:rFonts w:ascii="Arial" w:eastAsia="Arial" w:hAnsi="Arial" w:cs="Arial"/>
          <w:i/>
          <w:iCs/>
        </w:rPr>
        <w:t>Drugs and alcohol today.</w:t>
      </w:r>
      <w:r w:rsidRPr="06329E2C">
        <w:rPr>
          <w:rFonts w:ascii="Arial" w:eastAsia="Arial" w:hAnsi="Arial" w:cs="Arial"/>
        </w:rPr>
        <w:t xml:space="preserve">, 19(3), pp. 172–181. Available at: </w:t>
      </w:r>
      <w:hyperlink r:id="rId31">
        <w:r w:rsidRPr="06329E2C">
          <w:rPr>
            <w:rStyle w:val="Hyperlink"/>
            <w:rFonts w:ascii="Arial" w:eastAsia="Arial" w:hAnsi="Arial" w:cs="Arial"/>
          </w:rPr>
          <w:t>https://doi.org/10.1108/DAT-11-2018-0068</w:t>
        </w:r>
      </w:hyperlink>
      <w:r w:rsidRPr="06329E2C">
        <w:rPr>
          <w:rFonts w:ascii="Arial" w:eastAsia="Arial" w:hAnsi="Arial" w:cs="Arial"/>
        </w:rPr>
        <w:t>.</w:t>
      </w:r>
    </w:p>
    <w:p w14:paraId="2E2CD734" w14:textId="33C450F1" w:rsidR="5C95741F" w:rsidRDefault="5C95741F" w:rsidP="06329E2C">
      <w:pPr>
        <w:pStyle w:val="ListParagraph"/>
        <w:ind w:left="720"/>
        <w:rPr>
          <w:rFonts w:ascii="Arial" w:eastAsia="Arial" w:hAnsi="Arial" w:cs="Arial"/>
          <w:color w:val="000000" w:themeColor="text1"/>
        </w:rPr>
      </w:pPr>
    </w:p>
    <w:p w14:paraId="05164C34" w14:textId="09F5F383" w:rsidR="5C95741F" w:rsidRDefault="38013C4F"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GOV.UK (2021). </w:t>
      </w:r>
      <w:r w:rsidRPr="0E260372">
        <w:rPr>
          <w:rFonts w:ascii="Arial" w:eastAsia="Arial" w:hAnsi="Arial" w:cs="Arial"/>
          <w:i/>
          <w:iCs/>
          <w:color w:val="000000" w:themeColor="text1"/>
        </w:rPr>
        <w:t>From Harm to hope: a 10-year Drugs Plan to Cut Crime and save Lives</w:t>
      </w:r>
      <w:r w:rsidRPr="0E260372">
        <w:rPr>
          <w:rFonts w:ascii="Arial" w:eastAsia="Arial" w:hAnsi="Arial" w:cs="Arial"/>
          <w:color w:val="000000" w:themeColor="text1"/>
        </w:rPr>
        <w:t xml:space="preserve">. GOV.UK. Available at: </w:t>
      </w:r>
      <w:hyperlink r:id="rId32">
        <w:r w:rsidRPr="0E260372">
          <w:rPr>
            <w:rStyle w:val="Hyperlink"/>
            <w:rFonts w:ascii="Arial" w:eastAsia="Arial" w:hAnsi="Arial" w:cs="Arial"/>
          </w:rPr>
          <w:t>https://www.gov.uk/government/publications/from-harm-to-hope-a-10-year-drugs-plan-to-cut-crime-and-save-lives</w:t>
        </w:r>
      </w:hyperlink>
      <w:r w:rsidRPr="0E260372">
        <w:rPr>
          <w:rFonts w:ascii="Arial" w:eastAsia="Arial" w:hAnsi="Arial" w:cs="Arial"/>
          <w:color w:val="000000" w:themeColor="text1"/>
        </w:rPr>
        <w:t xml:space="preserve">. (Accessed: 10 </w:t>
      </w:r>
      <w:r w:rsidR="290F96D7" w:rsidRPr="0E260372">
        <w:rPr>
          <w:rFonts w:ascii="Arial" w:eastAsia="Arial" w:hAnsi="Arial" w:cs="Arial"/>
          <w:color w:val="000000" w:themeColor="text1"/>
        </w:rPr>
        <w:t>N</w:t>
      </w:r>
      <w:r w:rsidRPr="0E260372">
        <w:rPr>
          <w:rFonts w:ascii="Arial" w:eastAsia="Arial" w:hAnsi="Arial" w:cs="Arial"/>
          <w:color w:val="000000" w:themeColor="text1"/>
        </w:rPr>
        <w:t>ov</w:t>
      </w:r>
      <w:r w:rsidR="00742922">
        <w:rPr>
          <w:rFonts w:ascii="Arial" w:eastAsia="Arial" w:hAnsi="Arial" w:cs="Arial"/>
          <w:color w:val="000000" w:themeColor="text1"/>
        </w:rPr>
        <w:t>ember</w:t>
      </w:r>
      <w:r w:rsidRPr="0E260372">
        <w:rPr>
          <w:rFonts w:ascii="Arial" w:eastAsia="Arial" w:hAnsi="Arial" w:cs="Arial"/>
          <w:color w:val="000000" w:themeColor="text1"/>
        </w:rPr>
        <w:t xml:space="preserve"> 2025</w:t>
      </w:r>
      <w:r w:rsidR="50DD4355" w:rsidRPr="0E260372">
        <w:rPr>
          <w:rFonts w:ascii="Arial" w:eastAsia="Arial" w:hAnsi="Arial" w:cs="Arial"/>
          <w:color w:val="000000" w:themeColor="text1"/>
        </w:rPr>
        <w:t>)</w:t>
      </w:r>
      <w:r w:rsidR="28D5EF00" w:rsidRPr="0E260372">
        <w:rPr>
          <w:rFonts w:ascii="Arial" w:eastAsia="Arial" w:hAnsi="Arial" w:cs="Arial"/>
          <w:color w:val="000000" w:themeColor="text1"/>
        </w:rPr>
        <w:t>.</w:t>
      </w:r>
    </w:p>
    <w:p w14:paraId="6C634CFC" w14:textId="5FBB30B0" w:rsidR="5C95741F" w:rsidRDefault="5C95741F" w:rsidP="0E260372">
      <w:pPr>
        <w:pStyle w:val="ListParagraph"/>
        <w:spacing w:before="240" w:after="240"/>
        <w:ind w:left="720"/>
        <w:rPr>
          <w:rFonts w:ascii="Arial" w:eastAsia="Arial" w:hAnsi="Arial" w:cs="Arial"/>
          <w:color w:val="000000" w:themeColor="text1"/>
        </w:rPr>
      </w:pPr>
    </w:p>
    <w:p w14:paraId="04B1782B" w14:textId="724176E8" w:rsidR="5C95741F" w:rsidRDefault="31965DB9" w:rsidP="0E260372">
      <w:pPr>
        <w:pStyle w:val="ListParagraph"/>
        <w:numPr>
          <w:ilvl w:val="0"/>
          <w:numId w:val="1"/>
        </w:numPr>
        <w:spacing w:before="240" w:after="240"/>
        <w:rPr>
          <w:rFonts w:ascii="Arial" w:eastAsia="Arial" w:hAnsi="Arial" w:cs="Arial"/>
        </w:rPr>
      </w:pPr>
      <w:r w:rsidRPr="0E260372">
        <w:rPr>
          <w:rFonts w:ascii="Arial" w:eastAsia="Arial" w:hAnsi="Arial" w:cs="Arial"/>
        </w:rPr>
        <w:t xml:space="preserve">Graham, A. </w:t>
      </w:r>
      <w:r w:rsidRPr="0E260372">
        <w:rPr>
          <w:rFonts w:ascii="Arial" w:eastAsia="Arial" w:hAnsi="Arial" w:cs="Arial"/>
          <w:i/>
          <w:iCs/>
        </w:rPr>
        <w:t>et al.</w:t>
      </w:r>
      <w:r w:rsidRPr="0E260372">
        <w:rPr>
          <w:rFonts w:ascii="Arial" w:eastAsia="Arial" w:hAnsi="Arial" w:cs="Arial"/>
        </w:rPr>
        <w:t xml:space="preserve"> (2021) ‘</w:t>
      </w:r>
      <w:r w:rsidRPr="00742922">
        <w:rPr>
          <w:rFonts w:ascii="Arial" w:eastAsia="Arial" w:hAnsi="Arial" w:cs="Arial"/>
          <w:i/>
          <w:iCs/>
        </w:rPr>
        <w:t>Disadvantaged families’ experiences of home-school partnerships: navigating agency, expectations and stigma’</w:t>
      </w:r>
      <w:r w:rsidRPr="0E260372">
        <w:rPr>
          <w:rFonts w:ascii="Arial" w:eastAsia="Arial" w:hAnsi="Arial" w:cs="Arial"/>
        </w:rPr>
        <w:t xml:space="preserve">, </w:t>
      </w:r>
      <w:r w:rsidRPr="0E260372">
        <w:rPr>
          <w:rFonts w:ascii="Arial" w:eastAsia="Arial" w:hAnsi="Arial" w:cs="Arial"/>
          <w:i/>
          <w:iCs/>
        </w:rPr>
        <w:t>International journal of inclusive education</w:t>
      </w:r>
      <w:r w:rsidRPr="0E260372">
        <w:rPr>
          <w:rFonts w:ascii="Arial" w:eastAsia="Arial" w:hAnsi="Arial" w:cs="Arial"/>
        </w:rPr>
        <w:t xml:space="preserve">, 25(11), pp. 1236–1251. Available at: </w:t>
      </w:r>
      <w:hyperlink r:id="rId33">
        <w:r w:rsidRPr="0E260372">
          <w:rPr>
            <w:rStyle w:val="Hyperlink"/>
            <w:rFonts w:ascii="Arial" w:eastAsia="Arial" w:hAnsi="Arial" w:cs="Arial"/>
          </w:rPr>
          <w:t>https://doi.org/10.1080/13603116.2019.1607913</w:t>
        </w:r>
      </w:hyperlink>
      <w:r w:rsidRPr="0E260372">
        <w:rPr>
          <w:rFonts w:ascii="Arial" w:eastAsia="Arial" w:hAnsi="Arial" w:cs="Arial"/>
        </w:rPr>
        <w:t>.</w:t>
      </w:r>
    </w:p>
    <w:p w14:paraId="777062EE" w14:textId="265EB058" w:rsidR="5C95741F" w:rsidRDefault="5C95741F" w:rsidP="0E260372">
      <w:pPr>
        <w:spacing w:before="240" w:after="240"/>
        <w:ind w:left="720"/>
        <w:rPr>
          <w:rFonts w:ascii="Arial" w:eastAsia="Arial" w:hAnsi="Arial" w:cs="Arial"/>
          <w:color w:val="000000" w:themeColor="text1"/>
        </w:rPr>
      </w:pPr>
    </w:p>
    <w:p w14:paraId="4D039A09" w14:textId="21BD0CBE" w:rsidR="42F68E0C" w:rsidRPr="004E6ECF" w:rsidRDefault="42F68E0C"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Gakh, M., Coughenour, C., Assoumou, B.O. and Vanderstelt, M. (2019). </w:t>
      </w:r>
      <w:r w:rsidRPr="00742922">
        <w:rPr>
          <w:rFonts w:ascii="Arial" w:eastAsia="Arial" w:hAnsi="Arial" w:cs="Arial"/>
          <w:i/>
          <w:iCs/>
        </w:rPr>
        <w:t xml:space="preserve">The </w:t>
      </w:r>
      <w:r w:rsidRPr="0014466E">
        <w:rPr>
          <w:rFonts w:ascii="Arial" w:eastAsia="Arial" w:hAnsi="Arial" w:cs="Arial"/>
          <w:i/>
          <w:iCs/>
        </w:rPr>
        <w:t>Relationship between School Absenteeism and Substance Use: An Integrative Literature Review</w:t>
      </w:r>
      <w:r w:rsidRPr="06329E2C">
        <w:rPr>
          <w:rFonts w:ascii="Arial" w:eastAsia="Arial" w:hAnsi="Arial" w:cs="Arial"/>
        </w:rPr>
        <w:t xml:space="preserve">. Substance Use &amp; Misuse, 55(3), pp.1–12. </w:t>
      </w:r>
      <w:proofErr w:type="spellStart"/>
      <w:proofErr w:type="gramStart"/>
      <w:r w:rsidRPr="06329E2C">
        <w:rPr>
          <w:rFonts w:ascii="Arial" w:eastAsia="Arial" w:hAnsi="Arial" w:cs="Arial"/>
          <w:color w:val="2F5496" w:themeColor="accent1" w:themeShade="BF"/>
          <w:u w:val="single"/>
        </w:rPr>
        <w:t>doi:https</w:t>
      </w:r>
      <w:proofErr w:type="spellEnd"/>
      <w:r w:rsidRPr="06329E2C">
        <w:rPr>
          <w:rFonts w:ascii="Arial" w:eastAsia="Arial" w:hAnsi="Arial" w:cs="Arial"/>
          <w:color w:val="2F5496" w:themeColor="accent1" w:themeShade="BF"/>
          <w:u w:val="single"/>
        </w:rPr>
        <w:t>://doi.org/10.1080/10826084.2019.1686021</w:t>
      </w:r>
      <w:proofErr w:type="gramEnd"/>
      <w:r w:rsidRPr="06329E2C">
        <w:rPr>
          <w:rFonts w:ascii="Arial" w:eastAsia="Arial" w:hAnsi="Arial" w:cs="Arial"/>
          <w:color w:val="2F5496" w:themeColor="accent1" w:themeShade="BF"/>
          <w:u w:val="single"/>
        </w:rPr>
        <w:t>.</w:t>
      </w:r>
    </w:p>
    <w:p w14:paraId="191E7AEC" w14:textId="77777777" w:rsidR="004E6ECF" w:rsidRPr="004E6ECF" w:rsidRDefault="004E6ECF" w:rsidP="004E6ECF">
      <w:pPr>
        <w:pStyle w:val="ListParagraph"/>
        <w:rPr>
          <w:rFonts w:ascii="Arial" w:eastAsia="Arial" w:hAnsi="Arial" w:cs="Arial"/>
          <w:color w:val="000000" w:themeColor="text1"/>
        </w:rPr>
      </w:pPr>
    </w:p>
    <w:p w14:paraId="1D05EA3A" w14:textId="62D10553" w:rsidR="004E6ECF" w:rsidRPr="004B14DD" w:rsidRDefault="004E6ECF" w:rsidP="004E6ECF">
      <w:pPr>
        <w:pStyle w:val="NormalWeb"/>
        <w:numPr>
          <w:ilvl w:val="0"/>
          <w:numId w:val="1"/>
        </w:numPr>
        <w:spacing w:before="0" w:beforeAutospacing="0" w:after="0" w:afterAutospacing="0" w:line="360" w:lineRule="atLeast"/>
        <w:rPr>
          <w:rFonts w:ascii="Arial" w:hAnsi="Arial" w:cs="Arial"/>
          <w:sz w:val="22"/>
          <w:szCs w:val="22"/>
        </w:rPr>
      </w:pPr>
      <w:r w:rsidRPr="004E6ECF">
        <w:rPr>
          <w:rFonts w:ascii="Arial" w:hAnsi="Arial" w:cs="Arial"/>
          <w:color w:val="000000"/>
          <w:sz w:val="22"/>
          <w:szCs w:val="22"/>
        </w:rPr>
        <w:t>Gov.UK (2014). </w:t>
      </w:r>
      <w:r w:rsidRPr="004B14DD">
        <w:rPr>
          <w:rFonts w:ascii="Arial" w:hAnsi="Arial" w:cs="Arial"/>
          <w:i/>
          <w:iCs/>
          <w:color w:val="000000"/>
          <w:sz w:val="22"/>
          <w:szCs w:val="22"/>
        </w:rPr>
        <w:t>Children and Families Act 2014</w:t>
      </w:r>
      <w:r w:rsidRPr="004E6ECF">
        <w:rPr>
          <w:rFonts w:ascii="Arial" w:hAnsi="Arial" w:cs="Arial"/>
          <w:color w:val="000000"/>
          <w:sz w:val="22"/>
          <w:szCs w:val="22"/>
        </w:rPr>
        <w:t xml:space="preserve">. legislation.gov.uk. Available at: </w:t>
      </w:r>
      <w:hyperlink r:id="rId34" w:history="1">
        <w:r w:rsidRPr="00FE48DD">
          <w:rPr>
            <w:rStyle w:val="Hyperlink"/>
            <w:rFonts w:ascii="Arial" w:hAnsi="Arial" w:cs="Arial"/>
            <w:sz w:val="22"/>
            <w:szCs w:val="22"/>
          </w:rPr>
          <w:t>https://www.legislation.gov.uk/ukpga/2014/6/contents</w:t>
        </w:r>
      </w:hyperlink>
      <w:r w:rsidRPr="004E6ECF">
        <w:rPr>
          <w:rFonts w:ascii="Arial" w:hAnsi="Arial" w:cs="Arial"/>
          <w:color w:val="4472C4" w:themeColor="accent1"/>
          <w:sz w:val="22"/>
          <w:szCs w:val="22"/>
          <w:u w:val="single"/>
        </w:rPr>
        <w:t>.</w:t>
      </w:r>
      <w:r>
        <w:rPr>
          <w:rFonts w:ascii="Arial" w:hAnsi="Arial" w:cs="Arial"/>
          <w:color w:val="4472C4" w:themeColor="accent1"/>
          <w:sz w:val="22"/>
          <w:szCs w:val="22"/>
          <w:u w:val="single"/>
        </w:rPr>
        <w:t xml:space="preserve"> </w:t>
      </w:r>
      <w:r w:rsidRPr="004B14DD">
        <w:rPr>
          <w:rFonts w:ascii="Arial" w:hAnsi="Arial" w:cs="Arial"/>
          <w:sz w:val="22"/>
          <w:szCs w:val="22"/>
        </w:rPr>
        <w:t>(Accessed</w:t>
      </w:r>
      <w:r w:rsidR="004B14DD" w:rsidRPr="004B14DD">
        <w:rPr>
          <w:rFonts w:ascii="Arial" w:hAnsi="Arial" w:cs="Arial"/>
          <w:sz w:val="22"/>
          <w:szCs w:val="22"/>
        </w:rPr>
        <w:t>: 15 September 2025).</w:t>
      </w:r>
    </w:p>
    <w:p w14:paraId="34EA3C77" w14:textId="77777777" w:rsidR="004E6ECF" w:rsidRDefault="004E6ECF" w:rsidP="004E6ECF">
      <w:pPr>
        <w:pStyle w:val="ListParagraph"/>
        <w:ind w:left="720" w:firstLine="0"/>
        <w:rPr>
          <w:rFonts w:ascii="Arial" w:eastAsia="Arial" w:hAnsi="Arial" w:cs="Arial"/>
          <w:color w:val="000000" w:themeColor="text1"/>
        </w:rPr>
      </w:pPr>
    </w:p>
    <w:p w14:paraId="16E9D5DD" w14:textId="28847611" w:rsidR="068953FA" w:rsidRDefault="068953FA" w:rsidP="1EC678D9">
      <w:pPr>
        <w:rPr>
          <w:rFonts w:ascii="Arial" w:eastAsia="Arial" w:hAnsi="Arial" w:cs="Arial"/>
        </w:rPr>
      </w:pPr>
    </w:p>
    <w:p w14:paraId="59E37ADF" w14:textId="68E18EC8" w:rsidR="0D8803AF" w:rsidRDefault="0D8803AF" w:rsidP="1EC678D9">
      <w:pPr>
        <w:pStyle w:val="ListParagraph"/>
        <w:numPr>
          <w:ilvl w:val="0"/>
          <w:numId w:val="1"/>
        </w:numPr>
        <w:rPr>
          <w:rFonts w:ascii="Arial" w:eastAsia="Arial" w:hAnsi="Arial" w:cs="Arial"/>
        </w:rPr>
      </w:pPr>
      <w:r w:rsidRPr="1EC678D9">
        <w:rPr>
          <w:rFonts w:ascii="Arial" w:eastAsia="Arial" w:hAnsi="Arial" w:cs="Arial"/>
        </w:rPr>
        <w:t>Hayley Alderson et al.</w:t>
      </w:r>
      <w:r w:rsidR="53BBC521" w:rsidRPr="1EC678D9">
        <w:rPr>
          <w:rFonts w:ascii="Arial" w:eastAsia="Arial" w:hAnsi="Arial" w:cs="Arial"/>
        </w:rPr>
        <w:t>,</w:t>
      </w:r>
      <w:r w:rsidRPr="1EC678D9">
        <w:rPr>
          <w:rFonts w:ascii="Arial" w:eastAsia="Arial" w:hAnsi="Arial" w:cs="Arial"/>
        </w:rPr>
        <w:t xml:space="preserve"> (2020) </w:t>
      </w:r>
      <w:r w:rsidRPr="00742922">
        <w:rPr>
          <w:rFonts w:ascii="Arial" w:eastAsia="Arial" w:hAnsi="Arial" w:cs="Arial"/>
          <w:i/>
          <w:iCs/>
        </w:rPr>
        <w:t>‘Behaviour change interventions to reduce risky substance use and improve mental health in children in care: the SOLID three-arm feasibility RCT’</w:t>
      </w:r>
      <w:r w:rsidRPr="1EC678D9">
        <w:rPr>
          <w:rFonts w:ascii="Arial" w:eastAsia="Arial" w:hAnsi="Arial" w:cs="Arial"/>
        </w:rPr>
        <w:t xml:space="preserve">, Public health research (Southampton, England), 8(13). Available at: </w:t>
      </w:r>
      <w:hyperlink r:id="rId35">
        <w:r w:rsidRPr="1EC678D9">
          <w:rPr>
            <w:rStyle w:val="Hyperlink"/>
            <w:rFonts w:ascii="Arial" w:eastAsia="Arial" w:hAnsi="Arial" w:cs="Arial"/>
          </w:rPr>
          <w:t>https://doi.org/10.3310/phr08130</w:t>
        </w:r>
      </w:hyperlink>
      <w:r w:rsidRPr="1EC678D9">
        <w:rPr>
          <w:rFonts w:ascii="Arial" w:eastAsia="Arial" w:hAnsi="Arial" w:cs="Arial"/>
        </w:rPr>
        <w:t>.</w:t>
      </w:r>
    </w:p>
    <w:p w14:paraId="23A44139" w14:textId="5BC2CCE3" w:rsidR="068953FA" w:rsidRDefault="068953FA" w:rsidP="1EC678D9">
      <w:pPr>
        <w:rPr>
          <w:rFonts w:ascii="Arial" w:eastAsia="Arial" w:hAnsi="Arial" w:cs="Arial"/>
        </w:rPr>
      </w:pPr>
    </w:p>
    <w:p w14:paraId="6291475D" w14:textId="0A5B0F7B" w:rsidR="59AE6312" w:rsidRDefault="59AE6312" w:rsidP="1EC678D9">
      <w:pPr>
        <w:rPr>
          <w:rFonts w:ascii="Arial" w:eastAsia="Arial" w:hAnsi="Arial" w:cs="Arial"/>
        </w:rPr>
      </w:pPr>
    </w:p>
    <w:p w14:paraId="66CF6701" w14:textId="400B5BBD" w:rsidR="0559B97C" w:rsidRDefault="6CC7BD1F"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w:t>
      </w:r>
      <w:r w:rsidR="2164DD81" w:rsidRPr="1EC678D9">
        <w:rPr>
          <w:rFonts w:ascii="Arial" w:eastAsia="Arial" w:hAnsi="Arial" w:cs="Arial"/>
        </w:rPr>
        <w:t xml:space="preserve"> Hernandez Sanchez, I. (2018). </w:t>
      </w:r>
      <w:r w:rsidR="2164DD81" w:rsidRPr="0014466E">
        <w:rPr>
          <w:rFonts w:ascii="Arial" w:eastAsia="Arial" w:hAnsi="Arial" w:cs="Arial"/>
          <w:i/>
          <w:iCs/>
        </w:rPr>
        <w:t>Young people and substance misuse</w:t>
      </w:r>
      <w:r w:rsidR="2164DD81" w:rsidRPr="1EC678D9">
        <w:rPr>
          <w:rFonts w:ascii="Arial" w:eastAsia="Arial" w:hAnsi="Arial" w:cs="Arial"/>
        </w:rPr>
        <w:t xml:space="preserve">. InnovAiT: Education and inspiration for general practice, 11(11), pp.601–607. </w:t>
      </w:r>
      <w:proofErr w:type="spellStart"/>
      <w:proofErr w:type="gramStart"/>
      <w:r w:rsidR="2164DD81" w:rsidRPr="1EC678D9">
        <w:rPr>
          <w:rFonts w:ascii="Arial" w:eastAsia="Arial" w:hAnsi="Arial" w:cs="Arial"/>
        </w:rPr>
        <w:t>doi:https</w:t>
      </w:r>
      <w:proofErr w:type="spellEnd"/>
      <w:r w:rsidR="2164DD81" w:rsidRPr="1EC678D9">
        <w:rPr>
          <w:rFonts w:ascii="Arial" w:eastAsia="Arial" w:hAnsi="Arial" w:cs="Arial"/>
        </w:rPr>
        <w:t>://doi.org/10.1177/1755738018794221</w:t>
      </w:r>
      <w:proofErr w:type="gramEnd"/>
      <w:r w:rsidR="2164DD81" w:rsidRPr="1EC678D9">
        <w:rPr>
          <w:rFonts w:ascii="Arial" w:eastAsia="Arial" w:hAnsi="Arial" w:cs="Arial"/>
        </w:rPr>
        <w:t>.</w:t>
      </w:r>
    </w:p>
    <w:p w14:paraId="06242D41" w14:textId="65BBFE3E" w:rsidR="1EC678D9" w:rsidRDefault="1EC678D9" w:rsidP="1EC678D9">
      <w:pPr>
        <w:pStyle w:val="ListParagraph"/>
        <w:ind w:left="720"/>
        <w:rPr>
          <w:rFonts w:ascii="Arial" w:eastAsia="Arial" w:hAnsi="Arial" w:cs="Arial"/>
          <w:color w:val="000000" w:themeColor="text1"/>
        </w:rPr>
      </w:pPr>
    </w:p>
    <w:p w14:paraId="6D283403" w14:textId="39DC9561" w:rsidR="0559B97C" w:rsidRDefault="6F17F14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Hall, W.D., Patton, G., Stockings, E., Weier, M., Lynskey, M., Morley, K.I. and Degenhardt, L. (2016). </w:t>
      </w:r>
      <w:r w:rsidRPr="0014466E">
        <w:rPr>
          <w:rFonts w:ascii="Arial" w:eastAsia="Arial" w:hAnsi="Arial" w:cs="Arial"/>
          <w:i/>
          <w:iCs/>
        </w:rPr>
        <w:t>Why young people’s substance use matters for global health</w:t>
      </w:r>
      <w:r w:rsidRPr="1EC678D9">
        <w:rPr>
          <w:rFonts w:ascii="Arial" w:eastAsia="Arial" w:hAnsi="Arial" w:cs="Arial"/>
        </w:rPr>
        <w:t xml:space="preserve">. The Lancet Psychiatry, 3(3), pp.265–279.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://doi.org/10.1016/s2215-0366(16)00013-4</w:t>
      </w:r>
      <w:proofErr w:type="gramEnd"/>
      <w:r w:rsidRPr="1EC678D9">
        <w:rPr>
          <w:rFonts w:ascii="Arial" w:eastAsia="Arial" w:hAnsi="Arial" w:cs="Arial"/>
        </w:rPr>
        <w:t>.</w:t>
      </w:r>
    </w:p>
    <w:p w14:paraId="032544CA" w14:textId="2071D0B4" w:rsidR="0559B97C" w:rsidRDefault="0559B97C" w:rsidP="1EC678D9">
      <w:pPr>
        <w:rPr>
          <w:rFonts w:ascii="Arial" w:eastAsia="Arial" w:hAnsi="Arial" w:cs="Arial"/>
        </w:rPr>
      </w:pPr>
    </w:p>
    <w:p w14:paraId="68627363" w14:textId="524D34F0" w:rsidR="26565490" w:rsidRDefault="26565490" w:rsidP="1EC678D9">
      <w:pPr>
        <w:pStyle w:val="ListParagraph"/>
        <w:numPr>
          <w:ilvl w:val="0"/>
          <w:numId w:val="1"/>
        </w:numPr>
        <w:rPr>
          <w:rFonts w:ascii="Arial" w:eastAsia="Arial" w:hAnsi="Arial" w:cs="Arial"/>
        </w:rPr>
      </w:pPr>
      <w:r w:rsidRPr="1EC678D9">
        <w:rPr>
          <w:rFonts w:ascii="Arial" w:eastAsia="Arial" w:hAnsi="Arial" w:cs="Arial"/>
        </w:rPr>
        <w:lastRenderedPageBreak/>
        <w:t>Heard-Garris, N. et al. (2021) ‘</w:t>
      </w:r>
      <w:r w:rsidRPr="0014466E">
        <w:rPr>
          <w:rFonts w:ascii="Arial" w:eastAsia="Arial" w:hAnsi="Arial" w:cs="Arial"/>
          <w:i/>
          <w:iCs/>
        </w:rPr>
        <w:t>Structuring Poverty: How Racism Shapes Child Poverty and Child and Adolescent Health’</w:t>
      </w:r>
      <w:r w:rsidRPr="1EC678D9">
        <w:rPr>
          <w:rFonts w:ascii="Arial" w:eastAsia="Arial" w:hAnsi="Arial" w:cs="Arial"/>
        </w:rPr>
        <w:t xml:space="preserve">, Academic </w:t>
      </w:r>
      <w:proofErr w:type="spellStart"/>
      <w:r w:rsidRPr="1EC678D9">
        <w:rPr>
          <w:rFonts w:ascii="Arial" w:eastAsia="Arial" w:hAnsi="Arial" w:cs="Arial"/>
        </w:rPr>
        <w:t>pediatrics</w:t>
      </w:r>
      <w:proofErr w:type="spellEnd"/>
      <w:r w:rsidRPr="1EC678D9">
        <w:rPr>
          <w:rFonts w:ascii="Arial" w:eastAsia="Arial" w:hAnsi="Arial" w:cs="Arial"/>
        </w:rPr>
        <w:t xml:space="preserve">, 21(8), pp. S108–S116. Available at: </w:t>
      </w:r>
      <w:hyperlink r:id="rId36">
        <w:r w:rsidRPr="1EC678D9">
          <w:rPr>
            <w:rStyle w:val="Hyperlink"/>
            <w:rFonts w:ascii="Arial" w:eastAsia="Arial" w:hAnsi="Arial" w:cs="Arial"/>
          </w:rPr>
          <w:t>https://doi.org/10.1016/j.acap.2021.05.026</w:t>
        </w:r>
      </w:hyperlink>
      <w:r w:rsidRPr="1EC678D9">
        <w:rPr>
          <w:rFonts w:ascii="Arial" w:eastAsia="Arial" w:hAnsi="Arial" w:cs="Arial"/>
        </w:rPr>
        <w:t>.</w:t>
      </w:r>
    </w:p>
    <w:p w14:paraId="13FF3528" w14:textId="48D8029F" w:rsidR="1EC678D9" w:rsidRDefault="1EC678D9" w:rsidP="1EC678D9">
      <w:pPr>
        <w:rPr>
          <w:rFonts w:ascii="Arial" w:eastAsia="Arial" w:hAnsi="Arial" w:cs="Arial"/>
        </w:rPr>
      </w:pPr>
    </w:p>
    <w:p w14:paraId="21624E64" w14:textId="50024EA3" w:rsidR="4BF485BA" w:rsidRDefault="4BF485BA" w:rsidP="1EC678D9">
      <w:pPr>
        <w:pStyle w:val="ListParagraph"/>
        <w:numPr>
          <w:ilvl w:val="0"/>
          <w:numId w:val="1"/>
        </w:numPr>
        <w:rPr>
          <w:rFonts w:ascii="Arial" w:eastAsia="Arial" w:hAnsi="Arial" w:cs="Arial"/>
        </w:rPr>
      </w:pPr>
      <w:r w:rsidRPr="1EC678D9">
        <w:rPr>
          <w:rFonts w:ascii="Arial" w:eastAsia="Arial" w:hAnsi="Arial" w:cs="Arial"/>
        </w:rPr>
        <w:t>Holland, A. et al. (2023) ‘</w:t>
      </w:r>
      <w:r w:rsidRPr="0014466E">
        <w:rPr>
          <w:rFonts w:ascii="Arial" w:eastAsia="Arial" w:hAnsi="Arial" w:cs="Arial"/>
          <w:i/>
          <w:iCs/>
        </w:rPr>
        <w:t>Analysis of the UK Government’s 10-Year Drugs Strategy—a resource for practitioners and policymakers’</w:t>
      </w:r>
      <w:r w:rsidRPr="1EC678D9">
        <w:rPr>
          <w:rFonts w:ascii="Arial" w:eastAsia="Arial" w:hAnsi="Arial" w:cs="Arial"/>
        </w:rPr>
        <w:t xml:space="preserve">, Journal of public health (Oxford, England), 45(2), pp. e215–e224. Available at: </w:t>
      </w:r>
      <w:hyperlink r:id="rId37">
        <w:r w:rsidRPr="1EC678D9">
          <w:rPr>
            <w:rStyle w:val="Hyperlink"/>
            <w:rFonts w:ascii="Arial" w:eastAsia="Arial" w:hAnsi="Arial" w:cs="Arial"/>
          </w:rPr>
          <w:t>https://doi.org/10.1093/pubmed/fdac114</w:t>
        </w:r>
      </w:hyperlink>
      <w:r w:rsidRPr="1EC678D9">
        <w:rPr>
          <w:rFonts w:ascii="Arial" w:eastAsia="Arial" w:hAnsi="Arial" w:cs="Arial"/>
        </w:rPr>
        <w:t>.</w:t>
      </w:r>
    </w:p>
    <w:p w14:paraId="167C065C" w14:textId="254150BC" w:rsidR="5C95741F" w:rsidRDefault="5C95741F" w:rsidP="1EC678D9">
      <w:pPr>
        <w:rPr>
          <w:rFonts w:ascii="Arial" w:eastAsia="Arial" w:hAnsi="Arial" w:cs="Arial"/>
        </w:rPr>
      </w:pPr>
    </w:p>
    <w:p w14:paraId="55D94AAF" w14:textId="7FAA9DB6" w:rsidR="0559B97C" w:rsidRDefault="2164DD8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Judith Watson et al. (2017) ‘</w:t>
      </w:r>
      <w:r w:rsidRPr="00743B31">
        <w:rPr>
          <w:rFonts w:ascii="Arial" w:eastAsia="Arial" w:hAnsi="Arial" w:cs="Arial"/>
          <w:i/>
          <w:iCs/>
        </w:rPr>
        <w:t>Youth social behaviour and network therapy (Y-SBNT):</w:t>
      </w:r>
      <w:r w:rsidRPr="1EC678D9">
        <w:rPr>
          <w:rFonts w:ascii="Arial" w:eastAsia="Arial" w:hAnsi="Arial" w:cs="Arial"/>
        </w:rPr>
        <w:t xml:space="preserve"> adaptation of a family and social network intervention for young people who misuse alcohol and drugs – a randomised controlled feasibility trial’, Health technology assessment (Winchester, England), 21(15). Available at: </w:t>
      </w:r>
      <w:hyperlink r:id="rId38">
        <w:r w:rsidRPr="1EC678D9">
          <w:rPr>
            <w:rStyle w:val="Hyperlink"/>
            <w:rFonts w:ascii="Arial" w:eastAsia="Arial" w:hAnsi="Arial" w:cs="Arial"/>
          </w:rPr>
          <w:t>https://doi.org/10.3310/hta21150</w:t>
        </w:r>
      </w:hyperlink>
      <w:r w:rsidRPr="1EC678D9">
        <w:rPr>
          <w:rFonts w:ascii="Arial" w:eastAsia="Arial" w:hAnsi="Arial" w:cs="Arial"/>
        </w:rPr>
        <w:t>.</w:t>
      </w:r>
    </w:p>
    <w:p w14:paraId="280D8D5E" w14:textId="065B58E1" w:rsidR="59AE6312" w:rsidRDefault="59AE6312" w:rsidP="1EC678D9">
      <w:pPr>
        <w:rPr>
          <w:rFonts w:ascii="Arial" w:eastAsia="Arial" w:hAnsi="Arial" w:cs="Arial"/>
        </w:rPr>
      </w:pPr>
    </w:p>
    <w:p w14:paraId="051C2A5C" w14:textId="06CD0678" w:rsidR="0559B97C" w:rsidRDefault="2471E32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Johnston, L.D., Miech, R.A., O’Malley, P.M., Bachman, J.G., Schulenberg, J.E. and Patrick, M.E. (2019). </w:t>
      </w:r>
      <w:r w:rsidRPr="00743B31">
        <w:rPr>
          <w:rFonts w:ascii="Arial" w:eastAsia="Arial" w:hAnsi="Arial" w:cs="Arial"/>
          <w:i/>
          <w:iCs/>
        </w:rPr>
        <w:t xml:space="preserve">Monitoring the Future National Survey Results on Drug Use, 1975-2018: </w:t>
      </w:r>
      <w:r w:rsidRPr="1EC678D9">
        <w:rPr>
          <w:rFonts w:ascii="Arial" w:eastAsia="Arial" w:hAnsi="Arial" w:cs="Arial"/>
        </w:rPr>
        <w:t xml:space="preserve">Overview, Key Findings on Adolescent Drug Use. ERIC. Institute for Social Research. Available at: </w:t>
      </w:r>
      <w:hyperlink r:id="rId39">
        <w:r w:rsidRPr="1EC678D9">
          <w:rPr>
            <w:rStyle w:val="Hyperlink"/>
            <w:rFonts w:ascii="Arial" w:eastAsia="Arial" w:hAnsi="Arial" w:cs="Arial"/>
          </w:rPr>
          <w:t>https://eric.ed.gov/?id=ED594190</w:t>
        </w:r>
      </w:hyperlink>
      <w:r w:rsidRPr="1EC678D9">
        <w:rPr>
          <w:rFonts w:ascii="Arial" w:eastAsia="Arial" w:hAnsi="Arial" w:cs="Arial"/>
        </w:rPr>
        <w:t>.</w:t>
      </w:r>
    </w:p>
    <w:p w14:paraId="33F50143" w14:textId="240D769E" w:rsidR="0559B97C" w:rsidRDefault="0559B97C" w:rsidP="1EC678D9">
      <w:pPr>
        <w:rPr>
          <w:rFonts w:ascii="Arial" w:eastAsia="Arial" w:hAnsi="Arial" w:cs="Arial"/>
        </w:rPr>
      </w:pPr>
    </w:p>
    <w:p w14:paraId="179FA346" w14:textId="72C27E3A" w:rsidR="0559B97C" w:rsidRDefault="253CB59B"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Joaquín Rodríguez-Ruiz, Zych, I., </w:t>
      </w:r>
      <w:proofErr w:type="spellStart"/>
      <w:r w:rsidRPr="1EC678D9">
        <w:rPr>
          <w:rFonts w:ascii="Arial" w:eastAsia="Arial" w:hAnsi="Arial" w:cs="Arial"/>
        </w:rPr>
        <w:t>Llorent</w:t>
      </w:r>
      <w:proofErr w:type="spellEnd"/>
      <w:r w:rsidRPr="1EC678D9">
        <w:rPr>
          <w:rFonts w:ascii="Arial" w:eastAsia="Arial" w:hAnsi="Arial" w:cs="Arial"/>
        </w:rPr>
        <w:t xml:space="preserve">, V.J., Inmaculada Marín-López, Espejo-Siles, R. and </w:t>
      </w:r>
      <w:proofErr w:type="spellStart"/>
      <w:r w:rsidRPr="1EC678D9">
        <w:rPr>
          <w:rFonts w:ascii="Arial" w:eastAsia="Arial" w:hAnsi="Arial" w:cs="Arial"/>
        </w:rPr>
        <w:t>Nasaescu</w:t>
      </w:r>
      <w:proofErr w:type="spellEnd"/>
      <w:r w:rsidRPr="1EC678D9">
        <w:rPr>
          <w:rFonts w:ascii="Arial" w:eastAsia="Arial" w:hAnsi="Arial" w:cs="Arial"/>
        </w:rPr>
        <w:t xml:space="preserve">, E. (2023). </w:t>
      </w:r>
      <w:r w:rsidRPr="00743B31">
        <w:rPr>
          <w:rFonts w:ascii="Arial" w:eastAsia="Arial" w:hAnsi="Arial" w:cs="Arial"/>
          <w:i/>
          <w:iCs/>
        </w:rPr>
        <w:t xml:space="preserve">A longitudinal study of protective factors against substance </w:t>
      </w:r>
      <w:proofErr w:type="gramStart"/>
      <w:r w:rsidRPr="00743B31">
        <w:rPr>
          <w:rFonts w:ascii="Arial" w:eastAsia="Arial" w:hAnsi="Arial" w:cs="Arial"/>
          <w:i/>
          <w:iCs/>
        </w:rPr>
        <w:t>use</w:t>
      </w:r>
      <w:proofErr w:type="gramEnd"/>
      <w:r w:rsidRPr="00743B31">
        <w:rPr>
          <w:rFonts w:ascii="Arial" w:eastAsia="Arial" w:hAnsi="Arial" w:cs="Arial"/>
          <w:i/>
          <w:iCs/>
        </w:rPr>
        <w:t xml:space="preserve"> in early adolescence. An ecological approach</w:t>
      </w:r>
      <w:r w:rsidRPr="1EC678D9">
        <w:rPr>
          <w:rFonts w:ascii="Arial" w:eastAsia="Arial" w:hAnsi="Arial" w:cs="Arial"/>
        </w:rPr>
        <w:t xml:space="preserve">. International Journal of Drug Policy, 112, pp.103946–103946.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://doi.org/10.1016/j.drugpo.2022.103946</w:t>
      </w:r>
      <w:proofErr w:type="gramEnd"/>
      <w:r w:rsidRPr="1EC678D9">
        <w:rPr>
          <w:rFonts w:ascii="Arial" w:eastAsia="Arial" w:hAnsi="Arial" w:cs="Arial"/>
        </w:rPr>
        <w:t>.</w:t>
      </w:r>
    </w:p>
    <w:p w14:paraId="5D098DB1" w14:textId="66E052F9" w:rsidR="540F1010" w:rsidRDefault="540F1010" w:rsidP="1EC678D9">
      <w:pPr>
        <w:rPr>
          <w:rFonts w:ascii="Arial" w:eastAsia="Arial" w:hAnsi="Arial" w:cs="Arial"/>
        </w:rPr>
      </w:pPr>
    </w:p>
    <w:p w14:paraId="44E7674A" w14:textId="352D6E7A" w:rsidR="4AA420B7" w:rsidRDefault="4AA420B7" w:rsidP="1EC678D9">
      <w:pPr>
        <w:pStyle w:val="ListParagraph"/>
        <w:numPr>
          <w:ilvl w:val="0"/>
          <w:numId w:val="1"/>
        </w:numPr>
        <w:rPr>
          <w:rFonts w:ascii="Arial" w:eastAsia="Arial" w:hAnsi="Arial" w:cs="Arial"/>
        </w:rPr>
      </w:pPr>
      <w:proofErr w:type="spellStart"/>
      <w:r w:rsidRPr="1EC678D9">
        <w:rPr>
          <w:rFonts w:ascii="Arial" w:eastAsia="Arial" w:hAnsi="Arial" w:cs="Arial"/>
        </w:rPr>
        <w:t>Jiloha</w:t>
      </w:r>
      <w:proofErr w:type="spellEnd"/>
      <w:r w:rsidRPr="1EC678D9">
        <w:rPr>
          <w:rFonts w:ascii="Arial" w:eastAsia="Arial" w:hAnsi="Arial" w:cs="Arial"/>
        </w:rPr>
        <w:t>, R. (2017) ‘</w:t>
      </w:r>
      <w:r w:rsidRPr="00743B31">
        <w:rPr>
          <w:rFonts w:ascii="Arial" w:eastAsia="Arial" w:hAnsi="Arial" w:cs="Arial"/>
          <w:i/>
          <w:iCs/>
        </w:rPr>
        <w:t>Prevention, early intervention, and harm reduction of substance use in adolescents’,</w:t>
      </w:r>
      <w:r w:rsidRPr="1EC678D9">
        <w:rPr>
          <w:rFonts w:ascii="Arial" w:eastAsia="Arial" w:hAnsi="Arial" w:cs="Arial"/>
        </w:rPr>
        <w:t xml:space="preserve"> Indian journal of psychiatry, 59(1), pp. 111–118. Available at: </w:t>
      </w:r>
      <w:hyperlink r:id="rId40">
        <w:r w:rsidRPr="1EC678D9">
          <w:rPr>
            <w:rStyle w:val="Hyperlink"/>
            <w:rFonts w:ascii="Arial" w:eastAsia="Arial" w:hAnsi="Arial" w:cs="Arial"/>
          </w:rPr>
          <w:t>https://doi.org/10.4103/0019-5545.204444</w:t>
        </w:r>
      </w:hyperlink>
      <w:r w:rsidRPr="1EC678D9">
        <w:rPr>
          <w:rFonts w:ascii="Arial" w:eastAsia="Arial" w:hAnsi="Arial" w:cs="Arial"/>
        </w:rPr>
        <w:t>.</w:t>
      </w:r>
    </w:p>
    <w:p w14:paraId="54508967" w14:textId="5FAC4D54" w:rsidR="540F1010" w:rsidRDefault="540F1010" w:rsidP="1EC678D9">
      <w:pPr>
        <w:rPr>
          <w:rFonts w:ascii="Arial" w:eastAsia="Arial" w:hAnsi="Arial" w:cs="Arial"/>
        </w:rPr>
      </w:pPr>
    </w:p>
    <w:p w14:paraId="740243F2" w14:textId="408FB04B" w:rsidR="0559B97C" w:rsidRDefault="253CB59B"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w:t>
      </w:r>
      <w:r w:rsidR="3D6392CE" w:rsidRPr="1EC678D9">
        <w:rPr>
          <w:rFonts w:ascii="Arial" w:eastAsia="Arial" w:hAnsi="Arial" w:cs="Arial"/>
        </w:rPr>
        <w:t xml:space="preserve">James, P.D., Nash, M. and Comiskey, C.M. (2024) </w:t>
      </w:r>
      <w:r w:rsidR="3D6392CE" w:rsidRPr="00E55669">
        <w:rPr>
          <w:rFonts w:ascii="Arial" w:eastAsia="Arial" w:hAnsi="Arial" w:cs="Arial"/>
          <w:i/>
          <w:iCs/>
        </w:rPr>
        <w:t>‘Barriers and Enablers for Adolescents Accessing Substance‐Use Treatment:</w:t>
      </w:r>
      <w:r w:rsidR="3D6392CE" w:rsidRPr="1EC678D9">
        <w:rPr>
          <w:rFonts w:ascii="Arial" w:eastAsia="Arial" w:hAnsi="Arial" w:cs="Arial"/>
        </w:rPr>
        <w:t xml:space="preserve"> A Systematic Review and Narrative Synthesis’, </w:t>
      </w:r>
      <w:r w:rsidR="3D6392CE" w:rsidRPr="1EC678D9">
        <w:rPr>
          <w:rFonts w:ascii="Arial" w:eastAsia="Arial" w:hAnsi="Arial" w:cs="Arial"/>
          <w:i/>
          <w:iCs/>
        </w:rPr>
        <w:t>International journal of mental health nursing</w:t>
      </w:r>
      <w:r w:rsidR="3D6392CE" w:rsidRPr="1EC678D9">
        <w:rPr>
          <w:rFonts w:ascii="Arial" w:eastAsia="Arial" w:hAnsi="Arial" w:cs="Arial"/>
        </w:rPr>
        <w:t xml:space="preserve">, 33(6), pp. 1687–1710. Available at: </w:t>
      </w:r>
      <w:hyperlink r:id="rId41">
        <w:r w:rsidR="3D6392CE" w:rsidRPr="1EC678D9">
          <w:rPr>
            <w:rStyle w:val="Hyperlink"/>
            <w:rFonts w:ascii="Arial" w:eastAsia="Arial" w:hAnsi="Arial" w:cs="Arial"/>
          </w:rPr>
          <w:t>https://doi.org/10.1111/inm.13378</w:t>
        </w:r>
      </w:hyperlink>
      <w:r w:rsidR="3D6392CE" w:rsidRPr="1EC678D9">
        <w:rPr>
          <w:rFonts w:ascii="Arial" w:eastAsia="Arial" w:hAnsi="Arial" w:cs="Arial"/>
        </w:rPr>
        <w:t>.</w:t>
      </w:r>
    </w:p>
    <w:p w14:paraId="52325F03" w14:textId="182AC81C" w:rsidR="0559B97C" w:rsidRDefault="0559B97C" w:rsidP="1EC678D9">
      <w:pPr>
        <w:pStyle w:val="ListParagraph"/>
        <w:ind w:left="720"/>
        <w:rPr>
          <w:rFonts w:ascii="Arial" w:eastAsia="Arial" w:hAnsi="Arial" w:cs="Arial"/>
          <w:color w:val="000000" w:themeColor="text1"/>
        </w:rPr>
      </w:pPr>
    </w:p>
    <w:p w14:paraId="084DD22D" w14:textId="44A50F81" w:rsidR="0559B97C" w:rsidRDefault="601412E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Kruis, N.E., Seo, C. and Kim, B. (2019). </w:t>
      </w:r>
      <w:r w:rsidRPr="00E55669">
        <w:rPr>
          <w:rFonts w:ascii="Arial" w:eastAsia="Arial" w:hAnsi="Arial" w:cs="Arial"/>
          <w:i/>
          <w:iCs/>
        </w:rPr>
        <w:t>Revisiting the Empirical Status of Social Learning Theory on Substance Use:</w:t>
      </w:r>
      <w:r w:rsidRPr="1EC678D9">
        <w:rPr>
          <w:rFonts w:ascii="Arial" w:eastAsia="Arial" w:hAnsi="Arial" w:cs="Arial"/>
        </w:rPr>
        <w:t xml:space="preserve"> A Systematic Review and Meta-Analysis. Substance Use &amp; Misuse, 55(4), pp.1–18.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://doi.org/10.1080/10826084.2019.1696821</w:t>
      </w:r>
      <w:proofErr w:type="gramEnd"/>
      <w:r w:rsidRPr="1EC678D9">
        <w:rPr>
          <w:rFonts w:ascii="Arial" w:eastAsia="Arial" w:hAnsi="Arial" w:cs="Arial"/>
        </w:rPr>
        <w:t>.</w:t>
      </w:r>
    </w:p>
    <w:p w14:paraId="291779C2" w14:textId="0B4768D9" w:rsidR="1EC678D9" w:rsidRDefault="1EC678D9" w:rsidP="1EC678D9">
      <w:pPr>
        <w:pStyle w:val="ListParagraph"/>
        <w:ind w:left="720"/>
        <w:rPr>
          <w:rFonts w:ascii="Arial" w:eastAsia="Arial" w:hAnsi="Arial" w:cs="Arial"/>
          <w:color w:val="000000" w:themeColor="text1"/>
        </w:rPr>
      </w:pPr>
    </w:p>
    <w:p w14:paraId="1C9910C6" w14:textId="22DB7400" w:rsidR="0559B97C" w:rsidRDefault="503E4E7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Klingemann, H. (2020). </w:t>
      </w:r>
      <w:r w:rsidRPr="00E55669">
        <w:rPr>
          <w:rFonts w:ascii="Arial" w:eastAsia="Arial" w:hAnsi="Arial" w:cs="Arial"/>
          <w:i/>
          <w:iCs/>
        </w:rPr>
        <w:t>Successes and failures in treatment of substance abuse: Treatment system perspectives and lessons from the European continent.</w:t>
      </w:r>
      <w:r w:rsidRPr="1EC678D9">
        <w:rPr>
          <w:rFonts w:ascii="Arial" w:eastAsia="Arial" w:hAnsi="Arial" w:cs="Arial"/>
        </w:rPr>
        <w:t xml:space="preserve"> Nordic Studies on Alcohol and Drugs, 37(4), pp.323–337.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://doi.org/10.1177/1455072520941977</w:t>
      </w:r>
      <w:proofErr w:type="gramEnd"/>
      <w:r w:rsidRPr="1EC678D9">
        <w:rPr>
          <w:rFonts w:ascii="Arial" w:eastAsia="Arial" w:hAnsi="Arial" w:cs="Arial"/>
        </w:rPr>
        <w:t>.</w:t>
      </w:r>
    </w:p>
    <w:p w14:paraId="6F20340E" w14:textId="65B188C9" w:rsidR="0559B97C" w:rsidRDefault="0559B97C" w:rsidP="1EC678D9">
      <w:pPr>
        <w:pStyle w:val="ListParagraph"/>
        <w:ind w:left="360" w:firstLine="0"/>
        <w:rPr>
          <w:rFonts w:ascii="Arial" w:eastAsia="Arial" w:hAnsi="Arial" w:cs="Arial"/>
        </w:rPr>
      </w:pPr>
    </w:p>
    <w:p w14:paraId="621D9AF3" w14:textId="00A343B9" w:rsidR="0559B97C" w:rsidRDefault="700F773A"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Lander, L., Howsare, J. and Byrne, M. (2023). </w:t>
      </w:r>
      <w:r w:rsidRPr="00E55669">
        <w:rPr>
          <w:rFonts w:ascii="Arial" w:eastAsia="Arial" w:hAnsi="Arial" w:cs="Arial"/>
          <w:i/>
          <w:iCs/>
        </w:rPr>
        <w:t xml:space="preserve">The impact of substance </w:t>
      </w:r>
      <w:proofErr w:type="gramStart"/>
      <w:r w:rsidRPr="00E55669">
        <w:rPr>
          <w:rFonts w:ascii="Arial" w:eastAsia="Arial" w:hAnsi="Arial" w:cs="Arial"/>
          <w:i/>
          <w:iCs/>
        </w:rPr>
        <w:t>use</w:t>
      </w:r>
      <w:proofErr w:type="gramEnd"/>
      <w:r w:rsidRPr="00E55669">
        <w:rPr>
          <w:rFonts w:ascii="Arial" w:eastAsia="Arial" w:hAnsi="Arial" w:cs="Arial"/>
          <w:i/>
          <w:iCs/>
        </w:rPr>
        <w:t xml:space="preserve"> disorders on families and children:</w:t>
      </w:r>
      <w:r w:rsidRPr="1EC678D9">
        <w:rPr>
          <w:rFonts w:ascii="Arial" w:eastAsia="Arial" w:hAnsi="Arial" w:cs="Arial"/>
        </w:rPr>
        <w:t xml:space="preserve"> From theory to practice. Social Work in Public </w:t>
      </w:r>
      <w:proofErr w:type="gramStart"/>
      <w:r w:rsidRPr="1EC678D9">
        <w:rPr>
          <w:rFonts w:ascii="Arial" w:eastAsia="Arial" w:hAnsi="Arial" w:cs="Arial"/>
        </w:rPr>
        <w:t>Health  28</w:t>
      </w:r>
      <w:proofErr w:type="gramEnd"/>
      <w:r w:rsidRPr="1EC678D9">
        <w:rPr>
          <w:rFonts w:ascii="Arial" w:eastAsia="Arial" w:hAnsi="Arial" w:cs="Arial"/>
        </w:rPr>
        <w:t xml:space="preserve">(3-4), pp.194–205.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://doi.org/10.1080/19371918.2013.759005</w:t>
      </w:r>
      <w:proofErr w:type="gramEnd"/>
      <w:r w:rsidRPr="1EC678D9">
        <w:rPr>
          <w:rFonts w:ascii="Arial" w:eastAsia="Arial" w:hAnsi="Arial" w:cs="Arial"/>
        </w:rPr>
        <w:t>.</w:t>
      </w:r>
    </w:p>
    <w:p w14:paraId="39928A50" w14:textId="08C2C83E" w:rsidR="0559B97C" w:rsidRDefault="0559B97C" w:rsidP="1EC678D9">
      <w:pPr>
        <w:pStyle w:val="ListParagraph"/>
        <w:ind w:left="720"/>
        <w:rPr>
          <w:rFonts w:ascii="Arial" w:eastAsia="Arial" w:hAnsi="Arial" w:cs="Arial"/>
        </w:rPr>
      </w:pPr>
    </w:p>
    <w:p w14:paraId="7D48AC1B" w14:textId="40142A6D" w:rsidR="0559B97C" w:rsidRDefault="1A1B902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Lowe, J., Liang, H., Riggs, C., Henson, J. and Elder, T. (2012). </w:t>
      </w:r>
      <w:r w:rsidRPr="00526550">
        <w:rPr>
          <w:rFonts w:ascii="Arial" w:eastAsia="Arial" w:hAnsi="Arial" w:cs="Arial"/>
          <w:i/>
          <w:iCs/>
        </w:rPr>
        <w:t>Community Partnership to Affect Substance Abuse among Native American Adolescents.</w:t>
      </w:r>
      <w:r w:rsidRPr="1EC678D9">
        <w:rPr>
          <w:rFonts w:ascii="Arial" w:eastAsia="Arial" w:hAnsi="Arial" w:cs="Arial"/>
        </w:rPr>
        <w:t xml:space="preserve"> The American Journal of Drug and Alcohol Abuse, 38(5), pp.450–455.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://doi.org/10.3109/00952990.2012.694534</w:t>
      </w:r>
      <w:proofErr w:type="gramEnd"/>
      <w:r w:rsidRPr="1EC678D9">
        <w:rPr>
          <w:rFonts w:ascii="Arial" w:eastAsia="Arial" w:hAnsi="Arial" w:cs="Arial"/>
        </w:rPr>
        <w:t>.</w:t>
      </w:r>
    </w:p>
    <w:p w14:paraId="46495EC2" w14:textId="3BDCE0A9" w:rsidR="068953FA" w:rsidRDefault="068953FA" w:rsidP="1EC678D9">
      <w:pPr>
        <w:pStyle w:val="ListParagraph"/>
        <w:ind w:left="360" w:firstLine="0"/>
        <w:rPr>
          <w:rFonts w:ascii="Arial" w:eastAsia="Arial" w:hAnsi="Arial" w:cs="Arial"/>
          <w:color w:val="000000" w:themeColor="text1"/>
        </w:rPr>
      </w:pPr>
    </w:p>
    <w:p w14:paraId="370F04EB" w14:textId="364B43E1" w:rsidR="068953FA" w:rsidRDefault="7DB3A863" w:rsidP="1EC678D9">
      <w:pPr>
        <w:pStyle w:val="ListParagraph"/>
        <w:numPr>
          <w:ilvl w:val="0"/>
          <w:numId w:val="1"/>
        </w:numPr>
        <w:rPr>
          <w:rFonts w:ascii="Arial" w:eastAsia="Arial" w:hAnsi="Arial" w:cs="Arial"/>
        </w:rPr>
      </w:pPr>
      <w:r w:rsidRPr="1EC678D9">
        <w:rPr>
          <w:rFonts w:ascii="Arial" w:eastAsia="Arial" w:hAnsi="Arial" w:cs="Arial"/>
        </w:rPr>
        <w:t xml:space="preserve">Layman, H.M. </w:t>
      </w:r>
      <w:r w:rsidRPr="1EC678D9">
        <w:rPr>
          <w:rFonts w:ascii="Arial" w:eastAsia="Arial" w:hAnsi="Arial" w:cs="Arial"/>
          <w:i/>
          <w:iCs/>
        </w:rPr>
        <w:t>et al.</w:t>
      </w:r>
      <w:r w:rsidRPr="1EC678D9">
        <w:rPr>
          <w:rFonts w:ascii="Arial" w:eastAsia="Arial" w:hAnsi="Arial" w:cs="Arial"/>
        </w:rPr>
        <w:t xml:space="preserve"> (2022) </w:t>
      </w:r>
      <w:r w:rsidRPr="00526550">
        <w:rPr>
          <w:rFonts w:ascii="Arial" w:eastAsia="Arial" w:hAnsi="Arial" w:cs="Arial"/>
          <w:i/>
          <w:iCs/>
        </w:rPr>
        <w:t>‘Substance Use Among Youth During the COVID-19 Pandemic:</w:t>
      </w:r>
      <w:r w:rsidRPr="1EC678D9">
        <w:rPr>
          <w:rFonts w:ascii="Arial" w:eastAsia="Arial" w:hAnsi="Arial" w:cs="Arial"/>
        </w:rPr>
        <w:t xml:space="preserve"> </w:t>
      </w:r>
      <w:proofErr w:type="gramStart"/>
      <w:r w:rsidRPr="1EC678D9">
        <w:rPr>
          <w:rFonts w:ascii="Arial" w:eastAsia="Arial" w:hAnsi="Arial" w:cs="Arial"/>
        </w:rPr>
        <w:t>a</w:t>
      </w:r>
      <w:proofErr w:type="gramEnd"/>
      <w:r w:rsidRPr="1EC678D9">
        <w:rPr>
          <w:rFonts w:ascii="Arial" w:eastAsia="Arial" w:hAnsi="Arial" w:cs="Arial"/>
        </w:rPr>
        <w:t xml:space="preserve"> Systematic Review’, </w:t>
      </w:r>
      <w:r w:rsidRPr="1EC678D9">
        <w:rPr>
          <w:rFonts w:ascii="Arial" w:eastAsia="Arial" w:hAnsi="Arial" w:cs="Arial"/>
          <w:i/>
          <w:iCs/>
        </w:rPr>
        <w:t>Current psychiatry reports</w:t>
      </w:r>
      <w:r w:rsidRPr="1EC678D9">
        <w:rPr>
          <w:rFonts w:ascii="Arial" w:eastAsia="Arial" w:hAnsi="Arial" w:cs="Arial"/>
        </w:rPr>
        <w:t xml:space="preserve">, 24(6), pp. 307–324. Available at: </w:t>
      </w:r>
      <w:hyperlink r:id="rId42">
        <w:r w:rsidRPr="1EC678D9">
          <w:rPr>
            <w:rStyle w:val="Hyperlink"/>
            <w:rFonts w:ascii="Arial" w:eastAsia="Arial" w:hAnsi="Arial" w:cs="Arial"/>
          </w:rPr>
          <w:t>https://doi.org/10.1007/s11920-022-01338-z</w:t>
        </w:r>
      </w:hyperlink>
      <w:r w:rsidRPr="1EC678D9">
        <w:rPr>
          <w:rFonts w:ascii="Arial" w:eastAsia="Arial" w:hAnsi="Arial" w:cs="Arial"/>
        </w:rPr>
        <w:t>.</w:t>
      </w:r>
    </w:p>
    <w:p w14:paraId="0301CD5E" w14:textId="2DE184BD" w:rsidR="068953FA" w:rsidRDefault="068953FA" w:rsidP="1EC678D9">
      <w:pPr>
        <w:rPr>
          <w:rFonts w:ascii="Arial" w:eastAsia="Arial" w:hAnsi="Arial" w:cs="Arial"/>
        </w:rPr>
      </w:pPr>
    </w:p>
    <w:p w14:paraId="3A4A8A2A" w14:textId="78739BB0" w:rsidR="647E7F00" w:rsidRDefault="647E7F00" w:rsidP="1EC678D9">
      <w:pPr>
        <w:pStyle w:val="ListParagraph"/>
        <w:numPr>
          <w:ilvl w:val="0"/>
          <w:numId w:val="1"/>
        </w:numPr>
        <w:rPr>
          <w:rFonts w:ascii="Arial" w:eastAsia="Arial" w:hAnsi="Arial" w:cs="Arial"/>
        </w:rPr>
      </w:pPr>
      <w:r w:rsidRPr="1EC678D9">
        <w:rPr>
          <w:rFonts w:ascii="Arial" w:eastAsia="Arial" w:hAnsi="Arial" w:cs="Arial"/>
        </w:rPr>
        <w:t>Lancaster, T. (2021) ‘</w:t>
      </w:r>
      <w:r w:rsidRPr="00526550">
        <w:rPr>
          <w:rFonts w:ascii="Arial" w:eastAsia="Arial" w:hAnsi="Arial" w:cs="Arial"/>
          <w:i/>
          <w:iCs/>
        </w:rPr>
        <w:t xml:space="preserve">Academic Dishonesty or Academic Integrity? Using Natural Language Processing (NLP) Techniques to Investigate Positive Integrity in Academic Integrity Research’, </w:t>
      </w:r>
      <w:r w:rsidRPr="1EC678D9">
        <w:rPr>
          <w:rFonts w:ascii="Arial" w:eastAsia="Arial" w:hAnsi="Arial" w:cs="Arial"/>
        </w:rPr>
        <w:t xml:space="preserve">Journal of academic ethics, 19(3), pp. 363–383. Available at: </w:t>
      </w:r>
      <w:hyperlink r:id="rId43">
        <w:r w:rsidRPr="1EC678D9">
          <w:rPr>
            <w:rStyle w:val="Hyperlink"/>
            <w:rFonts w:ascii="Arial" w:eastAsia="Arial" w:hAnsi="Arial" w:cs="Arial"/>
          </w:rPr>
          <w:t>https://doi.org/10.1007/s10805-021-09422-4</w:t>
        </w:r>
      </w:hyperlink>
      <w:r w:rsidRPr="1EC678D9">
        <w:rPr>
          <w:rFonts w:ascii="Arial" w:eastAsia="Arial" w:hAnsi="Arial" w:cs="Arial"/>
        </w:rPr>
        <w:t>.</w:t>
      </w:r>
    </w:p>
    <w:p w14:paraId="3EA41081" w14:textId="6072B426" w:rsidR="068953FA" w:rsidRDefault="068953FA" w:rsidP="1EC678D9">
      <w:pPr>
        <w:rPr>
          <w:rFonts w:ascii="Arial" w:eastAsia="Arial" w:hAnsi="Arial" w:cs="Arial"/>
        </w:rPr>
      </w:pPr>
    </w:p>
    <w:p w14:paraId="15DDCD02" w14:textId="135153A7" w:rsidR="109617C0" w:rsidRDefault="109617C0" w:rsidP="1EC678D9">
      <w:pPr>
        <w:pStyle w:val="ListParagraph"/>
        <w:numPr>
          <w:ilvl w:val="0"/>
          <w:numId w:val="1"/>
        </w:numPr>
        <w:rPr>
          <w:rFonts w:ascii="Arial" w:eastAsia="Arial" w:hAnsi="Arial" w:cs="Arial"/>
        </w:rPr>
      </w:pPr>
      <w:r w:rsidRPr="06329E2C">
        <w:rPr>
          <w:rFonts w:ascii="Arial" w:eastAsia="Arial" w:hAnsi="Arial" w:cs="Arial"/>
        </w:rPr>
        <w:t>Li, S., Hong, Y.-C. and Craig, S.D. (2023) ‘</w:t>
      </w:r>
      <w:r w:rsidRPr="00526550">
        <w:rPr>
          <w:rFonts w:ascii="Arial" w:eastAsia="Arial" w:hAnsi="Arial" w:cs="Arial"/>
          <w:i/>
          <w:iCs/>
        </w:rPr>
        <w:t>A Systematic Literature Review of Social Learning Theory in Online Learning Environments’,</w:t>
      </w:r>
      <w:r w:rsidRPr="06329E2C">
        <w:rPr>
          <w:rFonts w:ascii="Arial" w:eastAsia="Arial" w:hAnsi="Arial" w:cs="Arial"/>
        </w:rPr>
        <w:t xml:space="preserve"> Educational psychology review, 35(4). Available at: </w:t>
      </w:r>
      <w:hyperlink r:id="rId44">
        <w:r w:rsidRPr="06329E2C">
          <w:rPr>
            <w:rStyle w:val="Hyperlink"/>
            <w:rFonts w:ascii="Arial" w:eastAsia="Arial" w:hAnsi="Arial" w:cs="Arial"/>
          </w:rPr>
          <w:t>https://doi.org/10.1007/s10648-023-09827-0</w:t>
        </w:r>
      </w:hyperlink>
      <w:r w:rsidRPr="06329E2C">
        <w:rPr>
          <w:rFonts w:ascii="Arial" w:eastAsia="Arial" w:hAnsi="Arial" w:cs="Arial"/>
        </w:rPr>
        <w:t>.</w:t>
      </w:r>
    </w:p>
    <w:p w14:paraId="2F45B988" w14:textId="2D68AF97" w:rsidR="0559B97C" w:rsidRDefault="0559B97C" w:rsidP="06329E2C">
      <w:pPr>
        <w:pStyle w:val="ListParagraph"/>
        <w:ind w:left="720"/>
        <w:rPr>
          <w:rFonts w:ascii="Arial" w:eastAsia="Arial" w:hAnsi="Arial" w:cs="Arial"/>
        </w:rPr>
      </w:pPr>
    </w:p>
    <w:p w14:paraId="7A6BF9C8" w14:textId="246C7FE2" w:rsidR="0559B97C" w:rsidRDefault="2DE113CF" w:rsidP="06329E2C">
      <w:pPr>
        <w:pStyle w:val="ListParagraph"/>
        <w:numPr>
          <w:ilvl w:val="0"/>
          <w:numId w:val="1"/>
        </w:numPr>
        <w:rPr>
          <w:rFonts w:ascii="Arial" w:eastAsia="Arial" w:hAnsi="Arial" w:cs="Arial"/>
          <w:color w:val="000000" w:themeColor="text1"/>
        </w:rPr>
      </w:pPr>
      <w:r w:rsidRPr="06329E2C">
        <w:rPr>
          <w:rFonts w:ascii="Arial" w:eastAsia="Arial" w:hAnsi="Arial" w:cs="Arial"/>
          <w:color w:val="000000" w:themeColor="text1"/>
        </w:rPr>
        <w:t xml:space="preserve">Legislation.gov.uk. (2001). </w:t>
      </w:r>
      <w:r w:rsidRPr="06329E2C">
        <w:rPr>
          <w:rFonts w:ascii="Arial" w:eastAsia="Arial" w:hAnsi="Arial" w:cs="Arial"/>
          <w:i/>
          <w:iCs/>
          <w:color w:val="000000" w:themeColor="text1"/>
        </w:rPr>
        <w:t>The National Treatment Agency (Establishment and Constitution) Order 2001</w:t>
      </w:r>
      <w:r w:rsidRPr="06329E2C">
        <w:rPr>
          <w:rFonts w:ascii="Arial" w:eastAsia="Arial" w:hAnsi="Arial" w:cs="Arial"/>
          <w:color w:val="000000" w:themeColor="text1"/>
        </w:rPr>
        <w:t xml:space="preserve">. Available at: </w:t>
      </w:r>
      <w:hyperlink r:id="rId45">
        <w:r w:rsidRPr="06329E2C">
          <w:rPr>
            <w:rStyle w:val="Hyperlink"/>
            <w:rFonts w:ascii="Arial" w:eastAsia="Arial" w:hAnsi="Arial" w:cs="Arial"/>
          </w:rPr>
          <w:t>https://www.legislation.gov.uk/uksi/2001/713/made/data.html</w:t>
        </w:r>
      </w:hyperlink>
      <w:r w:rsidRPr="06329E2C">
        <w:rPr>
          <w:rFonts w:ascii="Arial" w:eastAsia="Arial" w:hAnsi="Arial" w:cs="Arial"/>
          <w:color w:val="000000" w:themeColor="text1"/>
        </w:rPr>
        <w:t xml:space="preserve"> [Accessed: 10 Nov</w:t>
      </w:r>
      <w:r w:rsidR="00526550">
        <w:rPr>
          <w:rFonts w:ascii="Arial" w:eastAsia="Arial" w:hAnsi="Arial" w:cs="Arial"/>
          <w:color w:val="000000" w:themeColor="text1"/>
        </w:rPr>
        <w:t>ember</w:t>
      </w:r>
      <w:r w:rsidRPr="06329E2C">
        <w:rPr>
          <w:rFonts w:ascii="Arial" w:eastAsia="Arial" w:hAnsi="Arial" w:cs="Arial"/>
          <w:color w:val="000000" w:themeColor="text1"/>
        </w:rPr>
        <w:t xml:space="preserve"> 2025].</w:t>
      </w:r>
    </w:p>
    <w:p w14:paraId="01A9DBD8" w14:textId="62DC53D4" w:rsidR="0559B97C" w:rsidRDefault="0559B97C" w:rsidP="0E260372">
      <w:pPr>
        <w:spacing w:before="240" w:after="240"/>
        <w:ind w:left="720"/>
        <w:rPr>
          <w:rFonts w:ascii="Calibri" w:eastAsia="Calibri" w:hAnsi="Calibri" w:cs="Calibri"/>
          <w:color w:val="000000" w:themeColor="text1"/>
        </w:rPr>
      </w:pPr>
    </w:p>
    <w:p w14:paraId="3DED0870" w14:textId="17613EAC" w:rsidR="0559B97C" w:rsidRDefault="60B6890D" w:rsidP="1EC678D9">
      <w:pPr>
        <w:pStyle w:val="ListParagraph"/>
        <w:numPr>
          <w:ilvl w:val="0"/>
          <w:numId w:val="1"/>
        </w:numPr>
        <w:rPr>
          <w:rFonts w:ascii="Arial" w:eastAsia="Arial" w:hAnsi="Arial" w:cs="Arial"/>
          <w:color w:val="000000" w:themeColor="text1"/>
        </w:rPr>
      </w:pPr>
      <w:proofErr w:type="spellStart"/>
      <w:r w:rsidRPr="1EC678D9">
        <w:rPr>
          <w:rFonts w:ascii="Arial" w:eastAsia="Arial" w:hAnsi="Arial" w:cs="Arial"/>
        </w:rPr>
        <w:t>Laqueur</w:t>
      </w:r>
      <w:proofErr w:type="spellEnd"/>
      <w:r w:rsidRPr="1EC678D9">
        <w:rPr>
          <w:rFonts w:ascii="Arial" w:eastAsia="Arial" w:hAnsi="Arial" w:cs="Arial"/>
        </w:rPr>
        <w:t xml:space="preserve">, H. (2015). </w:t>
      </w:r>
      <w:r w:rsidRPr="00061272">
        <w:rPr>
          <w:rFonts w:ascii="Arial" w:eastAsia="Arial" w:hAnsi="Arial" w:cs="Arial"/>
          <w:i/>
          <w:iCs/>
        </w:rPr>
        <w:t>Uses and Abuses of Drug Decriminalization in Portugal.</w:t>
      </w:r>
      <w:r w:rsidRPr="1EC678D9">
        <w:rPr>
          <w:rFonts w:ascii="Arial" w:eastAsia="Arial" w:hAnsi="Arial" w:cs="Arial"/>
        </w:rPr>
        <w:t xml:space="preserve"> Law &amp; Social Inquiry, 40(03), pp.746–781.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://doi.org/10.1111/lsi.12104</w:t>
      </w:r>
      <w:proofErr w:type="gramEnd"/>
      <w:r w:rsidRPr="1EC678D9">
        <w:rPr>
          <w:rFonts w:ascii="Arial" w:eastAsia="Arial" w:hAnsi="Arial" w:cs="Arial"/>
        </w:rPr>
        <w:t>.</w:t>
      </w:r>
    </w:p>
    <w:p w14:paraId="572EB7ED" w14:textId="1EB0057B" w:rsidR="0559B97C" w:rsidRDefault="0559B97C" w:rsidP="1EC678D9">
      <w:pPr>
        <w:rPr>
          <w:rFonts w:ascii="Arial" w:eastAsia="Arial" w:hAnsi="Arial" w:cs="Arial"/>
        </w:rPr>
      </w:pPr>
    </w:p>
    <w:p w14:paraId="60E66387" w14:textId="4EC1FD2E" w:rsidR="0559B97C" w:rsidRDefault="707278B8" w:rsidP="1EC678D9">
      <w:pPr>
        <w:pStyle w:val="ListParagraph"/>
        <w:numPr>
          <w:ilvl w:val="0"/>
          <w:numId w:val="1"/>
        </w:numPr>
        <w:rPr>
          <w:rFonts w:ascii="Arial" w:eastAsia="Arial" w:hAnsi="Arial" w:cs="Arial"/>
        </w:rPr>
      </w:pPr>
      <w:r w:rsidRPr="1EC678D9">
        <w:rPr>
          <w:rFonts w:ascii="Arial" w:eastAsia="Arial" w:hAnsi="Arial" w:cs="Arial"/>
        </w:rPr>
        <w:t xml:space="preserve">MacGregor, S. and Thickett, A. (2011) </w:t>
      </w:r>
      <w:r w:rsidRPr="00061272">
        <w:rPr>
          <w:rFonts w:ascii="Arial" w:eastAsia="Arial" w:hAnsi="Arial" w:cs="Arial"/>
          <w:i/>
          <w:iCs/>
        </w:rPr>
        <w:t>‘Partnerships and communities in English drug policy: The challenge of deprivation’,</w:t>
      </w:r>
      <w:r w:rsidRPr="1EC678D9">
        <w:rPr>
          <w:rFonts w:ascii="Arial" w:eastAsia="Arial" w:hAnsi="Arial" w:cs="Arial"/>
        </w:rPr>
        <w:t xml:space="preserve"> The International journal of drug policy, 22(6), pp. 478–490. Available at: </w:t>
      </w:r>
      <w:hyperlink r:id="rId46">
        <w:r w:rsidRPr="1EC678D9">
          <w:rPr>
            <w:rStyle w:val="Hyperlink"/>
            <w:rFonts w:ascii="Arial" w:eastAsia="Arial" w:hAnsi="Arial" w:cs="Arial"/>
          </w:rPr>
          <w:t>https://doi.org/10.1016/j.drugpo.2011.06.003</w:t>
        </w:r>
      </w:hyperlink>
      <w:r w:rsidRPr="1EC678D9">
        <w:rPr>
          <w:rFonts w:ascii="Arial" w:eastAsia="Arial" w:hAnsi="Arial" w:cs="Arial"/>
        </w:rPr>
        <w:t>.</w:t>
      </w:r>
    </w:p>
    <w:p w14:paraId="0842D638" w14:textId="1DF71B7F" w:rsidR="5C95741F" w:rsidRDefault="5C95741F" w:rsidP="1EC678D9">
      <w:pPr>
        <w:rPr>
          <w:rFonts w:ascii="Arial" w:eastAsia="Arial" w:hAnsi="Arial" w:cs="Arial"/>
        </w:rPr>
      </w:pPr>
    </w:p>
    <w:p w14:paraId="5512935E" w14:textId="01BC60A9" w:rsidR="0559B97C" w:rsidRDefault="47AA4324"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 Mold, A. (2019). </w:t>
      </w:r>
      <w:r w:rsidRPr="00061272">
        <w:rPr>
          <w:rFonts w:ascii="Arial" w:eastAsia="Arial" w:hAnsi="Arial" w:cs="Arial"/>
          <w:i/>
          <w:iCs/>
        </w:rPr>
        <w:t>The historical context of drug use by young people</w:t>
      </w:r>
      <w:r w:rsidRPr="1EC678D9">
        <w:rPr>
          <w:rFonts w:ascii="Arial" w:eastAsia="Arial" w:hAnsi="Arial" w:cs="Arial"/>
        </w:rPr>
        <w:t xml:space="preserve">. CRC Press eBooks, pp.9–15.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://doi.org/10.4324/9780429284304-2</w:t>
      </w:r>
      <w:proofErr w:type="gramEnd"/>
      <w:r w:rsidRPr="1EC678D9">
        <w:rPr>
          <w:rFonts w:ascii="Arial" w:eastAsia="Arial" w:hAnsi="Arial" w:cs="Arial"/>
        </w:rPr>
        <w:t>.</w:t>
      </w:r>
    </w:p>
    <w:p w14:paraId="45488E5B" w14:textId="7B5DDE42" w:rsidR="1EC678D9" w:rsidRDefault="1EC678D9" w:rsidP="1EC678D9">
      <w:pPr>
        <w:rPr>
          <w:rFonts w:ascii="Arial" w:eastAsia="Arial" w:hAnsi="Arial" w:cs="Arial"/>
        </w:rPr>
      </w:pPr>
    </w:p>
    <w:p w14:paraId="17EF91F9" w14:textId="2FCDD7E6" w:rsidR="0559B97C" w:rsidRDefault="47AA4324" w:rsidP="1EC678D9">
      <w:pPr>
        <w:pStyle w:val="ListParagraph"/>
        <w:numPr>
          <w:ilvl w:val="0"/>
          <w:numId w:val="1"/>
        </w:numPr>
        <w:rPr>
          <w:rFonts w:ascii="Arial" w:eastAsia="Arial" w:hAnsi="Arial" w:cs="Arial"/>
        </w:rPr>
      </w:pPr>
      <w:r w:rsidRPr="1EC678D9">
        <w:rPr>
          <w:rFonts w:ascii="Arial" w:eastAsia="Arial" w:hAnsi="Arial" w:cs="Arial"/>
        </w:rPr>
        <w:t>‌</w:t>
      </w:r>
      <w:r w:rsidR="17CF66C5" w:rsidRPr="1EC678D9">
        <w:rPr>
          <w:rFonts w:ascii="Arial" w:eastAsia="Arial" w:hAnsi="Arial" w:cs="Arial"/>
        </w:rPr>
        <w:t xml:space="preserve"> Mackieson, P., Shlonsky, A. and Connolly, M. (2019) </w:t>
      </w:r>
      <w:r w:rsidR="17CF66C5" w:rsidRPr="00061272">
        <w:rPr>
          <w:rFonts w:ascii="Arial" w:eastAsia="Arial" w:hAnsi="Arial" w:cs="Arial"/>
          <w:i/>
          <w:iCs/>
        </w:rPr>
        <w:t xml:space="preserve">‘Increasing rigor and reducing bias in qualitative research: A document analysis of parliamentary debates using applied thematic analysis’, </w:t>
      </w:r>
      <w:r w:rsidR="17CF66C5" w:rsidRPr="1EC678D9">
        <w:rPr>
          <w:rFonts w:ascii="Arial" w:eastAsia="Arial" w:hAnsi="Arial" w:cs="Arial"/>
        </w:rPr>
        <w:t xml:space="preserve">Qualitative social </w:t>
      </w:r>
      <w:proofErr w:type="gramStart"/>
      <w:r w:rsidR="17CF66C5" w:rsidRPr="1EC678D9">
        <w:rPr>
          <w:rFonts w:ascii="Arial" w:eastAsia="Arial" w:hAnsi="Arial" w:cs="Arial"/>
        </w:rPr>
        <w:t>work :</w:t>
      </w:r>
      <w:proofErr w:type="gramEnd"/>
      <w:r w:rsidR="17CF66C5" w:rsidRPr="1EC678D9">
        <w:rPr>
          <w:rFonts w:ascii="Arial" w:eastAsia="Arial" w:hAnsi="Arial" w:cs="Arial"/>
        </w:rPr>
        <w:t xml:space="preserve"> </w:t>
      </w:r>
      <w:proofErr w:type="gramStart"/>
      <w:r w:rsidR="17CF66C5" w:rsidRPr="1EC678D9">
        <w:rPr>
          <w:rFonts w:ascii="Arial" w:eastAsia="Arial" w:hAnsi="Arial" w:cs="Arial"/>
        </w:rPr>
        <w:t>QSW :</w:t>
      </w:r>
      <w:proofErr w:type="gramEnd"/>
      <w:r w:rsidR="17CF66C5" w:rsidRPr="1EC678D9">
        <w:rPr>
          <w:rFonts w:ascii="Arial" w:eastAsia="Arial" w:hAnsi="Arial" w:cs="Arial"/>
        </w:rPr>
        <w:t xml:space="preserve"> research and practice, 18(6), pp. 965–980. Available at: </w:t>
      </w:r>
      <w:hyperlink r:id="rId47">
        <w:r w:rsidR="17CF66C5" w:rsidRPr="1EC678D9">
          <w:rPr>
            <w:rStyle w:val="Hyperlink"/>
            <w:rFonts w:ascii="Arial" w:eastAsia="Arial" w:hAnsi="Arial" w:cs="Arial"/>
          </w:rPr>
          <w:t>https://doi.org/10.1177/1473325018786996</w:t>
        </w:r>
      </w:hyperlink>
      <w:r w:rsidR="17CF66C5" w:rsidRPr="1EC678D9">
        <w:rPr>
          <w:rFonts w:ascii="Arial" w:eastAsia="Arial" w:hAnsi="Arial" w:cs="Arial"/>
        </w:rPr>
        <w:t>.</w:t>
      </w:r>
    </w:p>
    <w:p w14:paraId="29972812" w14:textId="287848FF" w:rsidR="0559B97C" w:rsidRDefault="0559B97C" w:rsidP="1EC678D9">
      <w:pPr>
        <w:rPr>
          <w:rFonts w:ascii="Arial" w:eastAsia="Arial" w:hAnsi="Arial" w:cs="Arial"/>
        </w:rPr>
      </w:pPr>
    </w:p>
    <w:p w14:paraId="5CE0F97F" w14:textId="08E32837" w:rsidR="0559B97C" w:rsidRDefault="0D850D94"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McCrystal, P., Percy, A. and Higgins, K. (2007</w:t>
      </w:r>
      <w:r w:rsidRPr="00061272">
        <w:rPr>
          <w:rFonts w:ascii="Arial" w:eastAsia="Arial" w:hAnsi="Arial" w:cs="Arial"/>
          <w:i/>
          <w:iCs/>
        </w:rPr>
        <w:t xml:space="preserve">). Exclusion and Marginalisation in Adolescence: </w:t>
      </w:r>
      <w:r w:rsidRPr="1EC678D9">
        <w:rPr>
          <w:rFonts w:ascii="Arial" w:eastAsia="Arial" w:hAnsi="Arial" w:cs="Arial"/>
        </w:rPr>
        <w:t xml:space="preserve">The Experience of School Exclusion on Drug Use and Antisocial Behaviour. Journal of Youth Studies, 10(1), pp.35–54.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://doi.org/10.1080/13676260701196103</w:t>
      </w:r>
      <w:proofErr w:type="gramEnd"/>
      <w:r w:rsidRPr="1EC678D9">
        <w:rPr>
          <w:rFonts w:ascii="Arial" w:eastAsia="Arial" w:hAnsi="Arial" w:cs="Arial"/>
        </w:rPr>
        <w:t>.</w:t>
      </w:r>
    </w:p>
    <w:p w14:paraId="7506F468" w14:textId="40846C00" w:rsidR="068953FA" w:rsidRDefault="068953FA" w:rsidP="1EC678D9">
      <w:pPr>
        <w:rPr>
          <w:rFonts w:ascii="Arial" w:eastAsia="Arial" w:hAnsi="Arial" w:cs="Arial"/>
        </w:rPr>
      </w:pPr>
    </w:p>
    <w:p w14:paraId="480D30CA" w14:textId="5A7F2A05" w:rsidR="20ACB7C5" w:rsidRDefault="20ACB7C5" w:rsidP="1EC678D9">
      <w:pPr>
        <w:pStyle w:val="ListParagraph"/>
        <w:numPr>
          <w:ilvl w:val="0"/>
          <w:numId w:val="1"/>
        </w:numPr>
        <w:rPr>
          <w:rFonts w:ascii="Arial" w:eastAsia="Arial" w:hAnsi="Arial" w:cs="Arial"/>
        </w:rPr>
      </w:pPr>
      <w:r w:rsidRPr="0E260372">
        <w:rPr>
          <w:rFonts w:ascii="Arial" w:eastAsia="Arial" w:hAnsi="Arial" w:cs="Arial"/>
        </w:rPr>
        <w:lastRenderedPageBreak/>
        <w:t>Nath, A. et al. (2022) ‘</w:t>
      </w:r>
      <w:r w:rsidRPr="00061272">
        <w:rPr>
          <w:rFonts w:ascii="Arial" w:eastAsia="Arial" w:hAnsi="Arial" w:cs="Arial"/>
          <w:i/>
          <w:iCs/>
        </w:rPr>
        <w:t>Substance Abuse Amongst Adolescents:</w:t>
      </w:r>
      <w:r w:rsidRPr="0E260372">
        <w:rPr>
          <w:rFonts w:ascii="Arial" w:eastAsia="Arial" w:hAnsi="Arial" w:cs="Arial"/>
        </w:rPr>
        <w:t xml:space="preserve"> An Issue of Public Health Significance’, </w:t>
      </w:r>
      <w:proofErr w:type="spellStart"/>
      <w:r w:rsidRPr="0E260372">
        <w:rPr>
          <w:rFonts w:ascii="Arial" w:eastAsia="Arial" w:hAnsi="Arial" w:cs="Arial"/>
        </w:rPr>
        <w:t>Curēus</w:t>
      </w:r>
      <w:proofErr w:type="spellEnd"/>
      <w:r w:rsidRPr="0E260372">
        <w:rPr>
          <w:rFonts w:ascii="Arial" w:eastAsia="Arial" w:hAnsi="Arial" w:cs="Arial"/>
        </w:rPr>
        <w:t xml:space="preserve">. Available at: </w:t>
      </w:r>
      <w:hyperlink r:id="rId48">
        <w:r w:rsidRPr="0E260372">
          <w:rPr>
            <w:rStyle w:val="Hyperlink"/>
            <w:rFonts w:ascii="Arial" w:eastAsia="Arial" w:hAnsi="Arial" w:cs="Arial"/>
          </w:rPr>
          <w:t>https://doi.org/10.7759/cureus.31193</w:t>
        </w:r>
      </w:hyperlink>
      <w:r w:rsidRPr="0E260372">
        <w:rPr>
          <w:rFonts w:ascii="Arial" w:eastAsia="Arial" w:hAnsi="Arial" w:cs="Arial"/>
        </w:rPr>
        <w:t>.</w:t>
      </w:r>
    </w:p>
    <w:p w14:paraId="6CE4FFC6" w14:textId="613AA9A0" w:rsidR="068953FA" w:rsidRDefault="068953FA" w:rsidP="0E260372">
      <w:pPr>
        <w:pStyle w:val="ListParagraph"/>
        <w:ind w:left="720"/>
        <w:rPr>
          <w:rFonts w:ascii="Arial" w:eastAsia="Arial" w:hAnsi="Arial" w:cs="Arial"/>
        </w:rPr>
      </w:pPr>
    </w:p>
    <w:p w14:paraId="3EB49EF4" w14:textId="0628686A" w:rsidR="068953FA" w:rsidRDefault="797AE99E" w:rsidP="0E260372">
      <w:pPr>
        <w:pStyle w:val="ListParagraph"/>
        <w:numPr>
          <w:ilvl w:val="0"/>
          <w:numId w:val="1"/>
        </w:numPr>
        <w:rPr>
          <w:rFonts w:ascii="Arial" w:eastAsia="Arial" w:hAnsi="Arial" w:cs="Arial"/>
          <w:color w:val="000000" w:themeColor="text1"/>
        </w:rPr>
      </w:pPr>
      <w:r w:rsidRPr="0E260372">
        <w:rPr>
          <w:rFonts w:ascii="Arial" w:eastAsia="Arial" w:hAnsi="Arial" w:cs="Arial"/>
          <w:color w:val="000000" w:themeColor="text1"/>
        </w:rPr>
        <w:t xml:space="preserve">NHS England (2020). </w:t>
      </w:r>
      <w:r w:rsidRPr="0E260372">
        <w:rPr>
          <w:rFonts w:ascii="Arial" w:eastAsia="Arial" w:hAnsi="Arial" w:cs="Arial"/>
          <w:i/>
          <w:iCs/>
          <w:color w:val="000000" w:themeColor="text1"/>
        </w:rPr>
        <w:t>Health Education England</w:t>
      </w:r>
      <w:r w:rsidRPr="0E260372">
        <w:rPr>
          <w:rFonts w:ascii="Arial" w:eastAsia="Arial" w:hAnsi="Arial" w:cs="Arial"/>
          <w:color w:val="000000" w:themeColor="text1"/>
        </w:rPr>
        <w:t xml:space="preserve">. Health Education England. Available at: </w:t>
      </w:r>
      <w:hyperlink r:id="rId49">
        <w:r w:rsidRPr="0E260372">
          <w:rPr>
            <w:rStyle w:val="Hyperlink"/>
            <w:rFonts w:ascii="Arial" w:eastAsia="Arial" w:hAnsi="Arial" w:cs="Arial"/>
          </w:rPr>
          <w:t>https://www.hee.nhs.uk/</w:t>
        </w:r>
      </w:hyperlink>
      <w:r w:rsidRPr="0E260372">
        <w:rPr>
          <w:rFonts w:ascii="Arial" w:eastAsia="Arial" w:hAnsi="Arial" w:cs="Arial"/>
          <w:color w:val="000000" w:themeColor="text1"/>
        </w:rPr>
        <w:t>. (Accessed: 11 Nov</w:t>
      </w:r>
      <w:r w:rsidR="00C66A2F">
        <w:rPr>
          <w:rFonts w:ascii="Arial" w:eastAsia="Arial" w:hAnsi="Arial" w:cs="Arial"/>
          <w:color w:val="000000" w:themeColor="text1"/>
        </w:rPr>
        <w:t>ember</w:t>
      </w:r>
      <w:r w:rsidRPr="0E260372">
        <w:rPr>
          <w:rFonts w:ascii="Arial" w:eastAsia="Arial" w:hAnsi="Arial" w:cs="Arial"/>
          <w:color w:val="000000" w:themeColor="text1"/>
        </w:rPr>
        <w:t xml:space="preserve"> 2025).</w:t>
      </w:r>
    </w:p>
    <w:p w14:paraId="3FB1D5A2" w14:textId="490B3074" w:rsidR="068953FA" w:rsidRDefault="068953FA" w:rsidP="0E260372">
      <w:pPr>
        <w:ind w:left="720"/>
        <w:rPr>
          <w:rFonts w:ascii="Arial" w:eastAsia="Arial" w:hAnsi="Arial" w:cs="Arial"/>
        </w:rPr>
      </w:pPr>
    </w:p>
    <w:p w14:paraId="6707F924" w14:textId="6979EB74" w:rsidR="0559B97C" w:rsidRDefault="0D850D9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w:t>
      </w:r>
      <w:r w:rsidR="20EE5646" w:rsidRPr="06329E2C">
        <w:rPr>
          <w:rFonts w:ascii="Arial" w:eastAsia="Arial" w:hAnsi="Arial" w:cs="Arial"/>
        </w:rPr>
        <w:t>Nair, S. and Howlett, M. (2016) ‘</w:t>
      </w:r>
      <w:r w:rsidR="20EE5646" w:rsidRPr="00C66A2F">
        <w:rPr>
          <w:rFonts w:ascii="Arial" w:eastAsia="Arial" w:hAnsi="Arial" w:cs="Arial"/>
          <w:i/>
          <w:iCs/>
        </w:rPr>
        <w:t xml:space="preserve">From robustness to resilience: avoiding policy traps in the long term’, </w:t>
      </w:r>
      <w:r w:rsidR="20EE5646" w:rsidRPr="06329E2C">
        <w:rPr>
          <w:rFonts w:ascii="Arial" w:eastAsia="Arial" w:hAnsi="Arial" w:cs="Arial"/>
          <w:i/>
          <w:iCs/>
        </w:rPr>
        <w:t>Sustainability science</w:t>
      </w:r>
      <w:r w:rsidR="20EE5646" w:rsidRPr="06329E2C">
        <w:rPr>
          <w:rFonts w:ascii="Arial" w:eastAsia="Arial" w:hAnsi="Arial" w:cs="Arial"/>
        </w:rPr>
        <w:t xml:space="preserve">, 11(6), pp. 909–917. Available at: </w:t>
      </w:r>
      <w:hyperlink r:id="rId50">
        <w:r w:rsidR="20EE5646" w:rsidRPr="06329E2C">
          <w:rPr>
            <w:rStyle w:val="Hyperlink"/>
            <w:rFonts w:ascii="Arial" w:eastAsia="Arial" w:hAnsi="Arial" w:cs="Arial"/>
          </w:rPr>
          <w:t>https://doi.org/10.1007/s11625-016-0387-z</w:t>
        </w:r>
      </w:hyperlink>
      <w:r w:rsidR="20EE5646" w:rsidRPr="06329E2C">
        <w:rPr>
          <w:rFonts w:ascii="Arial" w:eastAsia="Arial" w:hAnsi="Arial" w:cs="Arial"/>
        </w:rPr>
        <w:t>.</w:t>
      </w:r>
    </w:p>
    <w:p w14:paraId="701AF0B7" w14:textId="5F3611F0" w:rsidR="0559B97C" w:rsidRDefault="0559B97C" w:rsidP="06329E2C">
      <w:pPr>
        <w:pStyle w:val="ListParagraph"/>
        <w:ind w:left="720"/>
        <w:rPr>
          <w:rFonts w:ascii="Arial" w:eastAsia="Arial" w:hAnsi="Arial" w:cs="Arial"/>
          <w:color w:val="000000" w:themeColor="text1"/>
        </w:rPr>
      </w:pPr>
    </w:p>
    <w:p w14:paraId="67AF1D33" w14:textId="417C8337" w:rsidR="36D77720" w:rsidRDefault="36D77720"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Office for Health Improvement &amp; Disparities (2024). </w:t>
      </w:r>
      <w:r w:rsidRPr="00C66A2F">
        <w:rPr>
          <w:rFonts w:ascii="Arial" w:eastAsia="Arial" w:hAnsi="Arial" w:cs="Arial"/>
          <w:i/>
          <w:iCs/>
        </w:rPr>
        <w:t>Children and young people’s substance misuse treatment statistics 2023 to 2024</w:t>
      </w:r>
      <w:r w:rsidRPr="06329E2C">
        <w:rPr>
          <w:rFonts w:ascii="Arial" w:eastAsia="Arial" w:hAnsi="Arial" w:cs="Arial"/>
        </w:rPr>
        <w:t>: report.</w:t>
      </w:r>
      <w:r w:rsidR="7FD41819" w:rsidRPr="06329E2C">
        <w:rPr>
          <w:rFonts w:ascii="Arial" w:eastAsia="Arial" w:hAnsi="Arial" w:cs="Arial"/>
        </w:rPr>
        <w:t xml:space="preserve"> </w:t>
      </w:r>
      <w:r w:rsidRPr="06329E2C">
        <w:rPr>
          <w:rFonts w:ascii="Arial" w:eastAsia="Arial" w:hAnsi="Arial" w:cs="Arial"/>
        </w:rPr>
        <w:t xml:space="preserve">GOV.UK. Available at: </w:t>
      </w:r>
      <w:hyperlink r:id="rId51">
        <w:r w:rsidRPr="06329E2C">
          <w:rPr>
            <w:rStyle w:val="Hyperlink"/>
            <w:rFonts w:ascii="Arial" w:eastAsia="Arial" w:hAnsi="Arial" w:cs="Arial"/>
          </w:rPr>
          <w:t>https://www.gov.uk/government/statistics/substance-misuse-treatment-for-young-people-2023-to-2024/children-and-young-peoples-substance-misuse-treatment-statistics-2023-to-2024-report</w:t>
        </w:r>
      </w:hyperlink>
      <w:r w:rsidRPr="06329E2C">
        <w:rPr>
          <w:rFonts w:ascii="Arial" w:eastAsia="Arial" w:hAnsi="Arial" w:cs="Arial"/>
        </w:rPr>
        <w:t>.</w:t>
      </w:r>
      <w:r w:rsidR="1B2F8FED" w:rsidRPr="06329E2C">
        <w:rPr>
          <w:rFonts w:ascii="Arial" w:eastAsia="Arial" w:hAnsi="Arial" w:cs="Arial"/>
        </w:rPr>
        <w:t xml:space="preserve"> (Accessed: 24 Sep</w:t>
      </w:r>
      <w:r w:rsidR="00C66A2F">
        <w:rPr>
          <w:rFonts w:ascii="Arial" w:eastAsia="Arial" w:hAnsi="Arial" w:cs="Arial"/>
        </w:rPr>
        <w:t>tember</w:t>
      </w:r>
      <w:r w:rsidR="1B2F8FED" w:rsidRPr="06329E2C">
        <w:rPr>
          <w:rFonts w:ascii="Arial" w:eastAsia="Arial" w:hAnsi="Arial" w:cs="Arial"/>
        </w:rPr>
        <w:t xml:space="preserve"> 2025).</w:t>
      </w:r>
    </w:p>
    <w:p w14:paraId="5F36E055" w14:textId="74687D5E" w:rsidR="06329E2C" w:rsidRDefault="06329E2C" w:rsidP="06329E2C">
      <w:pPr>
        <w:pStyle w:val="ListParagraph"/>
        <w:ind w:left="720"/>
        <w:rPr>
          <w:rFonts w:ascii="Arial" w:eastAsia="Arial" w:hAnsi="Arial" w:cs="Arial"/>
          <w:color w:val="000000" w:themeColor="text1"/>
        </w:rPr>
      </w:pPr>
    </w:p>
    <w:p w14:paraId="10B14F69" w14:textId="06C908F5" w:rsidR="36D77720" w:rsidRDefault="36D77720" w:rsidP="06329E2C">
      <w:pPr>
        <w:pStyle w:val="ListParagraph"/>
        <w:numPr>
          <w:ilvl w:val="0"/>
          <w:numId w:val="1"/>
        </w:numPr>
        <w:rPr>
          <w:rFonts w:ascii="Arial" w:eastAsia="Arial" w:hAnsi="Arial" w:cs="Arial"/>
        </w:rPr>
      </w:pPr>
      <w:r w:rsidRPr="06329E2C">
        <w:rPr>
          <w:rFonts w:ascii="Arial" w:eastAsia="Arial" w:hAnsi="Arial" w:cs="Arial"/>
        </w:rPr>
        <w:t>‌</w:t>
      </w:r>
      <w:r w:rsidR="5FC36351" w:rsidRPr="06329E2C">
        <w:rPr>
          <w:rFonts w:ascii="Arial" w:eastAsia="Arial" w:hAnsi="Arial" w:cs="Arial"/>
        </w:rPr>
        <w:t xml:space="preserve"> Paquin, V. et al. (2025) ‘</w:t>
      </w:r>
      <w:r w:rsidR="5FC36351" w:rsidRPr="00C66A2F">
        <w:rPr>
          <w:rFonts w:ascii="Arial" w:eastAsia="Arial" w:hAnsi="Arial" w:cs="Arial"/>
          <w:i/>
          <w:iCs/>
        </w:rPr>
        <w:t>Social and mental health pathways to institutional trust</w:t>
      </w:r>
      <w:r w:rsidR="5FC36351" w:rsidRPr="06329E2C">
        <w:rPr>
          <w:rFonts w:ascii="Arial" w:eastAsia="Arial" w:hAnsi="Arial" w:cs="Arial"/>
        </w:rPr>
        <w:t xml:space="preserve">: A cohort study’, Social science &amp; medicine (1982), 379. Available at: </w:t>
      </w:r>
      <w:hyperlink r:id="rId52">
        <w:r w:rsidR="5FC36351" w:rsidRPr="06329E2C">
          <w:rPr>
            <w:rStyle w:val="Hyperlink"/>
            <w:rFonts w:ascii="Arial" w:eastAsia="Arial" w:hAnsi="Arial" w:cs="Arial"/>
          </w:rPr>
          <w:t>https://doi.org/10.1016/j.socscimed.2025.118199</w:t>
        </w:r>
      </w:hyperlink>
      <w:r w:rsidR="5FC36351" w:rsidRPr="06329E2C">
        <w:rPr>
          <w:rFonts w:ascii="Arial" w:eastAsia="Arial" w:hAnsi="Arial" w:cs="Arial"/>
        </w:rPr>
        <w:t>.</w:t>
      </w:r>
    </w:p>
    <w:p w14:paraId="1C430371" w14:textId="218BE98C" w:rsidR="06329E2C" w:rsidRDefault="06329E2C" w:rsidP="06329E2C">
      <w:pPr>
        <w:pStyle w:val="ListParagraph"/>
        <w:ind w:left="720"/>
        <w:rPr>
          <w:rFonts w:ascii="Arial" w:eastAsia="Arial" w:hAnsi="Arial" w:cs="Arial"/>
        </w:rPr>
      </w:pPr>
    </w:p>
    <w:p w14:paraId="034C412C" w14:textId="0473AF1D" w:rsidR="6F73D58C" w:rsidRDefault="6F73D58C" w:rsidP="06329E2C">
      <w:pPr>
        <w:pStyle w:val="ListParagraph"/>
        <w:numPr>
          <w:ilvl w:val="0"/>
          <w:numId w:val="1"/>
        </w:numPr>
        <w:rPr>
          <w:rFonts w:ascii="Arial" w:eastAsia="Arial" w:hAnsi="Arial" w:cs="Arial"/>
        </w:rPr>
      </w:pPr>
      <w:r w:rsidRPr="06329E2C">
        <w:rPr>
          <w:rFonts w:ascii="Arial" w:eastAsia="Arial" w:hAnsi="Arial" w:cs="Arial"/>
        </w:rPr>
        <w:t>Paat, Y.-F. (2013) ‘</w:t>
      </w:r>
      <w:r w:rsidRPr="00C66A2F">
        <w:rPr>
          <w:rFonts w:ascii="Arial" w:eastAsia="Arial" w:hAnsi="Arial" w:cs="Arial"/>
          <w:i/>
          <w:iCs/>
        </w:rPr>
        <w:t>Working with Immigrant Children and Their Families:</w:t>
      </w:r>
      <w:r w:rsidRPr="06329E2C">
        <w:rPr>
          <w:rFonts w:ascii="Arial" w:eastAsia="Arial" w:hAnsi="Arial" w:cs="Arial"/>
        </w:rPr>
        <w:t xml:space="preserve"> An Application of Bronfenbrenner’s Ecological Systems Theory’, </w:t>
      </w:r>
      <w:r w:rsidRPr="06329E2C">
        <w:rPr>
          <w:rFonts w:ascii="Arial" w:eastAsia="Arial" w:hAnsi="Arial" w:cs="Arial"/>
          <w:i/>
          <w:iCs/>
        </w:rPr>
        <w:t>Journal of human behaviour in the social environment</w:t>
      </w:r>
      <w:r w:rsidRPr="06329E2C">
        <w:rPr>
          <w:rFonts w:ascii="Arial" w:eastAsia="Arial" w:hAnsi="Arial" w:cs="Arial"/>
        </w:rPr>
        <w:t xml:space="preserve">, 23(8), pp. 954–966. Available at: </w:t>
      </w:r>
      <w:hyperlink r:id="rId53">
        <w:r w:rsidRPr="06329E2C">
          <w:rPr>
            <w:rStyle w:val="Hyperlink"/>
            <w:rFonts w:ascii="Arial" w:eastAsia="Arial" w:hAnsi="Arial" w:cs="Arial"/>
          </w:rPr>
          <w:t>https://doi.org/10.1080/10911359.2013.800007</w:t>
        </w:r>
      </w:hyperlink>
      <w:r w:rsidRPr="06329E2C">
        <w:rPr>
          <w:rFonts w:ascii="Arial" w:eastAsia="Arial" w:hAnsi="Arial" w:cs="Arial"/>
        </w:rPr>
        <w:t>.</w:t>
      </w:r>
    </w:p>
    <w:p w14:paraId="63AEC5FF" w14:textId="0617E3DA" w:rsidR="06329E2C" w:rsidRDefault="06329E2C" w:rsidP="06329E2C">
      <w:pPr>
        <w:pStyle w:val="ListParagraph"/>
        <w:ind w:left="720"/>
        <w:rPr>
          <w:rFonts w:ascii="Arial" w:eastAsia="Arial" w:hAnsi="Arial" w:cs="Arial"/>
        </w:rPr>
      </w:pPr>
    </w:p>
    <w:p w14:paraId="681369C9" w14:textId="2D63665B" w:rsidR="0559B97C" w:rsidRDefault="0559B97C" w:rsidP="1EC678D9">
      <w:pPr>
        <w:rPr>
          <w:rFonts w:ascii="Arial" w:eastAsia="Arial" w:hAnsi="Arial" w:cs="Arial"/>
        </w:rPr>
      </w:pPr>
    </w:p>
    <w:p w14:paraId="7E13DE42" w14:textId="5349962D" w:rsidR="4C36EC44" w:rsidRDefault="4C36EC44"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Public Health England (2015). </w:t>
      </w:r>
      <w:r w:rsidRPr="001576B1">
        <w:rPr>
          <w:rFonts w:ascii="Arial" w:eastAsia="Arial" w:hAnsi="Arial" w:cs="Arial"/>
          <w:i/>
          <w:iCs/>
        </w:rPr>
        <w:t>Improving young people’s health and wellbeing:</w:t>
      </w:r>
      <w:r w:rsidRPr="06329E2C">
        <w:rPr>
          <w:rFonts w:ascii="Arial" w:eastAsia="Arial" w:hAnsi="Arial" w:cs="Arial"/>
        </w:rPr>
        <w:t xml:space="preserve"> a framework for public health. GOV.UK. Available at: </w:t>
      </w:r>
      <w:hyperlink r:id="rId54">
        <w:r w:rsidRPr="06329E2C">
          <w:rPr>
            <w:rStyle w:val="Hyperlink"/>
            <w:rFonts w:ascii="Arial" w:eastAsia="Arial" w:hAnsi="Arial" w:cs="Arial"/>
          </w:rPr>
          <w:t>https://www.gov.uk/government/publications/improving-young-peoples-health-and-wellbeing-a-framework-for-public-health</w:t>
        </w:r>
      </w:hyperlink>
      <w:r w:rsidRPr="06329E2C">
        <w:rPr>
          <w:rFonts w:ascii="Arial" w:eastAsia="Arial" w:hAnsi="Arial" w:cs="Arial"/>
        </w:rPr>
        <w:t>.</w:t>
      </w:r>
      <w:r w:rsidR="0F14F7E3" w:rsidRPr="06329E2C">
        <w:rPr>
          <w:rFonts w:ascii="Arial" w:eastAsia="Arial" w:hAnsi="Arial" w:cs="Arial"/>
        </w:rPr>
        <w:t xml:space="preserve"> (Accessed: 29 Sep</w:t>
      </w:r>
      <w:r w:rsidR="001576B1">
        <w:rPr>
          <w:rFonts w:ascii="Arial" w:eastAsia="Arial" w:hAnsi="Arial" w:cs="Arial"/>
        </w:rPr>
        <w:t>tember</w:t>
      </w:r>
      <w:r w:rsidR="0F14F7E3" w:rsidRPr="06329E2C">
        <w:rPr>
          <w:rFonts w:ascii="Arial" w:eastAsia="Arial" w:hAnsi="Arial" w:cs="Arial"/>
        </w:rPr>
        <w:t xml:space="preserve"> 2025).</w:t>
      </w:r>
    </w:p>
    <w:p w14:paraId="65D03F4E" w14:textId="04874DD2" w:rsidR="20CECBF3" w:rsidRDefault="20CECBF3" w:rsidP="1EC678D9">
      <w:pPr>
        <w:rPr>
          <w:rFonts w:ascii="Arial" w:eastAsia="Arial" w:hAnsi="Arial" w:cs="Arial"/>
        </w:rPr>
      </w:pPr>
    </w:p>
    <w:p w14:paraId="4CB69459" w14:textId="642F3293" w:rsidR="6AF6731C" w:rsidRDefault="6AF6731C"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Perry, C.L., Komro, K.A., Veblen-Mortenson, S., Bosma, L., Munson, K., Stigler, M., Lytle, L.A., Forster, J.L. and Welles, S.L. (2000). </w:t>
      </w:r>
      <w:r w:rsidRPr="001576B1">
        <w:rPr>
          <w:rFonts w:ascii="Arial" w:eastAsia="Arial" w:hAnsi="Arial" w:cs="Arial"/>
          <w:i/>
          <w:iCs/>
        </w:rPr>
        <w:t>The Minnesota DARE PLUS Project: Creating Community Partnerships to Prevent Drug Use and Violence</w:t>
      </w:r>
      <w:r w:rsidRPr="1EC678D9">
        <w:rPr>
          <w:rFonts w:ascii="Arial" w:eastAsia="Arial" w:hAnsi="Arial" w:cs="Arial"/>
        </w:rPr>
        <w:t xml:space="preserve">. Journal of School Health, 70(3), pp.84–88.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://doi.org/10.1111/j.1746-1561.2000.tb06451.x</w:t>
      </w:r>
      <w:proofErr w:type="gramEnd"/>
      <w:r w:rsidRPr="1EC678D9">
        <w:rPr>
          <w:rFonts w:ascii="Arial" w:eastAsia="Arial" w:hAnsi="Arial" w:cs="Arial"/>
        </w:rPr>
        <w:t>.</w:t>
      </w:r>
    </w:p>
    <w:p w14:paraId="1C7475B6" w14:textId="4C8EE0B6" w:rsidR="6AF6731C" w:rsidRDefault="6AF6731C" w:rsidP="0E260372">
      <w:pPr>
        <w:pStyle w:val="ListParagraph"/>
        <w:ind w:left="720"/>
        <w:rPr>
          <w:rFonts w:ascii="Arial" w:eastAsia="Arial" w:hAnsi="Arial" w:cs="Arial"/>
        </w:rPr>
      </w:pPr>
    </w:p>
    <w:p w14:paraId="0CC6B04F" w14:textId="7BC1EB0B" w:rsidR="03E81E05" w:rsidRDefault="4D2D3F05" w:rsidP="1EC678D9">
      <w:pPr>
        <w:pStyle w:val="ListParagraph"/>
        <w:numPr>
          <w:ilvl w:val="0"/>
          <w:numId w:val="1"/>
        </w:numPr>
        <w:rPr>
          <w:rFonts w:ascii="Arial" w:eastAsia="Arial" w:hAnsi="Arial" w:cs="Arial"/>
        </w:rPr>
      </w:pPr>
      <w:r w:rsidRPr="1EC678D9">
        <w:rPr>
          <w:rFonts w:ascii="Arial" w:eastAsia="Arial" w:hAnsi="Arial" w:cs="Arial"/>
        </w:rPr>
        <w:t>Rogowski, S. (2021) ‘</w:t>
      </w:r>
      <w:r w:rsidRPr="001576B1">
        <w:rPr>
          <w:rFonts w:ascii="Arial" w:eastAsia="Arial" w:hAnsi="Arial" w:cs="Arial"/>
          <w:i/>
          <w:iCs/>
        </w:rPr>
        <w:t>Neoliberalism, austerity and social work with children and families: challenges and critical/radical possibilities’</w:t>
      </w:r>
      <w:r w:rsidRPr="1EC678D9">
        <w:rPr>
          <w:rFonts w:ascii="Arial" w:eastAsia="Arial" w:hAnsi="Arial" w:cs="Arial"/>
        </w:rPr>
        <w:t xml:space="preserve">, Critical and radical social work, 9(3), pp. 353–367. Available at: </w:t>
      </w:r>
      <w:hyperlink r:id="rId55">
        <w:r w:rsidRPr="1EC678D9">
          <w:rPr>
            <w:rStyle w:val="Hyperlink"/>
            <w:rFonts w:ascii="Arial" w:eastAsia="Arial" w:hAnsi="Arial" w:cs="Arial"/>
          </w:rPr>
          <w:t>https://doi.org/10.1332/204986021X16109919707738</w:t>
        </w:r>
      </w:hyperlink>
      <w:r w:rsidRPr="1EC678D9">
        <w:rPr>
          <w:rFonts w:ascii="Arial" w:eastAsia="Arial" w:hAnsi="Arial" w:cs="Arial"/>
        </w:rPr>
        <w:t>.</w:t>
      </w:r>
    </w:p>
    <w:p w14:paraId="2636E3BB" w14:textId="208344DB" w:rsidR="03E81E05" w:rsidRDefault="03E81E05" w:rsidP="1EC678D9">
      <w:pPr>
        <w:rPr>
          <w:rFonts w:ascii="Arial" w:eastAsia="Arial" w:hAnsi="Arial" w:cs="Arial"/>
        </w:rPr>
      </w:pPr>
    </w:p>
    <w:p w14:paraId="3AB09B12" w14:textId="2C7D03D1" w:rsidR="0559B97C" w:rsidRDefault="0559B97C" w:rsidP="1EC678D9">
      <w:pPr>
        <w:rPr>
          <w:rFonts w:ascii="Arial" w:eastAsia="Arial" w:hAnsi="Arial" w:cs="Arial"/>
        </w:rPr>
      </w:pPr>
    </w:p>
    <w:p w14:paraId="7163FCC9" w14:textId="5B0E43B2"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Stockings, E., Hall, W.D., Lynskey, M., Morley, K.I., Reavley, N., Strang, J., Patton, G. and Degenhardt, L. (2016). </w:t>
      </w:r>
      <w:r w:rsidRPr="001576B1">
        <w:rPr>
          <w:rFonts w:ascii="Arial" w:eastAsia="Arial" w:hAnsi="Arial" w:cs="Arial"/>
          <w:i/>
          <w:iCs/>
        </w:rPr>
        <w:t>Prevention, early intervention, harm reduction, and treatment of substance use in young people</w:t>
      </w:r>
      <w:r w:rsidRPr="1EC678D9">
        <w:rPr>
          <w:rFonts w:ascii="Arial" w:eastAsia="Arial" w:hAnsi="Arial" w:cs="Arial"/>
        </w:rPr>
        <w:t xml:space="preserve">. The Lancet Psychiatry, 3(3), pp.280–296.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://doi.org/10.1016/s2215-0366(16)00002-x</w:t>
      </w:r>
      <w:proofErr w:type="gramEnd"/>
      <w:r w:rsidRPr="1EC678D9">
        <w:rPr>
          <w:rFonts w:ascii="Arial" w:eastAsia="Arial" w:hAnsi="Arial" w:cs="Arial"/>
        </w:rPr>
        <w:t>.</w:t>
      </w:r>
    </w:p>
    <w:p w14:paraId="2C4CC0ED" w14:textId="22CEF323" w:rsidR="03E81E05" w:rsidRDefault="03E81E05" w:rsidP="1EC678D9">
      <w:pPr>
        <w:rPr>
          <w:rFonts w:ascii="Arial" w:eastAsia="Arial" w:hAnsi="Arial" w:cs="Arial"/>
        </w:rPr>
      </w:pPr>
    </w:p>
    <w:p w14:paraId="165DF6BB" w14:textId="13251764" w:rsidR="5DBE67B2" w:rsidRDefault="5DBE67B2" w:rsidP="1EC678D9">
      <w:pPr>
        <w:pStyle w:val="ListParagraph"/>
        <w:numPr>
          <w:ilvl w:val="0"/>
          <w:numId w:val="1"/>
        </w:numPr>
        <w:rPr>
          <w:rFonts w:ascii="Arial" w:eastAsia="Arial" w:hAnsi="Arial" w:cs="Arial"/>
          <w:color w:val="000000" w:themeColor="text1"/>
        </w:rPr>
      </w:pPr>
      <w:r w:rsidRPr="1EC678D9">
        <w:rPr>
          <w:rFonts w:ascii="Arial" w:eastAsia="Arial" w:hAnsi="Arial" w:cs="Arial"/>
        </w:rPr>
        <w:lastRenderedPageBreak/>
        <w:t xml:space="preserve">Sutherland, A. (2012). </w:t>
      </w:r>
      <w:r w:rsidRPr="002E1B9C">
        <w:rPr>
          <w:rFonts w:ascii="Arial" w:eastAsia="Arial" w:hAnsi="Arial" w:cs="Arial"/>
          <w:i/>
          <w:iCs/>
        </w:rPr>
        <w:t>Is parental socio-economic status related to the initiation of substance abuse by young people in an English city?</w:t>
      </w:r>
      <w:r w:rsidRPr="1EC678D9">
        <w:rPr>
          <w:rFonts w:ascii="Arial" w:eastAsia="Arial" w:hAnsi="Arial" w:cs="Arial"/>
        </w:rPr>
        <w:t xml:space="preserve"> An event history analysis. Social Science &amp; Medicine, 74(7), pp.1053–1061.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://doi.org/10.1016/j.socscimed.2011.12.026</w:t>
      </w:r>
      <w:proofErr w:type="gramEnd"/>
      <w:r w:rsidRPr="1EC678D9">
        <w:rPr>
          <w:rFonts w:ascii="Arial" w:eastAsia="Arial" w:hAnsi="Arial" w:cs="Arial"/>
        </w:rPr>
        <w:t>.</w:t>
      </w:r>
    </w:p>
    <w:p w14:paraId="0CFCE796" w14:textId="0C2D404B" w:rsidR="5DBE67B2" w:rsidRDefault="5DBE67B2" w:rsidP="06329E2C">
      <w:pPr>
        <w:pStyle w:val="ListParagraph"/>
        <w:ind w:left="720"/>
        <w:rPr>
          <w:rFonts w:ascii="Arial" w:eastAsia="Arial" w:hAnsi="Arial" w:cs="Arial"/>
        </w:rPr>
      </w:pPr>
    </w:p>
    <w:p w14:paraId="55203FB4" w14:textId="025EFE71" w:rsidR="5C714093" w:rsidRDefault="5C71409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Sussman, S., Earleywine, M., Wills, T., Cody, C., </w:t>
      </w:r>
      <w:proofErr w:type="spellStart"/>
      <w:r w:rsidRPr="1EC678D9">
        <w:rPr>
          <w:rFonts w:ascii="Arial" w:eastAsia="Arial" w:hAnsi="Arial" w:cs="Arial"/>
        </w:rPr>
        <w:t>Biglan</w:t>
      </w:r>
      <w:proofErr w:type="spellEnd"/>
      <w:r w:rsidRPr="1EC678D9">
        <w:rPr>
          <w:rFonts w:ascii="Arial" w:eastAsia="Arial" w:hAnsi="Arial" w:cs="Arial"/>
        </w:rPr>
        <w:t xml:space="preserve">, T., Dent, C.W. and Newcomb, M.D. (2004). </w:t>
      </w:r>
      <w:r w:rsidRPr="002E1B9C">
        <w:rPr>
          <w:rFonts w:ascii="Arial" w:eastAsia="Arial" w:hAnsi="Arial" w:cs="Arial"/>
          <w:i/>
          <w:iCs/>
        </w:rPr>
        <w:t>The Motivation, Skills, and Decision-Making Model of ‘Drug Abuse’ Prevention.</w:t>
      </w:r>
      <w:r w:rsidRPr="1EC678D9">
        <w:rPr>
          <w:rFonts w:ascii="Arial" w:eastAsia="Arial" w:hAnsi="Arial" w:cs="Arial"/>
        </w:rPr>
        <w:t xml:space="preserve"> Substance Use &amp; Misuse, 39(10-12), pp.1971–2016.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://doi.org/10.1081/ja-200034769</w:t>
      </w:r>
      <w:proofErr w:type="gramEnd"/>
      <w:r w:rsidRPr="1EC678D9">
        <w:rPr>
          <w:rFonts w:ascii="Arial" w:eastAsia="Arial" w:hAnsi="Arial" w:cs="Arial"/>
        </w:rPr>
        <w:t>.</w:t>
      </w:r>
    </w:p>
    <w:p w14:paraId="7E48F63B" w14:textId="50EB8421" w:rsidR="1EC678D9" w:rsidRDefault="1EC678D9" w:rsidP="1EC678D9">
      <w:pPr>
        <w:rPr>
          <w:rFonts w:ascii="Arial" w:eastAsia="Arial" w:hAnsi="Arial" w:cs="Arial"/>
        </w:rPr>
      </w:pPr>
    </w:p>
    <w:p w14:paraId="6FD0A673" w14:textId="0ECB6374" w:rsidR="5C714093" w:rsidRDefault="5C714093" w:rsidP="1EC678D9">
      <w:pPr>
        <w:pStyle w:val="ListParagraph"/>
        <w:numPr>
          <w:ilvl w:val="0"/>
          <w:numId w:val="1"/>
        </w:numPr>
        <w:rPr>
          <w:rFonts w:ascii="Arial" w:eastAsia="Arial" w:hAnsi="Arial" w:cs="Arial"/>
        </w:rPr>
      </w:pPr>
      <w:r w:rsidRPr="1EC678D9">
        <w:rPr>
          <w:rFonts w:ascii="Arial" w:eastAsia="Arial" w:hAnsi="Arial" w:cs="Arial"/>
        </w:rPr>
        <w:t>‌</w:t>
      </w:r>
      <w:r w:rsidR="4D1843AD" w:rsidRPr="1EC678D9">
        <w:rPr>
          <w:rFonts w:ascii="Arial" w:eastAsia="Arial" w:hAnsi="Arial" w:cs="Arial"/>
        </w:rPr>
        <w:t xml:space="preserve"> </w:t>
      </w:r>
      <w:proofErr w:type="spellStart"/>
      <w:r w:rsidR="4D1843AD" w:rsidRPr="1EC678D9">
        <w:rPr>
          <w:rFonts w:ascii="Arial" w:eastAsia="Arial" w:hAnsi="Arial" w:cs="Arial"/>
        </w:rPr>
        <w:t>Sumnall</w:t>
      </w:r>
      <w:proofErr w:type="spellEnd"/>
      <w:r w:rsidR="4D1843AD" w:rsidRPr="1EC678D9">
        <w:rPr>
          <w:rFonts w:ascii="Arial" w:eastAsia="Arial" w:hAnsi="Arial" w:cs="Arial"/>
        </w:rPr>
        <w:t xml:space="preserve">, H.R. (2022) </w:t>
      </w:r>
      <w:r w:rsidR="4D1843AD" w:rsidRPr="002E1B9C">
        <w:rPr>
          <w:rFonts w:ascii="Arial" w:eastAsia="Arial" w:hAnsi="Arial" w:cs="Arial"/>
          <w:i/>
          <w:iCs/>
        </w:rPr>
        <w:t xml:space="preserve">‘Encouraging a “generational shift” in the UKs relationship with drugs. A commentary on the new UK drug strategy. What can be achieved with drug prevention?’, </w:t>
      </w:r>
      <w:r w:rsidR="4D1843AD" w:rsidRPr="1EC678D9">
        <w:rPr>
          <w:rFonts w:ascii="Arial" w:eastAsia="Arial" w:hAnsi="Arial" w:cs="Arial"/>
        </w:rPr>
        <w:t xml:space="preserve">The International journal of drug policy, 109. Available at: </w:t>
      </w:r>
      <w:hyperlink r:id="rId56">
        <w:r w:rsidR="4D1843AD" w:rsidRPr="1EC678D9">
          <w:rPr>
            <w:rStyle w:val="Hyperlink"/>
            <w:rFonts w:ascii="Arial" w:eastAsia="Arial" w:hAnsi="Arial" w:cs="Arial"/>
          </w:rPr>
          <w:t>https://doi.org/10.1016/j.drugpo.2022.103841</w:t>
        </w:r>
      </w:hyperlink>
      <w:r w:rsidR="4D1843AD" w:rsidRPr="1EC678D9">
        <w:rPr>
          <w:rFonts w:ascii="Arial" w:eastAsia="Arial" w:hAnsi="Arial" w:cs="Arial"/>
        </w:rPr>
        <w:t>.</w:t>
      </w:r>
    </w:p>
    <w:p w14:paraId="328CE18B" w14:textId="6821B09F" w:rsidR="5C714093" w:rsidRDefault="5C714093" w:rsidP="1EC678D9">
      <w:pPr>
        <w:rPr>
          <w:rFonts w:ascii="Arial" w:eastAsia="Arial" w:hAnsi="Arial" w:cs="Arial"/>
        </w:rPr>
      </w:pPr>
    </w:p>
    <w:p w14:paraId="41B0C790" w14:textId="22848CD7" w:rsidR="4AD1927B" w:rsidRDefault="4AD1927B"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Simonton, A.J., Young, C.C. and Johnson, K.E. (2018). </w:t>
      </w:r>
      <w:r w:rsidRPr="002E1B9C">
        <w:rPr>
          <w:rFonts w:ascii="Arial" w:eastAsia="Arial" w:hAnsi="Arial" w:cs="Arial"/>
          <w:i/>
          <w:iCs/>
        </w:rPr>
        <w:t>Physical Activity Interventions to Decrease Substance Use in Youth</w:t>
      </w:r>
      <w:r w:rsidRPr="06329E2C">
        <w:rPr>
          <w:rFonts w:ascii="Arial" w:eastAsia="Arial" w:hAnsi="Arial" w:cs="Arial"/>
        </w:rPr>
        <w:t xml:space="preserve">: A Review of the Literature. Substance Use &amp; Misuse, 53(12), pp.2052–2068.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://doi.org/10.1080/10826084.2018.1452338</w:t>
      </w:r>
      <w:proofErr w:type="gramEnd"/>
      <w:r w:rsidRPr="06329E2C">
        <w:rPr>
          <w:rFonts w:ascii="Arial" w:eastAsia="Arial" w:hAnsi="Arial" w:cs="Arial"/>
        </w:rPr>
        <w:t>.</w:t>
      </w:r>
    </w:p>
    <w:p w14:paraId="1E482441" w14:textId="58B48986" w:rsidR="06329E2C" w:rsidRDefault="06329E2C" w:rsidP="06329E2C">
      <w:pPr>
        <w:pStyle w:val="ListParagraph"/>
        <w:ind w:left="720"/>
        <w:rPr>
          <w:rFonts w:ascii="Arial" w:eastAsia="Arial" w:hAnsi="Arial" w:cs="Arial"/>
          <w:color w:val="000000" w:themeColor="text1"/>
        </w:rPr>
      </w:pPr>
    </w:p>
    <w:p w14:paraId="2AFAAA74" w14:textId="5A8BB579" w:rsidR="03E81E05" w:rsidRDefault="4AD1927B" w:rsidP="1EC678D9">
      <w:pPr>
        <w:pStyle w:val="ListParagraph"/>
        <w:numPr>
          <w:ilvl w:val="0"/>
          <w:numId w:val="1"/>
        </w:numPr>
        <w:rPr>
          <w:rFonts w:ascii="Arial" w:eastAsia="Arial" w:hAnsi="Arial" w:cs="Arial"/>
        </w:rPr>
      </w:pPr>
      <w:r w:rsidRPr="06329E2C">
        <w:rPr>
          <w:rFonts w:ascii="Arial" w:eastAsia="Arial" w:hAnsi="Arial" w:cs="Arial"/>
        </w:rPr>
        <w:t>‌</w:t>
      </w:r>
      <w:r w:rsidR="121C7F46" w:rsidRPr="06329E2C">
        <w:rPr>
          <w:rFonts w:ascii="Arial" w:eastAsia="Arial" w:hAnsi="Arial" w:cs="Arial"/>
        </w:rPr>
        <w:t xml:space="preserve"> Stuever, J.F., 2024. </w:t>
      </w:r>
      <w:r w:rsidR="121C7F46" w:rsidRPr="00663845">
        <w:rPr>
          <w:rFonts w:ascii="Arial" w:eastAsia="Arial" w:hAnsi="Arial" w:cs="Arial"/>
          <w:i/>
          <w:iCs/>
        </w:rPr>
        <w:t>Pillars of Youth Drug Abuse Prevention: Parents, Police, and Project Dare (Drug Abuse Resistance Education)</w:t>
      </w:r>
      <w:r w:rsidR="121C7F46" w:rsidRPr="06329E2C">
        <w:rPr>
          <w:rFonts w:ascii="Arial" w:eastAsia="Arial" w:hAnsi="Arial" w:cs="Arial"/>
        </w:rPr>
        <w:t xml:space="preserve"> (</w:t>
      </w:r>
      <w:proofErr w:type="gramStart"/>
      <w:r w:rsidR="121C7F46" w:rsidRPr="06329E2C">
        <w:rPr>
          <w:rFonts w:ascii="Arial" w:eastAsia="Arial" w:hAnsi="Arial" w:cs="Arial"/>
        </w:rPr>
        <w:t>Master's</w:t>
      </w:r>
      <w:proofErr w:type="gramEnd"/>
      <w:r w:rsidR="121C7F46" w:rsidRPr="06329E2C">
        <w:rPr>
          <w:rFonts w:ascii="Arial" w:eastAsia="Arial" w:hAnsi="Arial" w:cs="Arial"/>
        </w:rPr>
        <w:t xml:space="preserve"> thesis, The University of Wisconsin-Milwaukee).</w:t>
      </w:r>
    </w:p>
    <w:p w14:paraId="3EC42314" w14:textId="6A4F642A" w:rsidR="06329E2C" w:rsidRDefault="06329E2C" w:rsidP="06329E2C">
      <w:pPr>
        <w:pStyle w:val="ListParagraph"/>
        <w:ind w:left="720"/>
        <w:rPr>
          <w:rFonts w:ascii="Arial" w:eastAsia="Arial" w:hAnsi="Arial" w:cs="Arial"/>
        </w:rPr>
      </w:pPr>
    </w:p>
    <w:p w14:paraId="1CB40B7B" w14:textId="354B8B0C" w:rsidR="0559B97C" w:rsidRDefault="1EF42C58"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Scher, B.D., Neufeld, S.D., Butler, A., Bonn, M., Zakimi, N., Farrell, J. and Greer, A. (2023). ‘</w:t>
      </w:r>
      <w:r w:rsidRPr="00663845">
        <w:rPr>
          <w:rFonts w:ascii="Arial" w:eastAsia="Arial" w:hAnsi="Arial" w:cs="Arial"/>
          <w:i/>
          <w:iCs/>
        </w:rPr>
        <w:t>Criminalization Causes the stigma’: Perspectives from People Who Use Drugs.</w:t>
      </w:r>
      <w:r w:rsidRPr="1EC678D9">
        <w:rPr>
          <w:rFonts w:ascii="Arial" w:eastAsia="Arial" w:hAnsi="Arial" w:cs="Arial"/>
        </w:rPr>
        <w:t xml:space="preserve"> Contemporary Drug </w:t>
      </w:r>
      <w:proofErr w:type="gramStart"/>
      <w:r w:rsidRPr="1EC678D9">
        <w:rPr>
          <w:rFonts w:ascii="Arial" w:eastAsia="Arial" w:hAnsi="Arial" w:cs="Arial"/>
        </w:rPr>
        <w:t>Problems,  50</w:t>
      </w:r>
      <w:proofErr w:type="gramEnd"/>
      <w:r w:rsidRPr="1EC678D9">
        <w:rPr>
          <w:rFonts w:ascii="Arial" w:eastAsia="Arial" w:hAnsi="Arial" w:cs="Arial"/>
        </w:rPr>
        <w:t xml:space="preserve">(3), pp.402–425.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://doi.org/10.1177/00914509231179226</w:t>
      </w:r>
      <w:proofErr w:type="gramEnd"/>
      <w:r w:rsidRPr="1EC678D9">
        <w:rPr>
          <w:rFonts w:ascii="Arial" w:eastAsia="Arial" w:hAnsi="Arial" w:cs="Arial"/>
        </w:rPr>
        <w:t>.</w:t>
      </w:r>
    </w:p>
    <w:p w14:paraId="562A837C" w14:textId="020676B9" w:rsidR="0559B97C" w:rsidRDefault="0559B97C" w:rsidP="1EC678D9">
      <w:pPr>
        <w:rPr>
          <w:rFonts w:ascii="Arial" w:eastAsia="Arial" w:hAnsi="Arial" w:cs="Arial"/>
        </w:rPr>
      </w:pPr>
    </w:p>
    <w:p w14:paraId="44EF60A5" w14:textId="73E8D2D0" w:rsidR="579FB563" w:rsidRDefault="579FB563" w:rsidP="06329E2C">
      <w:pPr>
        <w:pStyle w:val="ListParagraph"/>
        <w:numPr>
          <w:ilvl w:val="0"/>
          <w:numId w:val="1"/>
        </w:numPr>
        <w:rPr>
          <w:rFonts w:ascii="Arial" w:eastAsia="Arial" w:hAnsi="Arial" w:cs="Arial"/>
          <w:color w:val="000000" w:themeColor="text1"/>
        </w:rPr>
      </w:pPr>
      <w:r w:rsidRPr="06329E2C">
        <w:rPr>
          <w:rFonts w:ascii="Arial" w:eastAsia="Arial" w:hAnsi="Arial" w:cs="Arial"/>
        </w:rPr>
        <w:t xml:space="preserve">Steele, D.W., Becker, S.J., Danko, K.J., Balk, E.M., Adam, G.P., Saldanha, I.J. and </w:t>
      </w:r>
      <w:proofErr w:type="spellStart"/>
      <w:r w:rsidRPr="06329E2C">
        <w:rPr>
          <w:rFonts w:ascii="Arial" w:eastAsia="Arial" w:hAnsi="Arial" w:cs="Arial"/>
        </w:rPr>
        <w:t>Trikalinos</w:t>
      </w:r>
      <w:proofErr w:type="spellEnd"/>
      <w:r w:rsidRPr="06329E2C">
        <w:rPr>
          <w:rFonts w:ascii="Arial" w:eastAsia="Arial" w:hAnsi="Arial" w:cs="Arial"/>
        </w:rPr>
        <w:t xml:space="preserve">, T.A. (2020). </w:t>
      </w:r>
      <w:r w:rsidRPr="00663845">
        <w:rPr>
          <w:rFonts w:ascii="Arial" w:eastAsia="Arial" w:hAnsi="Arial" w:cs="Arial"/>
          <w:i/>
          <w:iCs/>
        </w:rPr>
        <w:t xml:space="preserve">Brief </w:t>
      </w:r>
      <w:proofErr w:type="spellStart"/>
      <w:r w:rsidRPr="00663845">
        <w:rPr>
          <w:rFonts w:ascii="Arial" w:eastAsia="Arial" w:hAnsi="Arial" w:cs="Arial"/>
          <w:i/>
          <w:iCs/>
        </w:rPr>
        <w:t>Behavioral</w:t>
      </w:r>
      <w:proofErr w:type="spellEnd"/>
      <w:r w:rsidRPr="00663845">
        <w:rPr>
          <w:rFonts w:ascii="Arial" w:eastAsia="Arial" w:hAnsi="Arial" w:cs="Arial"/>
          <w:i/>
          <w:iCs/>
        </w:rPr>
        <w:t xml:space="preserve"> Interventions for Substance Use in Adolescents:</w:t>
      </w:r>
      <w:r w:rsidRPr="06329E2C">
        <w:rPr>
          <w:rFonts w:ascii="Arial" w:eastAsia="Arial" w:hAnsi="Arial" w:cs="Arial"/>
        </w:rPr>
        <w:t xml:space="preserve"> A Meta-analysis. </w:t>
      </w:r>
      <w:proofErr w:type="spellStart"/>
      <w:r w:rsidRPr="06329E2C">
        <w:rPr>
          <w:rFonts w:ascii="Arial" w:eastAsia="Arial" w:hAnsi="Arial" w:cs="Arial"/>
        </w:rPr>
        <w:t>Pediatrics</w:t>
      </w:r>
      <w:proofErr w:type="spellEnd"/>
      <w:r w:rsidRPr="06329E2C">
        <w:rPr>
          <w:rFonts w:ascii="Arial" w:eastAsia="Arial" w:hAnsi="Arial" w:cs="Arial"/>
        </w:rPr>
        <w:t>, 146(4</w:t>
      </w:r>
      <w:r w:rsidR="00F161C0">
        <w:rPr>
          <w:rFonts w:ascii="Arial" w:eastAsia="Arial" w:hAnsi="Arial" w:cs="Arial"/>
        </w:rPr>
        <w:t>)</w:t>
      </w:r>
      <w:r w:rsidRPr="06329E2C">
        <w:rPr>
          <w:rFonts w:ascii="Arial" w:eastAsia="Arial" w:hAnsi="Arial" w:cs="Arial"/>
        </w:rPr>
        <w:t xml:space="preserve">, p.e20200351. </w:t>
      </w:r>
      <w:proofErr w:type="spellStart"/>
      <w:proofErr w:type="gramStart"/>
      <w:r w:rsidRPr="06329E2C">
        <w:rPr>
          <w:rFonts w:ascii="Arial" w:eastAsia="Arial" w:hAnsi="Arial" w:cs="Arial"/>
        </w:rPr>
        <w:t>doi:https</w:t>
      </w:r>
      <w:proofErr w:type="spellEnd"/>
      <w:r w:rsidRPr="06329E2C">
        <w:rPr>
          <w:rFonts w:ascii="Arial" w:eastAsia="Arial" w:hAnsi="Arial" w:cs="Arial"/>
        </w:rPr>
        <w:t>://doi.org/10.1542/peds.2020-0351</w:t>
      </w:r>
      <w:proofErr w:type="gramEnd"/>
      <w:r w:rsidRPr="06329E2C">
        <w:rPr>
          <w:rFonts w:ascii="Arial" w:eastAsia="Arial" w:hAnsi="Arial" w:cs="Arial"/>
        </w:rPr>
        <w:t>.</w:t>
      </w:r>
    </w:p>
    <w:p w14:paraId="21E2E354" w14:textId="3B4B1D62" w:rsidR="06329E2C" w:rsidRDefault="06329E2C" w:rsidP="06329E2C">
      <w:pPr>
        <w:pStyle w:val="ListParagraph"/>
        <w:ind w:left="720"/>
        <w:rPr>
          <w:rFonts w:ascii="Arial" w:eastAsia="Arial" w:hAnsi="Arial" w:cs="Arial"/>
          <w:color w:val="000000" w:themeColor="text1"/>
        </w:rPr>
      </w:pPr>
    </w:p>
    <w:p w14:paraId="4F67D722" w14:textId="73ECC3A3" w:rsidR="0559B97C" w:rsidRPr="00BE777B" w:rsidRDefault="0559B97C" w:rsidP="00BE777B">
      <w:pPr>
        <w:pStyle w:val="ListParagraph"/>
        <w:ind w:left="720" w:firstLine="0"/>
        <w:rPr>
          <w:rFonts w:ascii="Arial" w:eastAsia="Arial" w:hAnsi="Arial" w:cs="Arial"/>
        </w:rPr>
      </w:pPr>
    </w:p>
    <w:p w14:paraId="415F375A" w14:textId="0AB8D511" w:rsidR="579FB563" w:rsidRDefault="579FB563" w:rsidP="1EC678D9">
      <w:pPr>
        <w:pStyle w:val="ListParagraph"/>
        <w:numPr>
          <w:ilvl w:val="0"/>
          <w:numId w:val="1"/>
        </w:numPr>
        <w:rPr>
          <w:rFonts w:ascii="Arial" w:eastAsia="Arial" w:hAnsi="Arial" w:cs="Arial"/>
          <w:color w:val="000000" w:themeColor="text1"/>
        </w:rPr>
      </w:pPr>
      <w:proofErr w:type="spellStart"/>
      <w:r w:rsidRPr="1EC678D9">
        <w:rPr>
          <w:rFonts w:ascii="Arial" w:eastAsia="Arial" w:hAnsi="Arial" w:cs="Arial"/>
        </w:rPr>
        <w:t>Segrott</w:t>
      </w:r>
      <w:proofErr w:type="spellEnd"/>
      <w:r w:rsidRPr="1EC678D9">
        <w:rPr>
          <w:rFonts w:ascii="Arial" w:eastAsia="Arial" w:hAnsi="Arial" w:cs="Arial"/>
        </w:rPr>
        <w:t>, J. et al. (2022) ‘</w:t>
      </w:r>
      <w:r w:rsidRPr="00F161C0">
        <w:rPr>
          <w:rFonts w:ascii="Arial" w:eastAsia="Arial" w:hAnsi="Arial" w:cs="Arial"/>
          <w:i/>
          <w:iCs/>
        </w:rPr>
        <w:t>Effectiveness of the Strengthening Families Programme in the UK at preventing substance misuse in 10–</w:t>
      </w:r>
      <w:proofErr w:type="gramStart"/>
      <w:r w:rsidRPr="00F161C0">
        <w:rPr>
          <w:rFonts w:ascii="Arial" w:eastAsia="Arial" w:hAnsi="Arial" w:cs="Arial"/>
          <w:i/>
          <w:iCs/>
        </w:rPr>
        <w:t>14 year-olds</w:t>
      </w:r>
      <w:proofErr w:type="gramEnd"/>
      <w:r w:rsidRPr="00F161C0">
        <w:rPr>
          <w:rFonts w:ascii="Arial" w:eastAsia="Arial" w:hAnsi="Arial" w:cs="Arial"/>
          <w:i/>
          <w:iCs/>
        </w:rPr>
        <w:t>: a pragmatic randomised controlled trial’</w:t>
      </w:r>
      <w:r w:rsidRPr="1EC678D9">
        <w:rPr>
          <w:rFonts w:ascii="Arial" w:eastAsia="Arial" w:hAnsi="Arial" w:cs="Arial"/>
        </w:rPr>
        <w:t xml:space="preserve">, BMJ open, 12(2), pp. e049647-. Available at: </w:t>
      </w:r>
      <w:hyperlink r:id="rId57">
        <w:r w:rsidRPr="1EC678D9">
          <w:rPr>
            <w:rStyle w:val="Hyperlink"/>
            <w:rFonts w:ascii="Arial" w:eastAsia="Arial" w:hAnsi="Arial" w:cs="Arial"/>
          </w:rPr>
          <w:t>https://doi.org/10.1136/bmjopen-2021-049647</w:t>
        </w:r>
      </w:hyperlink>
      <w:r w:rsidRPr="1EC678D9">
        <w:rPr>
          <w:rFonts w:ascii="Arial" w:eastAsia="Arial" w:hAnsi="Arial" w:cs="Arial"/>
        </w:rPr>
        <w:t>.</w:t>
      </w:r>
    </w:p>
    <w:p w14:paraId="3737F15A" w14:textId="40FF7F9C" w:rsidR="0559B97C" w:rsidRDefault="0559B97C" w:rsidP="1EC678D9">
      <w:pPr>
        <w:rPr>
          <w:rFonts w:ascii="Arial" w:eastAsia="Arial" w:hAnsi="Arial" w:cs="Arial"/>
        </w:rPr>
      </w:pPr>
    </w:p>
    <w:p w14:paraId="3E520A9B" w14:textId="05BEC6D2" w:rsidR="579FB563" w:rsidRDefault="579FB56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Sabharwal, R. and Miah, S.J. (2021). </w:t>
      </w:r>
      <w:r w:rsidRPr="00F161C0">
        <w:rPr>
          <w:rFonts w:ascii="Arial" w:eastAsia="Arial" w:hAnsi="Arial" w:cs="Arial"/>
          <w:i/>
          <w:iCs/>
        </w:rPr>
        <w:t>A new theoretical understanding of big data analytics capabilities in organizations: a thematic analysis</w:t>
      </w:r>
      <w:r w:rsidRPr="1EC678D9">
        <w:rPr>
          <w:rFonts w:ascii="Arial" w:eastAsia="Arial" w:hAnsi="Arial" w:cs="Arial"/>
        </w:rPr>
        <w:t xml:space="preserve">. Journal of Big Data, 8(1), pp.1–17.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://doi.org/10.1186/s40537-021-00543-6</w:t>
      </w:r>
      <w:proofErr w:type="gramEnd"/>
      <w:r w:rsidR="5BA26CDB" w:rsidRPr="1EC678D9">
        <w:rPr>
          <w:rFonts w:ascii="Arial" w:eastAsia="Arial" w:hAnsi="Arial" w:cs="Arial"/>
        </w:rPr>
        <w:t>.</w:t>
      </w:r>
    </w:p>
    <w:p w14:paraId="6CCF20E8" w14:textId="0F9BB162" w:rsidR="540F1010" w:rsidRDefault="540F1010" w:rsidP="1EC678D9">
      <w:pPr>
        <w:rPr>
          <w:rFonts w:ascii="Arial" w:eastAsia="Arial" w:hAnsi="Arial" w:cs="Arial"/>
        </w:rPr>
      </w:pPr>
    </w:p>
    <w:p w14:paraId="2533CC09" w14:textId="0DA9CE9D" w:rsidR="5BA26CDB" w:rsidRDefault="5BA26CDB" w:rsidP="1EC678D9">
      <w:pPr>
        <w:pStyle w:val="ListParagraph"/>
        <w:numPr>
          <w:ilvl w:val="0"/>
          <w:numId w:val="1"/>
        </w:numPr>
        <w:rPr>
          <w:rFonts w:ascii="Arial" w:eastAsia="Arial" w:hAnsi="Arial" w:cs="Arial"/>
        </w:rPr>
      </w:pPr>
      <w:r w:rsidRPr="06329E2C">
        <w:rPr>
          <w:rFonts w:ascii="Arial" w:eastAsia="Arial" w:hAnsi="Arial" w:cs="Arial"/>
        </w:rPr>
        <w:t xml:space="preserve">Simola, S. (2017) </w:t>
      </w:r>
      <w:r w:rsidRPr="00F161C0">
        <w:rPr>
          <w:rFonts w:ascii="Arial" w:eastAsia="Arial" w:hAnsi="Arial" w:cs="Arial"/>
          <w:i/>
          <w:iCs/>
        </w:rPr>
        <w:t xml:space="preserve">‘Managing for academic integrity in higher education: Insights from </w:t>
      </w:r>
      <w:proofErr w:type="spellStart"/>
      <w:r w:rsidRPr="00F161C0">
        <w:rPr>
          <w:rFonts w:ascii="Arial" w:eastAsia="Arial" w:hAnsi="Arial" w:cs="Arial"/>
          <w:i/>
          <w:iCs/>
        </w:rPr>
        <w:t>behavioral</w:t>
      </w:r>
      <w:proofErr w:type="spellEnd"/>
      <w:r w:rsidRPr="00F161C0">
        <w:rPr>
          <w:rFonts w:ascii="Arial" w:eastAsia="Arial" w:hAnsi="Arial" w:cs="Arial"/>
          <w:i/>
          <w:iCs/>
        </w:rPr>
        <w:t xml:space="preserve"> ethics.’,</w:t>
      </w:r>
      <w:r w:rsidRPr="06329E2C">
        <w:rPr>
          <w:rFonts w:ascii="Arial" w:eastAsia="Arial" w:hAnsi="Arial" w:cs="Arial"/>
        </w:rPr>
        <w:t xml:space="preserve"> Scholarship of teaching and learning in psychology., 3(1), pp. 43–57. Available at: </w:t>
      </w:r>
      <w:hyperlink r:id="rId58">
        <w:r w:rsidRPr="06329E2C">
          <w:rPr>
            <w:rStyle w:val="Hyperlink"/>
            <w:rFonts w:ascii="Arial" w:eastAsia="Arial" w:hAnsi="Arial" w:cs="Arial"/>
          </w:rPr>
          <w:t>https://doi.org/10.1037/stl0000076</w:t>
        </w:r>
      </w:hyperlink>
      <w:r w:rsidRPr="06329E2C">
        <w:rPr>
          <w:rFonts w:ascii="Arial" w:eastAsia="Arial" w:hAnsi="Arial" w:cs="Arial"/>
        </w:rPr>
        <w:t>.</w:t>
      </w:r>
    </w:p>
    <w:p w14:paraId="19A616FE" w14:textId="24C27808" w:rsidR="540F1010" w:rsidRDefault="540F1010" w:rsidP="06329E2C">
      <w:pPr>
        <w:pStyle w:val="ListParagraph"/>
        <w:ind w:left="720"/>
        <w:rPr>
          <w:rFonts w:ascii="Arial" w:eastAsia="Arial" w:hAnsi="Arial" w:cs="Arial"/>
        </w:rPr>
      </w:pPr>
    </w:p>
    <w:p w14:paraId="12C4580B" w14:textId="0B4EBDA4" w:rsidR="540F1010" w:rsidRDefault="0D72BFF8" w:rsidP="06329E2C">
      <w:pPr>
        <w:pStyle w:val="ListParagraph"/>
        <w:numPr>
          <w:ilvl w:val="0"/>
          <w:numId w:val="1"/>
        </w:numPr>
        <w:rPr>
          <w:rFonts w:ascii="Arial" w:eastAsia="Arial" w:hAnsi="Arial" w:cs="Arial"/>
        </w:rPr>
      </w:pPr>
      <w:r w:rsidRPr="06329E2C">
        <w:rPr>
          <w:rFonts w:ascii="Arial" w:eastAsia="Arial" w:hAnsi="Arial" w:cs="Arial"/>
        </w:rPr>
        <w:t xml:space="preserve">Schoenberger, S.F. </w:t>
      </w:r>
      <w:r w:rsidRPr="06329E2C">
        <w:rPr>
          <w:rFonts w:ascii="Arial" w:eastAsia="Arial" w:hAnsi="Arial" w:cs="Arial"/>
          <w:i/>
          <w:iCs/>
        </w:rPr>
        <w:t>et al.</w:t>
      </w:r>
      <w:r w:rsidRPr="06329E2C">
        <w:rPr>
          <w:rFonts w:ascii="Arial" w:eastAsia="Arial" w:hAnsi="Arial" w:cs="Arial"/>
        </w:rPr>
        <w:t xml:space="preserve"> (2022) </w:t>
      </w:r>
      <w:r w:rsidRPr="00F161C0">
        <w:rPr>
          <w:rFonts w:ascii="Arial" w:eastAsia="Arial" w:hAnsi="Arial" w:cs="Arial"/>
          <w:i/>
          <w:iCs/>
        </w:rPr>
        <w:t xml:space="preserve">‘“My Life Isn’t Defined by Substance Use”: Recovery </w:t>
      </w:r>
      <w:r w:rsidRPr="00F161C0">
        <w:rPr>
          <w:rFonts w:ascii="Arial" w:eastAsia="Arial" w:hAnsi="Arial" w:cs="Arial"/>
          <w:i/>
          <w:iCs/>
        </w:rPr>
        <w:lastRenderedPageBreak/>
        <w:t>Perspectives Among Young Adults with Substance Use Disorder’,</w:t>
      </w:r>
      <w:r w:rsidRPr="06329E2C">
        <w:rPr>
          <w:rFonts w:ascii="Arial" w:eastAsia="Arial" w:hAnsi="Arial" w:cs="Arial"/>
        </w:rPr>
        <w:t xml:space="preserve"> </w:t>
      </w:r>
      <w:r w:rsidRPr="06329E2C">
        <w:rPr>
          <w:rFonts w:ascii="Arial" w:eastAsia="Arial" w:hAnsi="Arial" w:cs="Arial"/>
          <w:i/>
          <w:iCs/>
        </w:rPr>
        <w:t xml:space="preserve">Journal of general internal </w:t>
      </w:r>
      <w:proofErr w:type="gramStart"/>
      <w:r w:rsidRPr="06329E2C">
        <w:rPr>
          <w:rFonts w:ascii="Arial" w:eastAsia="Arial" w:hAnsi="Arial" w:cs="Arial"/>
          <w:i/>
          <w:iCs/>
        </w:rPr>
        <w:t>medicine :</w:t>
      </w:r>
      <w:proofErr w:type="gramEnd"/>
      <w:r w:rsidRPr="06329E2C">
        <w:rPr>
          <w:rFonts w:ascii="Arial" w:eastAsia="Arial" w:hAnsi="Arial" w:cs="Arial"/>
          <w:i/>
          <w:iCs/>
        </w:rPr>
        <w:t xml:space="preserve"> JGIM</w:t>
      </w:r>
      <w:r w:rsidRPr="06329E2C">
        <w:rPr>
          <w:rFonts w:ascii="Arial" w:eastAsia="Arial" w:hAnsi="Arial" w:cs="Arial"/>
        </w:rPr>
        <w:t xml:space="preserve">, 37(4), pp. 816–822. Available at: </w:t>
      </w:r>
      <w:hyperlink r:id="rId59">
        <w:r w:rsidRPr="06329E2C">
          <w:rPr>
            <w:rStyle w:val="Hyperlink"/>
            <w:rFonts w:ascii="Arial" w:eastAsia="Arial" w:hAnsi="Arial" w:cs="Arial"/>
          </w:rPr>
          <w:t>https://doi.org/10.1007/s11606-021-06934-y</w:t>
        </w:r>
      </w:hyperlink>
      <w:r w:rsidRPr="06329E2C">
        <w:rPr>
          <w:rFonts w:ascii="Arial" w:eastAsia="Arial" w:hAnsi="Arial" w:cs="Arial"/>
        </w:rPr>
        <w:t>.</w:t>
      </w:r>
    </w:p>
    <w:p w14:paraId="627A0921" w14:textId="7AA3D2B8" w:rsidR="540F1010" w:rsidRDefault="540F1010" w:rsidP="06329E2C">
      <w:pPr>
        <w:pStyle w:val="ListParagraph"/>
        <w:ind w:left="720"/>
        <w:rPr>
          <w:rFonts w:ascii="Arial" w:eastAsia="Arial" w:hAnsi="Arial" w:cs="Arial"/>
        </w:rPr>
      </w:pPr>
    </w:p>
    <w:p w14:paraId="6AA670F9" w14:textId="763D50AB" w:rsidR="540F1010" w:rsidRDefault="540F1010" w:rsidP="06329E2C">
      <w:pPr>
        <w:pStyle w:val="ListParagraph"/>
        <w:ind w:left="720"/>
        <w:rPr>
          <w:rFonts w:ascii="Arial" w:eastAsia="Arial" w:hAnsi="Arial" w:cs="Arial"/>
        </w:rPr>
      </w:pPr>
    </w:p>
    <w:p w14:paraId="0480C6DD" w14:textId="04A6091F" w:rsidR="540F1010" w:rsidRDefault="26BB1C66" w:rsidP="06329E2C">
      <w:pPr>
        <w:pStyle w:val="ListParagraph"/>
        <w:numPr>
          <w:ilvl w:val="0"/>
          <w:numId w:val="1"/>
        </w:numPr>
        <w:rPr>
          <w:rFonts w:ascii="Arial" w:eastAsia="Arial" w:hAnsi="Arial" w:cs="Arial"/>
        </w:rPr>
      </w:pPr>
      <w:r w:rsidRPr="06329E2C">
        <w:rPr>
          <w:rFonts w:ascii="Arial" w:eastAsia="Arial" w:hAnsi="Arial" w:cs="Arial"/>
        </w:rPr>
        <w:t xml:space="preserve">Tinner, L. </w:t>
      </w:r>
      <w:r w:rsidRPr="06329E2C">
        <w:rPr>
          <w:rFonts w:ascii="Arial" w:eastAsia="Arial" w:hAnsi="Arial" w:cs="Arial"/>
          <w:i/>
          <w:iCs/>
        </w:rPr>
        <w:t>et al.</w:t>
      </w:r>
      <w:r w:rsidRPr="06329E2C">
        <w:rPr>
          <w:rFonts w:ascii="Arial" w:eastAsia="Arial" w:hAnsi="Arial" w:cs="Arial"/>
        </w:rPr>
        <w:t xml:space="preserve"> (2021) </w:t>
      </w:r>
      <w:r w:rsidRPr="00F161C0">
        <w:rPr>
          <w:rFonts w:ascii="Arial" w:eastAsia="Arial" w:hAnsi="Arial" w:cs="Arial"/>
          <w:i/>
          <w:iCs/>
        </w:rPr>
        <w:t>‘Understanding adolescent health risk behaviour and socioeconomic position</w:t>
      </w:r>
      <w:r w:rsidRPr="06329E2C">
        <w:rPr>
          <w:rFonts w:ascii="Arial" w:eastAsia="Arial" w:hAnsi="Arial" w:cs="Arial"/>
        </w:rPr>
        <w:t xml:space="preserve">: A grounded theory study of UK young adults’, </w:t>
      </w:r>
      <w:r w:rsidRPr="06329E2C">
        <w:rPr>
          <w:rFonts w:ascii="Arial" w:eastAsia="Arial" w:hAnsi="Arial" w:cs="Arial"/>
          <w:i/>
          <w:iCs/>
        </w:rPr>
        <w:t>Sociology of health &amp; illness</w:t>
      </w:r>
      <w:r w:rsidRPr="06329E2C">
        <w:rPr>
          <w:rFonts w:ascii="Arial" w:eastAsia="Arial" w:hAnsi="Arial" w:cs="Arial"/>
        </w:rPr>
        <w:t xml:space="preserve">, 43(2), pp. 528–544. Available at: </w:t>
      </w:r>
      <w:hyperlink r:id="rId60">
        <w:r w:rsidRPr="06329E2C">
          <w:rPr>
            <w:rStyle w:val="Hyperlink"/>
            <w:rFonts w:ascii="Arial" w:eastAsia="Arial" w:hAnsi="Arial" w:cs="Arial"/>
          </w:rPr>
          <w:t>https://doi.org/10.1111/1467-9566.13240</w:t>
        </w:r>
      </w:hyperlink>
      <w:r w:rsidRPr="06329E2C">
        <w:rPr>
          <w:rFonts w:ascii="Arial" w:eastAsia="Arial" w:hAnsi="Arial" w:cs="Arial"/>
        </w:rPr>
        <w:t>.</w:t>
      </w:r>
    </w:p>
    <w:p w14:paraId="21C973E9" w14:textId="4A86C00D" w:rsidR="59AE6312" w:rsidRDefault="59AE6312" w:rsidP="0E260372">
      <w:pPr>
        <w:ind w:left="720"/>
        <w:rPr>
          <w:rFonts w:ascii="Arial" w:eastAsia="Arial" w:hAnsi="Arial" w:cs="Arial"/>
        </w:rPr>
      </w:pPr>
    </w:p>
    <w:p w14:paraId="41724395" w14:textId="12160DE6" w:rsidR="03986F4E" w:rsidRDefault="03986F4E"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Tinner, L., Caldwell, D., Hickman, M. and Campbell, R. (2021</w:t>
      </w:r>
      <w:r w:rsidRPr="003C526C">
        <w:rPr>
          <w:rFonts w:ascii="Arial" w:eastAsia="Arial" w:hAnsi="Arial" w:cs="Arial"/>
          <w:i/>
          <w:iCs/>
        </w:rPr>
        <w:t>). Understanding adolescent health risk behaviour and socioeconomic position:</w:t>
      </w:r>
      <w:r w:rsidRPr="1EC678D9">
        <w:rPr>
          <w:rFonts w:ascii="Arial" w:eastAsia="Arial" w:hAnsi="Arial" w:cs="Arial"/>
        </w:rPr>
        <w:t xml:space="preserve"> A grounded theory study of UK young adults. Sociology of Health &amp; Illness, 43(2).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://doi.org/10.1111/1467-9566.13240</w:t>
      </w:r>
      <w:proofErr w:type="gramEnd"/>
      <w:r w:rsidRPr="1EC678D9">
        <w:rPr>
          <w:rFonts w:ascii="Arial" w:eastAsia="Arial" w:hAnsi="Arial" w:cs="Arial"/>
        </w:rPr>
        <w:t>.</w:t>
      </w:r>
    </w:p>
    <w:p w14:paraId="2C62B265" w14:textId="25186022" w:rsidR="03986F4E" w:rsidRDefault="03986F4E" w:rsidP="1EC678D9">
      <w:pPr>
        <w:rPr>
          <w:rFonts w:ascii="Arial" w:eastAsia="Arial" w:hAnsi="Arial" w:cs="Arial"/>
        </w:rPr>
      </w:pPr>
    </w:p>
    <w:p w14:paraId="04A26F9B" w14:textId="7576A0AC" w:rsidR="6FC7FBC1" w:rsidRDefault="6FC7FBC1"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Valentine, C., Bauld, L. and Walter, T. (2016). </w:t>
      </w:r>
      <w:r w:rsidRPr="003C526C">
        <w:rPr>
          <w:rFonts w:ascii="Arial" w:eastAsia="Arial" w:hAnsi="Arial" w:cs="Arial"/>
          <w:i/>
          <w:iCs/>
        </w:rPr>
        <w:t>Bereavement Following Substance Misuse. OMEGA</w:t>
      </w:r>
      <w:r w:rsidRPr="1EC678D9">
        <w:rPr>
          <w:rFonts w:ascii="Arial" w:eastAsia="Arial" w:hAnsi="Arial" w:cs="Arial"/>
        </w:rPr>
        <w:t xml:space="preserve"> - Journal of Death and Dying, 72(4), pp.283–301.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://doi.org/10.1177/0030222815625174</w:t>
      </w:r>
      <w:proofErr w:type="gramEnd"/>
      <w:r w:rsidRPr="1EC678D9">
        <w:rPr>
          <w:rFonts w:ascii="Arial" w:eastAsia="Arial" w:hAnsi="Arial" w:cs="Arial"/>
        </w:rPr>
        <w:t>.</w:t>
      </w:r>
    </w:p>
    <w:p w14:paraId="3D2CF764" w14:textId="188F6F6B" w:rsidR="540F1010" w:rsidRDefault="540F1010" w:rsidP="1EC678D9">
      <w:pPr>
        <w:rPr>
          <w:rFonts w:ascii="Arial" w:eastAsia="Arial" w:hAnsi="Arial" w:cs="Arial"/>
        </w:rPr>
      </w:pPr>
    </w:p>
    <w:p w14:paraId="404B9973" w14:textId="43F6AD54" w:rsidR="6FC7FBC1" w:rsidRDefault="6FC7FBC1" w:rsidP="1EC678D9">
      <w:pPr>
        <w:pStyle w:val="ListParagraph"/>
        <w:numPr>
          <w:ilvl w:val="0"/>
          <w:numId w:val="1"/>
        </w:numPr>
        <w:rPr>
          <w:rFonts w:ascii="Arial" w:eastAsia="Arial" w:hAnsi="Arial" w:cs="Arial"/>
        </w:rPr>
      </w:pPr>
      <w:r w:rsidRPr="1EC678D9">
        <w:rPr>
          <w:rFonts w:ascii="Arial" w:eastAsia="Arial" w:hAnsi="Arial" w:cs="Arial"/>
        </w:rPr>
        <w:t>‌</w:t>
      </w:r>
      <w:r w:rsidR="2F7A5354" w:rsidRPr="1EC678D9">
        <w:rPr>
          <w:rFonts w:ascii="Arial" w:eastAsia="Arial" w:hAnsi="Arial" w:cs="Arial"/>
        </w:rPr>
        <w:t xml:space="preserve"> Verboom, B., Montgomery, P. and Bennett, S. (2016) </w:t>
      </w:r>
      <w:r w:rsidR="2F7A5354" w:rsidRPr="003C526C">
        <w:rPr>
          <w:rFonts w:ascii="Arial" w:eastAsia="Arial" w:hAnsi="Arial" w:cs="Arial"/>
          <w:i/>
          <w:iCs/>
        </w:rPr>
        <w:t xml:space="preserve">‘What factors affect evidence-informed policymaking in public health? </w:t>
      </w:r>
      <w:r w:rsidR="2F7A5354" w:rsidRPr="1EC678D9">
        <w:rPr>
          <w:rFonts w:ascii="Arial" w:eastAsia="Arial" w:hAnsi="Arial" w:cs="Arial"/>
        </w:rPr>
        <w:t xml:space="preserve">Protocol for a systematic review of qualitative evidence using thematic synthesis’, Systematic reviews, 5(1). Available at: </w:t>
      </w:r>
      <w:hyperlink r:id="rId61">
        <w:r w:rsidR="2F7A5354" w:rsidRPr="1EC678D9">
          <w:rPr>
            <w:rStyle w:val="Hyperlink"/>
            <w:rFonts w:ascii="Arial" w:eastAsia="Arial" w:hAnsi="Arial" w:cs="Arial"/>
          </w:rPr>
          <w:t>https://doi.org/10.1186/s13643-016-0240-6</w:t>
        </w:r>
      </w:hyperlink>
      <w:r w:rsidR="2F7A5354" w:rsidRPr="1EC678D9">
        <w:rPr>
          <w:rFonts w:ascii="Arial" w:eastAsia="Arial" w:hAnsi="Arial" w:cs="Arial"/>
        </w:rPr>
        <w:t>.</w:t>
      </w:r>
    </w:p>
    <w:p w14:paraId="44996002" w14:textId="677B5D8D" w:rsidR="6FC7FBC1" w:rsidRDefault="6FC7FBC1" w:rsidP="1EC678D9">
      <w:pPr>
        <w:rPr>
          <w:rFonts w:ascii="Arial" w:eastAsia="Arial" w:hAnsi="Arial" w:cs="Arial"/>
        </w:rPr>
      </w:pPr>
    </w:p>
    <w:p w14:paraId="2A8A40CD" w14:textId="17940B00" w:rsidR="0559B97C" w:rsidRDefault="0559B97C" w:rsidP="1EC678D9">
      <w:pPr>
        <w:rPr>
          <w:rFonts w:ascii="Arial" w:eastAsia="Arial" w:hAnsi="Arial" w:cs="Arial"/>
        </w:rPr>
      </w:pPr>
    </w:p>
    <w:p w14:paraId="2F3ED30E" w14:textId="0FEF4125" w:rsidR="624B5656" w:rsidRDefault="624B5656"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Valdez, E.S., </w:t>
      </w:r>
      <w:proofErr w:type="spellStart"/>
      <w:r w:rsidRPr="1EC678D9">
        <w:rPr>
          <w:rFonts w:ascii="Arial" w:eastAsia="Arial" w:hAnsi="Arial" w:cs="Arial"/>
        </w:rPr>
        <w:t>Skobic</w:t>
      </w:r>
      <w:proofErr w:type="spellEnd"/>
      <w:r w:rsidRPr="1EC678D9">
        <w:rPr>
          <w:rFonts w:ascii="Arial" w:eastAsia="Arial" w:hAnsi="Arial" w:cs="Arial"/>
        </w:rPr>
        <w:t xml:space="preserve">, I., Valdez, L., O Garcia, D., </w:t>
      </w:r>
      <w:proofErr w:type="spellStart"/>
      <w:r w:rsidRPr="1EC678D9">
        <w:rPr>
          <w:rFonts w:ascii="Arial" w:eastAsia="Arial" w:hAnsi="Arial" w:cs="Arial"/>
        </w:rPr>
        <w:t>Korchmaros</w:t>
      </w:r>
      <w:proofErr w:type="spellEnd"/>
      <w:r w:rsidRPr="1EC678D9">
        <w:rPr>
          <w:rFonts w:ascii="Arial" w:eastAsia="Arial" w:hAnsi="Arial" w:cs="Arial"/>
        </w:rPr>
        <w:t xml:space="preserve">, J., Stevens, S., Sabo, S. and Carvajal, S. (2019). </w:t>
      </w:r>
      <w:r w:rsidRPr="003C526C">
        <w:rPr>
          <w:rFonts w:ascii="Arial" w:eastAsia="Arial" w:hAnsi="Arial" w:cs="Arial"/>
          <w:i/>
          <w:iCs/>
        </w:rPr>
        <w:t>Youth Participatory Action Research for Youth Substance Use Prevention:</w:t>
      </w:r>
      <w:r w:rsidRPr="1EC678D9">
        <w:rPr>
          <w:rFonts w:ascii="Arial" w:eastAsia="Arial" w:hAnsi="Arial" w:cs="Arial"/>
        </w:rPr>
        <w:t xml:space="preserve"> A Systematic Review. Substance Use &amp; Misuse, 55(2), pp.314–328. </w:t>
      </w:r>
      <w:proofErr w:type="spellStart"/>
      <w:proofErr w:type="gramStart"/>
      <w:r w:rsidRPr="1EC678D9">
        <w:rPr>
          <w:rFonts w:ascii="Arial" w:eastAsia="Arial" w:hAnsi="Arial" w:cs="Arial"/>
        </w:rPr>
        <w:t>doi:https</w:t>
      </w:r>
      <w:proofErr w:type="spellEnd"/>
      <w:r w:rsidRPr="1EC678D9">
        <w:rPr>
          <w:rFonts w:ascii="Arial" w:eastAsia="Arial" w:hAnsi="Arial" w:cs="Arial"/>
        </w:rPr>
        <w:t>://doi.org/10.1080/10826084.2019.1668014</w:t>
      </w:r>
      <w:proofErr w:type="gramEnd"/>
      <w:r w:rsidR="1A45BB61" w:rsidRPr="1EC678D9">
        <w:rPr>
          <w:rFonts w:ascii="Arial" w:eastAsia="Arial" w:hAnsi="Arial" w:cs="Arial"/>
        </w:rPr>
        <w:t>.</w:t>
      </w:r>
    </w:p>
    <w:p w14:paraId="7C8899B7" w14:textId="3D185483" w:rsidR="1EC678D9" w:rsidRDefault="1EC678D9" w:rsidP="1EC678D9">
      <w:pPr>
        <w:pStyle w:val="ListParagraph"/>
        <w:ind w:left="720"/>
        <w:rPr>
          <w:rFonts w:ascii="Arial" w:eastAsia="Arial" w:hAnsi="Arial" w:cs="Arial"/>
          <w:color w:val="000000" w:themeColor="text1"/>
        </w:rPr>
      </w:pPr>
    </w:p>
    <w:p w14:paraId="70E71CDA" w14:textId="3DB0096D" w:rsidR="1A45BB61" w:rsidRDefault="1A45BB61" w:rsidP="1EC678D9">
      <w:pPr>
        <w:pStyle w:val="ListParagraph"/>
        <w:numPr>
          <w:ilvl w:val="0"/>
          <w:numId w:val="1"/>
        </w:numPr>
        <w:rPr>
          <w:rFonts w:ascii="Arial" w:eastAsia="Arial" w:hAnsi="Arial" w:cs="Arial"/>
        </w:rPr>
      </w:pPr>
      <w:r w:rsidRPr="06329E2C">
        <w:rPr>
          <w:rFonts w:ascii="Arial" w:eastAsia="Arial" w:hAnsi="Arial" w:cs="Arial"/>
        </w:rPr>
        <w:t xml:space="preserve">Volkow, N.D. and Blanco, C. (2023) </w:t>
      </w:r>
      <w:r w:rsidRPr="003C526C">
        <w:rPr>
          <w:rFonts w:ascii="Arial" w:eastAsia="Arial" w:hAnsi="Arial" w:cs="Arial"/>
          <w:i/>
          <w:iCs/>
        </w:rPr>
        <w:t xml:space="preserve">‘substance use disorders: a comprehensive update of classification, epidemiology, neurobiology, clinical aspects, treatment and prevention’, </w:t>
      </w:r>
      <w:r w:rsidRPr="06329E2C">
        <w:rPr>
          <w:rFonts w:ascii="Arial" w:eastAsia="Arial" w:hAnsi="Arial" w:cs="Arial"/>
          <w:i/>
          <w:iCs/>
        </w:rPr>
        <w:t>World psychiatry</w:t>
      </w:r>
      <w:r w:rsidRPr="06329E2C">
        <w:rPr>
          <w:rFonts w:ascii="Arial" w:eastAsia="Arial" w:hAnsi="Arial" w:cs="Arial"/>
        </w:rPr>
        <w:t xml:space="preserve">, 22(2), pp. 203–229. Available at: </w:t>
      </w:r>
      <w:hyperlink r:id="rId62">
        <w:r w:rsidRPr="06329E2C">
          <w:rPr>
            <w:rStyle w:val="Hyperlink"/>
            <w:rFonts w:ascii="Arial" w:eastAsia="Arial" w:hAnsi="Arial" w:cs="Arial"/>
          </w:rPr>
          <w:t>https://doi.org/10.1002/wps.21073</w:t>
        </w:r>
      </w:hyperlink>
      <w:r w:rsidRPr="06329E2C">
        <w:rPr>
          <w:rFonts w:ascii="Arial" w:eastAsia="Arial" w:hAnsi="Arial" w:cs="Arial"/>
        </w:rPr>
        <w:t>.</w:t>
      </w:r>
    </w:p>
    <w:p w14:paraId="6510A19A" w14:textId="372CD458" w:rsidR="06329E2C" w:rsidRDefault="06329E2C" w:rsidP="06329E2C">
      <w:pPr>
        <w:pStyle w:val="ListParagraph"/>
        <w:ind w:left="720"/>
        <w:rPr>
          <w:rFonts w:ascii="Arial" w:eastAsia="Arial" w:hAnsi="Arial" w:cs="Arial"/>
        </w:rPr>
      </w:pPr>
    </w:p>
    <w:p w14:paraId="718E618D" w14:textId="555BE891" w:rsidR="01AE34DF" w:rsidRDefault="01AE34DF" w:rsidP="06329E2C">
      <w:pPr>
        <w:pStyle w:val="ListParagraph"/>
        <w:numPr>
          <w:ilvl w:val="0"/>
          <w:numId w:val="1"/>
        </w:numPr>
        <w:rPr>
          <w:rFonts w:ascii="Arial" w:eastAsia="Arial" w:hAnsi="Arial" w:cs="Arial"/>
        </w:rPr>
      </w:pPr>
      <w:proofErr w:type="spellStart"/>
      <w:r w:rsidRPr="06329E2C">
        <w:rPr>
          <w:rFonts w:ascii="Arial" w:eastAsia="Arial" w:hAnsi="Arial" w:cs="Arial"/>
        </w:rPr>
        <w:t>Vearrier</w:t>
      </w:r>
      <w:proofErr w:type="spellEnd"/>
      <w:r w:rsidRPr="06329E2C">
        <w:rPr>
          <w:rFonts w:ascii="Arial" w:eastAsia="Arial" w:hAnsi="Arial" w:cs="Arial"/>
        </w:rPr>
        <w:t>, L. (2019) ‘</w:t>
      </w:r>
      <w:r w:rsidRPr="003C526C">
        <w:rPr>
          <w:rFonts w:ascii="Arial" w:eastAsia="Arial" w:hAnsi="Arial" w:cs="Arial"/>
          <w:i/>
          <w:iCs/>
        </w:rPr>
        <w:t>The value of harm reduction for injection drug use:</w:t>
      </w:r>
      <w:r w:rsidRPr="06329E2C">
        <w:rPr>
          <w:rFonts w:ascii="Arial" w:eastAsia="Arial" w:hAnsi="Arial" w:cs="Arial"/>
        </w:rPr>
        <w:t xml:space="preserve"> A clinical and public health ethics analysis’, </w:t>
      </w:r>
      <w:r w:rsidRPr="06329E2C">
        <w:rPr>
          <w:rFonts w:ascii="Arial" w:eastAsia="Arial" w:hAnsi="Arial" w:cs="Arial"/>
          <w:i/>
          <w:iCs/>
        </w:rPr>
        <w:t>Disease-a-month</w:t>
      </w:r>
      <w:r w:rsidRPr="06329E2C">
        <w:rPr>
          <w:rFonts w:ascii="Arial" w:eastAsia="Arial" w:hAnsi="Arial" w:cs="Arial"/>
        </w:rPr>
        <w:t xml:space="preserve">, 65(5), pp. 119–141. Available at: </w:t>
      </w:r>
      <w:hyperlink r:id="rId63">
        <w:r w:rsidRPr="06329E2C">
          <w:rPr>
            <w:rStyle w:val="Hyperlink"/>
            <w:rFonts w:ascii="Arial" w:eastAsia="Arial" w:hAnsi="Arial" w:cs="Arial"/>
          </w:rPr>
          <w:t>https://doi.org/10.1016/j.disamonth.2018.12.002</w:t>
        </w:r>
      </w:hyperlink>
      <w:r w:rsidRPr="06329E2C">
        <w:rPr>
          <w:rFonts w:ascii="Arial" w:eastAsia="Arial" w:hAnsi="Arial" w:cs="Arial"/>
        </w:rPr>
        <w:t>.</w:t>
      </w:r>
    </w:p>
    <w:p w14:paraId="3716C01E" w14:textId="40D95E7D" w:rsidR="06329E2C" w:rsidRDefault="06329E2C" w:rsidP="06329E2C">
      <w:pPr>
        <w:pStyle w:val="ListParagraph"/>
        <w:ind w:left="720"/>
        <w:rPr>
          <w:rFonts w:ascii="Arial" w:eastAsia="Arial" w:hAnsi="Arial" w:cs="Arial"/>
        </w:rPr>
      </w:pPr>
    </w:p>
    <w:p w14:paraId="7006A426" w14:textId="75BF959E" w:rsidR="1EC678D9" w:rsidRDefault="1EC678D9" w:rsidP="1EC678D9">
      <w:pPr>
        <w:pStyle w:val="ListParagraph"/>
        <w:ind w:left="720"/>
        <w:rPr>
          <w:rFonts w:ascii="Arial" w:eastAsia="Arial" w:hAnsi="Arial" w:cs="Arial"/>
          <w:color w:val="000000" w:themeColor="text1"/>
        </w:rPr>
      </w:pPr>
    </w:p>
    <w:p w14:paraId="7E264804" w14:textId="4198087E" w:rsidR="1EC678D9" w:rsidRDefault="1EC678D9" w:rsidP="1EC678D9">
      <w:pPr>
        <w:pStyle w:val="ListParagraph"/>
        <w:ind w:left="720"/>
        <w:rPr>
          <w:rFonts w:ascii="Arial" w:eastAsia="Arial" w:hAnsi="Arial" w:cs="Arial"/>
          <w:color w:val="000000" w:themeColor="text1"/>
        </w:rPr>
      </w:pPr>
    </w:p>
    <w:p w14:paraId="7300AF84" w14:textId="11C87F5D" w:rsidR="624B5656" w:rsidRDefault="624B5656" w:rsidP="1EC678D9">
      <w:pPr>
        <w:pStyle w:val="ListParagraph"/>
        <w:numPr>
          <w:ilvl w:val="0"/>
          <w:numId w:val="1"/>
        </w:numPr>
        <w:rPr>
          <w:rFonts w:ascii="Arial" w:eastAsia="Arial" w:hAnsi="Arial" w:cs="Arial"/>
        </w:rPr>
      </w:pPr>
      <w:r w:rsidRPr="1EC678D9">
        <w:rPr>
          <w:rFonts w:ascii="Arial" w:eastAsia="Arial" w:hAnsi="Arial" w:cs="Arial"/>
        </w:rPr>
        <w:t>‌</w:t>
      </w:r>
      <w:r w:rsidR="2C462FD3" w:rsidRPr="1EC678D9">
        <w:rPr>
          <w:rFonts w:ascii="Arial" w:eastAsia="Arial" w:hAnsi="Arial" w:cs="Arial"/>
        </w:rPr>
        <w:t xml:space="preserve"> Wilkhu, P., 2022</w:t>
      </w:r>
      <w:r w:rsidR="2C462FD3" w:rsidRPr="003C526C">
        <w:rPr>
          <w:rFonts w:ascii="Arial" w:eastAsia="Arial" w:hAnsi="Arial" w:cs="Arial"/>
          <w:i/>
          <w:iCs/>
        </w:rPr>
        <w:t>. Investigating illicit drug use in adolescent students in England.</w:t>
      </w:r>
      <w:r w:rsidR="2C462FD3" w:rsidRPr="1EC678D9">
        <w:rPr>
          <w:rFonts w:ascii="Arial" w:eastAsia="Arial" w:hAnsi="Arial" w:cs="Arial"/>
        </w:rPr>
        <w:t xml:space="preserve"> Lancaster University (United Kingdom).</w:t>
      </w:r>
      <w:r w:rsidR="098A01E8" w:rsidRPr="1EC678D9">
        <w:rPr>
          <w:rFonts w:ascii="Arial" w:eastAsia="Arial" w:hAnsi="Arial" w:cs="Arial"/>
        </w:rPr>
        <w:t xml:space="preserve"> </w:t>
      </w:r>
    </w:p>
    <w:p w14:paraId="59337AA2" w14:textId="4F79374E" w:rsidR="0559B97C" w:rsidRDefault="0559B97C" w:rsidP="1EC678D9">
      <w:pPr>
        <w:rPr>
          <w:rFonts w:ascii="Arial" w:eastAsia="Arial" w:hAnsi="Arial" w:cs="Arial"/>
        </w:rPr>
      </w:pPr>
    </w:p>
    <w:p w14:paraId="6472BE23" w14:textId="65F47027" w:rsidR="1EC678D9" w:rsidRDefault="1EC678D9" w:rsidP="1EC678D9">
      <w:pPr>
        <w:rPr>
          <w:rFonts w:ascii="Arial" w:eastAsia="Arial" w:hAnsi="Arial" w:cs="Arial"/>
        </w:rPr>
      </w:pPr>
    </w:p>
    <w:p w14:paraId="616F1EE4" w14:textId="7873CFCD" w:rsidR="1EC678D9" w:rsidRDefault="54C0C27A" w:rsidP="0E260372">
      <w:pPr>
        <w:pStyle w:val="ListParagraph"/>
        <w:numPr>
          <w:ilvl w:val="0"/>
          <w:numId w:val="1"/>
        </w:numPr>
        <w:rPr>
          <w:rFonts w:ascii="Arial" w:eastAsia="Arial" w:hAnsi="Arial" w:cs="Arial"/>
        </w:rPr>
      </w:pPr>
      <w:r w:rsidRPr="0E260372">
        <w:rPr>
          <w:rFonts w:ascii="Arial" w:eastAsia="Arial" w:hAnsi="Arial" w:cs="Arial"/>
        </w:rPr>
        <w:t>Watts, L.L. et al. (2024</w:t>
      </w:r>
      <w:r w:rsidRPr="001A7875">
        <w:rPr>
          <w:rFonts w:ascii="Arial" w:eastAsia="Arial" w:hAnsi="Arial" w:cs="Arial"/>
          <w:i/>
          <w:iCs/>
        </w:rPr>
        <w:t>) ‘A meta-analysis study on peer influence and adolescent substance use’,</w:t>
      </w:r>
      <w:r w:rsidRPr="0E260372">
        <w:rPr>
          <w:rFonts w:ascii="Arial" w:eastAsia="Arial" w:hAnsi="Arial" w:cs="Arial"/>
        </w:rPr>
        <w:t xml:space="preserve"> Current psychology (New Brunswick, N.J.), 43(5), pp. 3866–3881. </w:t>
      </w:r>
      <w:r w:rsidRPr="0E260372">
        <w:rPr>
          <w:rFonts w:ascii="Arial" w:eastAsia="Arial" w:hAnsi="Arial" w:cs="Arial"/>
        </w:rPr>
        <w:lastRenderedPageBreak/>
        <w:t xml:space="preserve">Available at: </w:t>
      </w:r>
      <w:hyperlink r:id="rId64">
        <w:r w:rsidRPr="0E260372">
          <w:rPr>
            <w:rStyle w:val="Hyperlink"/>
            <w:rFonts w:ascii="Arial" w:eastAsia="Arial" w:hAnsi="Arial" w:cs="Arial"/>
          </w:rPr>
          <w:t>https://doi.org/10.1007/s12144-023-04944-z</w:t>
        </w:r>
      </w:hyperlink>
      <w:r w:rsidRPr="0E260372">
        <w:rPr>
          <w:rFonts w:ascii="Arial" w:eastAsia="Arial" w:hAnsi="Arial" w:cs="Arial"/>
        </w:rPr>
        <w:t>.</w:t>
      </w:r>
    </w:p>
    <w:p w14:paraId="34FBBE77" w14:textId="56773899" w:rsidR="1EC678D9" w:rsidRDefault="1EC678D9" w:rsidP="1EC678D9">
      <w:pPr>
        <w:rPr>
          <w:rFonts w:ascii="Arial" w:eastAsia="Arial" w:hAnsi="Arial" w:cs="Arial"/>
        </w:rPr>
      </w:pPr>
    </w:p>
    <w:p w14:paraId="715EF63A" w14:textId="66DD6474" w:rsidR="0559B97C" w:rsidRDefault="219A6B73" w:rsidP="1EC678D9">
      <w:pPr>
        <w:pStyle w:val="ListParagraph"/>
        <w:numPr>
          <w:ilvl w:val="0"/>
          <w:numId w:val="1"/>
        </w:numPr>
        <w:rPr>
          <w:rFonts w:ascii="Arial" w:eastAsia="Arial" w:hAnsi="Arial" w:cs="Arial"/>
          <w:color w:val="000000" w:themeColor="text1"/>
        </w:rPr>
      </w:pPr>
      <w:r w:rsidRPr="1EC678D9">
        <w:rPr>
          <w:rFonts w:ascii="Arial" w:eastAsia="Arial" w:hAnsi="Arial" w:cs="Arial"/>
        </w:rPr>
        <w:t xml:space="preserve">Yates, R. (2002). </w:t>
      </w:r>
      <w:r w:rsidRPr="001A7875">
        <w:rPr>
          <w:rFonts w:ascii="Arial" w:eastAsia="Arial" w:hAnsi="Arial" w:cs="Arial"/>
          <w:i/>
          <w:iCs/>
        </w:rPr>
        <w:t>A Brief History of British Drug Policy,</w:t>
      </w:r>
      <w:r w:rsidRPr="1EC678D9">
        <w:rPr>
          <w:rFonts w:ascii="Arial" w:eastAsia="Arial" w:hAnsi="Arial" w:cs="Arial"/>
        </w:rPr>
        <w:t xml:space="preserve"> 1950-2001. Drugs: Education, Prevention and Policy, 9(2), pp.113–124:</w:t>
      </w:r>
      <w:r w:rsidR="0ACC8CFF" w:rsidRPr="1EC678D9">
        <w:rPr>
          <w:rFonts w:ascii="Arial" w:eastAsia="Arial" w:hAnsi="Arial" w:cs="Arial"/>
        </w:rPr>
        <w:t xml:space="preserve"> </w:t>
      </w:r>
      <w:hyperlink r:id="rId65">
        <w:r w:rsidR="0ACC8CFF" w:rsidRPr="1EC678D9">
          <w:rPr>
            <w:rStyle w:val="Hyperlink"/>
            <w:rFonts w:ascii="Arial" w:eastAsia="Arial" w:hAnsi="Arial" w:cs="Arial"/>
          </w:rPr>
          <w:t>https://</w:t>
        </w:r>
        <w:r w:rsidRPr="1EC678D9">
          <w:rPr>
            <w:rStyle w:val="Hyperlink"/>
            <w:rFonts w:ascii="Arial" w:eastAsia="Arial" w:hAnsi="Arial" w:cs="Arial"/>
          </w:rPr>
          <w:t>doi.org/10.1080/09687630110118478</w:t>
        </w:r>
      </w:hyperlink>
      <w:r w:rsidRPr="1EC678D9">
        <w:rPr>
          <w:rFonts w:ascii="Arial" w:eastAsia="Arial" w:hAnsi="Arial" w:cs="Arial"/>
        </w:rPr>
        <w:t>.</w:t>
      </w:r>
    </w:p>
    <w:p w14:paraId="0EB3CC13" w14:textId="33D52B24" w:rsidR="1EC678D9" w:rsidRDefault="1EC678D9" w:rsidP="1EC678D9">
      <w:pPr>
        <w:rPr>
          <w:rFonts w:ascii="Arial" w:eastAsia="Arial" w:hAnsi="Arial" w:cs="Arial"/>
        </w:rPr>
      </w:pPr>
    </w:p>
    <w:p w14:paraId="250201D9" w14:textId="53A91035" w:rsidR="0559B97C" w:rsidRDefault="219A6B73" w:rsidP="1EC678D9">
      <w:pPr>
        <w:pStyle w:val="ListParagraph"/>
        <w:numPr>
          <w:ilvl w:val="0"/>
          <w:numId w:val="1"/>
        </w:numPr>
        <w:rPr>
          <w:rFonts w:ascii="Arial" w:eastAsia="Arial" w:hAnsi="Arial" w:cs="Arial"/>
        </w:rPr>
      </w:pPr>
      <w:r w:rsidRPr="1EC678D9">
        <w:rPr>
          <w:rFonts w:ascii="Arial" w:eastAsia="Arial" w:hAnsi="Arial" w:cs="Arial"/>
        </w:rPr>
        <w:t>‌</w:t>
      </w:r>
      <w:r w:rsidR="40779456" w:rsidRPr="1EC678D9">
        <w:rPr>
          <w:rFonts w:ascii="Arial" w:eastAsia="Arial" w:hAnsi="Arial" w:cs="Arial"/>
        </w:rPr>
        <w:t xml:space="preserve"> Yoon, S. et al. (2018) </w:t>
      </w:r>
      <w:r w:rsidR="40779456" w:rsidRPr="001A7875">
        <w:rPr>
          <w:rFonts w:ascii="Arial" w:eastAsia="Arial" w:hAnsi="Arial" w:cs="Arial"/>
          <w:i/>
          <w:iCs/>
        </w:rPr>
        <w:t>‘Vulnerability or resilience to early substance use among adolescents at risk: The roles of maltreatment and father involvement’</w:t>
      </w:r>
      <w:r w:rsidR="40779456" w:rsidRPr="1EC678D9">
        <w:rPr>
          <w:rFonts w:ascii="Arial" w:eastAsia="Arial" w:hAnsi="Arial" w:cs="Arial"/>
        </w:rPr>
        <w:t xml:space="preserve">, Child Abuse &amp; Neglect, 86, pp. 206–216. Available at: </w:t>
      </w:r>
      <w:hyperlink r:id="rId66">
        <w:r w:rsidR="40779456" w:rsidRPr="1EC678D9">
          <w:rPr>
            <w:rStyle w:val="Hyperlink"/>
            <w:rFonts w:ascii="Arial" w:eastAsia="Arial" w:hAnsi="Arial" w:cs="Arial"/>
          </w:rPr>
          <w:t>https://doi.org/10.1016/j.chiabu.2018.09.020</w:t>
        </w:r>
      </w:hyperlink>
      <w:r w:rsidR="40779456" w:rsidRPr="1EC678D9">
        <w:rPr>
          <w:rFonts w:ascii="Arial" w:eastAsia="Arial" w:hAnsi="Arial" w:cs="Arial"/>
        </w:rPr>
        <w:t>.</w:t>
      </w:r>
    </w:p>
    <w:p w14:paraId="18FF2427" w14:textId="04524AEF" w:rsidR="0559B97C" w:rsidRDefault="0559B97C" w:rsidP="1EC678D9">
      <w:pPr>
        <w:spacing w:before="240" w:after="240"/>
        <w:rPr>
          <w:rFonts w:ascii="Calibri" w:eastAsia="Calibri" w:hAnsi="Calibri" w:cs="Calibri"/>
          <w:color w:val="000000" w:themeColor="text1"/>
        </w:rPr>
      </w:pPr>
    </w:p>
    <w:p w14:paraId="5215A8AB" w14:textId="287E277C" w:rsidR="0559B97C" w:rsidRDefault="0559B97C" w:rsidP="03E81E05">
      <w:pPr>
        <w:rPr>
          <w:rFonts w:ascii="Arial" w:eastAsia="Arial" w:hAnsi="Arial" w:cs="Arial"/>
          <w:color w:val="000000" w:themeColor="text1"/>
        </w:rPr>
      </w:pPr>
    </w:p>
    <w:p w14:paraId="0421C68D" w14:textId="4909E92B" w:rsidR="579FB563" w:rsidRDefault="579FB563" w:rsidP="0559B97C">
      <w:pPr>
        <w:rPr>
          <w:rFonts w:eastAsia="Aptos" w:cs="Aptos"/>
          <w:color w:val="000000" w:themeColor="text1"/>
          <w:sz w:val="24"/>
          <w:szCs w:val="24"/>
        </w:rPr>
      </w:pPr>
      <w:r w:rsidRPr="0559B97C">
        <w:rPr>
          <w:rFonts w:eastAsia="Aptos" w:cs="Aptos"/>
          <w:color w:val="000000" w:themeColor="text1"/>
          <w:sz w:val="24"/>
          <w:szCs w:val="24"/>
        </w:rPr>
        <w:t>‌</w:t>
      </w:r>
    </w:p>
    <w:p w14:paraId="0B365496" w14:textId="4F66998D" w:rsidR="0559B97C" w:rsidRDefault="0559B97C" w:rsidP="0559B97C">
      <w:pPr>
        <w:rPr>
          <w:rFonts w:eastAsia="Aptos" w:cs="Aptos"/>
          <w:color w:val="000000" w:themeColor="text1"/>
          <w:sz w:val="24"/>
          <w:szCs w:val="24"/>
        </w:rPr>
      </w:pPr>
    </w:p>
    <w:p w14:paraId="11E41E01" w14:textId="07B8FCC4" w:rsidR="579FB563" w:rsidRDefault="579FB563" w:rsidP="0559B97C">
      <w:pPr>
        <w:rPr>
          <w:rFonts w:eastAsia="Aptos" w:cs="Aptos"/>
          <w:color w:val="000000" w:themeColor="text1"/>
          <w:sz w:val="24"/>
          <w:szCs w:val="24"/>
        </w:rPr>
      </w:pPr>
      <w:r>
        <w:br/>
      </w:r>
    </w:p>
    <w:p w14:paraId="474DC4D4" w14:textId="17339AC1" w:rsidR="0559B97C" w:rsidRDefault="0559B97C" w:rsidP="0E260372">
      <w:pPr>
        <w:spacing w:after="0"/>
      </w:pPr>
    </w:p>
    <w:p w14:paraId="34051C37" w14:textId="3C695050" w:rsidR="4C36EC44" w:rsidRDefault="4C36EC44" w:rsidP="0559B97C">
      <w:pPr>
        <w:spacing w:before="240" w:after="240"/>
        <w:rPr>
          <w:rFonts w:ascii="Calibri" w:eastAsia="Calibri" w:hAnsi="Calibri" w:cs="Calibri"/>
          <w:color w:val="000000" w:themeColor="text1"/>
        </w:rPr>
      </w:pPr>
      <w:r w:rsidRPr="0559B97C">
        <w:rPr>
          <w:rFonts w:ascii="Calibri" w:eastAsia="Calibri" w:hAnsi="Calibri" w:cs="Calibri"/>
          <w:color w:val="000000" w:themeColor="text1"/>
        </w:rPr>
        <w:t>‌</w:t>
      </w:r>
    </w:p>
    <w:p w14:paraId="40E4F320" w14:textId="465304D9" w:rsidR="0559B97C" w:rsidRDefault="0559B97C"/>
    <w:p w14:paraId="4032D788" w14:textId="6B67C199" w:rsidR="540F1010" w:rsidRDefault="540F1010" w:rsidP="540F1010">
      <w:pPr>
        <w:pStyle w:val="Heading1"/>
        <w:ind w:left="0"/>
      </w:pPr>
    </w:p>
    <w:p w14:paraId="3DFEE80F" w14:textId="14CA9046" w:rsidR="0E260372" w:rsidRDefault="0E260372" w:rsidP="0E260372">
      <w:pPr>
        <w:rPr>
          <w:rStyle w:val="Heading1Char"/>
        </w:rPr>
      </w:pPr>
    </w:p>
    <w:p w14:paraId="172DFECC" w14:textId="7DCD1073" w:rsidR="0E260372" w:rsidRDefault="0E260372" w:rsidP="0E260372">
      <w:pPr>
        <w:rPr>
          <w:rStyle w:val="Heading1Char"/>
        </w:rPr>
      </w:pPr>
    </w:p>
    <w:p w14:paraId="5ECE91CC" w14:textId="160B5D98" w:rsidR="0E260372" w:rsidRDefault="0E260372" w:rsidP="0E260372">
      <w:pPr>
        <w:rPr>
          <w:rStyle w:val="Heading1Char"/>
        </w:rPr>
      </w:pPr>
    </w:p>
    <w:p w14:paraId="41184E7A" w14:textId="091358F3" w:rsidR="0E260372" w:rsidRDefault="0E260372" w:rsidP="0E260372">
      <w:pPr>
        <w:rPr>
          <w:rStyle w:val="Heading1Char"/>
        </w:rPr>
      </w:pPr>
    </w:p>
    <w:p w14:paraId="56F3754A" w14:textId="14E3DF77" w:rsidR="0E260372" w:rsidRDefault="0E260372" w:rsidP="0E260372">
      <w:pPr>
        <w:rPr>
          <w:rStyle w:val="Heading1Char"/>
        </w:rPr>
      </w:pPr>
    </w:p>
    <w:p w14:paraId="4F82B997" w14:textId="6CF27D14" w:rsidR="00A15659" w:rsidRDefault="00A15659" w:rsidP="00A4007E">
      <w:pPr>
        <w:pStyle w:val="Heading1"/>
        <w:rPr>
          <w:rStyle w:val="Heading1Char"/>
          <w:b/>
          <w:bCs/>
        </w:rPr>
      </w:pPr>
      <w:bookmarkStart w:id="32" w:name="_Toc213871368"/>
    </w:p>
    <w:p w14:paraId="18B8E689" w14:textId="77777777" w:rsidR="000044F8" w:rsidRDefault="000044F8" w:rsidP="00A4007E">
      <w:pPr>
        <w:pStyle w:val="Heading1"/>
        <w:rPr>
          <w:rStyle w:val="Heading1Char"/>
          <w:b/>
          <w:bCs/>
        </w:rPr>
      </w:pPr>
    </w:p>
    <w:p w14:paraId="77D2F81C" w14:textId="77777777" w:rsidR="00B24195" w:rsidRDefault="00B24195" w:rsidP="00A4007E">
      <w:pPr>
        <w:pStyle w:val="Heading1"/>
        <w:rPr>
          <w:rStyle w:val="Heading1Char"/>
          <w:b/>
          <w:bCs/>
        </w:rPr>
      </w:pPr>
    </w:p>
    <w:p w14:paraId="7A49B504" w14:textId="77777777" w:rsidR="009F6B15" w:rsidRDefault="009F6B15" w:rsidP="00A4007E">
      <w:pPr>
        <w:pStyle w:val="Heading1"/>
        <w:rPr>
          <w:rStyle w:val="Heading1Char"/>
          <w:b/>
          <w:bCs/>
        </w:rPr>
      </w:pPr>
    </w:p>
    <w:p w14:paraId="6D441117" w14:textId="77777777" w:rsidR="009F6B15" w:rsidRDefault="009F6B15" w:rsidP="00A4007E">
      <w:pPr>
        <w:pStyle w:val="Heading1"/>
        <w:rPr>
          <w:rStyle w:val="Heading1Char"/>
          <w:b/>
          <w:bCs/>
        </w:rPr>
      </w:pPr>
    </w:p>
    <w:p w14:paraId="05E7CE76" w14:textId="77777777" w:rsidR="00E379B1" w:rsidRDefault="00E379B1" w:rsidP="00A4007E">
      <w:pPr>
        <w:pStyle w:val="Heading1"/>
        <w:rPr>
          <w:rStyle w:val="Heading1Char"/>
          <w:b/>
          <w:bCs/>
        </w:rPr>
      </w:pPr>
    </w:p>
    <w:p w14:paraId="68088B7F" w14:textId="77777777" w:rsidR="007C5F9D" w:rsidRDefault="007C5F9D" w:rsidP="00A4007E">
      <w:pPr>
        <w:pStyle w:val="Heading1"/>
        <w:rPr>
          <w:rStyle w:val="Heading1Char"/>
          <w:b/>
          <w:bCs/>
        </w:rPr>
      </w:pPr>
    </w:p>
    <w:p w14:paraId="64364058" w14:textId="77777777" w:rsidR="007C5F9D" w:rsidRDefault="007C5F9D" w:rsidP="00A4007E">
      <w:pPr>
        <w:pStyle w:val="Heading1"/>
        <w:rPr>
          <w:rStyle w:val="Heading1Char"/>
          <w:b/>
          <w:bCs/>
        </w:rPr>
      </w:pPr>
    </w:p>
    <w:p w14:paraId="4E142D42" w14:textId="77777777" w:rsidR="007C5F9D" w:rsidRDefault="007C5F9D" w:rsidP="00A4007E">
      <w:pPr>
        <w:pStyle w:val="Heading1"/>
        <w:rPr>
          <w:rStyle w:val="Heading1Char"/>
          <w:b/>
          <w:bCs/>
        </w:rPr>
      </w:pPr>
    </w:p>
    <w:p w14:paraId="17AFCB8F" w14:textId="77777777" w:rsidR="007C5F9D" w:rsidRDefault="007C5F9D" w:rsidP="00A4007E">
      <w:pPr>
        <w:pStyle w:val="Heading1"/>
        <w:rPr>
          <w:rStyle w:val="Heading1Char"/>
          <w:b/>
          <w:bCs/>
        </w:rPr>
      </w:pPr>
    </w:p>
    <w:p w14:paraId="5FCFB5F0" w14:textId="77777777" w:rsidR="007C5F9D" w:rsidRDefault="007C5F9D" w:rsidP="00A4007E">
      <w:pPr>
        <w:pStyle w:val="Heading1"/>
        <w:rPr>
          <w:rStyle w:val="Heading1Char"/>
          <w:b/>
          <w:bCs/>
        </w:rPr>
      </w:pPr>
    </w:p>
    <w:p w14:paraId="54500922" w14:textId="77777777" w:rsidR="00F50081" w:rsidRDefault="00F50081" w:rsidP="00A4007E">
      <w:pPr>
        <w:pStyle w:val="Heading1"/>
        <w:rPr>
          <w:rStyle w:val="Heading1Char"/>
          <w:b/>
          <w:bCs/>
        </w:rPr>
      </w:pPr>
    </w:p>
    <w:p w14:paraId="1C83C30B" w14:textId="77777777" w:rsidR="00F50081" w:rsidRDefault="00F50081" w:rsidP="00A4007E">
      <w:pPr>
        <w:pStyle w:val="Heading1"/>
        <w:rPr>
          <w:rStyle w:val="Heading1Char"/>
          <w:b/>
          <w:bCs/>
        </w:rPr>
      </w:pPr>
    </w:p>
    <w:p w14:paraId="6D7584F3" w14:textId="1D7B4145" w:rsidR="00621776" w:rsidRPr="00A4007E" w:rsidRDefault="00621776" w:rsidP="00A4007E">
      <w:pPr>
        <w:pStyle w:val="Heading1"/>
      </w:pPr>
      <w:r w:rsidRPr="359E9537">
        <w:rPr>
          <w:rStyle w:val="Heading1Char"/>
          <w:b/>
          <w:bCs/>
        </w:rPr>
        <w:t>6.2 – Appendices</w:t>
      </w:r>
      <w:bookmarkEnd w:id="32"/>
      <w:r>
        <w:t xml:space="preserve"> </w:t>
      </w:r>
    </w:p>
    <w:p w14:paraId="1E7E00F6" w14:textId="5D3F0E5D" w:rsidR="1E351A76" w:rsidRDefault="1E351A76" w:rsidP="359E9537">
      <w:pPr>
        <w:pStyle w:val="Heading2"/>
        <w:rPr>
          <w:rFonts w:ascii="Arial" w:eastAsia="Arial" w:hAnsi="Arial" w:cs="Arial"/>
          <w:color w:val="auto"/>
        </w:rPr>
      </w:pPr>
      <w:bookmarkStart w:id="33" w:name="_Toc213871369"/>
      <w:r w:rsidRPr="359E9537">
        <w:rPr>
          <w:rFonts w:ascii="Arial" w:eastAsia="Arial" w:hAnsi="Arial" w:cs="Arial"/>
          <w:color w:val="auto"/>
        </w:rPr>
        <w:t>Appendix A</w:t>
      </w:r>
      <w:bookmarkEnd w:id="33"/>
    </w:p>
    <w:p w14:paraId="78D375C0" w14:textId="5954C64B" w:rsidR="008C38C3" w:rsidRDefault="435099D1" w:rsidP="0E260372">
      <w:pPr>
        <w:rPr>
          <w:rFonts w:ascii="Arial" w:eastAsia="Arial" w:hAnsi="Arial" w:cs="Arial"/>
          <w:b/>
          <w:bCs/>
          <w:sz w:val="28"/>
          <w:szCs w:val="28"/>
        </w:rPr>
      </w:pPr>
      <w:r w:rsidRPr="0E260372">
        <w:rPr>
          <w:rFonts w:ascii="Arial" w:eastAsia="Arial" w:hAnsi="Arial" w:cs="Arial"/>
          <w:b/>
          <w:bCs/>
          <w:sz w:val="28"/>
          <w:szCs w:val="28"/>
        </w:rPr>
        <w:t>Tracking Table</w:t>
      </w:r>
    </w:p>
    <w:tbl>
      <w:tblPr>
        <w:tblStyle w:val="TableGridLight"/>
        <w:tblW w:w="0" w:type="auto"/>
        <w:tblLayout w:type="fixed"/>
        <w:tblLook w:val="06A0" w:firstRow="1" w:lastRow="0" w:firstColumn="1" w:lastColumn="0" w:noHBand="1" w:noVBand="1"/>
      </w:tblPr>
      <w:tblGrid>
        <w:gridCol w:w="1803"/>
        <w:gridCol w:w="1803"/>
        <w:gridCol w:w="1803"/>
        <w:gridCol w:w="2130"/>
        <w:gridCol w:w="1592"/>
      </w:tblGrid>
      <w:tr w:rsidR="00DD6BC6" w:rsidRPr="00DD6BC6" w14:paraId="587128E2" w14:textId="77777777" w:rsidTr="004E2367">
        <w:trPr>
          <w:trHeight w:val="300"/>
        </w:trPr>
        <w:tc>
          <w:tcPr>
            <w:tcW w:w="1803" w:type="dxa"/>
            <w:shd w:val="clear" w:color="auto" w:fill="4472C4" w:themeFill="accent1"/>
          </w:tcPr>
          <w:p w14:paraId="5A3807CF" w14:textId="54DDF37A"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Author (s) &amp; Year</w:t>
            </w:r>
          </w:p>
        </w:tc>
        <w:tc>
          <w:tcPr>
            <w:tcW w:w="1803" w:type="dxa"/>
            <w:shd w:val="clear" w:color="auto" w:fill="4472C4" w:themeFill="accent1"/>
          </w:tcPr>
          <w:p w14:paraId="239ED0E2" w14:textId="6D7ED6C9" w:rsidR="64B64E82" w:rsidRPr="00DD6BC6" w:rsidRDefault="64B64E82" w:rsidP="004E2367">
            <w:pPr>
              <w:tabs>
                <w:tab w:val="left" w:pos="930"/>
              </w:tabs>
              <w:rPr>
                <w:rFonts w:ascii="Arial" w:eastAsia="Arial" w:hAnsi="Arial" w:cs="Arial"/>
                <w:b/>
                <w:bCs/>
                <w:color w:val="FFFFFF" w:themeColor="background1"/>
              </w:rPr>
            </w:pPr>
            <w:r w:rsidRPr="00DD6BC6">
              <w:rPr>
                <w:rFonts w:ascii="Arial" w:eastAsia="Arial" w:hAnsi="Arial" w:cs="Arial"/>
                <w:b/>
                <w:bCs/>
                <w:color w:val="FFFFFF" w:themeColor="background1"/>
              </w:rPr>
              <w:t>Title</w:t>
            </w:r>
            <w:r w:rsidR="004E2367" w:rsidRPr="00DD6BC6">
              <w:rPr>
                <w:rFonts w:ascii="Arial" w:eastAsia="Arial" w:hAnsi="Arial" w:cs="Arial"/>
                <w:b/>
                <w:bCs/>
                <w:color w:val="FFFFFF" w:themeColor="background1"/>
              </w:rPr>
              <w:tab/>
            </w:r>
          </w:p>
        </w:tc>
        <w:tc>
          <w:tcPr>
            <w:tcW w:w="1803" w:type="dxa"/>
            <w:shd w:val="clear" w:color="auto" w:fill="4472C4" w:themeFill="accent1"/>
          </w:tcPr>
          <w:p w14:paraId="510FC029" w14:textId="6A158E71"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Summary</w:t>
            </w:r>
          </w:p>
        </w:tc>
        <w:tc>
          <w:tcPr>
            <w:tcW w:w="2130" w:type="dxa"/>
            <w:shd w:val="clear" w:color="auto" w:fill="4472C4" w:themeFill="accent1"/>
          </w:tcPr>
          <w:p w14:paraId="26183F5A" w14:textId="642C7467" w:rsidR="64B64E82" w:rsidRPr="00DD6BC6" w:rsidRDefault="64B64E82" w:rsidP="540F1010">
            <w:pPr>
              <w:rPr>
                <w:rFonts w:ascii="Arial" w:eastAsia="Arial" w:hAnsi="Arial" w:cs="Arial"/>
                <w:b/>
                <w:bCs/>
                <w:color w:val="FFFFFF" w:themeColor="background1"/>
              </w:rPr>
            </w:pPr>
            <w:r w:rsidRPr="00DD6BC6">
              <w:rPr>
                <w:rFonts w:ascii="Arial" w:eastAsia="Arial" w:hAnsi="Arial" w:cs="Arial"/>
                <w:b/>
                <w:bCs/>
                <w:color w:val="FFFFFF" w:themeColor="background1"/>
              </w:rPr>
              <w:t>CRAAP</w:t>
            </w:r>
          </w:p>
        </w:tc>
        <w:tc>
          <w:tcPr>
            <w:tcW w:w="1592" w:type="dxa"/>
            <w:shd w:val="clear" w:color="auto" w:fill="4472C4" w:themeFill="accent1"/>
          </w:tcPr>
          <w:p w14:paraId="23BC00AA" w14:textId="5845D272" w:rsidR="64B64E82" w:rsidRPr="00DD6BC6" w:rsidRDefault="64B64E82" w:rsidP="1EC678D9">
            <w:pPr>
              <w:spacing w:line="240" w:lineRule="auto"/>
              <w:rPr>
                <w:rFonts w:ascii="Arial" w:eastAsia="Arial" w:hAnsi="Arial" w:cs="Arial"/>
                <w:b/>
                <w:bCs/>
                <w:color w:val="FFFFFF" w:themeColor="background1"/>
              </w:rPr>
            </w:pPr>
            <w:r w:rsidRPr="00DD6BC6">
              <w:rPr>
                <w:rFonts w:ascii="Arial" w:eastAsia="Arial" w:hAnsi="Arial" w:cs="Arial"/>
                <w:b/>
                <w:bCs/>
                <w:color w:val="FFFFFF" w:themeColor="background1"/>
              </w:rPr>
              <w:t>Link to Source</w:t>
            </w:r>
          </w:p>
        </w:tc>
      </w:tr>
      <w:tr w:rsidR="540F1010" w:rsidRPr="00A662B3" w14:paraId="36F5AAAF" w14:textId="77777777" w:rsidTr="00A662B3">
        <w:trPr>
          <w:trHeight w:val="300"/>
        </w:trPr>
        <w:tc>
          <w:tcPr>
            <w:tcW w:w="1803" w:type="dxa"/>
          </w:tcPr>
          <w:p w14:paraId="110E0F2A" w14:textId="39391CE8" w:rsidR="3979FFE5" w:rsidRPr="00A662B3" w:rsidRDefault="3979FFE5" w:rsidP="1EC678D9">
            <w:pPr>
              <w:spacing w:line="240" w:lineRule="auto"/>
              <w:jc w:val="left"/>
              <w:rPr>
                <w:rFonts w:ascii="Arial" w:eastAsia="Arial" w:hAnsi="Arial" w:cs="Arial"/>
                <w:sz w:val="18"/>
                <w:szCs w:val="18"/>
              </w:rPr>
            </w:pPr>
            <w:r w:rsidRPr="00A662B3">
              <w:rPr>
                <w:rFonts w:ascii="Arial" w:eastAsia="Arial" w:hAnsi="Arial" w:cs="Arial"/>
                <w:sz w:val="18"/>
                <w:szCs w:val="18"/>
              </w:rPr>
              <w:t>Office for Health Improvement Disparities (2024)</w:t>
            </w:r>
          </w:p>
        </w:tc>
        <w:tc>
          <w:tcPr>
            <w:tcW w:w="1803" w:type="dxa"/>
          </w:tcPr>
          <w:p w14:paraId="2BB03632" w14:textId="209A4C77" w:rsidR="29CB56C8" w:rsidRPr="00A662B3" w:rsidRDefault="29CB56C8"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Children and young people’s substance misuse treatment</w:t>
            </w:r>
            <w:r w:rsidRPr="00A662B3">
              <w:rPr>
                <w:rFonts w:ascii="Arial" w:eastAsia="Arial" w:hAnsi="Arial" w:cs="Arial"/>
                <w:sz w:val="18"/>
                <w:szCs w:val="18"/>
              </w:rPr>
              <w:t xml:space="preserve"> statistics 2023 to 2024: report (Government statistical report)</w:t>
            </w:r>
          </w:p>
        </w:tc>
        <w:tc>
          <w:tcPr>
            <w:tcW w:w="1803" w:type="dxa"/>
          </w:tcPr>
          <w:p w14:paraId="12FFBB6B" w14:textId="5013205D" w:rsidR="404801A0" w:rsidRPr="00A662B3" w:rsidRDefault="404801A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Presents the most recent national data on trends and treatment outcomes for teenage substance misuse in England. </w:t>
            </w:r>
          </w:p>
        </w:tc>
        <w:tc>
          <w:tcPr>
            <w:tcW w:w="2130" w:type="dxa"/>
          </w:tcPr>
          <w:p w14:paraId="436E23EB" w14:textId="30C3D61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2024 (latest data) </w:t>
            </w:r>
          </w:p>
          <w:p w14:paraId="496DF338" w14:textId="4EC2A0B5"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Focused on UK youth </w:t>
            </w:r>
          </w:p>
          <w:p w14:paraId="649C5796" w14:textId="082121D6"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UK Government </w:t>
            </w:r>
          </w:p>
          <w:p w14:paraId="3374618B" w14:textId="2D3CE67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Verified statistics </w:t>
            </w:r>
          </w:p>
          <w:p w14:paraId="2640DC4B" w14:textId="58D61913" w:rsidR="4D3AC7F7" w:rsidRPr="00A662B3" w:rsidRDefault="4D3AC7F7"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Inform national policy</w:t>
            </w:r>
          </w:p>
        </w:tc>
        <w:tc>
          <w:tcPr>
            <w:tcW w:w="1592" w:type="dxa"/>
          </w:tcPr>
          <w:p w14:paraId="6BCD18BF" w14:textId="4C9A6089" w:rsidR="5EAFB8F8" w:rsidRPr="00A662B3" w:rsidRDefault="5EAFB8F8" w:rsidP="1EC678D9">
            <w:pPr>
              <w:spacing w:line="240" w:lineRule="auto"/>
              <w:rPr>
                <w:rFonts w:ascii="Arial" w:eastAsia="Arial" w:hAnsi="Arial" w:cs="Arial"/>
                <w:color w:val="4472C4" w:themeColor="accent1"/>
                <w:sz w:val="18"/>
                <w:szCs w:val="18"/>
                <w:u w:val="single"/>
              </w:rPr>
            </w:pPr>
            <w:r w:rsidRPr="00A662B3">
              <w:rPr>
                <w:rFonts w:ascii="Arial" w:eastAsia="Arial" w:hAnsi="Arial" w:cs="Arial"/>
                <w:color w:val="4471C4"/>
                <w:sz w:val="18"/>
                <w:szCs w:val="18"/>
                <w:u w:val="single"/>
              </w:rPr>
              <w:t>https://www.gov.uk/government/statistics/substance-misuse-treatment-for-young-people-2023-to-2024/children-and-young-peoples-substance-misuse-treatment-statistics-2023-to-2024-report</w:t>
            </w:r>
          </w:p>
        </w:tc>
      </w:tr>
      <w:tr w:rsidR="540F1010" w:rsidRPr="00A662B3" w14:paraId="5C72DD66" w14:textId="77777777" w:rsidTr="00A662B3">
        <w:trPr>
          <w:trHeight w:val="300"/>
        </w:trPr>
        <w:tc>
          <w:tcPr>
            <w:tcW w:w="1803" w:type="dxa"/>
          </w:tcPr>
          <w:p w14:paraId="6FA29F44" w14:textId="7347A431" w:rsidR="5EAFB8F8" w:rsidRPr="00A662B3" w:rsidRDefault="5EAFB8F8" w:rsidP="1EC678D9">
            <w:pPr>
              <w:jc w:val="left"/>
              <w:rPr>
                <w:rFonts w:ascii="Arial" w:eastAsia="Arial" w:hAnsi="Arial" w:cs="Arial"/>
                <w:sz w:val="18"/>
                <w:szCs w:val="18"/>
              </w:rPr>
            </w:pPr>
            <w:proofErr w:type="spellStart"/>
            <w:r w:rsidRPr="00A662B3">
              <w:rPr>
                <w:rFonts w:ascii="Arial" w:eastAsia="Arial" w:hAnsi="Arial" w:cs="Arial"/>
                <w:sz w:val="18"/>
                <w:szCs w:val="18"/>
              </w:rPr>
              <w:t>Segrott</w:t>
            </w:r>
            <w:proofErr w:type="spellEnd"/>
            <w:r w:rsidRPr="00A662B3">
              <w:rPr>
                <w:rFonts w:ascii="Arial" w:eastAsia="Arial" w:hAnsi="Arial" w:cs="Arial"/>
                <w:sz w:val="18"/>
                <w:szCs w:val="18"/>
              </w:rPr>
              <w:t>, J. et al. (2022)</w:t>
            </w:r>
          </w:p>
        </w:tc>
        <w:tc>
          <w:tcPr>
            <w:tcW w:w="1803" w:type="dxa"/>
          </w:tcPr>
          <w:p w14:paraId="1B715B3F" w14:textId="2A5DA463" w:rsidR="5EAFB8F8" w:rsidRPr="00A662B3" w:rsidRDefault="5EAFB8F8"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Effectiveness of the Strengthening Families Programme in the UK at preventing substance misuse in 10–14-year-olds:</w:t>
            </w:r>
            <w:r w:rsidRPr="00A662B3">
              <w:rPr>
                <w:rFonts w:ascii="Arial" w:eastAsia="Arial" w:hAnsi="Arial" w:cs="Arial"/>
                <w:sz w:val="18"/>
                <w:szCs w:val="18"/>
              </w:rPr>
              <w:t xml:space="preserve"> a pragmatic randomised controlled trial (Peer-reviewed journal article</w:t>
            </w:r>
          </w:p>
        </w:tc>
        <w:tc>
          <w:tcPr>
            <w:tcW w:w="1803" w:type="dxa"/>
          </w:tcPr>
          <w:p w14:paraId="27E773A7" w14:textId="575743F0"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Examines the efficacy of a family-based intervention in reducing substance abuse among young adolescents in the United Kingdom.</w:t>
            </w:r>
          </w:p>
        </w:tc>
        <w:tc>
          <w:tcPr>
            <w:tcW w:w="2130" w:type="dxa"/>
          </w:tcPr>
          <w:p w14:paraId="43F8D56D" w14:textId="2FE1D9F0"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2022 </w:t>
            </w:r>
          </w:p>
          <w:p w14:paraId="470F4A1A" w14:textId="26D4A82D"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UK prevention focus </w:t>
            </w:r>
          </w:p>
          <w:p w14:paraId="5A6D38BE" w14:textId="4D7EB923"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BMJ Open </w:t>
            </w:r>
          </w:p>
          <w:p w14:paraId="47703F02" w14:textId="24E8CDE5"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RCT evidence </w:t>
            </w:r>
          </w:p>
          <w:p w14:paraId="10AB3D59" w14:textId="4EAC6E11" w:rsidR="62E87C20" w:rsidRPr="00A662B3" w:rsidRDefault="62E87C20"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Assess intervention outcomes</w:t>
            </w:r>
          </w:p>
        </w:tc>
        <w:tc>
          <w:tcPr>
            <w:tcW w:w="1592" w:type="dxa"/>
          </w:tcPr>
          <w:p w14:paraId="565D63C2" w14:textId="120681EB" w:rsidR="57AA6365" w:rsidRPr="00A662B3" w:rsidRDefault="57AA6365" w:rsidP="1EC678D9">
            <w:pPr>
              <w:rPr>
                <w:rFonts w:ascii="Arial" w:eastAsia="Arial" w:hAnsi="Arial" w:cs="Arial"/>
                <w:color w:val="000000" w:themeColor="text1"/>
                <w:sz w:val="18"/>
                <w:szCs w:val="18"/>
              </w:rPr>
            </w:pPr>
            <w:hyperlink r:id="rId67">
              <w:r w:rsidRPr="00A662B3">
                <w:rPr>
                  <w:rStyle w:val="Hyperlink"/>
                  <w:rFonts w:ascii="Arial" w:eastAsia="Arial" w:hAnsi="Arial" w:cs="Arial"/>
                  <w:sz w:val="18"/>
                  <w:szCs w:val="18"/>
                </w:rPr>
                <w:t>https://doi.org/10.1186/1471-2458-14-49</w:t>
              </w:r>
            </w:hyperlink>
            <w:r w:rsidRPr="00A662B3">
              <w:rPr>
                <w:rFonts w:ascii="Arial" w:eastAsia="Arial" w:hAnsi="Arial" w:cs="Arial"/>
                <w:color w:val="000000" w:themeColor="text1"/>
                <w:sz w:val="18"/>
                <w:szCs w:val="18"/>
              </w:rPr>
              <w:t>.</w:t>
            </w:r>
          </w:p>
        </w:tc>
      </w:tr>
      <w:tr w:rsidR="540F1010" w:rsidRPr="00A662B3" w14:paraId="05470FE0" w14:textId="77777777" w:rsidTr="00A662B3">
        <w:trPr>
          <w:trHeight w:val="300"/>
        </w:trPr>
        <w:tc>
          <w:tcPr>
            <w:tcW w:w="1803" w:type="dxa"/>
          </w:tcPr>
          <w:p w14:paraId="10E931AD" w14:textId="77052CBA" w:rsidR="176EFC52" w:rsidRPr="00A662B3" w:rsidRDefault="176EFC52" w:rsidP="1EC678D9">
            <w:pPr>
              <w:jc w:val="left"/>
              <w:rPr>
                <w:rFonts w:ascii="Arial" w:eastAsia="Arial" w:hAnsi="Arial" w:cs="Arial"/>
                <w:sz w:val="18"/>
                <w:szCs w:val="18"/>
              </w:rPr>
            </w:pPr>
            <w:r w:rsidRPr="00A662B3">
              <w:rPr>
                <w:rFonts w:ascii="Arial" w:eastAsia="Arial" w:hAnsi="Arial" w:cs="Arial"/>
                <w:sz w:val="18"/>
                <w:szCs w:val="18"/>
              </w:rPr>
              <w:t>Holland, A. et al. (2023)</w:t>
            </w:r>
          </w:p>
        </w:tc>
        <w:tc>
          <w:tcPr>
            <w:tcW w:w="1803" w:type="dxa"/>
          </w:tcPr>
          <w:p w14:paraId="24C381C5" w14:textId="0331B1D1" w:rsidR="176EFC52" w:rsidRPr="00A662B3" w:rsidRDefault="176EFC52"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Analysis of the UK Government’s 10-Year Drugs Strategy—a resource for practitioners and policymakers</w:t>
            </w:r>
            <w:r w:rsidRPr="00A662B3">
              <w:rPr>
                <w:rFonts w:ascii="Arial" w:eastAsia="Arial" w:hAnsi="Arial" w:cs="Arial"/>
                <w:sz w:val="18"/>
                <w:szCs w:val="18"/>
              </w:rPr>
              <w:t xml:space="preserve"> (Peer-reviewed policy analysis article)</w:t>
            </w:r>
          </w:p>
        </w:tc>
        <w:tc>
          <w:tcPr>
            <w:tcW w:w="1803" w:type="dxa"/>
          </w:tcPr>
          <w:p w14:paraId="52B53BCD" w14:textId="7C75BBC5"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Examines the impact of the UK's 10-year drug strategy on policy, prevention and professional practice.</w:t>
            </w:r>
          </w:p>
        </w:tc>
        <w:tc>
          <w:tcPr>
            <w:tcW w:w="2130" w:type="dxa"/>
          </w:tcPr>
          <w:p w14:paraId="3C3BFA97" w14:textId="036675C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Currency: 2023</w:t>
            </w:r>
          </w:p>
          <w:p w14:paraId="115FEE08" w14:textId="58DC2026"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UK policy context </w:t>
            </w:r>
          </w:p>
          <w:p w14:paraId="4F74901E" w14:textId="5FC78C74"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Journal of Public Health </w:t>
            </w:r>
          </w:p>
          <w:p w14:paraId="6D9BAB16" w14:textId="5927A7BD"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w:t>
            </w:r>
          </w:p>
          <w:p w14:paraId="38A52E9E" w14:textId="14A8EC6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Evaluate policy framework</w:t>
            </w:r>
          </w:p>
        </w:tc>
        <w:tc>
          <w:tcPr>
            <w:tcW w:w="1592" w:type="dxa"/>
          </w:tcPr>
          <w:p w14:paraId="7DB1AE2F" w14:textId="7A3DF0ED" w:rsidR="176EFC52" w:rsidRPr="00A662B3" w:rsidRDefault="176EFC52" w:rsidP="1EC678D9">
            <w:pPr>
              <w:rPr>
                <w:rFonts w:ascii="Arial" w:eastAsia="Arial" w:hAnsi="Arial" w:cs="Arial"/>
                <w:sz w:val="18"/>
                <w:szCs w:val="18"/>
              </w:rPr>
            </w:pPr>
            <w:hyperlink r:id="rId68">
              <w:r w:rsidRPr="00A662B3">
                <w:rPr>
                  <w:rStyle w:val="Hyperlink"/>
                  <w:rFonts w:ascii="Arial" w:eastAsia="Arial" w:hAnsi="Arial" w:cs="Arial"/>
                  <w:sz w:val="18"/>
                  <w:szCs w:val="18"/>
                </w:rPr>
                <w:t>https://doi.org/10.1093/pubmed/fdac114</w:t>
              </w:r>
            </w:hyperlink>
            <w:r w:rsidRPr="00A662B3">
              <w:rPr>
                <w:rFonts w:ascii="Arial" w:eastAsia="Arial" w:hAnsi="Arial" w:cs="Arial"/>
                <w:sz w:val="18"/>
                <w:szCs w:val="18"/>
              </w:rPr>
              <w:t>.</w:t>
            </w:r>
          </w:p>
        </w:tc>
      </w:tr>
      <w:tr w:rsidR="540F1010" w:rsidRPr="00A662B3" w14:paraId="1F2A928D" w14:textId="77777777" w:rsidTr="00A662B3">
        <w:trPr>
          <w:trHeight w:val="300"/>
        </w:trPr>
        <w:tc>
          <w:tcPr>
            <w:tcW w:w="1803" w:type="dxa"/>
          </w:tcPr>
          <w:p w14:paraId="2E175FD6" w14:textId="13E03EFF" w:rsidR="176EFC52" w:rsidRPr="00A662B3" w:rsidRDefault="176EFC52" w:rsidP="1EC678D9">
            <w:pPr>
              <w:spacing w:line="240" w:lineRule="auto"/>
              <w:jc w:val="left"/>
              <w:rPr>
                <w:rFonts w:ascii="Arial" w:eastAsia="Arial" w:hAnsi="Arial" w:cs="Arial"/>
                <w:sz w:val="18"/>
                <w:szCs w:val="18"/>
              </w:rPr>
            </w:pPr>
            <w:r w:rsidRPr="00A662B3">
              <w:rPr>
                <w:rFonts w:ascii="Arial" w:eastAsia="Arial" w:hAnsi="Arial" w:cs="Arial"/>
                <w:sz w:val="18"/>
                <w:szCs w:val="18"/>
              </w:rPr>
              <w:lastRenderedPageBreak/>
              <w:t>Alderson, H. et al. (2019)</w:t>
            </w:r>
          </w:p>
        </w:tc>
        <w:tc>
          <w:tcPr>
            <w:tcW w:w="1803" w:type="dxa"/>
          </w:tcPr>
          <w:p w14:paraId="4FAA4838" w14:textId="7D430D21" w:rsidR="176EFC52" w:rsidRPr="00A662B3" w:rsidRDefault="176EFC52"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Key therapeutic factors to deliver behavioural change interventions for looked-after children and care leavers: a qualitative exploration</w:t>
            </w:r>
            <w:r w:rsidRPr="00A662B3">
              <w:rPr>
                <w:rFonts w:ascii="Arial" w:eastAsia="Arial" w:hAnsi="Arial" w:cs="Arial"/>
                <w:sz w:val="18"/>
                <w:szCs w:val="18"/>
              </w:rPr>
              <w:t xml:space="preserve"> (Peer-reviewed qualitative study)</w:t>
            </w:r>
          </w:p>
        </w:tc>
        <w:tc>
          <w:tcPr>
            <w:tcW w:w="1803" w:type="dxa"/>
          </w:tcPr>
          <w:p w14:paraId="6B412B16" w14:textId="0D74A8F7"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Identifies therapeutic strategies that help looked-after youth reduce substance use by promoting behavioural change.</w:t>
            </w:r>
          </w:p>
        </w:tc>
        <w:tc>
          <w:tcPr>
            <w:tcW w:w="2130" w:type="dxa"/>
          </w:tcPr>
          <w:p w14:paraId="77B8952C" w14:textId="329D0C41"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2019 </w:t>
            </w:r>
          </w:p>
          <w:p w14:paraId="3D8A5B0F" w14:textId="1B059A98"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 on vulnerable youth </w:t>
            </w:r>
          </w:p>
          <w:p w14:paraId="230D67D9" w14:textId="3BD6D319"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BMC Medical Research Methodology </w:t>
            </w:r>
          </w:p>
          <w:p w14:paraId="39A863FE" w14:textId="495A8164" w:rsidR="575E0F03" w:rsidRPr="00A662B3" w:rsidRDefault="575E0F03"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Qualitative evidence </w:t>
            </w:r>
          </w:p>
          <w:p w14:paraId="725F98AD" w14:textId="290CD792" w:rsidR="575E0F03" w:rsidRPr="00A662B3" w:rsidRDefault="575E0F03" w:rsidP="1EC678D9">
            <w:pPr>
              <w:spacing w:line="240" w:lineRule="auto"/>
              <w:rPr>
                <w:rFonts w:ascii="Arial" w:eastAsia="Arial" w:hAnsi="Arial" w:cs="Arial"/>
                <w:sz w:val="18"/>
                <w:szCs w:val="18"/>
              </w:rPr>
            </w:pPr>
            <w:r w:rsidRPr="00A662B3">
              <w:rPr>
                <w:rFonts w:ascii="Arial" w:eastAsia="Arial" w:hAnsi="Arial" w:cs="Arial"/>
                <w:sz w:val="18"/>
                <w:szCs w:val="18"/>
              </w:rPr>
              <w:t>Purpose: Inform intervention design</w:t>
            </w:r>
          </w:p>
        </w:tc>
        <w:tc>
          <w:tcPr>
            <w:tcW w:w="1592" w:type="dxa"/>
          </w:tcPr>
          <w:p w14:paraId="459B8822" w14:textId="2BCA0D6F" w:rsidR="690A74AB" w:rsidRPr="00A662B3" w:rsidRDefault="690A74AB" w:rsidP="1EC678D9">
            <w:pPr>
              <w:jc w:val="left"/>
              <w:rPr>
                <w:rFonts w:ascii="Arial" w:eastAsia="Arial" w:hAnsi="Arial" w:cs="Arial"/>
                <w:sz w:val="18"/>
                <w:szCs w:val="18"/>
              </w:rPr>
            </w:pPr>
            <w:hyperlink r:id="rId69">
              <w:r w:rsidRPr="00A662B3">
                <w:rPr>
                  <w:rStyle w:val="Hyperlink"/>
                  <w:rFonts w:ascii="Arial" w:eastAsia="Arial" w:hAnsi="Arial" w:cs="Arial"/>
                  <w:sz w:val="18"/>
                  <w:szCs w:val="18"/>
                </w:rPr>
                <w:t>https://doi.org/10.1186/s12874-019-0674-3</w:t>
              </w:r>
            </w:hyperlink>
            <w:r w:rsidRPr="00A662B3">
              <w:rPr>
                <w:rFonts w:ascii="Arial" w:eastAsia="Arial" w:hAnsi="Arial" w:cs="Arial"/>
                <w:sz w:val="18"/>
                <w:szCs w:val="18"/>
              </w:rPr>
              <w:t>.</w:t>
            </w:r>
          </w:p>
          <w:p w14:paraId="01EC0332" w14:textId="2ABA26E3" w:rsidR="540F1010" w:rsidRPr="00A662B3" w:rsidRDefault="540F1010" w:rsidP="1EC678D9">
            <w:pPr>
              <w:rPr>
                <w:rFonts w:ascii="Arial" w:eastAsia="Arial" w:hAnsi="Arial" w:cs="Arial"/>
                <w:b/>
                <w:bCs/>
                <w:sz w:val="18"/>
                <w:szCs w:val="18"/>
              </w:rPr>
            </w:pPr>
          </w:p>
        </w:tc>
      </w:tr>
      <w:tr w:rsidR="540F1010" w:rsidRPr="00A662B3" w14:paraId="2281FB72" w14:textId="77777777" w:rsidTr="00A662B3">
        <w:trPr>
          <w:trHeight w:val="300"/>
        </w:trPr>
        <w:tc>
          <w:tcPr>
            <w:tcW w:w="1803" w:type="dxa"/>
          </w:tcPr>
          <w:p w14:paraId="3C41E6A0" w14:textId="537DAD53" w:rsidR="690A74AB" w:rsidRPr="00A662B3" w:rsidRDefault="690A74AB" w:rsidP="1EC678D9">
            <w:pPr>
              <w:jc w:val="left"/>
              <w:rPr>
                <w:rFonts w:ascii="Arial" w:eastAsia="Arial" w:hAnsi="Arial" w:cs="Arial"/>
                <w:sz w:val="18"/>
                <w:szCs w:val="18"/>
              </w:rPr>
            </w:pPr>
            <w:r w:rsidRPr="00A662B3">
              <w:rPr>
                <w:rFonts w:ascii="Arial" w:eastAsia="Arial" w:hAnsi="Arial" w:cs="Arial"/>
                <w:sz w:val="18"/>
                <w:szCs w:val="18"/>
              </w:rPr>
              <w:t>Stockings, E. et al. (2016)</w:t>
            </w:r>
          </w:p>
        </w:tc>
        <w:tc>
          <w:tcPr>
            <w:tcW w:w="1803" w:type="dxa"/>
          </w:tcPr>
          <w:p w14:paraId="721CA29F" w14:textId="77020C29" w:rsidR="690A74AB" w:rsidRPr="00DB28A2" w:rsidRDefault="690A74AB" w:rsidP="1EC678D9">
            <w:pPr>
              <w:spacing w:line="240" w:lineRule="auto"/>
              <w:jc w:val="left"/>
              <w:rPr>
                <w:rFonts w:ascii="Arial" w:eastAsia="Arial" w:hAnsi="Arial" w:cs="Arial"/>
                <w:i/>
                <w:iCs/>
                <w:sz w:val="18"/>
                <w:szCs w:val="18"/>
              </w:rPr>
            </w:pPr>
            <w:r w:rsidRPr="00DB28A2">
              <w:rPr>
                <w:rFonts w:ascii="Arial" w:eastAsia="Arial" w:hAnsi="Arial" w:cs="Arial"/>
                <w:i/>
                <w:iCs/>
                <w:sz w:val="18"/>
                <w:szCs w:val="18"/>
              </w:rPr>
              <w:t>Prevention, early intervention, harm reduction, and treatment of substance use in young people (Peer-reviewed systematic review)</w:t>
            </w:r>
          </w:p>
        </w:tc>
        <w:tc>
          <w:tcPr>
            <w:tcW w:w="1803" w:type="dxa"/>
          </w:tcPr>
          <w:p w14:paraId="31C426FF" w14:textId="4F5C3C78"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Summarises data from around the world regarding methods for treating and preventing teen substance use.</w:t>
            </w:r>
          </w:p>
        </w:tc>
        <w:tc>
          <w:tcPr>
            <w:tcW w:w="2130" w:type="dxa"/>
          </w:tcPr>
          <w:p w14:paraId="708556B4" w14:textId="7EDAD1A9"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2016 </w:t>
            </w:r>
          </w:p>
          <w:p w14:paraId="4C95A6C0" w14:textId="009CB6AE"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Adolescent substance misuse </w:t>
            </w:r>
          </w:p>
          <w:p w14:paraId="728B0E98" w14:textId="077E9450"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The Lancet Psychiatry </w:t>
            </w:r>
          </w:p>
          <w:p w14:paraId="5FB2EF5B" w14:textId="3CD7E76F"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Systematic review </w:t>
            </w:r>
          </w:p>
          <w:p w14:paraId="70EA1D66" w14:textId="0A6AC0BF" w:rsidR="60AC8AC2" w:rsidRPr="00A662B3" w:rsidRDefault="60AC8AC2"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Provide evidence-based guidance</w:t>
            </w:r>
          </w:p>
        </w:tc>
        <w:tc>
          <w:tcPr>
            <w:tcW w:w="1592" w:type="dxa"/>
          </w:tcPr>
          <w:p w14:paraId="4C65C9C9" w14:textId="05D6C532" w:rsidR="7CD671A4" w:rsidRPr="00A662B3" w:rsidRDefault="7CD671A4" w:rsidP="1EC678D9">
            <w:pPr>
              <w:rPr>
                <w:rFonts w:ascii="Arial" w:eastAsia="Arial" w:hAnsi="Arial" w:cs="Arial"/>
                <w:color w:val="000000" w:themeColor="text1"/>
                <w:sz w:val="18"/>
                <w:szCs w:val="18"/>
              </w:rPr>
            </w:pPr>
            <w:proofErr w:type="spellStart"/>
            <w:proofErr w:type="gramStart"/>
            <w:r w:rsidRPr="00A662B3">
              <w:rPr>
                <w:rFonts w:ascii="Arial" w:eastAsia="Arial" w:hAnsi="Arial" w:cs="Arial"/>
                <w:color w:val="4471C4"/>
                <w:sz w:val="18"/>
                <w:szCs w:val="18"/>
                <w:u w:val="single"/>
              </w:rPr>
              <w:t>doi:https</w:t>
            </w:r>
            <w:proofErr w:type="spellEnd"/>
            <w:r w:rsidRPr="00A662B3">
              <w:rPr>
                <w:rFonts w:ascii="Arial" w:eastAsia="Arial" w:hAnsi="Arial" w:cs="Arial"/>
                <w:color w:val="4471C4"/>
                <w:sz w:val="18"/>
                <w:szCs w:val="18"/>
                <w:u w:val="single"/>
              </w:rPr>
              <w:t>://doi.org/10.1016/s2215-0366(16)00002-x</w:t>
            </w:r>
            <w:proofErr w:type="gramEnd"/>
          </w:p>
          <w:p w14:paraId="47ACE10D" w14:textId="5146C646" w:rsidR="7CD671A4" w:rsidRPr="00A662B3" w:rsidRDefault="7CD671A4" w:rsidP="1EC678D9">
            <w:pPr>
              <w:rPr>
                <w:rFonts w:ascii="Arial" w:eastAsia="Arial" w:hAnsi="Arial" w:cs="Arial"/>
                <w:color w:val="000000" w:themeColor="text1"/>
                <w:sz w:val="18"/>
                <w:szCs w:val="18"/>
                <w:u w:val="single"/>
              </w:rPr>
            </w:pPr>
          </w:p>
        </w:tc>
      </w:tr>
      <w:tr w:rsidR="1EC678D9" w:rsidRPr="00A662B3" w14:paraId="7604C525" w14:textId="77777777" w:rsidTr="00A662B3">
        <w:trPr>
          <w:trHeight w:val="300"/>
        </w:trPr>
        <w:tc>
          <w:tcPr>
            <w:tcW w:w="1803" w:type="dxa"/>
          </w:tcPr>
          <w:p w14:paraId="6A39E113" w14:textId="0D3CB2D4" w:rsidR="132FF86E" w:rsidRPr="00A662B3" w:rsidRDefault="132FF86E" w:rsidP="1EC678D9">
            <w:pPr>
              <w:jc w:val="left"/>
              <w:rPr>
                <w:rFonts w:ascii="Arial" w:eastAsia="Arial" w:hAnsi="Arial" w:cs="Arial"/>
                <w:sz w:val="18"/>
                <w:szCs w:val="18"/>
              </w:rPr>
            </w:pPr>
            <w:proofErr w:type="spellStart"/>
            <w:r w:rsidRPr="00A662B3">
              <w:rPr>
                <w:rFonts w:ascii="Arial" w:eastAsia="Arial" w:hAnsi="Arial" w:cs="Arial"/>
                <w:sz w:val="18"/>
                <w:szCs w:val="18"/>
              </w:rPr>
              <w:t>Sumnall</w:t>
            </w:r>
            <w:proofErr w:type="spellEnd"/>
            <w:r w:rsidRPr="00A662B3">
              <w:rPr>
                <w:rFonts w:ascii="Arial" w:eastAsia="Arial" w:hAnsi="Arial" w:cs="Arial"/>
                <w:sz w:val="18"/>
                <w:szCs w:val="18"/>
              </w:rPr>
              <w:t>, H.R. (2022)</w:t>
            </w:r>
          </w:p>
        </w:tc>
        <w:tc>
          <w:tcPr>
            <w:tcW w:w="1803" w:type="dxa"/>
          </w:tcPr>
          <w:p w14:paraId="3E3F235E" w14:textId="1F2F9D0D" w:rsidR="132FF86E" w:rsidRPr="00A662B3" w:rsidRDefault="132FF86E"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Encouraging a “generational shift” in the UK’s relationship with drugs: What can be achieved with drug prevention?</w:t>
            </w:r>
            <w:r w:rsidRPr="00A662B3">
              <w:rPr>
                <w:rFonts w:ascii="Arial" w:eastAsia="Arial" w:hAnsi="Arial" w:cs="Arial"/>
                <w:sz w:val="18"/>
                <w:szCs w:val="18"/>
              </w:rPr>
              <w:t xml:space="preserve"> (Peer-reviewed commentary article)</w:t>
            </w:r>
          </w:p>
        </w:tc>
        <w:tc>
          <w:tcPr>
            <w:tcW w:w="1803" w:type="dxa"/>
          </w:tcPr>
          <w:p w14:paraId="1458AF96" w14:textId="65CF9DA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Critically discusses the UK’s new drug strategy, assessing the realistic potential of prevention programmes to transform youth attitudes toward substance use.</w:t>
            </w:r>
          </w:p>
        </w:tc>
        <w:tc>
          <w:tcPr>
            <w:tcW w:w="2130" w:type="dxa"/>
          </w:tcPr>
          <w:p w14:paraId="333D24CB" w14:textId="468EEB9C"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2022 </w:t>
            </w:r>
          </w:p>
          <w:p w14:paraId="73797AFF" w14:textId="0490A19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Directly analyses UK prevention policy </w:t>
            </w:r>
          </w:p>
          <w:p w14:paraId="08C4B7E1" w14:textId="4695C0DE"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International Journal of Drug Policy </w:t>
            </w:r>
          </w:p>
          <w:p w14:paraId="756A8484" w14:textId="72EB803D"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expert commentary </w:t>
            </w:r>
          </w:p>
          <w:p w14:paraId="17757A42" w14:textId="2F4C2741" w:rsidR="132FF86E" w:rsidRPr="00A662B3" w:rsidRDefault="132FF86E"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Evaluate national prevention strategy</w:t>
            </w:r>
          </w:p>
        </w:tc>
        <w:tc>
          <w:tcPr>
            <w:tcW w:w="1592" w:type="dxa"/>
          </w:tcPr>
          <w:p w14:paraId="0938CF54" w14:textId="7655B5A1" w:rsidR="132FF86E" w:rsidRPr="00A662B3" w:rsidRDefault="132FF86E" w:rsidP="1EC678D9">
            <w:pPr>
              <w:rPr>
                <w:rFonts w:ascii="Arial" w:eastAsia="Arial" w:hAnsi="Arial" w:cs="Arial"/>
                <w:sz w:val="18"/>
                <w:szCs w:val="18"/>
              </w:rPr>
            </w:pPr>
            <w:hyperlink r:id="rId70">
              <w:r w:rsidRPr="00A662B3">
                <w:rPr>
                  <w:rStyle w:val="Hyperlink"/>
                  <w:rFonts w:ascii="Arial" w:eastAsia="Arial" w:hAnsi="Arial" w:cs="Arial"/>
                  <w:sz w:val="18"/>
                  <w:szCs w:val="18"/>
                </w:rPr>
                <w:t>https://doi.org/10.1016/j.drugpo.2022.103841</w:t>
              </w:r>
            </w:hyperlink>
            <w:r w:rsidRPr="00A662B3">
              <w:rPr>
                <w:rFonts w:ascii="Arial" w:eastAsia="Arial" w:hAnsi="Arial" w:cs="Arial"/>
                <w:sz w:val="18"/>
                <w:szCs w:val="18"/>
              </w:rPr>
              <w:t>.</w:t>
            </w:r>
          </w:p>
        </w:tc>
      </w:tr>
      <w:tr w:rsidR="1EC678D9" w:rsidRPr="00A662B3" w14:paraId="74C8EABB" w14:textId="77777777" w:rsidTr="00A662B3">
        <w:trPr>
          <w:trHeight w:val="300"/>
        </w:trPr>
        <w:tc>
          <w:tcPr>
            <w:tcW w:w="1803" w:type="dxa"/>
          </w:tcPr>
          <w:tbl>
            <w:tblPr>
              <w:tblW w:w="0" w:type="auto"/>
              <w:tblLayout w:type="fixed"/>
              <w:tblLook w:val="06A0" w:firstRow="1" w:lastRow="0" w:firstColumn="1" w:lastColumn="0" w:noHBand="1" w:noVBand="1"/>
            </w:tblPr>
            <w:tblGrid>
              <w:gridCol w:w="1593"/>
            </w:tblGrid>
            <w:tr w:rsidR="1EC678D9" w:rsidRPr="00A662B3" w14:paraId="578C2737" w14:textId="77777777" w:rsidTr="1EC678D9">
              <w:trPr>
                <w:trHeight w:val="300"/>
              </w:trPr>
              <w:tc>
                <w:tcPr>
                  <w:tcW w:w="1593" w:type="dxa"/>
                  <w:vAlign w:val="center"/>
                </w:tcPr>
                <w:p w14:paraId="3C22AF93" w14:textId="627C8913" w:rsidR="1EC678D9" w:rsidRPr="00A662B3" w:rsidRDefault="1EC678D9" w:rsidP="1EC678D9">
                  <w:pPr>
                    <w:rPr>
                      <w:rFonts w:ascii="Arial" w:eastAsia="Arial" w:hAnsi="Arial" w:cs="Arial"/>
                      <w:sz w:val="18"/>
                      <w:szCs w:val="18"/>
                    </w:rPr>
                  </w:pPr>
                </w:p>
              </w:tc>
            </w:tr>
            <w:tr w:rsidR="1EC678D9" w:rsidRPr="00A662B3" w14:paraId="381C8383" w14:textId="77777777" w:rsidTr="1EC678D9">
              <w:trPr>
                <w:trHeight w:val="300"/>
              </w:trPr>
              <w:tc>
                <w:tcPr>
                  <w:tcW w:w="1593" w:type="dxa"/>
                  <w:vAlign w:val="center"/>
                </w:tcPr>
                <w:p w14:paraId="3D8865BA" w14:textId="7E8B0ABB" w:rsidR="1EC678D9" w:rsidRPr="00A662B3" w:rsidRDefault="1EC678D9" w:rsidP="1EC678D9">
                  <w:pPr>
                    <w:spacing w:after="0"/>
                    <w:rPr>
                      <w:rFonts w:ascii="Arial" w:eastAsia="Arial" w:hAnsi="Arial" w:cs="Arial"/>
                      <w:sz w:val="18"/>
                      <w:szCs w:val="18"/>
                    </w:rPr>
                  </w:pPr>
                  <w:r w:rsidRPr="00A662B3">
                    <w:rPr>
                      <w:rFonts w:ascii="Arial" w:eastAsia="Arial" w:hAnsi="Arial" w:cs="Arial"/>
                      <w:sz w:val="18"/>
                      <w:szCs w:val="18"/>
                    </w:rPr>
                    <w:t>Judith Watson et al. (2017)</w:t>
                  </w:r>
                </w:p>
              </w:tc>
            </w:tr>
          </w:tbl>
          <w:p w14:paraId="680EAEEF" w14:textId="23A260ED" w:rsidR="1EC678D9" w:rsidRPr="00A662B3" w:rsidRDefault="1EC678D9" w:rsidP="1EC678D9">
            <w:pPr>
              <w:jc w:val="left"/>
              <w:rPr>
                <w:rFonts w:ascii="Arial" w:eastAsia="Arial" w:hAnsi="Arial" w:cs="Arial"/>
                <w:sz w:val="18"/>
                <w:szCs w:val="18"/>
              </w:rPr>
            </w:pPr>
          </w:p>
        </w:tc>
        <w:tc>
          <w:tcPr>
            <w:tcW w:w="1803" w:type="dxa"/>
          </w:tcPr>
          <w:p w14:paraId="66F0DA08" w14:textId="5EFBDC48" w:rsidR="6E9FE475" w:rsidRPr="00A662B3" w:rsidRDefault="6E9FE475" w:rsidP="1EC678D9">
            <w:pPr>
              <w:spacing w:line="240" w:lineRule="auto"/>
              <w:jc w:val="left"/>
              <w:rPr>
                <w:rFonts w:ascii="Arial" w:eastAsia="Arial" w:hAnsi="Arial" w:cs="Arial"/>
                <w:sz w:val="18"/>
                <w:szCs w:val="18"/>
              </w:rPr>
            </w:pPr>
            <w:r w:rsidRPr="00DB28A2">
              <w:rPr>
                <w:rFonts w:ascii="Arial" w:eastAsia="Arial" w:hAnsi="Arial" w:cs="Arial"/>
                <w:i/>
                <w:iCs/>
                <w:sz w:val="18"/>
                <w:szCs w:val="18"/>
              </w:rPr>
              <w:t>Youth social behaviour and network therapy (Y-SBNT): Adaptation of a family and social network intervention for young people who misuse alcohol and drugs – a randomised controlled feasibility trial</w:t>
            </w:r>
            <w:r w:rsidRPr="00A662B3">
              <w:rPr>
                <w:rFonts w:ascii="Arial" w:eastAsia="Arial" w:hAnsi="Arial" w:cs="Arial"/>
                <w:sz w:val="18"/>
                <w:szCs w:val="18"/>
              </w:rPr>
              <w:t xml:space="preserve"> (Peer-reviewed empirical trial)</w:t>
            </w:r>
          </w:p>
        </w:tc>
        <w:tc>
          <w:tcPr>
            <w:tcW w:w="1803" w:type="dxa"/>
          </w:tcPr>
          <w:p w14:paraId="431FC525" w14:textId="1DDBAD3E"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Explores the feasibility and outcomes of a social network-based therapy designed to reduce alcohol and drug misuse among young people in the UK.</w:t>
            </w:r>
          </w:p>
        </w:tc>
        <w:tc>
          <w:tcPr>
            <w:tcW w:w="2130" w:type="dxa"/>
          </w:tcPr>
          <w:p w14:paraId="5D36BE77" w14:textId="37501F1C"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Currency: 2017 </w:t>
            </w:r>
          </w:p>
          <w:p w14:paraId="0D9B4117" w14:textId="037A0F8E"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Relevance: Focus on UK youth intervention </w:t>
            </w:r>
          </w:p>
          <w:p w14:paraId="0AD8F0BC" w14:textId="3B9EB975"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Authority: Health Technology Assessment Journal </w:t>
            </w:r>
          </w:p>
          <w:p w14:paraId="10B76829" w14:textId="7442BD84"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 xml:space="preserve">Accuracy: Peer-reviewed RCT </w:t>
            </w:r>
          </w:p>
          <w:p w14:paraId="4DA47236" w14:textId="258ECF42" w:rsidR="6E9FE475" w:rsidRPr="00A662B3" w:rsidRDefault="6E9FE475" w:rsidP="1EC678D9">
            <w:pPr>
              <w:spacing w:line="240" w:lineRule="auto"/>
              <w:jc w:val="left"/>
              <w:rPr>
                <w:rFonts w:ascii="Arial" w:eastAsia="Arial" w:hAnsi="Arial" w:cs="Arial"/>
                <w:sz w:val="18"/>
                <w:szCs w:val="18"/>
              </w:rPr>
            </w:pPr>
            <w:r w:rsidRPr="00A662B3">
              <w:rPr>
                <w:rFonts w:ascii="Arial" w:eastAsia="Arial" w:hAnsi="Arial" w:cs="Arial"/>
                <w:sz w:val="18"/>
                <w:szCs w:val="18"/>
              </w:rPr>
              <w:t>Purpose: Test intervention effectiveness</w:t>
            </w:r>
          </w:p>
        </w:tc>
        <w:tc>
          <w:tcPr>
            <w:tcW w:w="1592" w:type="dxa"/>
          </w:tcPr>
          <w:p w14:paraId="10F41CC0" w14:textId="2E7EC674" w:rsidR="6E9FE475" w:rsidRPr="00A662B3" w:rsidRDefault="6E9FE475" w:rsidP="1EC678D9">
            <w:pPr>
              <w:rPr>
                <w:rFonts w:ascii="Arial" w:eastAsia="Arial" w:hAnsi="Arial" w:cs="Arial"/>
                <w:color w:val="000000" w:themeColor="text1"/>
                <w:sz w:val="18"/>
                <w:szCs w:val="18"/>
              </w:rPr>
            </w:pPr>
            <w:hyperlink r:id="rId71">
              <w:r w:rsidRPr="00A662B3">
                <w:rPr>
                  <w:rStyle w:val="Hyperlink"/>
                  <w:rFonts w:ascii="Arial" w:eastAsia="Arial" w:hAnsi="Arial" w:cs="Arial"/>
                  <w:sz w:val="18"/>
                  <w:szCs w:val="18"/>
                </w:rPr>
                <w:t>https://doi.org/10.3310/hta21150</w:t>
              </w:r>
            </w:hyperlink>
            <w:r w:rsidRPr="00A662B3">
              <w:rPr>
                <w:rFonts w:ascii="Arial" w:eastAsia="Arial" w:hAnsi="Arial" w:cs="Arial"/>
                <w:color w:val="000000" w:themeColor="text1"/>
                <w:sz w:val="18"/>
                <w:szCs w:val="18"/>
              </w:rPr>
              <w:t>.</w:t>
            </w:r>
          </w:p>
        </w:tc>
      </w:tr>
    </w:tbl>
    <w:p w14:paraId="09DB3DC7" w14:textId="1D613327" w:rsidR="1EC678D9" w:rsidRDefault="1EC678D9" w:rsidP="1EC678D9">
      <w:pPr>
        <w:rPr>
          <w:rFonts w:ascii="Arial" w:eastAsia="Arial" w:hAnsi="Arial" w:cs="Arial"/>
          <w:b/>
          <w:bCs/>
          <w:sz w:val="24"/>
          <w:szCs w:val="24"/>
        </w:rPr>
      </w:pPr>
    </w:p>
    <w:p w14:paraId="180EECEF" w14:textId="227A1AD5" w:rsidR="1EC678D9" w:rsidRDefault="1EC678D9" w:rsidP="1EC678D9">
      <w:pPr>
        <w:spacing w:line="240" w:lineRule="auto"/>
        <w:rPr>
          <w:rFonts w:ascii="Arial" w:eastAsia="Arial" w:hAnsi="Arial" w:cs="Arial"/>
          <w:b/>
          <w:bCs/>
          <w:sz w:val="24"/>
          <w:szCs w:val="24"/>
        </w:rPr>
      </w:pPr>
    </w:p>
    <w:p w14:paraId="6156F6F2" w14:textId="66384566" w:rsidR="0E260372" w:rsidRDefault="0E260372" w:rsidP="0E260372">
      <w:pPr>
        <w:spacing w:line="240" w:lineRule="auto"/>
        <w:rPr>
          <w:rFonts w:ascii="Arial" w:eastAsia="Arial" w:hAnsi="Arial" w:cs="Arial"/>
          <w:b/>
          <w:bCs/>
          <w:sz w:val="24"/>
          <w:szCs w:val="24"/>
        </w:rPr>
      </w:pPr>
    </w:p>
    <w:p w14:paraId="0C1B95F7" w14:textId="1966C977" w:rsidR="0E260372" w:rsidRDefault="0E260372" w:rsidP="0E260372">
      <w:pPr>
        <w:spacing w:line="240" w:lineRule="auto"/>
        <w:rPr>
          <w:rFonts w:ascii="Arial" w:eastAsia="Arial" w:hAnsi="Arial" w:cs="Arial"/>
          <w:b/>
          <w:bCs/>
          <w:sz w:val="24"/>
          <w:szCs w:val="24"/>
        </w:rPr>
      </w:pPr>
    </w:p>
    <w:p w14:paraId="48F88A02" w14:textId="71405B82" w:rsidR="0E260372" w:rsidRDefault="0E260372" w:rsidP="0E260372">
      <w:pPr>
        <w:spacing w:line="240" w:lineRule="auto"/>
        <w:rPr>
          <w:rFonts w:ascii="Arial" w:eastAsia="Arial" w:hAnsi="Arial" w:cs="Arial"/>
          <w:b/>
          <w:bCs/>
          <w:sz w:val="24"/>
          <w:szCs w:val="24"/>
        </w:rPr>
      </w:pPr>
    </w:p>
    <w:p w14:paraId="05E0C79B" w14:textId="4F8C053B" w:rsidR="0E260372" w:rsidRDefault="0E260372" w:rsidP="0E260372">
      <w:pPr>
        <w:spacing w:line="240" w:lineRule="auto"/>
        <w:rPr>
          <w:rFonts w:ascii="Arial" w:eastAsia="Arial" w:hAnsi="Arial" w:cs="Arial"/>
          <w:b/>
          <w:bCs/>
          <w:sz w:val="24"/>
          <w:szCs w:val="24"/>
        </w:rPr>
      </w:pPr>
    </w:p>
    <w:p w14:paraId="221939F2" w14:textId="49F69F21" w:rsidR="0E260372" w:rsidRDefault="0E260372" w:rsidP="0E260372">
      <w:pPr>
        <w:spacing w:line="240" w:lineRule="auto"/>
        <w:rPr>
          <w:rFonts w:ascii="Arial" w:eastAsia="Arial" w:hAnsi="Arial" w:cs="Arial"/>
          <w:b/>
          <w:bCs/>
          <w:sz w:val="24"/>
          <w:szCs w:val="24"/>
        </w:rPr>
      </w:pPr>
    </w:p>
    <w:p w14:paraId="2099F957" w14:textId="640883EC" w:rsidR="0E260372" w:rsidRDefault="0E260372" w:rsidP="0E260372">
      <w:pPr>
        <w:spacing w:line="240" w:lineRule="auto"/>
        <w:rPr>
          <w:rFonts w:ascii="Arial" w:eastAsia="Arial" w:hAnsi="Arial" w:cs="Arial"/>
          <w:b/>
          <w:bCs/>
          <w:sz w:val="24"/>
          <w:szCs w:val="24"/>
        </w:rPr>
      </w:pPr>
    </w:p>
    <w:p w14:paraId="68899C8C" w14:textId="07907F66" w:rsidR="0E260372" w:rsidRDefault="0E260372" w:rsidP="0E260372">
      <w:pPr>
        <w:spacing w:line="240" w:lineRule="auto"/>
        <w:rPr>
          <w:rFonts w:ascii="Arial" w:eastAsia="Arial" w:hAnsi="Arial" w:cs="Arial"/>
          <w:b/>
          <w:bCs/>
          <w:sz w:val="24"/>
          <w:szCs w:val="24"/>
        </w:rPr>
      </w:pPr>
    </w:p>
    <w:p w14:paraId="1B253278" w14:textId="1F7A05CE" w:rsidR="0E260372" w:rsidRDefault="0E260372" w:rsidP="0E260372">
      <w:pPr>
        <w:spacing w:line="240" w:lineRule="auto"/>
        <w:rPr>
          <w:rFonts w:ascii="Arial" w:eastAsia="Arial" w:hAnsi="Arial" w:cs="Arial"/>
          <w:b/>
          <w:bCs/>
          <w:sz w:val="24"/>
          <w:szCs w:val="24"/>
        </w:rPr>
      </w:pPr>
    </w:p>
    <w:p w14:paraId="28056E74" w14:textId="2AE8C726" w:rsidR="0E260372" w:rsidRDefault="0E260372" w:rsidP="0E260372">
      <w:pPr>
        <w:spacing w:line="240" w:lineRule="auto"/>
        <w:rPr>
          <w:rFonts w:ascii="Arial" w:eastAsia="Arial" w:hAnsi="Arial" w:cs="Arial"/>
          <w:b/>
          <w:bCs/>
          <w:sz w:val="24"/>
          <w:szCs w:val="24"/>
        </w:rPr>
      </w:pPr>
    </w:p>
    <w:p w14:paraId="04852A74" w14:textId="04C8DA8F" w:rsidR="0E260372" w:rsidRDefault="0E260372" w:rsidP="0E260372">
      <w:pPr>
        <w:spacing w:line="240" w:lineRule="auto"/>
        <w:rPr>
          <w:rFonts w:ascii="Arial" w:eastAsia="Arial" w:hAnsi="Arial" w:cs="Arial"/>
          <w:b/>
          <w:bCs/>
          <w:sz w:val="24"/>
          <w:szCs w:val="24"/>
        </w:rPr>
      </w:pPr>
    </w:p>
    <w:p w14:paraId="18A020E7" w14:textId="552091D5" w:rsidR="0E260372" w:rsidRDefault="0E260372" w:rsidP="0E260372">
      <w:pPr>
        <w:spacing w:line="240" w:lineRule="auto"/>
        <w:rPr>
          <w:rFonts w:ascii="Arial" w:eastAsia="Arial" w:hAnsi="Arial" w:cs="Arial"/>
          <w:b/>
          <w:bCs/>
          <w:sz w:val="24"/>
          <w:szCs w:val="24"/>
        </w:rPr>
      </w:pPr>
    </w:p>
    <w:p w14:paraId="4DA36ED8" w14:textId="2178603F" w:rsidR="0E260372" w:rsidRDefault="0E260372" w:rsidP="0E260372">
      <w:pPr>
        <w:spacing w:line="240" w:lineRule="auto"/>
        <w:rPr>
          <w:rFonts w:ascii="Arial" w:eastAsia="Arial" w:hAnsi="Arial" w:cs="Arial"/>
          <w:b/>
          <w:bCs/>
          <w:sz w:val="24"/>
          <w:szCs w:val="24"/>
        </w:rPr>
      </w:pPr>
    </w:p>
    <w:p w14:paraId="6FC354CF" w14:textId="34B1698E" w:rsidR="0E260372" w:rsidRDefault="0E260372" w:rsidP="0E260372">
      <w:pPr>
        <w:spacing w:line="240" w:lineRule="auto"/>
        <w:rPr>
          <w:rFonts w:ascii="Arial" w:eastAsia="Arial" w:hAnsi="Arial" w:cs="Arial"/>
          <w:b/>
          <w:bCs/>
          <w:sz w:val="24"/>
          <w:szCs w:val="24"/>
        </w:rPr>
      </w:pPr>
    </w:p>
    <w:p w14:paraId="0CBB4CB0" w14:textId="529B040E" w:rsidR="0E260372" w:rsidRDefault="0E260372" w:rsidP="0E260372">
      <w:pPr>
        <w:spacing w:line="240" w:lineRule="auto"/>
        <w:rPr>
          <w:rFonts w:ascii="Arial" w:eastAsia="Arial" w:hAnsi="Arial" w:cs="Arial"/>
          <w:b/>
          <w:bCs/>
          <w:sz w:val="24"/>
          <w:szCs w:val="24"/>
        </w:rPr>
      </w:pPr>
    </w:p>
    <w:p w14:paraId="78D21097" w14:textId="3FDEB2AC" w:rsidR="0E260372" w:rsidRDefault="0E260372" w:rsidP="0E260372">
      <w:pPr>
        <w:spacing w:line="240" w:lineRule="auto"/>
        <w:rPr>
          <w:rFonts w:ascii="Arial" w:eastAsia="Arial" w:hAnsi="Arial" w:cs="Arial"/>
          <w:b/>
          <w:bCs/>
          <w:sz w:val="24"/>
          <w:szCs w:val="24"/>
        </w:rPr>
      </w:pPr>
    </w:p>
    <w:p w14:paraId="5897EAF0" w14:textId="7E5E31FE" w:rsidR="0E260372" w:rsidRDefault="0E260372" w:rsidP="0E260372">
      <w:pPr>
        <w:spacing w:line="240" w:lineRule="auto"/>
        <w:rPr>
          <w:rFonts w:ascii="Arial" w:eastAsia="Arial" w:hAnsi="Arial" w:cs="Arial"/>
          <w:b/>
          <w:bCs/>
          <w:sz w:val="24"/>
          <w:szCs w:val="24"/>
        </w:rPr>
      </w:pPr>
    </w:p>
    <w:p w14:paraId="640D49E2" w14:textId="085A2029" w:rsidR="0E260372" w:rsidRDefault="0E260372" w:rsidP="0E260372">
      <w:pPr>
        <w:spacing w:line="240" w:lineRule="auto"/>
        <w:rPr>
          <w:rFonts w:ascii="Arial" w:eastAsia="Arial" w:hAnsi="Arial" w:cs="Arial"/>
          <w:b/>
          <w:bCs/>
          <w:sz w:val="24"/>
          <w:szCs w:val="24"/>
        </w:rPr>
      </w:pPr>
    </w:p>
    <w:p w14:paraId="5B1B9B47" w14:textId="77777777" w:rsidR="00B24195" w:rsidRDefault="00B24195" w:rsidP="359E9537">
      <w:pPr>
        <w:pStyle w:val="Heading2"/>
        <w:rPr>
          <w:rFonts w:ascii="Arial" w:eastAsia="Arial" w:hAnsi="Arial" w:cs="Arial"/>
          <w:color w:val="auto"/>
        </w:rPr>
      </w:pPr>
      <w:bookmarkStart w:id="34" w:name="_Toc213871370"/>
    </w:p>
    <w:p w14:paraId="50BD2F1D" w14:textId="5E585456" w:rsidR="3610BE06" w:rsidRDefault="3610BE06" w:rsidP="359E9537">
      <w:pPr>
        <w:pStyle w:val="Heading2"/>
        <w:rPr>
          <w:rFonts w:ascii="Arial" w:eastAsia="Arial" w:hAnsi="Arial" w:cs="Arial"/>
          <w:color w:val="auto"/>
        </w:rPr>
      </w:pPr>
      <w:r w:rsidRPr="359E9537">
        <w:rPr>
          <w:rFonts w:ascii="Arial" w:eastAsia="Arial" w:hAnsi="Arial" w:cs="Arial"/>
          <w:color w:val="auto"/>
        </w:rPr>
        <w:t>Appendix B</w:t>
      </w:r>
      <w:bookmarkEnd w:id="34"/>
    </w:p>
    <w:p w14:paraId="0D5F3838" w14:textId="08A23C7F" w:rsidR="008C38C3" w:rsidRDefault="21EBB099" w:rsidP="0E260372">
      <w:pPr>
        <w:spacing w:line="240" w:lineRule="auto"/>
        <w:rPr>
          <w:rFonts w:ascii="Arial" w:eastAsia="Arial" w:hAnsi="Arial" w:cs="Arial"/>
          <w:sz w:val="28"/>
          <w:szCs w:val="28"/>
        </w:rPr>
      </w:pPr>
      <w:r w:rsidRPr="0E260372">
        <w:rPr>
          <w:rFonts w:ascii="Arial" w:eastAsia="Arial" w:hAnsi="Arial" w:cs="Arial"/>
          <w:b/>
          <w:bCs/>
          <w:sz w:val="28"/>
          <w:szCs w:val="28"/>
        </w:rPr>
        <w:t>Summary Table</w:t>
      </w:r>
    </w:p>
    <w:p w14:paraId="4E647AF3" w14:textId="20BB2C25" w:rsidR="008C38C3" w:rsidRPr="008C38C3" w:rsidRDefault="008C38C3" w:rsidP="1EC678D9">
      <w:pPr>
        <w:pStyle w:val="Heading1"/>
      </w:pPr>
    </w:p>
    <w:tbl>
      <w:tblPr>
        <w:tblStyle w:val="PlainTable1"/>
        <w:tblW w:w="0" w:type="auto"/>
        <w:tblLayout w:type="fixed"/>
        <w:tblLook w:val="06A0" w:firstRow="1" w:lastRow="0" w:firstColumn="1" w:lastColumn="0" w:noHBand="1" w:noVBand="1"/>
      </w:tblPr>
      <w:tblGrid>
        <w:gridCol w:w="1127"/>
        <w:gridCol w:w="1127"/>
        <w:gridCol w:w="1127"/>
        <w:gridCol w:w="1125"/>
        <w:gridCol w:w="1129"/>
        <w:gridCol w:w="1127"/>
        <w:gridCol w:w="1125"/>
        <w:gridCol w:w="1246"/>
      </w:tblGrid>
      <w:tr w:rsidR="1EC678D9" w14:paraId="4B6D2C39" w14:textId="77777777" w:rsidTr="00DD6BC6">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127" w:type="dxa"/>
            <w:shd w:val="clear" w:color="auto" w:fill="4472C4" w:themeFill="accent1"/>
          </w:tcPr>
          <w:p w14:paraId="11B258E7" w14:textId="46B18FE6" w:rsidR="39D54DBA" w:rsidRDefault="39D54DBA" w:rsidP="1EC678D9">
            <w:pPr>
              <w:spacing w:line="240" w:lineRule="auto"/>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Author&amp; Year</w:t>
            </w:r>
          </w:p>
        </w:tc>
        <w:tc>
          <w:tcPr>
            <w:tcW w:w="1127" w:type="dxa"/>
            <w:shd w:val="clear" w:color="auto" w:fill="4472C4" w:themeFill="accent1"/>
          </w:tcPr>
          <w:p w14:paraId="7C368FED" w14:textId="677463C0"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Article Title</w:t>
            </w:r>
          </w:p>
        </w:tc>
        <w:tc>
          <w:tcPr>
            <w:tcW w:w="1127" w:type="dxa"/>
            <w:shd w:val="clear" w:color="auto" w:fill="4472C4" w:themeFill="accent1"/>
          </w:tcPr>
          <w:p w14:paraId="44D429A9" w14:textId="392D32FF"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Type of Study</w:t>
            </w:r>
          </w:p>
        </w:tc>
        <w:tc>
          <w:tcPr>
            <w:tcW w:w="1125" w:type="dxa"/>
            <w:shd w:val="clear" w:color="auto" w:fill="4472C4" w:themeFill="accent1"/>
          </w:tcPr>
          <w:p w14:paraId="272CA7F8" w14:textId="0E8EA62C"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Research Method &amp; Sample Size</w:t>
            </w:r>
          </w:p>
        </w:tc>
        <w:tc>
          <w:tcPr>
            <w:tcW w:w="1129" w:type="dxa"/>
            <w:shd w:val="clear" w:color="auto" w:fill="4472C4" w:themeFill="accent1"/>
          </w:tcPr>
          <w:p w14:paraId="70F95026" w14:textId="1DB808B5"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Strength and Limitations</w:t>
            </w:r>
          </w:p>
        </w:tc>
        <w:tc>
          <w:tcPr>
            <w:tcW w:w="1127" w:type="dxa"/>
            <w:shd w:val="clear" w:color="auto" w:fill="4472C4" w:themeFill="accent1"/>
          </w:tcPr>
          <w:p w14:paraId="1D677C96" w14:textId="7E131A94"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Main Findings</w:t>
            </w:r>
          </w:p>
        </w:tc>
        <w:tc>
          <w:tcPr>
            <w:tcW w:w="1125" w:type="dxa"/>
            <w:shd w:val="clear" w:color="auto" w:fill="4472C4" w:themeFill="accent1"/>
          </w:tcPr>
          <w:p w14:paraId="605D641B" w14:textId="2A1FF886"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Keywords and Codes</w:t>
            </w:r>
          </w:p>
        </w:tc>
        <w:tc>
          <w:tcPr>
            <w:tcW w:w="1246" w:type="dxa"/>
            <w:shd w:val="clear" w:color="auto" w:fill="4472C4" w:themeFill="accent1"/>
          </w:tcPr>
          <w:p w14:paraId="2B0D16AD" w14:textId="0DB7AB6E" w:rsidR="35B7550D" w:rsidRDefault="35B7550D" w:rsidP="1EC678D9">
            <w:pPr>
              <w:spacing w:line="240" w:lineRule="auto"/>
              <w:cnfStyle w:val="100000000000" w:firstRow="1" w:lastRow="0" w:firstColumn="0" w:lastColumn="0" w:oddVBand="0" w:evenVBand="0" w:oddHBand="0" w:evenHBand="0" w:firstRowFirstColumn="0" w:firstRowLastColumn="0" w:lastRowFirstColumn="0" w:lastRowLastColumn="0"/>
              <w:rPr>
                <w:rFonts w:ascii="Arial" w:eastAsia="Arial" w:hAnsi="Arial" w:cs="Arial"/>
                <w:b w:val="0"/>
                <w:bCs w:val="0"/>
                <w:color w:val="FFFFFF" w:themeColor="background1"/>
                <w:sz w:val="18"/>
                <w:szCs w:val="18"/>
              </w:rPr>
            </w:pPr>
            <w:r w:rsidRPr="1EC678D9">
              <w:rPr>
                <w:rFonts w:ascii="Arial" w:eastAsia="Arial" w:hAnsi="Arial" w:cs="Arial"/>
                <w:b w:val="0"/>
                <w:bCs w:val="0"/>
                <w:color w:val="FFFFFF" w:themeColor="background1"/>
                <w:sz w:val="18"/>
                <w:szCs w:val="18"/>
              </w:rPr>
              <w:t>Notes and Comments</w:t>
            </w:r>
          </w:p>
        </w:tc>
      </w:tr>
      <w:tr w:rsidR="1EC678D9" w14:paraId="369BAE26"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8825E47" w14:textId="1EE05993" w:rsidR="36FEB016" w:rsidRDefault="36FEB016" w:rsidP="1EC678D9">
            <w:pPr>
              <w:spacing w:line="240" w:lineRule="auto"/>
              <w:rPr>
                <w:rFonts w:ascii="Arial" w:eastAsia="Arial" w:hAnsi="Arial" w:cs="Arial"/>
                <w:sz w:val="16"/>
                <w:szCs w:val="16"/>
              </w:rPr>
            </w:pPr>
            <w:r w:rsidRPr="1EC678D9">
              <w:rPr>
                <w:rFonts w:ascii="Arial" w:eastAsia="Arial" w:hAnsi="Arial" w:cs="Arial"/>
                <w:sz w:val="16"/>
                <w:szCs w:val="16"/>
              </w:rPr>
              <w:t>Office for Health Improvement &amp; Disparities (2024)</w:t>
            </w:r>
          </w:p>
        </w:tc>
        <w:tc>
          <w:tcPr>
            <w:tcW w:w="1127" w:type="dxa"/>
          </w:tcPr>
          <w:p w14:paraId="0D83169C" w14:textId="79F7882A" w:rsidR="36FEB016" w:rsidRDefault="36FEB01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00DB28A2">
              <w:rPr>
                <w:rFonts w:ascii="Arial" w:eastAsia="Arial" w:hAnsi="Arial" w:cs="Arial"/>
                <w:i/>
                <w:iCs/>
                <w:sz w:val="16"/>
                <w:szCs w:val="16"/>
              </w:rPr>
              <w:t>Children and young people’s substance misuse treatment</w:t>
            </w:r>
            <w:r w:rsidRPr="1EC678D9">
              <w:rPr>
                <w:rFonts w:ascii="Arial" w:eastAsia="Arial" w:hAnsi="Arial" w:cs="Arial"/>
                <w:sz w:val="16"/>
                <w:szCs w:val="16"/>
              </w:rPr>
              <w:t xml:space="preserve"> statistics 2023 to 2024: report</w:t>
            </w:r>
          </w:p>
        </w:tc>
        <w:tc>
          <w:tcPr>
            <w:tcW w:w="1127" w:type="dxa"/>
          </w:tcPr>
          <w:p w14:paraId="50A1986B" w14:textId="5C28DEB9" w:rsidR="36FEB016" w:rsidRDefault="36FEB016"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Government Statistical Report</w:t>
            </w:r>
          </w:p>
        </w:tc>
        <w:tc>
          <w:tcPr>
            <w:tcW w:w="1125" w:type="dxa"/>
          </w:tcPr>
          <w:p w14:paraId="6A19B26E" w14:textId="597EE0E5" w:rsidR="273B9829" w:rsidRDefault="273B9829"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National data collection on substance misuse treatment among young people in England</w:t>
            </w:r>
          </w:p>
        </w:tc>
        <w:tc>
          <w:tcPr>
            <w:tcW w:w="1129" w:type="dxa"/>
          </w:tcPr>
          <w:p w14:paraId="5F7421CB" w14:textId="6F374B52"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Provides comprehensive, current national data. Limitation: Lacks qualitative insights into lived experiences.</w:t>
            </w:r>
          </w:p>
        </w:tc>
        <w:tc>
          <w:tcPr>
            <w:tcW w:w="1127" w:type="dxa"/>
          </w:tcPr>
          <w:p w14:paraId="7F6D0894" w14:textId="30C97B66"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Reveals trends in youth treatment engagement and highlights continued prevalence of substance misuse among adolescents.</w:t>
            </w:r>
          </w:p>
        </w:tc>
        <w:tc>
          <w:tcPr>
            <w:tcW w:w="1125" w:type="dxa"/>
          </w:tcPr>
          <w:p w14:paraId="188D5C71" w14:textId="14497F38" w:rsidR="3E84879A" w:rsidRDefault="3E84879A"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w:t>
            </w:r>
            <w:r w:rsidR="4E7DCE50" w:rsidRPr="1EC678D9">
              <w:rPr>
                <w:rFonts w:ascii="Arial" w:eastAsia="Arial" w:hAnsi="Arial" w:cs="Arial"/>
                <w:sz w:val="16"/>
                <w:szCs w:val="16"/>
              </w:rPr>
              <w:t>tatistics, youth treatment, national trends</w:t>
            </w:r>
          </w:p>
        </w:tc>
        <w:tc>
          <w:tcPr>
            <w:tcW w:w="1246" w:type="dxa"/>
          </w:tcPr>
          <w:p w14:paraId="18CCCCFF" w14:textId="06E6BE08" w:rsidR="4E7DCE50" w:rsidRDefault="4E7DCE50"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Serves as a foundational source for understanding the current scale and direction of youth substance misuse in England. Theme: National Data &amp; Trends.</w:t>
            </w:r>
          </w:p>
        </w:tc>
      </w:tr>
      <w:tr w:rsidR="1EC678D9" w14:paraId="68F4CC2A"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42750D84" w14:textId="4F8E0340" w:rsidR="064EB206" w:rsidRDefault="064EB206" w:rsidP="1EC678D9">
            <w:pPr>
              <w:spacing w:line="240" w:lineRule="auto"/>
              <w:rPr>
                <w:rFonts w:ascii="Arial" w:eastAsia="Arial" w:hAnsi="Arial" w:cs="Arial"/>
                <w:sz w:val="16"/>
                <w:szCs w:val="16"/>
              </w:rPr>
            </w:pPr>
            <w:proofErr w:type="spellStart"/>
            <w:r w:rsidRPr="1EC678D9">
              <w:rPr>
                <w:rFonts w:ascii="Arial" w:eastAsia="Arial" w:hAnsi="Arial" w:cs="Arial"/>
                <w:sz w:val="16"/>
                <w:szCs w:val="16"/>
              </w:rPr>
              <w:t>Segrott</w:t>
            </w:r>
            <w:proofErr w:type="spellEnd"/>
            <w:r w:rsidRPr="1EC678D9">
              <w:rPr>
                <w:rFonts w:ascii="Arial" w:eastAsia="Arial" w:hAnsi="Arial" w:cs="Arial"/>
                <w:sz w:val="16"/>
                <w:szCs w:val="16"/>
              </w:rPr>
              <w:t xml:space="preserve"> et al. (2022)</w:t>
            </w:r>
          </w:p>
        </w:tc>
        <w:tc>
          <w:tcPr>
            <w:tcW w:w="1127" w:type="dxa"/>
          </w:tcPr>
          <w:p w14:paraId="32F596D1" w14:textId="184431C6" w:rsidR="73E7525D" w:rsidRPr="00851501" w:rsidRDefault="73E7525D"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16"/>
                <w:szCs w:val="16"/>
              </w:rPr>
            </w:pPr>
            <w:r w:rsidRPr="00851501">
              <w:rPr>
                <w:rFonts w:ascii="Arial" w:eastAsia="Arial" w:hAnsi="Arial" w:cs="Arial"/>
                <w:i/>
                <w:iCs/>
                <w:sz w:val="16"/>
                <w:szCs w:val="16"/>
              </w:rPr>
              <w:t>Effectiveness of the Strengthening Families Programme in the UK at preventing substance misuse in 10–</w:t>
            </w:r>
            <w:r w:rsidR="0D8E76E2" w:rsidRPr="00851501">
              <w:rPr>
                <w:rFonts w:ascii="Arial" w:eastAsia="Arial" w:hAnsi="Arial" w:cs="Arial"/>
                <w:i/>
                <w:iCs/>
                <w:sz w:val="16"/>
                <w:szCs w:val="16"/>
              </w:rPr>
              <w:t>14-year-olds</w:t>
            </w:r>
            <w:r w:rsidRPr="00851501">
              <w:rPr>
                <w:rFonts w:ascii="Arial" w:eastAsia="Arial" w:hAnsi="Arial" w:cs="Arial"/>
                <w:i/>
                <w:iCs/>
                <w:sz w:val="16"/>
                <w:szCs w:val="16"/>
              </w:rPr>
              <w:t>: a pragmatic randomised controlled trial</w:t>
            </w:r>
          </w:p>
        </w:tc>
        <w:tc>
          <w:tcPr>
            <w:tcW w:w="1127" w:type="dxa"/>
          </w:tcPr>
          <w:p w14:paraId="77B3700E" w14:textId="1A423BAB"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Quantitative – Randomised Controlled Trial (RCT)</w:t>
            </w:r>
          </w:p>
        </w:tc>
        <w:tc>
          <w:tcPr>
            <w:tcW w:w="1125" w:type="dxa"/>
          </w:tcPr>
          <w:p w14:paraId="03F33B8E" w14:textId="5CABAAA2"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Mixed-method evaluation involving families of 10–14-year-olds across multiple UK regions</w:t>
            </w:r>
          </w:p>
        </w:tc>
        <w:tc>
          <w:tcPr>
            <w:tcW w:w="1129" w:type="dxa"/>
          </w:tcPr>
          <w:p w14:paraId="19CA52DB" w14:textId="26911086"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Strength: Strong experimental design enhances validity. Limitation: Limited long-term follow-up data.</w:t>
            </w:r>
          </w:p>
        </w:tc>
        <w:tc>
          <w:tcPr>
            <w:tcW w:w="1127" w:type="dxa"/>
          </w:tcPr>
          <w:p w14:paraId="4CD5E1AE" w14:textId="5EFC40A9"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Demonstrates significant reduction in early substance use through family-based prevention interventions.</w:t>
            </w:r>
          </w:p>
        </w:tc>
        <w:tc>
          <w:tcPr>
            <w:tcW w:w="1125" w:type="dxa"/>
          </w:tcPr>
          <w:p w14:paraId="309D79CB" w14:textId="5E5CEB23" w:rsidR="0E86CA29" w:rsidRDefault="0E86CA29"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F</w:t>
            </w:r>
            <w:r w:rsidR="73E7525D" w:rsidRPr="1EC678D9">
              <w:rPr>
                <w:rFonts w:ascii="Arial" w:eastAsia="Arial" w:hAnsi="Arial" w:cs="Arial"/>
                <w:sz w:val="16"/>
                <w:szCs w:val="16"/>
              </w:rPr>
              <w:t>amily intervention, prevention, adolescent behaviour</w:t>
            </w:r>
          </w:p>
        </w:tc>
        <w:tc>
          <w:tcPr>
            <w:tcW w:w="1246" w:type="dxa"/>
          </w:tcPr>
          <w:p w14:paraId="72917F1D" w14:textId="2062E341" w:rsidR="73E7525D" w:rsidRDefault="73E7525D"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Provides robust evidence for family-centred approaches in reducing youth substance misuse. Theme: Family and Prevention.</w:t>
            </w:r>
          </w:p>
        </w:tc>
      </w:tr>
      <w:tr w:rsidR="1EC678D9" w14:paraId="0474EAB5" w14:textId="77777777" w:rsidTr="00DD6BC6">
        <w:trPr>
          <w:trHeight w:val="300"/>
        </w:trPr>
        <w:tc>
          <w:tcPr>
            <w:cnfStyle w:val="001000000000" w:firstRow="0" w:lastRow="0" w:firstColumn="1" w:lastColumn="0" w:oddVBand="0" w:evenVBand="0" w:oddHBand="0" w:evenHBand="0" w:firstRowFirstColumn="0" w:firstRowLastColumn="0" w:lastRowFirstColumn="0" w:lastRowLastColumn="0"/>
            <w:tcW w:w="1127" w:type="dxa"/>
          </w:tcPr>
          <w:p w14:paraId="6CFB825E" w14:textId="1A0B1D77" w:rsidR="05502E1A" w:rsidRDefault="05502E1A" w:rsidP="1EC678D9">
            <w:pPr>
              <w:spacing w:line="240" w:lineRule="auto"/>
              <w:jc w:val="left"/>
              <w:rPr>
                <w:rFonts w:ascii="Arial" w:eastAsia="Arial" w:hAnsi="Arial" w:cs="Arial"/>
                <w:sz w:val="16"/>
                <w:szCs w:val="16"/>
              </w:rPr>
            </w:pPr>
            <w:r w:rsidRPr="1EC678D9">
              <w:rPr>
                <w:rFonts w:ascii="Arial" w:eastAsia="Arial" w:hAnsi="Arial" w:cs="Arial"/>
                <w:sz w:val="16"/>
                <w:szCs w:val="16"/>
              </w:rPr>
              <w:t>Holland et al. (2023)</w:t>
            </w:r>
          </w:p>
        </w:tc>
        <w:tc>
          <w:tcPr>
            <w:tcW w:w="1127" w:type="dxa"/>
          </w:tcPr>
          <w:p w14:paraId="2EA68562" w14:textId="30BD1660" w:rsidR="165ECB97" w:rsidRPr="00851501" w:rsidRDefault="165ECB97" w:rsidP="1EC678D9">
            <w:pPr>
              <w:spacing w:line="240" w:lineRule="auto"/>
              <w:jc w:val="left"/>
              <w:cnfStyle w:val="000000000000" w:firstRow="0" w:lastRow="0" w:firstColumn="0" w:lastColumn="0" w:oddVBand="0" w:evenVBand="0" w:oddHBand="0" w:evenHBand="0" w:firstRowFirstColumn="0" w:firstRowLastColumn="0" w:lastRowFirstColumn="0" w:lastRowLastColumn="0"/>
              <w:rPr>
                <w:rFonts w:ascii="Arial" w:eastAsia="Arial" w:hAnsi="Arial" w:cs="Arial"/>
                <w:i/>
                <w:iCs/>
                <w:sz w:val="16"/>
                <w:szCs w:val="16"/>
              </w:rPr>
            </w:pPr>
            <w:r w:rsidRPr="00851501">
              <w:rPr>
                <w:rFonts w:ascii="Arial" w:eastAsia="Arial" w:hAnsi="Arial" w:cs="Arial"/>
                <w:i/>
                <w:iCs/>
                <w:sz w:val="16"/>
                <w:szCs w:val="16"/>
              </w:rPr>
              <w:t xml:space="preserve">Analysis of the UK Government’s 10-Year Drugs Strategy—a resource for practitioners and </w:t>
            </w:r>
            <w:r w:rsidRPr="00851501">
              <w:rPr>
                <w:rFonts w:ascii="Arial" w:eastAsia="Arial" w:hAnsi="Arial" w:cs="Arial"/>
                <w:i/>
                <w:iCs/>
                <w:sz w:val="16"/>
                <w:szCs w:val="16"/>
              </w:rPr>
              <w:lastRenderedPageBreak/>
              <w:t>policymakers</w:t>
            </w:r>
          </w:p>
        </w:tc>
        <w:tc>
          <w:tcPr>
            <w:tcW w:w="1127" w:type="dxa"/>
          </w:tcPr>
          <w:p w14:paraId="7E758278" w14:textId="3D2F042F"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lastRenderedPageBreak/>
              <w:t>Policy Analysis – Peer-reviewed Article</w:t>
            </w:r>
          </w:p>
        </w:tc>
        <w:tc>
          <w:tcPr>
            <w:tcW w:w="1125" w:type="dxa"/>
          </w:tcPr>
          <w:p w14:paraId="0F9677BF" w14:textId="0DB13E69"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Documentary and critical analysis of the UK Government’s 10-year drug strategy</w:t>
            </w:r>
          </w:p>
        </w:tc>
        <w:tc>
          <w:tcPr>
            <w:tcW w:w="1129" w:type="dxa"/>
          </w:tcPr>
          <w:p w14:paraId="53521245" w14:textId="00221842"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 xml:space="preserve">Strength: Offers in-depth critique of national policy direction. Limitation: Relies on </w:t>
            </w:r>
            <w:r w:rsidRPr="1EC678D9">
              <w:rPr>
                <w:rFonts w:ascii="Arial" w:eastAsia="Arial" w:hAnsi="Arial" w:cs="Arial"/>
                <w:sz w:val="16"/>
                <w:szCs w:val="16"/>
              </w:rPr>
              <w:lastRenderedPageBreak/>
              <w:t>secondary data and lacks participant evidence.</w:t>
            </w:r>
          </w:p>
        </w:tc>
        <w:tc>
          <w:tcPr>
            <w:tcW w:w="1127" w:type="dxa"/>
          </w:tcPr>
          <w:p w14:paraId="4D6EAD23" w14:textId="16F6C0F7"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lastRenderedPageBreak/>
              <w:t xml:space="preserve">Identifies limited investment in youth prevention and need for stronger evidence-based </w:t>
            </w:r>
            <w:r w:rsidRPr="1EC678D9">
              <w:rPr>
                <w:rFonts w:ascii="Arial" w:eastAsia="Arial" w:hAnsi="Arial" w:cs="Arial"/>
                <w:sz w:val="16"/>
                <w:szCs w:val="16"/>
              </w:rPr>
              <w:lastRenderedPageBreak/>
              <w:t>practice in the national strategy.</w:t>
            </w:r>
          </w:p>
        </w:tc>
        <w:tc>
          <w:tcPr>
            <w:tcW w:w="1125" w:type="dxa"/>
          </w:tcPr>
          <w:p w14:paraId="70D5C6DD" w14:textId="393036AB" w:rsidR="7609BC98" w:rsidRDefault="7609BC98"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lastRenderedPageBreak/>
              <w:t>P</w:t>
            </w:r>
            <w:r w:rsidR="165ECB97" w:rsidRPr="1EC678D9">
              <w:rPr>
                <w:rFonts w:ascii="Arial" w:eastAsia="Arial" w:hAnsi="Arial" w:cs="Arial"/>
                <w:sz w:val="16"/>
                <w:szCs w:val="16"/>
              </w:rPr>
              <w:t>olicy, prevention, strategy evaluation</w:t>
            </w:r>
          </w:p>
        </w:tc>
        <w:tc>
          <w:tcPr>
            <w:tcW w:w="1246" w:type="dxa"/>
          </w:tcPr>
          <w:p w14:paraId="22AEB23E" w14:textId="287E2508" w:rsidR="165ECB97" w:rsidRDefault="165ECB97" w:rsidP="1EC678D9">
            <w:pPr>
              <w:spacing w:line="240" w:lineRule="auto"/>
              <w:cnfStyle w:val="000000000000" w:firstRow="0" w:lastRow="0" w:firstColumn="0"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 xml:space="preserve">Highlights systemic challenges and policy gaps shaping youth-focused drug interventions. Theme: Policy </w:t>
            </w:r>
            <w:r w:rsidRPr="1EC678D9">
              <w:rPr>
                <w:rFonts w:ascii="Arial" w:eastAsia="Arial" w:hAnsi="Arial" w:cs="Arial"/>
                <w:sz w:val="16"/>
                <w:szCs w:val="16"/>
              </w:rPr>
              <w:lastRenderedPageBreak/>
              <w:t>and Governance.</w:t>
            </w:r>
          </w:p>
        </w:tc>
      </w:tr>
      <w:tr w:rsidR="1EC678D9" w14:paraId="6746CD17" w14:textId="77777777" w:rsidTr="00DD6BC6">
        <w:trPr>
          <w:trHeight w:val="300"/>
        </w:trPr>
        <w:tc>
          <w:tcPr>
            <w:tcW w:w="1127" w:type="dxa"/>
          </w:tcPr>
          <w:p w14:paraId="1E814F9A" w14:textId="46FAC5CC" w:rsidR="4ADC0AE8" w:rsidRDefault="4ADC0AE8"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lastRenderedPageBreak/>
              <w:t>Alderson et al. (2019)</w:t>
            </w:r>
          </w:p>
        </w:tc>
        <w:tc>
          <w:tcPr>
            <w:tcW w:w="1127" w:type="dxa"/>
          </w:tcPr>
          <w:p w14:paraId="48A652E9" w14:textId="02DD0194" w:rsidR="39DF5BA6" w:rsidRPr="00851501" w:rsidRDefault="39DF5BA6" w:rsidP="1EC678D9">
            <w:pPr>
              <w:spacing w:line="240" w:lineRule="auto"/>
              <w:rPr>
                <w:rFonts w:ascii="Arial" w:eastAsia="Arial" w:hAnsi="Arial" w:cs="Arial"/>
                <w:i/>
                <w:iCs/>
                <w:sz w:val="16"/>
                <w:szCs w:val="16"/>
              </w:rPr>
            </w:pPr>
            <w:r w:rsidRPr="00851501">
              <w:rPr>
                <w:rFonts w:ascii="Arial" w:eastAsia="Arial" w:hAnsi="Arial" w:cs="Arial"/>
                <w:i/>
                <w:iCs/>
                <w:sz w:val="16"/>
                <w:szCs w:val="16"/>
              </w:rPr>
              <w:t>Key therapeutic factors to deliver behavioural change interventions for looked-after children and care leavers: a qualitative exploration</w:t>
            </w:r>
          </w:p>
        </w:tc>
        <w:tc>
          <w:tcPr>
            <w:tcW w:w="1127" w:type="dxa"/>
          </w:tcPr>
          <w:p w14:paraId="626B0368" w14:textId="4CFDE2B1"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Qualitative Study</w:t>
            </w:r>
          </w:p>
        </w:tc>
        <w:tc>
          <w:tcPr>
            <w:tcW w:w="1125" w:type="dxa"/>
          </w:tcPr>
          <w:p w14:paraId="2CBAC3A1" w14:textId="6BBAE8A9"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Semi-structured interviews with practitioners and looked-after young people</w:t>
            </w:r>
          </w:p>
        </w:tc>
        <w:tc>
          <w:tcPr>
            <w:tcW w:w="1129" w:type="dxa"/>
          </w:tcPr>
          <w:p w14:paraId="14890D12" w14:textId="3904D652"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Strength: Captures nuanced perspectives from vulnerable youth. Limitation: Small, context-specific sample limits generalisation.</w:t>
            </w:r>
          </w:p>
        </w:tc>
        <w:tc>
          <w:tcPr>
            <w:tcW w:w="1127" w:type="dxa"/>
          </w:tcPr>
          <w:p w14:paraId="17B1A65F" w14:textId="1F9910F5"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Emphasises trust, empathy, and consistent relationships as core to reducing substance use among looked-after youth.</w:t>
            </w:r>
          </w:p>
        </w:tc>
        <w:tc>
          <w:tcPr>
            <w:tcW w:w="1125" w:type="dxa"/>
          </w:tcPr>
          <w:p w14:paraId="4B645691" w14:textId="268D7576"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Looked-after children, behavioural change, therapeutic support</w:t>
            </w:r>
          </w:p>
        </w:tc>
        <w:tc>
          <w:tcPr>
            <w:tcW w:w="1246" w:type="dxa"/>
          </w:tcPr>
          <w:p w14:paraId="453DD134" w14:textId="66CB425A" w:rsidR="39DF5BA6" w:rsidRDefault="39DF5BA6" w:rsidP="1EC678D9">
            <w:pPr>
              <w:spacing w:line="240" w:lineRule="auto"/>
              <w:rPr>
                <w:rFonts w:ascii="Arial" w:eastAsia="Arial" w:hAnsi="Arial" w:cs="Arial"/>
                <w:sz w:val="16"/>
                <w:szCs w:val="16"/>
              </w:rPr>
            </w:pPr>
            <w:r w:rsidRPr="1EC678D9">
              <w:rPr>
                <w:rFonts w:ascii="Arial" w:eastAsia="Arial" w:hAnsi="Arial" w:cs="Arial"/>
                <w:sz w:val="16"/>
                <w:szCs w:val="16"/>
              </w:rPr>
              <w:t>Provides insight into relational mechanisms supporting behavioural change. Theme: Vulnerable Youth and Care Systems.</w:t>
            </w:r>
          </w:p>
        </w:tc>
      </w:tr>
      <w:tr w:rsidR="1EC678D9" w14:paraId="60CA1D08" w14:textId="77777777" w:rsidTr="00DD6BC6">
        <w:trPr>
          <w:trHeight w:val="300"/>
        </w:trPr>
        <w:tc>
          <w:tcPr>
            <w:tcW w:w="1127" w:type="dxa"/>
          </w:tcPr>
          <w:p w14:paraId="6F1D6EC2" w14:textId="65E7AA4E" w:rsidR="7F3E46A1" w:rsidRDefault="7F3E46A1"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Stockings et al. (2016)</w:t>
            </w:r>
          </w:p>
        </w:tc>
        <w:tc>
          <w:tcPr>
            <w:tcW w:w="1127" w:type="dxa"/>
          </w:tcPr>
          <w:p w14:paraId="0E0B5849" w14:textId="3B357F44" w:rsidR="7F3E46A1" w:rsidRPr="00851501" w:rsidRDefault="7F3E46A1" w:rsidP="1EC678D9">
            <w:pPr>
              <w:spacing w:line="240" w:lineRule="auto"/>
              <w:jc w:val="left"/>
              <w:rPr>
                <w:rFonts w:ascii="Arial" w:eastAsia="Arial" w:hAnsi="Arial" w:cs="Arial"/>
                <w:i/>
                <w:iCs/>
                <w:sz w:val="16"/>
                <w:szCs w:val="16"/>
              </w:rPr>
            </w:pPr>
            <w:r w:rsidRPr="00851501">
              <w:rPr>
                <w:rFonts w:ascii="Arial" w:eastAsia="Arial" w:hAnsi="Arial" w:cs="Arial"/>
                <w:i/>
                <w:iCs/>
                <w:sz w:val="16"/>
                <w:szCs w:val="16"/>
              </w:rPr>
              <w:t>Prevention, early intervention, harm reduction, and treatment of substance use in young people</w:t>
            </w:r>
          </w:p>
        </w:tc>
        <w:tc>
          <w:tcPr>
            <w:tcW w:w="1127" w:type="dxa"/>
          </w:tcPr>
          <w:p w14:paraId="5838D172" w14:textId="57CB24C8"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Systematic Review – Peer-reviewed</w:t>
            </w:r>
          </w:p>
        </w:tc>
        <w:tc>
          <w:tcPr>
            <w:tcW w:w="1125" w:type="dxa"/>
          </w:tcPr>
          <w:p w14:paraId="001F50AD" w14:textId="210BB217"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Comprehensive review of international evidence on youth prevention and treatment programmes</w:t>
            </w:r>
          </w:p>
        </w:tc>
        <w:tc>
          <w:tcPr>
            <w:tcW w:w="1129" w:type="dxa"/>
          </w:tcPr>
          <w:p w14:paraId="7A60D144" w14:textId="5E73EF00"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Strength: Synthesises global data to identify effective approaches. Limitation: Contextual differences limit UK-specific applicability.</w:t>
            </w:r>
          </w:p>
        </w:tc>
        <w:tc>
          <w:tcPr>
            <w:tcW w:w="1127" w:type="dxa"/>
          </w:tcPr>
          <w:p w14:paraId="30BDFA96" w14:textId="46300E2E"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Finds multi-component, early interventions most effective in reducing youth substance misuse.</w:t>
            </w:r>
          </w:p>
        </w:tc>
        <w:tc>
          <w:tcPr>
            <w:tcW w:w="1125" w:type="dxa"/>
          </w:tcPr>
          <w:p w14:paraId="24B907DD" w14:textId="070DE1AC"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Prevention, harm reduction, treatment</w:t>
            </w:r>
          </w:p>
        </w:tc>
        <w:tc>
          <w:tcPr>
            <w:tcW w:w="1246" w:type="dxa"/>
          </w:tcPr>
          <w:p w14:paraId="1254C80D" w14:textId="2D9C9D6E" w:rsidR="7F3E46A1" w:rsidRDefault="7F3E46A1" w:rsidP="1EC678D9">
            <w:pPr>
              <w:spacing w:line="240" w:lineRule="auto"/>
              <w:rPr>
                <w:rFonts w:ascii="Arial" w:eastAsia="Arial" w:hAnsi="Arial" w:cs="Arial"/>
                <w:sz w:val="16"/>
                <w:szCs w:val="16"/>
              </w:rPr>
            </w:pPr>
            <w:r w:rsidRPr="1EC678D9">
              <w:rPr>
                <w:rFonts w:ascii="Arial" w:eastAsia="Arial" w:hAnsi="Arial" w:cs="Arial"/>
                <w:sz w:val="16"/>
                <w:szCs w:val="16"/>
              </w:rPr>
              <w:t>Offers strong empirical basis for multi-level prevention frameworks. Theme: Global Evidence &amp; Early Intervention.</w:t>
            </w:r>
          </w:p>
        </w:tc>
      </w:tr>
      <w:tr w:rsidR="1EC678D9" w14:paraId="0224950C" w14:textId="77777777" w:rsidTr="00DD6BC6">
        <w:trPr>
          <w:trHeight w:val="300"/>
        </w:trPr>
        <w:tc>
          <w:tcPr>
            <w:tcW w:w="1127" w:type="dxa"/>
          </w:tcPr>
          <w:p w14:paraId="35241308" w14:textId="7E9A4BEB" w:rsidR="032009C0" w:rsidRDefault="032009C0"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Judith Watson et al. (2017)</w:t>
            </w:r>
          </w:p>
        </w:tc>
        <w:tc>
          <w:tcPr>
            <w:tcW w:w="1127" w:type="dxa"/>
          </w:tcPr>
          <w:p w14:paraId="7E4D3DB2" w14:textId="478D8268" w:rsidR="032009C0" w:rsidRPr="00851501" w:rsidRDefault="032009C0" w:rsidP="1EC678D9">
            <w:pPr>
              <w:spacing w:line="240" w:lineRule="auto"/>
              <w:rPr>
                <w:rFonts w:ascii="Arial" w:eastAsia="Arial" w:hAnsi="Arial" w:cs="Arial"/>
                <w:i/>
                <w:iCs/>
                <w:sz w:val="16"/>
                <w:szCs w:val="16"/>
              </w:rPr>
            </w:pPr>
            <w:r w:rsidRPr="00851501">
              <w:rPr>
                <w:rFonts w:ascii="Arial" w:eastAsia="Arial" w:hAnsi="Arial" w:cs="Arial"/>
                <w:i/>
                <w:iCs/>
                <w:sz w:val="16"/>
                <w:szCs w:val="16"/>
              </w:rPr>
              <w:t>Youth Social Behaviour and Network Therapy (Y-SBNT): Adaptation of a family and social network intervention for young people who misuse alcohol and drugs – a randomised controlled feasibility trial</w:t>
            </w:r>
          </w:p>
        </w:tc>
        <w:tc>
          <w:tcPr>
            <w:tcW w:w="1127" w:type="dxa"/>
          </w:tcPr>
          <w:p w14:paraId="1415B9BF" w14:textId="44890EE2"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Quantitative – Randomised Controlled Trial (Feasibility Study)</w:t>
            </w:r>
          </w:p>
        </w:tc>
        <w:tc>
          <w:tcPr>
            <w:tcW w:w="1125" w:type="dxa"/>
          </w:tcPr>
          <w:p w14:paraId="0E87A8CA" w14:textId="098028BE"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Trial with young people misusing substances, supported by family and social networks</w:t>
            </w:r>
          </w:p>
        </w:tc>
        <w:tc>
          <w:tcPr>
            <w:tcW w:w="1129" w:type="dxa"/>
          </w:tcPr>
          <w:p w14:paraId="13DAAD13" w14:textId="520307F3"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Strength: Tests feasibility and acceptability of a novel intervention. Limitation: Small-scale study with limited statistical power.</w:t>
            </w:r>
          </w:p>
        </w:tc>
        <w:tc>
          <w:tcPr>
            <w:tcW w:w="1127" w:type="dxa"/>
          </w:tcPr>
          <w:p w14:paraId="3EDE2A47" w14:textId="0B7604EF"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Shows that social network and family involvement can enhance engagement and recovery among young substance users.</w:t>
            </w:r>
          </w:p>
        </w:tc>
        <w:tc>
          <w:tcPr>
            <w:tcW w:w="1125" w:type="dxa"/>
          </w:tcPr>
          <w:p w14:paraId="64D9F293" w14:textId="0BBB19F0"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Social network, family support, youth intervention</w:t>
            </w:r>
          </w:p>
        </w:tc>
        <w:tc>
          <w:tcPr>
            <w:tcW w:w="1246" w:type="dxa"/>
          </w:tcPr>
          <w:p w14:paraId="3B262FF7" w14:textId="6245F8BE" w:rsidR="032009C0" w:rsidRDefault="032009C0" w:rsidP="1EC678D9">
            <w:pPr>
              <w:spacing w:line="240" w:lineRule="auto"/>
              <w:rPr>
                <w:rFonts w:ascii="Arial" w:eastAsia="Arial" w:hAnsi="Arial" w:cs="Arial"/>
                <w:sz w:val="16"/>
                <w:szCs w:val="16"/>
              </w:rPr>
            </w:pPr>
            <w:r w:rsidRPr="1EC678D9">
              <w:rPr>
                <w:rFonts w:ascii="Arial" w:eastAsia="Arial" w:hAnsi="Arial" w:cs="Arial"/>
                <w:sz w:val="16"/>
                <w:szCs w:val="16"/>
              </w:rPr>
              <w:t>Supports the role of relational and network-based interventions in treatment design. Theme: Social Networks and Intervention Feasibility.</w:t>
            </w:r>
          </w:p>
          <w:p w14:paraId="3EC1F7C6" w14:textId="4CF4096A" w:rsidR="1EC678D9" w:rsidRDefault="1EC678D9" w:rsidP="1EC678D9">
            <w:pPr>
              <w:spacing w:line="240" w:lineRule="auto"/>
              <w:rPr>
                <w:rFonts w:ascii="Arial" w:eastAsia="Arial" w:hAnsi="Arial" w:cs="Arial"/>
                <w:sz w:val="16"/>
                <w:szCs w:val="16"/>
              </w:rPr>
            </w:pPr>
          </w:p>
          <w:p w14:paraId="53505BD8" w14:textId="3AB8D2F2" w:rsidR="1EC678D9" w:rsidRDefault="1EC678D9" w:rsidP="1EC678D9">
            <w:pPr>
              <w:spacing w:line="240" w:lineRule="auto"/>
              <w:rPr>
                <w:rFonts w:ascii="Arial" w:eastAsia="Arial" w:hAnsi="Arial" w:cs="Arial"/>
                <w:sz w:val="16"/>
                <w:szCs w:val="16"/>
              </w:rPr>
            </w:pPr>
          </w:p>
          <w:p w14:paraId="72CA49E1" w14:textId="0E44444D" w:rsidR="1EC678D9" w:rsidRDefault="1EC678D9" w:rsidP="1EC678D9">
            <w:pPr>
              <w:spacing w:line="240" w:lineRule="auto"/>
              <w:rPr>
                <w:rFonts w:ascii="Arial" w:eastAsia="Arial" w:hAnsi="Arial" w:cs="Arial"/>
                <w:sz w:val="16"/>
                <w:szCs w:val="16"/>
              </w:rPr>
            </w:pPr>
          </w:p>
          <w:p w14:paraId="4B21DA8C" w14:textId="314CC23D" w:rsidR="1EC678D9" w:rsidRDefault="1EC678D9" w:rsidP="1EC678D9">
            <w:pPr>
              <w:spacing w:line="240" w:lineRule="auto"/>
              <w:rPr>
                <w:rFonts w:ascii="Arial" w:eastAsia="Arial" w:hAnsi="Arial" w:cs="Arial"/>
                <w:sz w:val="16"/>
                <w:szCs w:val="16"/>
              </w:rPr>
            </w:pPr>
          </w:p>
          <w:p w14:paraId="152BBF0B" w14:textId="2A3BBAB8" w:rsidR="1EC678D9" w:rsidRDefault="1EC678D9" w:rsidP="1EC678D9">
            <w:pPr>
              <w:spacing w:line="240" w:lineRule="auto"/>
              <w:rPr>
                <w:rFonts w:ascii="Arial" w:eastAsia="Arial" w:hAnsi="Arial" w:cs="Arial"/>
                <w:sz w:val="16"/>
                <w:szCs w:val="16"/>
              </w:rPr>
            </w:pPr>
          </w:p>
          <w:p w14:paraId="51442B61" w14:textId="0BF60D55" w:rsidR="1EC678D9" w:rsidRDefault="1EC678D9" w:rsidP="1EC678D9">
            <w:pPr>
              <w:spacing w:line="240" w:lineRule="auto"/>
              <w:rPr>
                <w:rFonts w:ascii="Arial" w:eastAsia="Arial" w:hAnsi="Arial" w:cs="Arial"/>
                <w:sz w:val="16"/>
                <w:szCs w:val="16"/>
              </w:rPr>
            </w:pPr>
          </w:p>
          <w:p w14:paraId="134BF63D" w14:textId="3D036C87" w:rsidR="1EC678D9" w:rsidRDefault="1EC678D9" w:rsidP="1EC678D9">
            <w:pPr>
              <w:spacing w:line="240" w:lineRule="auto"/>
              <w:rPr>
                <w:rFonts w:ascii="Arial" w:eastAsia="Arial" w:hAnsi="Arial" w:cs="Arial"/>
                <w:sz w:val="16"/>
                <w:szCs w:val="16"/>
              </w:rPr>
            </w:pPr>
          </w:p>
          <w:p w14:paraId="345653C7" w14:textId="3E95E2D2" w:rsidR="1EC678D9" w:rsidRDefault="1EC678D9" w:rsidP="1EC678D9">
            <w:pPr>
              <w:spacing w:line="240" w:lineRule="auto"/>
              <w:rPr>
                <w:rFonts w:ascii="Arial" w:eastAsia="Arial" w:hAnsi="Arial" w:cs="Arial"/>
                <w:sz w:val="16"/>
                <w:szCs w:val="16"/>
              </w:rPr>
            </w:pPr>
          </w:p>
          <w:p w14:paraId="5716AA89" w14:textId="3D57CF86" w:rsidR="1EC678D9" w:rsidRDefault="1EC678D9" w:rsidP="1EC678D9">
            <w:pPr>
              <w:spacing w:line="240" w:lineRule="auto"/>
              <w:rPr>
                <w:rFonts w:ascii="Arial" w:eastAsia="Arial" w:hAnsi="Arial" w:cs="Arial"/>
                <w:sz w:val="16"/>
                <w:szCs w:val="16"/>
              </w:rPr>
            </w:pPr>
          </w:p>
          <w:p w14:paraId="3C9E89C6" w14:textId="7E6AA022" w:rsidR="1EC678D9" w:rsidRDefault="1EC678D9" w:rsidP="1EC678D9">
            <w:pPr>
              <w:spacing w:line="240" w:lineRule="auto"/>
              <w:rPr>
                <w:rFonts w:ascii="Arial" w:eastAsia="Arial" w:hAnsi="Arial" w:cs="Arial"/>
                <w:sz w:val="16"/>
                <w:szCs w:val="16"/>
              </w:rPr>
            </w:pPr>
          </w:p>
          <w:p w14:paraId="3AEF72DC" w14:textId="561DF9C2" w:rsidR="1EC678D9" w:rsidRDefault="1EC678D9" w:rsidP="1EC678D9">
            <w:pPr>
              <w:spacing w:line="240" w:lineRule="auto"/>
              <w:rPr>
                <w:rFonts w:ascii="Arial" w:eastAsia="Arial" w:hAnsi="Arial" w:cs="Arial"/>
                <w:sz w:val="16"/>
                <w:szCs w:val="16"/>
              </w:rPr>
            </w:pPr>
          </w:p>
          <w:p w14:paraId="64C3FA7D" w14:textId="42B814CF" w:rsidR="1EC678D9" w:rsidRDefault="1EC678D9" w:rsidP="1EC678D9">
            <w:pPr>
              <w:spacing w:line="240" w:lineRule="auto"/>
              <w:rPr>
                <w:rFonts w:ascii="Arial" w:eastAsia="Arial" w:hAnsi="Arial" w:cs="Arial"/>
                <w:sz w:val="16"/>
                <w:szCs w:val="16"/>
              </w:rPr>
            </w:pPr>
          </w:p>
        </w:tc>
      </w:tr>
      <w:tr w:rsidR="1EC678D9" w14:paraId="7234645E" w14:textId="77777777" w:rsidTr="00DD6BC6">
        <w:trPr>
          <w:trHeight w:val="300"/>
        </w:trPr>
        <w:tc>
          <w:tcPr>
            <w:tcW w:w="1127" w:type="dxa"/>
          </w:tcPr>
          <w:p w14:paraId="74272A67" w14:textId="25EE48A8" w:rsidR="61F6E6A3" w:rsidRDefault="61F6E6A3"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rPr>
              <w:t>Volkow &amp; Blanco (2023)</w:t>
            </w:r>
          </w:p>
        </w:tc>
        <w:tc>
          <w:tcPr>
            <w:tcW w:w="1127" w:type="dxa"/>
          </w:tcPr>
          <w:p w14:paraId="098739DD" w14:textId="51B60747" w:rsidR="61F6E6A3" w:rsidRPr="00851501" w:rsidRDefault="61F6E6A3" w:rsidP="1EC678D9">
            <w:pPr>
              <w:spacing w:line="240" w:lineRule="auto"/>
              <w:jc w:val="left"/>
              <w:rPr>
                <w:rFonts w:ascii="Arial" w:eastAsia="Arial" w:hAnsi="Arial" w:cs="Arial"/>
                <w:i/>
                <w:iCs/>
                <w:sz w:val="16"/>
                <w:szCs w:val="16"/>
              </w:rPr>
            </w:pPr>
            <w:r w:rsidRPr="00851501">
              <w:rPr>
                <w:rFonts w:ascii="Arial" w:eastAsia="Arial" w:hAnsi="Arial" w:cs="Arial"/>
                <w:i/>
                <w:iCs/>
                <w:sz w:val="16"/>
                <w:szCs w:val="16"/>
              </w:rPr>
              <w:t>Substance Use Disorders: A Comprehensive Update of Classification, Epidemiology, Neurobiology, Clinical Aspects, Treatment and Prevention</w:t>
            </w:r>
          </w:p>
        </w:tc>
        <w:tc>
          <w:tcPr>
            <w:tcW w:w="1127" w:type="dxa"/>
          </w:tcPr>
          <w:p w14:paraId="6721493D" w14:textId="62384905" w:rsidR="61F6E6A3" w:rsidRDefault="61F6E6A3" w:rsidP="1EC678D9">
            <w:pPr>
              <w:spacing w:line="240" w:lineRule="auto"/>
              <w:rPr>
                <w:rFonts w:ascii="Arial" w:eastAsia="Arial" w:hAnsi="Arial" w:cs="Arial"/>
                <w:sz w:val="16"/>
                <w:szCs w:val="16"/>
              </w:rPr>
            </w:pPr>
            <w:r w:rsidRPr="1EC678D9">
              <w:rPr>
                <w:rFonts w:ascii="Arial" w:eastAsia="Arial" w:hAnsi="Arial" w:cs="Arial"/>
                <w:sz w:val="16"/>
                <w:szCs w:val="16"/>
              </w:rPr>
              <w:t>Peer-Reviewed Journal Article</w:t>
            </w:r>
          </w:p>
        </w:tc>
        <w:tc>
          <w:tcPr>
            <w:tcW w:w="1125" w:type="dxa"/>
          </w:tcPr>
          <w:p w14:paraId="2A4C9866" w14:textId="7E9C06A9" w:rsidR="1282FDCB" w:rsidRDefault="1282FDCB" w:rsidP="1EC678D9">
            <w:pPr>
              <w:spacing w:line="240" w:lineRule="auto"/>
              <w:rPr>
                <w:rFonts w:ascii="Arial" w:eastAsia="Arial" w:hAnsi="Arial" w:cs="Arial"/>
                <w:sz w:val="16"/>
                <w:szCs w:val="16"/>
              </w:rPr>
            </w:pPr>
            <w:r w:rsidRPr="1EC678D9">
              <w:rPr>
                <w:rFonts w:ascii="Arial" w:eastAsia="Arial" w:hAnsi="Arial" w:cs="Arial"/>
                <w:sz w:val="16"/>
                <w:szCs w:val="16"/>
              </w:rPr>
              <w:t>Literature review synthesising epidemiological and neurobiological evidence</w:t>
            </w:r>
          </w:p>
        </w:tc>
        <w:tc>
          <w:tcPr>
            <w:tcW w:w="1129" w:type="dxa"/>
          </w:tcPr>
          <w:p w14:paraId="599125A9" w14:textId="3FBD3CE9" w:rsidR="1282FDCB" w:rsidRDefault="1282FDCB" w:rsidP="1EC678D9">
            <w:pPr>
              <w:spacing w:line="240" w:lineRule="auto"/>
              <w:rPr>
                <w:rFonts w:ascii="Arial" w:eastAsia="Arial" w:hAnsi="Arial" w:cs="Arial"/>
                <w:sz w:val="16"/>
                <w:szCs w:val="16"/>
              </w:rPr>
            </w:pPr>
            <w:r w:rsidRPr="1EC678D9">
              <w:rPr>
                <w:rFonts w:ascii="Arial" w:eastAsia="Arial" w:hAnsi="Arial" w:cs="Arial"/>
                <w:sz w:val="16"/>
                <w:szCs w:val="16"/>
              </w:rPr>
              <w:t>Strength: Comprehensive theoretical scope. Limitation: Limited adolescent-specific UK focus. |</w:t>
            </w:r>
          </w:p>
        </w:tc>
        <w:tc>
          <w:tcPr>
            <w:tcW w:w="1127" w:type="dxa"/>
          </w:tcPr>
          <w:p w14:paraId="17A53B75" w14:textId="278FE456" w:rsidR="472E8598" w:rsidRDefault="472E8598" w:rsidP="1EC678D9">
            <w:pPr>
              <w:spacing w:line="240" w:lineRule="auto"/>
              <w:rPr>
                <w:rFonts w:ascii="Arial" w:eastAsia="Arial" w:hAnsi="Arial" w:cs="Arial"/>
                <w:sz w:val="16"/>
                <w:szCs w:val="16"/>
              </w:rPr>
            </w:pPr>
            <w:r w:rsidRPr="1EC678D9">
              <w:rPr>
                <w:rFonts w:ascii="Arial" w:eastAsia="Arial" w:hAnsi="Arial" w:cs="Arial"/>
                <w:sz w:val="16"/>
                <w:szCs w:val="16"/>
              </w:rPr>
              <w:t>Substance misuse results from complex neurobiological and social factors requiring integrated prevention.</w:t>
            </w:r>
          </w:p>
        </w:tc>
        <w:tc>
          <w:tcPr>
            <w:tcW w:w="1125" w:type="dxa"/>
          </w:tcPr>
          <w:p w14:paraId="41448504" w14:textId="0749E474" w:rsidR="68D90E2F" w:rsidRDefault="68D90E2F" w:rsidP="1EC678D9">
            <w:pPr>
              <w:spacing w:line="240" w:lineRule="auto"/>
              <w:rPr>
                <w:rFonts w:ascii="Arial" w:eastAsia="Arial" w:hAnsi="Arial" w:cs="Arial"/>
                <w:sz w:val="16"/>
                <w:szCs w:val="16"/>
              </w:rPr>
            </w:pPr>
            <w:r w:rsidRPr="1EC678D9">
              <w:rPr>
                <w:rFonts w:ascii="Arial" w:eastAsia="Arial" w:hAnsi="Arial" w:cs="Arial"/>
                <w:sz w:val="16"/>
                <w:szCs w:val="16"/>
              </w:rPr>
              <w:t>Substance use, neurobiology, prevention.</w:t>
            </w:r>
          </w:p>
        </w:tc>
        <w:tc>
          <w:tcPr>
            <w:tcW w:w="1246" w:type="dxa"/>
          </w:tcPr>
          <w:p w14:paraId="1E5716F7" w14:textId="02B93470" w:rsidR="68D90E2F" w:rsidRDefault="68D90E2F" w:rsidP="1EC678D9">
            <w:pPr>
              <w:spacing w:line="240" w:lineRule="auto"/>
              <w:rPr>
                <w:rFonts w:ascii="Arial" w:eastAsia="Arial" w:hAnsi="Arial" w:cs="Arial"/>
                <w:sz w:val="16"/>
                <w:szCs w:val="16"/>
              </w:rPr>
            </w:pPr>
            <w:r w:rsidRPr="1EC678D9">
              <w:rPr>
                <w:rFonts w:ascii="Arial" w:eastAsia="Arial" w:hAnsi="Arial" w:cs="Arial"/>
                <w:sz w:val="16"/>
                <w:szCs w:val="16"/>
              </w:rPr>
              <w:t>Provides theoretical foundation for understanding substance misuse causes.</w:t>
            </w:r>
          </w:p>
        </w:tc>
      </w:tr>
      <w:tr w:rsidR="1EC678D9" w14:paraId="4A817D1F" w14:textId="77777777" w:rsidTr="00DD6BC6">
        <w:trPr>
          <w:trHeight w:val="300"/>
        </w:trPr>
        <w:tc>
          <w:tcPr>
            <w:tcW w:w="1127" w:type="dxa"/>
          </w:tcPr>
          <w:p w14:paraId="6349D741" w14:textId="4042FA0E" w:rsidR="2171D6E0" w:rsidRDefault="2171D6E0"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rPr>
            </w:pPr>
            <w:r w:rsidRPr="1EC678D9">
              <w:rPr>
                <w:rFonts w:ascii="Arial" w:eastAsia="Arial" w:hAnsi="Arial" w:cs="Arial"/>
                <w:sz w:val="16"/>
                <w:szCs w:val="16"/>
                <w:lang w:val="en-US"/>
              </w:rPr>
              <w:t>Becker &amp; Rice (2022)</w:t>
            </w:r>
          </w:p>
        </w:tc>
        <w:tc>
          <w:tcPr>
            <w:tcW w:w="1127" w:type="dxa"/>
          </w:tcPr>
          <w:p w14:paraId="390D623E" w14:textId="3F37FBD8" w:rsidR="2171D6E0" w:rsidRPr="00851501" w:rsidRDefault="2171D6E0" w:rsidP="1EC678D9">
            <w:pPr>
              <w:spacing w:line="240" w:lineRule="auto"/>
              <w:jc w:val="left"/>
              <w:rPr>
                <w:rFonts w:ascii="Arial" w:eastAsia="Arial" w:hAnsi="Arial" w:cs="Arial"/>
                <w:i/>
                <w:iCs/>
                <w:sz w:val="16"/>
                <w:szCs w:val="16"/>
              </w:rPr>
            </w:pPr>
            <w:r w:rsidRPr="00851501">
              <w:rPr>
                <w:rFonts w:ascii="Arial" w:eastAsia="Arial" w:hAnsi="Arial" w:cs="Arial"/>
                <w:i/>
                <w:iCs/>
                <w:sz w:val="16"/>
                <w:szCs w:val="16"/>
                <w:lang w:val="en-US"/>
              </w:rPr>
              <w:t xml:space="preserve">Youth Vaping: A Review and </w:t>
            </w:r>
            <w:r w:rsidRPr="00851501">
              <w:rPr>
                <w:rFonts w:ascii="Arial" w:eastAsia="Arial" w:hAnsi="Arial" w:cs="Arial"/>
                <w:i/>
                <w:iCs/>
                <w:sz w:val="16"/>
                <w:szCs w:val="16"/>
                <w:lang w:val="en-US"/>
              </w:rPr>
              <w:lastRenderedPageBreak/>
              <w:t>Update on Global Epidemiology, Physical and Behavioral Health Risks, and Clinical Considerations</w:t>
            </w:r>
          </w:p>
        </w:tc>
        <w:tc>
          <w:tcPr>
            <w:tcW w:w="1127" w:type="dxa"/>
          </w:tcPr>
          <w:p w14:paraId="17C67567" w14:textId="25047646"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Peer-Reviewed </w:t>
            </w:r>
            <w:r w:rsidRPr="1EC678D9">
              <w:rPr>
                <w:rFonts w:ascii="Arial" w:eastAsia="Arial" w:hAnsi="Arial" w:cs="Arial"/>
                <w:sz w:val="16"/>
                <w:szCs w:val="16"/>
                <w:lang w:val="en-US"/>
              </w:rPr>
              <w:lastRenderedPageBreak/>
              <w:t>Journal Article</w:t>
            </w:r>
          </w:p>
        </w:tc>
        <w:tc>
          <w:tcPr>
            <w:tcW w:w="1125" w:type="dxa"/>
          </w:tcPr>
          <w:p w14:paraId="36C6189B" w14:textId="601DF468"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Systematic review of international </w:t>
            </w:r>
            <w:r w:rsidRPr="1EC678D9">
              <w:rPr>
                <w:rFonts w:ascii="Arial" w:eastAsia="Arial" w:hAnsi="Arial" w:cs="Arial"/>
                <w:sz w:val="16"/>
                <w:szCs w:val="16"/>
                <w:lang w:val="en-US"/>
              </w:rPr>
              <w:lastRenderedPageBreak/>
              <w:t>data on youth vaping</w:t>
            </w:r>
          </w:p>
        </w:tc>
        <w:tc>
          <w:tcPr>
            <w:tcW w:w="1129" w:type="dxa"/>
          </w:tcPr>
          <w:p w14:paraId="0969F446" w14:textId="7E4898E1"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Strength: Comprehensive global </w:t>
            </w:r>
            <w:r w:rsidRPr="1EC678D9">
              <w:rPr>
                <w:rFonts w:ascii="Arial" w:eastAsia="Arial" w:hAnsi="Arial" w:cs="Arial"/>
                <w:sz w:val="16"/>
                <w:szCs w:val="16"/>
                <w:lang w:val="en-US"/>
              </w:rPr>
              <w:lastRenderedPageBreak/>
              <w:t>perspective. Limitation: Minimal UK-specific data.</w:t>
            </w:r>
          </w:p>
        </w:tc>
        <w:tc>
          <w:tcPr>
            <w:tcW w:w="1127" w:type="dxa"/>
          </w:tcPr>
          <w:p w14:paraId="4F2ADC61" w14:textId="7E54684F"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Vaping presents significant </w:t>
            </w:r>
            <w:r w:rsidRPr="1EC678D9">
              <w:rPr>
                <w:rFonts w:ascii="Arial" w:eastAsia="Arial" w:hAnsi="Arial" w:cs="Arial"/>
                <w:sz w:val="16"/>
                <w:szCs w:val="16"/>
                <w:lang w:val="en-US"/>
              </w:rPr>
              <w:lastRenderedPageBreak/>
              <w:t xml:space="preserve">physical and </w:t>
            </w:r>
            <w:proofErr w:type="spellStart"/>
            <w:r w:rsidRPr="1EC678D9">
              <w:rPr>
                <w:rFonts w:ascii="Arial" w:eastAsia="Arial" w:hAnsi="Arial" w:cs="Arial"/>
                <w:sz w:val="16"/>
                <w:szCs w:val="16"/>
                <w:lang w:val="en-US"/>
              </w:rPr>
              <w:t>behavioural</w:t>
            </w:r>
            <w:proofErr w:type="spellEnd"/>
            <w:r w:rsidRPr="1EC678D9">
              <w:rPr>
                <w:rFonts w:ascii="Arial" w:eastAsia="Arial" w:hAnsi="Arial" w:cs="Arial"/>
                <w:sz w:val="16"/>
                <w:szCs w:val="16"/>
                <w:lang w:val="en-US"/>
              </w:rPr>
              <w:t xml:space="preserve"> health risks for adolescents.</w:t>
            </w:r>
          </w:p>
        </w:tc>
        <w:tc>
          <w:tcPr>
            <w:tcW w:w="1125" w:type="dxa"/>
          </w:tcPr>
          <w:p w14:paraId="19A6577F" w14:textId="6B1DE937"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vaping, adolescent health, </w:t>
            </w:r>
            <w:proofErr w:type="spellStart"/>
            <w:r w:rsidRPr="1EC678D9">
              <w:rPr>
                <w:rFonts w:ascii="Arial" w:eastAsia="Arial" w:hAnsi="Arial" w:cs="Arial"/>
                <w:sz w:val="16"/>
                <w:szCs w:val="16"/>
                <w:lang w:val="en-US"/>
              </w:rPr>
              <w:lastRenderedPageBreak/>
              <w:t>behavioural</w:t>
            </w:r>
            <w:proofErr w:type="spellEnd"/>
            <w:r w:rsidRPr="1EC678D9">
              <w:rPr>
                <w:rFonts w:ascii="Arial" w:eastAsia="Arial" w:hAnsi="Arial" w:cs="Arial"/>
                <w:sz w:val="16"/>
                <w:szCs w:val="16"/>
                <w:lang w:val="en-US"/>
              </w:rPr>
              <w:t xml:space="preserve"> risk</w:t>
            </w:r>
          </w:p>
        </w:tc>
        <w:tc>
          <w:tcPr>
            <w:tcW w:w="1246" w:type="dxa"/>
          </w:tcPr>
          <w:p w14:paraId="32B6C5AB" w14:textId="722F8A81" w:rsidR="2171D6E0" w:rsidRDefault="2171D6E0" w:rsidP="1EC678D9">
            <w:pPr>
              <w:spacing w:line="240" w:lineRule="auto"/>
              <w:rPr>
                <w:rFonts w:ascii="Arial" w:eastAsia="Arial" w:hAnsi="Arial" w:cs="Arial"/>
                <w:sz w:val="16"/>
                <w:szCs w:val="16"/>
              </w:rPr>
            </w:pPr>
            <w:r w:rsidRPr="1EC678D9">
              <w:rPr>
                <w:rFonts w:ascii="Arial" w:eastAsia="Arial" w:hAnsi="Arial" w:cs="Arial"/>
                <w:sz w:val="16"/>
                <w:szCs w:val="16"/>
                <w:lang w:val="en-US"/>
              </w:rPr>
              <w:lastRenderedPageBreak/>
              <w:t xml:space="preserve">Highlights emerging youth risk </w:t>
            </w:r>
            <w:proofErr w:type="spellStart"/>
            <w:r w:rsidRPr="1EC678D9">
              <w:rPr>
                <w:rFonts w:ascii="Arial" w:eastAsia="Arial" w:hAnsi="Arial" w:cs="Arial"/>
                <w:sz w:val="16"/>
                <w:szCs w:val="16"/>
                <w:lang w:val="en-US"/>
              </w:rPr>
              <w:lastRenderedPageBreak/>
              <w:t>behaviours</w:t>
            </w:r>
            <w:proofErr w:type="spellEnd"/>
            <w:r w:rsidRPr="1EC678D9">
              <w:rPr>
                <w:rFonts w:ascii="Arial" w:eastAsia="Arial" w:hAnsi="Arial" w:cs="Arial"/>
                <w:sz w:val="16"/>
                <w:szCs w:val="16"/>
                <w:lang w:val="en-US"/>
              </w:rPr>
              <w:t>. Theme: Health Risks.</w:t>
            </w:r>
          </w:p>
        </w:tc>
      </w:tr>
      <w:tr w:rsidR="1EC678D9" w14:paraId="05E9C0EE" w14:textId="77777777" w:rsidTr="00DD6BC6">
        <w:trPr>
          <w:trHeight w:val="300"/>
        </w:trPr>
        <w:tc>
          <w:tcPr>
            <w:tcW w:w="1127" w:type="dxa"/>
          </w:tcPr>
          <w:p w14:paraId="15A44CFD" w14:textId="1F001A15" w:rsidR="1E88EBF2" w:rsidRDefault="1E88EBF2"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lastRenderedPageBreak/>
              <w:t>Babor et al. (2022)</w:t>
            </w:r>
          </w:p>
        </w:tc>
        <w:tc>
          <w:tcPr>
            <w:tcW w:w="1127" w:type="dxa"/>
          </w:tcPr>
          <w:p w14:paraId="25F596A7" w14:textId="5FC8931C" w:rsidR="1E88EBF2" w:rsidRPr="00851501" w:rsidRDefault="1E88EBF2" w:rsidP="1EC678D9">
            <w:pPr>
              <w:spacing w:line="240" w:lineRule="auto"/>
              <w:jc w:val="left"/>
              <w:rPr>
                <w:rFonts w:ascii="Arial" w:eastAsia="Arial" w:hAnsi="Arial" w:cs="Arial"/>
                <w:i/>
                <w:iCs/>
                <w:sz w:val="16"/>
                <w:szCs w:val="16"/>
                <w:lang w:val="en-US"/>
              </w:rPr>
            </w:pPr>
            <w:r w:rsidRPr="00851501">
              <w:rPr>
                <w:rFonts w:ascii="Arial" w:eastAsia="Arial" w:hAnsi="Arial" w:cs="Arial"/>
                <w:i/>
                <w:iCs/>
                <w:sz w:val="16"/>
                <w:szCs w:val="16"/>
                <w:lang w:val="en-US"/>
              </w:rPr>
              <w:t>Alcohol: No Ordinary Commodity A Summary of the Third Edition</w:t>
            </w:r>
          </w:p>
        </w:tc>
        <w:tc>
          <w:tcPr>
            <w:tcW w:w="1127" w:type="dxa"/>
          </w:tcPr>
          <w:p w14:paraId="035E9CAB" w14:textId="191B39FC"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Academic Book Summary (Peer-Reviewed)</w:t>
            </w:r>
          </w:p>
        </w:tc>
        <w:tc>
          <w:tcPr>
            <w:tcW w:w="1125" w:type="dxa"/>
          </w:tcPr>
          <w:p w14:paraId="6FB2F97D" w14:textId="347EFA89"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Review and synthesis of global alcohol policy and prevention data</w:t>
            </w:r>
          </w:p>
        </w:tc>
        <w:tc>
          <w:tcPr>
            <w:tcW w:w="1129" w:type="dxa"/>
          </w:tcPr>
          <w:p w14:paraId="331E4451" w14:textId="5C67D1B4"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Strength: Authoritative policy synthesis. Limitation: Broad global scope, not youth focused.</w:t>
            </w:r>
          </w:p>
        </w:tc>
        <w:tc>
          <w:tcPr>
            <w:tcW w:w="1127" w:type="dxa"/>
          </w:tcPr>
          <w:p w14:paraId="3E389971" w14:textId="591F15B6"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Demonstrates that strong alcohol regulation effectively reduces misuse and harm.</w:t>
            </w:r>
          </w:p>
        </w:tc>
        <w:tc>
          <w:tcPr>
            <w:tcW w:w="1125" w:type="dxa"/>
          </w:tcPr>
          <w:p w14:paraId="7AD66C23" w14:textId="23442404"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alcohol policy, prevention, harm reduction</w:t>
            </w:r>
          </w:p>
        </w:tc>
        <w:tc>
          <w:tcPr>
            <w:tcW w:w="1246" w:type="dxa"/>
          </w:tcPr>
          <w:p w14:paraId="1ACF8BB7" w14:textId="0E5D135A"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Useful for comparing UK and global policy frameworks. Theme: Policy Frameworks.</w:t>
            </w:r>
          </w:p>
        </w:tc>
      </w:tr>
      <w:tr w:rsidR="1EC678D9" w14:paraId="64264765" w14:textId="77777777" w:rsidTr="00DD6BC6">
        <w:trPr>
          <w:trHeight w:val="300"/>
        </w:trPr>
        <w:tc>
          <w:tcPr>
            <w:tcW w:w="1127" w:type="dxa"/>
          </w:tcPr>
          <w:p w14:paraId="7E36C041" w14:textId="6204A3CA" w:rsidR="1E88EBF2" w:rsidRDefault="1E88EBF2" w:rsidP="1EC678D9">
            <w:pPr>
              <w:spacing w:line="240" w:lineRule="auto"/>
              <w:jc w:val="left"/>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James, Nash &amp; Comiskey (2024)</w:t>
            </w:r>
          </w:p>
        </w:tc>
        <w:tc>
          <w:tcPr>
            <w:tcW w:w="1127" w:type="dxa"/>
          </w:tcPr>
          <w:p w14:paraId="660B9A48" w14:textId="632FF278" w:rsidR="1E88EBF2" w:rsidRPr="00851501" w:rsidRDefault="1E88EBF2" w:rsidP="1EC678D9">
            <w:pPr>
              <w:spacing w:line="240" w:lineRule="auto"/>
              <w:jc w:val="left"/>
              <w:rPr>
                <w:rFonts w:ascii="Arial" w:eastAsia="Arial" w:hAnsi="Arial" w:cs="Arial"/>
                <w:i/>
                <w:iCs/>
                <w:sz w:val="16"/>
                <w:szCs w:val="16"/>
                <w:lang w:val="en-US"/>
              </w:rPr>
            </w:pPr>
            <w:r w:rsidRPr="00851501">
              <w:rPr>
                <w:rFonts w:ascii="Arial" w:eastAsia="Arial" w:hAnsi="Arial" w:cs="Arial"/>
                <w:i/>
                <w:iCs/>
                <w:sz w:val="16"/>
                <w:szCs w:val="16"/>
                <w:lang w:val="en-US"/>
              </w:rPr>
              <w:t>Barriers and Enablers for Adolescents Accessing Substance</w:t>
            </w:r>
            <w:r w:rsidRPr="00851501">
              <w:rPr>
                <w:rFonts w:ascii="Cambria Math" w:eastAsia="Arial" w:hAnsi="Cambria Math" w:cs="Cambria Math"/>
                <w:i/>
                <w:iCs/>
                <w:sz w:val="16"/>
                <w:szCs w:val="16"/>
                <w:lang w:val="en-US"/>
              </w:rPr>
              <w:t>‐</w:t>
            </w:r>
            <w:r w:rsidRPr="00851501">
              <w:rPr>
                <w:rFonts w:ascii="Arial" w:eastAsia="Arial" w:hAnsi="Arial" w:cs="Arial"/>
                <w:i/>
                <w:iCs/>
                <w:sz w:val="16"/>
                <w:szCs w:val="16"/>
                <w:lang w:val="en-US"/>
              </w:rPr>
              <w:t>Use Treatment: A Systematic Review and Narrative Synthesis</w:t>
            </w:r>
          </w:p>
        </w:tc>
        <w:tc>
          <w:tcPr>
            <w:tcW w:w="1127" w:type="dxa"/>
          </w:tcPr>
          <w:p w14:paraId="3705FD77" w14:textId="4A6E34DC"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Peer-Reviewed Journal Article</w:t>
            </w:r>
          </w:p>
        </w:tc>
        <w:tc>
          <w:tcPr>
            <w:tcW w:w="1125" w:type="dxa"/>
          </w:tcPr>
          <w:p w14:paraId="0F313525" w14:textId="49C5DCCE"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Systematic review and narrative synthesis of adolescent treatment studies</w:t>
            </w:r>
          </w:p>
        </w:tc>
        <w:tc>
          <w:tcPr>
            <w:tcW w:w="1129" w:type="dxa"/>
          </w:tcPr>
          <w:p w14:paraId="59F1BF79" w14:textId="6EAFBA13"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Strength: In-depth synthesis of treatment access issues. Limitation: Variation in study quality.</w:t>
            </w:r>
          </w:p>
        </w:tc>
        <w:tc>
          <w:tcPr>
            <w:tcW w:w="1127" w:type="dxa"/>
          </w:tcPr>
          <w:p w14:paraId="6C672462" w14:textId="2718FDBC"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Stigma, accessibility, and family support are key to treatment engagement.</w:t>
            </w:r>
          </w:p>
        </w:tc>
        <w:tc>
          <w:tcPr>
            <w:tcW w:w="1125" w:type="dxa"/>
          </w:tcPr>
          <w:p w14:paraId="4DE38CD3" w14:textId="1F45199C"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treatment access, barriers, enablers</w:t>
            </w:r>
          </w:p>
        </w:tc>
        <w:tc>
          <w:tcPr>
            <w:tcW w:w="1246" w:type="dxa"/>
          </w:tcPr>
          <w:p w14:paraId="5C303858" w14:textId="1D3C77C7" w:rsidR="1E88EBF2" w:rsidRDefault="1E88EBF2"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Supports Theme 3 (Access to Support and Intervention Services).</w:t>
            </w:r>
          </w:p>
        </w:tc>
      </w:tr>
      <w:tr w:rsidR="1EC678D9" w14:paraId="4C5BD09F" w14:textId="77777777" w:rsidTr="00DD6BC6">
        <w:trPr>
          <w:trHeight w:val="300"/>
        </w:trPr>
        <w:tc>
          <w:tcPr>
            <w:tcW w:w="1127" w:type="dxa"/>
          </w:tcPr>
          <w:p w14:paraId="277D0900" w14:textId="1DD42888" w:rsidR="1EC678D9" w:rsidRDefault="1EC678D9" w:rsidP="1EC678D9">
            <w:pPr>
              <w:cnfStyle w:val="001000000000" w:firstRow="0" w:lastRow="0" w:firstColumn="1" w:lastColumn="0" w:oddVBand="0" w:evenVBand="0" w:oddHBand="0" w:evenHBand="0" w:firstRowFirstColumn="0" w:firstRowLastColumn="0" w:lastRowFirstColumn="0" w:lastRowLastColumn="0"/>
              <w:rPr>
                <w:rFonts w:ascii="Arial" w:eastAsia="Arial" w:hAnsi="Arial" w:cs="Arial"/>
                <w:sz w:val="16"/>
                <w:szCs w:val="16"/>
                <w:lang w:val="en-US"/>
              </w:rPr>
            </w:pPr>
            <w:r w:rsidRPr="1EC678D9">
              <w:rPr>
                <w:rFonts w:ascii="Arial" w:eastAsia="Arial" w:hAnsi="Arial" w:cs="Arial"/>
                <w:sz w:val="16"/>
                <w:szCs w:val="16"/>
                <w:lang w:val="en-US"/>
              </w:rPr>
              <w:t>Layman et al. (2022)</w:t>
            </w:r>
          </w:p>
        </w:tc>
        <w:tc>
          <w:tcPr>
            <w:tcW w:w="1127" w:type="dxa"/>
          </w:tcPr>
          <w:p w14:paraId="0CD0638E" w14:textId="7421C4BF" w:rsidR="232B57F3" w:rsidRPr="00851501" w:rsidRDefault="232B57F3" w:rsidP="1EC678D9">
            <w:pPr>
              <w:spacing w:line="240" w:lineRule="auto"/>
              <w:jc w:val="left"/>
              <w:rPr>
                <w:rFonts w:ascii="Arial" w:eastAsia="Arial" w:hAnsi="Arial" w:cs="Arial"/>
                <w:i/>
                <w:iCs/>
                <w:sz w:val="16"/>
                <w:szCs w:val="16"/>
                <w:lang w:val="en-US"/>
              </w:rPr>
            </w:pPr>
            <w:r w:rsidRPr="00851501">
              <w:rPr>
                <w:rFonts w:ascii="Arial" w:eastAsia="Arial" w:hAnsi="Arial" w:cs="Arial"/>
                <w:i/>
                <w:iCs/>
                <w:sz w:val="16"/>
                <w:szCs w:val="16"/>
                <w:lang w:val="en-US"/>
              </w:rPr>
              <w:t>Substance Use Among Youth During the COVID-19 Pandemic: A Systematic Review</w:t>
            </w:r>
          </w:p>
        </w:tc>
        <w:tc>
          <w:tcPr>
            <w:tcW w:w="1127" w:type="dxa"/>
          </w:tcPr>
          <w:p w14:paraId="2E69C23C" w14:textId="606D2F73"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Peer-Reviewed Journal Article</w:t>
            </w:r>
          </w:p>
        </w:tc>
        <w:tc>
          <w:tcPr>
            <w:tcW w:w="1125" w:type="dxa"/>
          </w:tcPr>
          <w:p w14:paraId="75BAACC0" w14:textId="6434CD06"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Systematic review of global youth substance uses during COVID-19</w:t>
            </w:r>
          </w:p>
        </w:tc>
        <w:tc>
          <w:tcPr>
            <w:tcW w:w="1129" w:type="dxa"/>
          </w:tcPr>
          <w:p w14:paraId="35666F4B" w14:textId="67C2A010"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Strength: Timely and comprehensive. Limitation: Findings limited to pandemic period.</w:t>
            </w:r>
          </w:p>
        </w:tc>
        <w:tc>
          <w:tcPr>
            <w:tcW w:w="1127" w:type="dxa"/>
          </w:tcPr>
          <w:p w14:paraId="6A68FF24" w14:textId="6B513B9F"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Isolation and stress increased adolescent substance use during COVID-19.</w:t>
            </w:r>
          </w:p>
        </w:tc>
        <w:tc>
          <w:tcPr>
            <w:tcW w:w="1125" w:type="dxa"/>
          </w:tcPr>
          <w:p w14:paraId="1B15A40F" w14:textId="338050BB"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COVID-19, youth substance use, mental health</w:t>
            </w:r>
          </w:p>
        </w:tc>
        <w:tc>
          <w:tcPr>
            <w:tcW w:w="1246" w:type="dxa"/>
          </w:tcPr>
          <w:p w14:paraId="69F193EB" w14:textId="41652AEE" w:rsidR="232B57F3" w:rsidRDefault="232B57F3" w:rsidP="1EC678D9">
            <w:pPr>
              <w:spacing w:line="240" w:lineRule="auto"/>
              <w:rPr>
                <w:rFonts w:ascii="Arial" w:eastAsia="Arial" w:hAnsi="Arial" w:cs="Arial"/>
                <w:sz w:val="16"/>
                <w:szCs w:val="16"/>
                <w:lang w:val="en-US"/>
              </w:rPr>
            </w:pPr>
            <w:r w:rsidRPr="1EC678D9">
              <w:rPr>
                <w:rFonts w:ascii="Arial" w:eastAsia="Arial" w:hAnsi="Arial" w:cs="Arial"/>
                <w:sz w:val="16"/>
                <w:szCs w:val="16"/>
                <w:lang w:val="en-US"/>
              </w:rPr>
              <w:t>Links to Theme 1 (Social Determinants and Peer Impact).</w:t>
            </w:r>
          </w:p>
        </w:tc>
      </w:tr>
    </w:tbl>
    <w:p w14:paraId="12AE4BE7" w14:textId="5EFCB931" w:rsidR="008C38C3" w:rsidRPr="008C38C3" w:rsidRDefault="008C38C3" w:rsidP="1EC678D9">
      <w:pPr>
        <w:pStyle w:val="Heading1"/>
        <w:ind w:left="0"/>
        <w:rPr>
          <w:rFonts w:ascii="Aptos" w:hAnsi="Aptos"/>
        </w:rPr>
      </w:pPr>
    </w:p>
    <w:p w14:paraId="74EBDF03" w14:textId="749B804B" w:rsidR="008C38C3" w:rsidRPr="008C38C3" w:rsidRDefault="008C38C3" w:rsidP="1EC678D9"/>
    <w:p w14:paraId="6EC1FFE9" w14:textId="417E5DDE" w:rsidR="008C38C3" w:rsidRPr="008C38C3" w:rsidRDefault="008C38C3" w:rsidP="1EC678D9">
      <w:pPr>
        <w:pStyle w:val="Heading1"/>
        <w:ind w:left="0"/>
        <w:rPr>
          <w:rFonts w:ascii="Aptos" w:hAnsi="Aptos"/>
        </w:rPr>
      </w:pPr>
    </w:p>
    <w:p w14:paraId="12CAA0A4" w14:textId="72672ECC" w:rsidR="008C38C3" w:rsidRPr="008C38C3" w:rsidRDefault="008C38C3" w:rsidP="1EC678D9">
      <w:pPr>
        <w:pStyle w:val="Heading1"/>
        <w:ind w:left="0"/>
        <w:rPr>
          <w:rFonts w:ascii="Aptos" w:hAnsi="Aptos"/>
        </w:rPr>
      </w:pPr>
    </w:p>
    <w:p w14:paraId="48F7B53E" w14:textId="5ED4EDF7" w:rsidR="008C38C3" w:rsidRPr="008C38C3" w:rsidRDefault="008C38C3" w:rsidP="1EC678D9">
      <w:pPr>
        <w:pStyle w:val="Heading1"/>
        <w:ind w:left="0"/>
        <w:rPr>
          <w:rFonts w:ascii="Aptos" w:hAnsi="Aptos"/>
        </w:rPr>
      </w:pPr>
    </w:p>
    <w:p w14:paraId="15EBE60F" w14:textId="1F7292C4" w:rsidR="008C38C3" w:rsidRPr="008C38C3" w:rsidRDefault="008C38C3" w:rsidP="1EC678D9">
      <w:pPr>
        <w:pStyle w:val="Heading1"/>
        <w:ind w:left="0"/>
        <w:rPr>
          <w:rFonts w:ascii="Aptos" w:hAnsi="Aptos"/>
        </w:rPr>
      </w:pPr>
    </w:p>
    <w:p w14:paraId="44C11371" w14:textId="4294EBE6" w:rsidR="008C38C3" w:rsidRPr="008C38C3" w:rsidRDefault="008C38C3" w:rsidP="1EC678D9">
      <w:pPr>
        <w:pStyle w:val="Heading1"/>
        <w:ind w:left="0"/>
        <w:rPr>
          <w:rFonts w:ascii="Aptos" w:hAnsi="Aptos"/>
        </w:rPr>
      </w:pPr>
    </w:p>
    <w:p w14:paraId="5198A13F" w14:textId="267EF176" w:rsidR="008C38C3" w:rsidRPr="008C38C3" w:rsidRDefault="008C38C3" w:rsidP="1EC678D9">
      <w:pPr>
        <w:pStyle w:val="Heading1"/>
        <w:ind w:left="0"/>
        <w:rPr>
          <w:rFonts w:ascii="Aptos" w:hAnsi="Aptos"/>
        </w:rPr>
      </w:pPr>
    </w:p>
    <w:p w14:paraId="471E2B3B" w14:textId="1C54FA64" w:rsidR="008C38C3" w:rsidRPr="008C38C3" w:rsidRDefault="008C38C3" w:rsidP="1EC678D9">
      <w:pPr>
        <w:pStyle w:val="Heading1"/>
        <w:ind w:left="0"/>
        <w:rPr>
          <w:rFonts w:ascii="Aptos" w:hAnsi="Aptos"/>
        </w:rPr>
      </w:pPr>
    </w:p>
    <w:p w14:paraId="3B904133" w14:textId="46C2B38B" w:rsidR="008C38C3" w:rsidRPr="008C38C3" w:rsidRDefault="008C38C3" w:rsidP="1EC678D9">
      <w:pPr>
        <w:pStyle w:val="Heading1"/>
        <w:ind w:left="0"/>
        <w:rPr>
          <w:rFonts w:ascii="Aptos" w:hAnsi="Aptos"/>
        </w:rPr>
      </w:pPr>
    </w:p>
    <w:p w14:paraId="54DF1B88" w14:textId="6FEAB112" w:rsidR="008C38C3" w:rsidRPr="008C38C3" w:rsidRDefault="008C38C3" w:rsidP="1EC678D9">
      <w:pPr>
        <w:pStyle w:val="Heading1"/>
        <w:ind w:left="0"/>
        <w:rPr>
          <w:rFonts w:ascii="Aptos" w:hAnsi="Aptos"/>
        </w:rPr>
      </w:pPr>
    </w:p>
    <w:p w14:paraId="7B6E1AAA" w14:textId="1497103E" w:rsidR="008C38C3" w:rsidRPr="008C38C3" w:rsidRDefault="008C38C3" w:rsidP="1EC678D9">
      <w:pPr>
        <w:pStyle w:val="Heading1"/>
        <w:ind w:left="0"/>
        <w:rPr>
          <w:rFonts w:ascii="Aptos" w:hAnsi="Aptos"/>
        </w:rPr>
      </w:pPr>
    </w:p>
    <w:p w14:paraId="3DBE6F6A" w14:textId="4A9D7697" w:rsidR="008C38C3" w:rsidRPr="008C38C3" w:rsidRDefault="008C38C3" w:rsidP="1EC678D9">
      <w:pPr>
        <w:pStyle w:val="Heading1"/>
        <w:ind w:left="0"/>
        <w:rPr>
          <w:rFonts w:ascii="Aptos" w:hAnsi="Aptos"/>
        </w:rPr>
      </w:pPr>
    </w:p>
    <w:p w14:paraId="1B480C19" w14:textId="576250C3" w:rsidR="008C38C3" w:rsidRPr="008C38C3" w:rsidRDefault="008C38C3" w:rsidP="1EC678D9">
      <w:pPr>
        <w:pStyle w:val="Heading1"/>
        <w:ind w:left="0"/>
        <w:rPr>
          <w:rFonts w:ascii="Aptos" w:hAnsi="Aptos"/>
        </w:rPr>
      </w:pPr>
    </w:p>
    <w:p w14:paraId="3558FEA5" w14:textId="62846FF0" w:rsidR="008C38C3" w:rsidRPr="008C38C3" w:rsidRDefault="008C38C3" w:rsidP="1EC678D9">
      <w:pPr>
        <w:pStyle w:val="Heading1"/>
        <w:ind w:left="0"/>
        <w:rPr>
          <w:rFonts w:ascii="Aptos" w:hAnsi="Aptos"/>
        </w:rPr>
      </w:pPr>
    </w:p>
    <w:p w14:paraId="0CFDFCB2" w14:textId="3E47884A" w:rsidR="008C38C3" w:rsidRPr="008C38C3" w:rsidRDefault="008C38C3" w:rsidP="1EC678D9">
      <w:pPr>
        <w:pStyle w:val="Heading1"/>
        <w:ind w:left="0"/>
        <w:rPr>
          <w:rFonts w:ascii="Aptos" w:hAnsi="Aptos"/>
        </w:rPr>
      </w:pPr>
    </w:p>
    <w:p w14:paraId="2B5AA83A" w14:textId="56CB587B" w:rsidR="008C38C3" w:rsidRPr="008C38C3" w:rsidRDefault="008C38C3" w:rsidP="1EC678D9">
      <w:pPr>
        <w:pStyle w:val="Heading1"/>
        <w:ind w:left="0"/>
        <w:rPr>
          <w:rFonts w:ascii="Aptos" w:hAnsi="Aptos"/>
        </w:rPr>
      </w:pPr>
    </w:p>
    <w:p w14:paraId="62513F88" w14:textId="002FB6B2" w:rsidR="008C38C3" w:rsidRPr="008C38C3" w:rsidRDefault="008C38C3" w:rsidP="1EC678D9">
      <w:pPr>
        <w:pStyle w:val="Heading1"/>
        <w:ind w:left="0"/>
        <w:rPr>
          <w:rFonts w:ascii="Aptos" w:hAnsi="Aptos"/>
        </w:rPr>
      </w:pPr>
    </w:p>
    <w:p w14:paraId="1033E52D" w14:textId="0D390D86" w:rsidR="008C38C3" w:rsidRPr="008C38C3" w:rsidRDefault="008C38C3" w:rsidP="1EC678D9">
      <w:pPr>
        <w:pStyle w:val="Heading1"/>
        <w:ind w:left="0"/>
        <w:rPr>
          <w:rFonts w:ascii="Aptos" w:hAnsi="Aptos"/>
        </w:rPr>
      </w:pPr>
    </w:p>
    <w:p w14:paraId="40A7B68C" w14:textId="5F8A7ADB" w:rsidR="008C38C3" w:rsidRPr="008C38C3" w:rsidRDefault="008C38C3" w:rsidP="1EC678D9">
      <w:pPr>
        <w:pStyle w:val="Heading1"/>
        <w:ind w:left="0"/>
        <w:rPr>
          <w:rFonts w:ascii="Aptos" w:hAnsi="Aptos"/>
        </w:rPr>
      </w:pPr>
    </w:p>
    <w:p w14:paraId="21223375" w14:textId="63E213D1" w:rsidR="008C38C3" w:rsidRPr="008C38C3" w:rsidRDefault="008C38C3" w:rsidP="1EC678D9">
      <w:pPr>
        <w:pStyle w:val="Heading1"/>
        <w:ind w:left="0"/>
        <w:rPr>
          <w:rFonts w:ascii="Aptos" w:hAnsi="Aptos"/>
        </w:rPr>
      </w:pPr>
    </w:p>
    <w:p w14:paraId="61A523B7" w14:textId="013EE19D" w:rsidR="008C38C3" w:rsidRPr="008C38C3" w:rsidRDefault="008C38C3" w:rsidP="1EC678D9">
      <w:pPr>
        <w:pStyle w:val="Heading1"/>
        <w:ind w:left="0"/>
        <w:rPr>
          <w:rFonts w:ascii="Aptos" w:hAnsi="Aptos"/>
        </w:rPr>
      </w:pPr>
    </w:p>
    <w:p w14:paraId="377FB70A" w14:textId="19162670" w:rsidR="008C38C3" w:rsidRPr="008C38C3" w:rsidRDefault="008C38C3" w:rsidP="1EC678D9">
      <w:pPr>
        <w:pStyle w:val="Heading1"/>
        <w:ind w:left="0"/>
        <w:rPr>
          <w:rFonts w:ascii="Aptos" w:hAnsi="Aptos"/>
        </w:rPr>
      </w:pPr>
    </w:p>
    <w:p w14:paraId="1A3A0EF1" w14:textId="299C7CEF" w:rsidR="008C38C3" w:rsidRPr="008C38C3" w:rsidRDefault="008C38C3" w:rsidP="1EC678D9">
      <w:pPr>
        <w:pStyle w:val="Heading1"/>
        <w:ind w:left="0"/>
        <w:rPr>
          <w:rFonts w:ascii="Aptos" w:hAnsi="Aptos"/>
        </w:rPr>
      </w:pPr>
    </w:p>
    <w:p w14:paraId="15410DF9" w14:textId="3E4F486E" w:rsidR="008C38C3" w:rsidRPr="008C38C3" w:rsidRDefault="008C38C3" w:rsidP="1EC678D9">
      <w:pPr>
        <w:pStyle w:val="Heading1"/>
        <w:ind w:left="0"/>
        <w:rPr>
          <w:rFonts w:ascii="Aptos" w:hAnsi="Aptos"/>
        </w:rPr>
      </w:pPr>
    </w:p>
    <w:p w14:paraId="70C7CA0C" w14:textId="77777777" w:rsidR="008C38C3" w:rsidRPr="008C38C3" w:rsidRDefault="008C38C3" w:rsidP="008C38C3"/>
    <w:sectPr w:rsidR="008C38C3" w:rsidRPr="008C38C3">
      <w:headerReference w:type="default" r:id="rId7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C64CF2" w14:textId="77777777" w:rsidR="00A226DB" w:rsidRDefault="00A226DB" w:rsidP="00211184">
      <w:pPr>
        <w:spacing w:after="0" w:line="240" w:lineRule="auto"/>
      </w:pPr>
      <w:r>
        <w:separator/>
      </w:r>
    </w:p>
  </w:endnote>
  <w:endnote w:type="continuationSeparator" w:id="0">
    <w:p w14:paraId="17715419" w14:textId="77777777" w:rsidR="00A226DB" w:rsidRDefault="00A226DB"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AFF" w:usb1="5000217F" w:usb2="0000002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5E8650" w14:textId="77777777" w:rsidR="00A226DB" w:rsidRDefault="00A226DB" w:rsidP="00211184">
      <w:pPr>
        <w:spacing w:after="0" w:line="240" w:lineRule="auto"/>
      </w:pPr>
      <w:r>
        <w:separator/>
      </w:r>
    </w:p>
  </w:footnote>
  <w:footnote w:type="continuationSeparator" w:id="0">
    <w:p w14:paraId="220CF8DC" w14:textId="77777777" w:rsidR="00A226DB" w:rsidRDefault="00A226DB" w:rsidP="002111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260372" w14:paraId="6CF74E2D" w14:textId="77777777" w:rsidTr="0E260372">
      <w:trPr>
        <w:trHeight w:val="300"/>
      </w:trPr>
      <w:tc>
        <w:tcPr>
          <w:tcW w:w="3005" w:type="dxa"/>
        </w:tcPr>
        <w:p w14:paraId="217D0EAB" w14:textId="2D04D8C1" w:rsidR="0E260372" w:rsidRDefault="0E260372" w:rsidP="0E260372">
          <w:pPr>
            <w:pStyle w:val="Header"/>
            <w:ind w:left="-115"/>
            <w:jc w:val="left"/>
          </w:pPr>
        </w:p>
      </w:tc>
      <w:tc>
        <w:tcPr>
          <w:tcW w:w="3005" w:type="dxa"/>
        </w:tcPr>
        <w:p w14:paraId="7EA9B68E" w14:textId="3E360206" w:rsidR="0E260372" w:rsidRDefault="0E260372" w:rsidP="0E260372">
          <w:pPr>
            <w:pStyle w:val="Header"/>
            <w:jc w:val="center"/>
          </w:pPr>
        </w:p>
      </w:tc>
      <w:tc>
        <w:tcPr>
          <w:tcW w:w="3005" w:type="dxa"/>
        </w:tcPr>
        <w:p w14:paraId="52229C1C" w14:textId="73E8CE87" w:rsidR="0E260372" w:rsidRDefault="0E260372" w:rsidP="0E260372">
          <w:pPr>
            <w:pStyle w:val="Header"/>
            <w:ind w:right="-115"/>
            <w:jc w:val="right"/>
          </w:pPr>
        </w:p>
      </w:tc>
    </w:tr>
  </w:tbl>
  <w:p w14:paraId="6A16E6DC" w14:textId="743D03D3" w:rsidR="0E260372" w:rsidRDefault="0E260372" w:rsidP="0E2603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E260372" w14:paraId="6D271E0B" w14:textId="77777777" w:rsidTr="0E260372">
      <w:trPr>
        <w:trHeight w:val="300"/>
      </w:trPr>
      <w:tc>
        <w:tcPr>
          <w:tcW w:w="3005" w:type="dxa"/>
        </w:tcPr>
        <w:p w14:paraId="48FD7272" w14:textId="09E0EC59" w:rsidR="0E260372" w:rsidRDefault="0E260372" w:rsidP="0E260372">
          <w:pPr>
            <w:pStyle w:val="Header"/>
            <w:ind w:left="-115"/>
            <w:jc w:val="left"/>
          </w:pPr>
        </w:p>
      </w:tc>
      <w:tc>
        <w:tcPr>
          <w:tcW w:w="3005" w:type="dxa"/>
        </w:tcPr>
        <w:p w14:paraId="03E9C948" w14:textId="7B0951AD" w:rsidR="0E260372" w:rsidRDefault="0E260372" w:rsidP="0E260372">
          <w:pPr>
            <w:pStyle w:val="Header"/>
            <w:jc w:val="center"/>
          </w:pPr>
        </w:p>
      </w:tc>
      <w:tc>
        <w:tcPr>
          <w:tcW w:w="3005" w:type="dxa"/>
        </w:tcPr>
        <w:p w14:paraId="408F6D13" w14:textId="4C117F7C" w:rsidR="0E260372" w:rsidRDefault="0E260372" w:rsidP="0E260372">
          <w:pPr>
            <w:pStyle w:val="Header"/>
            <w:ind w:right="-115"/>
            <w:jc w:val="right"/>
          </w:pPr>
        </w:p>
      </w:tc>
    </w:tr>
  </w:tbl>
  <w:p w14:paraId="2737AA94" w14:textId="3F87E575" w:rsidR="0E260372" w:rsidRDefault="0E260372" w:rsidP="0E260372">
    <w:pPr>
      <w:pStyle w:val="Header"/>
    </w:pPr>
  </w:p>
</w:hdr>
</file>

<file path=word/intelligence2.xml><?xml version="1.0" encoding="utf-8"?>
<int2:intelligence xmlns:int2="http://schemas.microsoft.com/office/intelligence/2020/intelligence" xmlns:oel="http://schemas.microsoft.com/office/2019/extlst">
  <int2:observations>
    <int2:textHash int2:hashCode="sxAQLHdqtlDaq8" int2:id="BtJNkp0H">
      <int2:state int2:value="Rejected" int2:type="spell"/>
    </int2:textHash>
    <int2:textHash int2:hashCode="AUnHGz6kytTeNS" int2:id="TDHcIXdM">
      <int2:state int2:value="Rejected" int2:type="spell"/>
    </int2:textHash>
    <int2:textHash int2:hashCode="q5WVTgmxFJh9O4" int2:id="X2ziW9DF">
      <int2:state int2:value="Rejected" int2:type="spell"/>
    </int2:textHash>
    <int2:textHash int2:hashCode="PLZtS9B8ew8ND3" int2:id="k194qjDb">
      <int2:state int2:value="Rejected" int2:type="spell"/>
    </int2:textHash>
    <int2:textHash int2:hashCode="XSUiEPxXFZ9tOg" int2:id="qTnOfhuh">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9632E"/>
    <w:multiLevelType w:val="hybridMultilevel"/>
    <w:tmpl w:val="DDDA9E72"/>
    <w:lvl w:ilvl="0" w:tplc="00029416">
      <w:start w:val="1"/>
      <w:numFmt w:val="decimal"/>
      <w:lvlText w:val="%1."/>
      <w:lvlJc w:val="left"/>
      <w:pPr>
        <w:ind w:left="720" w:hanging="360"/>
      </w:pPr>
    </w:lvl>
    <w:lvl w:ilvl="1" w:tplc="B1769972">
      <w:start w:val="1"/>
      <w:numFmt w:val="lowerLetter"/>
      <w:lvlText w:val="%2."/>
      <w:lvlJc w:val="left"/>
      <w:pPr>
        <w:ind w:left="1440" w:hanging="360"/>
      </w:pPr>
    </w:lvl>
    <w:lvl w:ilvl="2" w:tplc="2C202C10">
      <w:start w:val="1"/>
      <w:numFmt w:val="lowerRoman"/>
      <w:lvlText w:val="%3."/>
      <w:lvlJc w:val="right"/>
      <w:pPr>
        <w:ind w:left="2160" w:hanging="180"/>
      </w:pPr>
    </w:lvl>
    <w:lvl w:ilvl="3" w:tplc="BF4084B6">
      <w:start w:val="1"/>
      <w:numFmt w:val="decimal"/>
      <w:lvlText w:val="%4."/>
      <w:lvlJc w:val="left"/>
      <w:pPr>
        <w:ind w:left="2880" w:hanging="360"/>
      </w:pPr>
    </w:lvl>
    <w:lvl w:ilvl="4" w:tplc="CC8EF8AC">
      <w:start w:val="1"/>
      <w:numFmt w:val="lowerLetter"/>
      <w:lvlText w:val="%5."/>
      <w:lvlJc w:val="left"/>
      <w:pPr>
        <w:ind w:left="3600" w:hanging="360"/>
      </w:pPr>
    </w:lvl>
    <w:lvl w:ilvl="5" w:tplc="8C72756A">
      <w:start w:val="1"/>
      <w:numFmt w:val="lowerRoman"/>
      <w:lvlText w:val="%6."/>
      <w:lvlJc w:val="right"/>
      <w:pPr>
        <w:ind w:left="4320" w:hanging="180"/>
      </w:pPr>
    </w:lvl>
    <w:lvl w:ilvl="6" w:tplc="E77E72FE">
      <w:start w:val="1"/>
      <w:numFmt w:val="decimal"/>
      <w:lvlText w:val="%7."/>
      <w:lvlJc w:val="left"/>
      <w:pPr>
        <w:ind w:left="5040" w:hanging="360"/>
      </w:pPr>
    </w:lvl>
    <w:lvl w:ilvl="7" w:tplc="EB501A9A">
      <w:start w:val="1"/>
      <w:numFmt w:val="lowerLetter"/>
      <w:lvlText w:val="%8."/>
      <w:lvlJc w:val="left"/>
      <w:pPr>
        <w:ind w:left="5760" w:hanging="360"/>
      </w:pPr>
    </w:lvl>
    <w:lvl w:ilvl="8" w:tplc="D9926264">
      <w:start w:val="1"/>
      <w:numFmt w:val="lowerRoman"/>
      <w:lvlText w:val="%9."/>
      <w:lvlJc w:val="right"/>
      <w:pPr>
        <w:ind w:left="6480" w:hanging="180"/>
      </w:pPr>
    </w:lvl>
  </w:abstractNum>
  <w:abstractNum w:abstractNumId="1" w15:restartNumberingAfterBreak="0">
    <w:nsid w:val="0A721ED4"/>
    <w:multiLevelType w:val="hybridMultilevel"/>
    <w:tmpl w:val="FDE61C22"/>
    <w:lvl w:ilvl="0" w:tplc="96AA9EEA">
      <w:start w:val="1"/>
      <w:numFmt w:val="bullet"/>
      <w:lvlText w:val=""/>
      <w:lvlJc w:val="left"/>
      <w:pPr>
        <w:ind w:left="720" w:hanging="360"/>
      </w:pPr>
      <w:rPr>
        <w:rFonts w:ascii="Symbol" w:hAnsi="Symbol" w:hint="default"/>
      </w:rPr>
    </w:lvl>
    <w:lvl w:ilvl="1" w:tplc="20387586">
      <w:start w:val="1"/>
      <w:numFmt w:val="bullet"/>
      <w:lvlText w:val="o"/>
      <w:lvlJc w:val="left"/>
      <w:pPr>
        <w:ind w:left="1440" w:hanging="360"/>
      </w:pPr>
      <w:rPr>
        <w:rFonts w:ascii="Courier New" w:hAnsi="Courier New" w:hint="default"/>
      </w:rPr>
    </w:lvl>
    <w:lvl w:ilvl="2" w:tplc="29482AE8">
      <w:start w:val="1"/>
      <w:numFmt w:val="bullet"/>
      <w:lvlText w:val=""/>
      <w:lvlJc w:val="left"/>
      <w:pPr>
        <w:ind w:left="2160" w:hanging="360"/>
      </w:pPr>
      <w:rPr>
        <w:rFonts w:ascii="Wingdings" w:hAnsi="Wingdings" w:hint="default"/>
      </w:rPr>
    </w:lvl>
    <w:lvl w:ilvl="3" w:tplc="7C5EA8D0">
      <w:start w:val="1"/>
      <w:numFmt w:val="bullet"/>
      <w:lvlText w:val=""/>
      <w:lvlJc w:val="left"/>
      <w:pPr>
        <w:ind w:left="2880" w:hanging="360"/>
      </w:pPr>
      <w:rPr>
        <w:rFonts w:ascii="Symbol" w:hAnsi="Symbol" w:hint="default"/>
      </w:rPr>
    </w:lvl>
    <w:lvl w:ilvl="4" w:tplc="C1CC351C">
      <w:start w:val="1"/>
      <w:numFmt w:val="bullet"/>
      <w:lvlText w:val="o"/>
      <w:lvlJc w:val="left"/>
      <w:pPr>
        <w:ind w:left="3600" w:hanging="360"/>
      </w:pPr>
      <w:rPr>
        <w:rFonts w:ascii="Courier New" w:hAnsi="Courier New" w:hint="default"/>
      </w:rPr>
    </w:lvl>
    <w:lvl w:ilvl="5" w:tplc="EB6C10B8">
      <w:start w:val="1"/>
      <w:numFmt w:val="bullet"/>
      <w:lvlText w:val=""/>
      <w:lvlJc w:val="left"/>
      <w:pPr>
        <w:ind w:left="4320" w:hanging="360"/>
      </w:pPr>
      <w:rPr>
        <w:rFonts w:ascii="Wingdings" w:hAnsi="Wingdings" w:hint="default"/>
      </w:rPr>
    </w:lvl>
    <w:lvl w:ilvl="6" w:tplc="CA36EEE0">
      <w:start w:val="1"/>
      <w:numFmt w:val="bullet"/>
      <w:lvlText w:val=""/>
      <w:lvlJc w:val="left"/>
      <w:pPr>
        <w:ind w:left="5040" w:hanging="360"/>
      </w:pPr>
      <w:rPr>
        <w:rFonts w:ascii="Symbol" w:hAnsi="Symbol" w:hint="default"/>
      </w:rPr>
    </w:lvl>
    <w:lvl w:ilvl="7" w:tplc="B594787A">
      <w:start w:val="1"/>
      <w:numFmt w:val="bullet"/>
      <w:lvlText w:val="o"/>
      <w:lvlJc w:val="left"/>
      <w:pPr>
        <w:ind w:left="5760" w:hanging="360"/>
      </w:pPr>
      <w:rPr>
        <w:rFonts w:ascii="Courier New" w:hAnsi="Courier New" w:hint="default"/>
      </w:rPr>
    </w:lvl>
    <w:lvl w:ilvl="8" w:tplc="76CCD3B2">
      <w:start w:val="1"/>
      <w:numFmt w:val="bullet"/>
      <w:lvlText w:val=""/>
      <w:lvlJc w:val="left"/>
      <w:pPr>
        <w:ind w:left="6480" w:hanging="360"/>
      </w:pPr>
      <w:rPr>
        <w:rFonts w:ascii="Wingdings" w:hAnsi="Wingdings" w:hint="default"/>
      </w:rPr>
    </w:lvl>
  </w:abstractNum>
  <w:abstractNum w:abstractNumId="2"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98148064">
    <w:abstractNumId w:val="0"/>
  </w:num>
  <w:num w:numId="2" w16cid:durableId="1833566289">
    <w:abstractNumId w:val="1"/>
  </w:num>
  <w:num w:numId="3" w16cid:durableId="73359902">
    <w:abstractNumId w:val="2"/>
  </w:num>
  <w:num w:numId="4" w16cid:durableId="1454127918">
    <w:abstractNumId w:val="4"/>
  </w:num>
  <w:num w:numId="5" w16cid:durableId="747188340">
    <w:abstractNumId w:val="5"/>
  </w:num>
  <w:num w:numId="6" w16cid:durableId="1919750537">
    <w:abstractNumId w:val="6"/>
  </w:num>
  <w:num w:numId="7" w16cid:durableId="881479433">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3272"/>
    <w:rsid w:val="000044F8"/>
    <w:rsid w:val="00006CA2"/>
    <w:rsid w:val="0001390A"/>
    <w:rsid w:val="0001723D"/>
    <w:rsid w:val="000264A2"/>
    <w:rsid w:val="00026927"/>
    <w:rsid w:val="0002E182"/>
    <w:rsid w:val="0003767E"/>
    <w:rsid w:val="000400E4"/>
    <w:rsid w:val="00044042"/>
    <w:rsid w:val="00044F75"/>
    <w:rsid w:val="00045D8F"/>
    <w:rsid w:val="00047679"/>
    <w:rsid w:val="00061272"/>
    <w:rsid w:val="00063B4C"/>
    <w:rsid w:val="00067868"/>
    <w:rsid w:val="00070A79"/>
    <w:rsid w:val="00094CDD"/>
    <w:rsid w:val="00095E03"/>
    <w:rsid w:val="000B449D"/>
    <w:rsid w:val="000D05D8"/>
    <w:rsid w:val="000D0641"/>
    <w:rsid w:val="000D2B00"/>
    <w:rsid w:val="000D36C0"/>
    <w:rsid w:val="000D6442"/>
    <w:rsid w:val="000E2BE8"/>
    <w:rsid w:val="000E58FF"/>
    <w:rsid w:val="000E6EF6"/>
    <w:rsid w:val="000F497C"/>
    <w:rsid w:val="000F7A0B"/>
    <w:rsid w:val="00103FDA"/>
    <w:rsid w:val="0010446C"/>
    <w:rsid w:val="001111B7"/>
    <w:rsid w:val="0011543A"/>
    <w:rsid w:val="0014306A"/>
    <w:rsid w:val="0014466E"/>
    <w:rsid w:val="00147825"/>
    <w:rsid w:val="001576B1"/>
    <w:rsid w:val="00157A3F"/>
    <w:rsid w:val="001601E6"/>
    <w:rsid w:val="00162407"/>
    <w:rsid w:val="001A7875"/>
    <w:rsid w:val="001B2CBC"/>
    <w:rsid w:val="001B4A24"/>
    <w:rsid w:val="001B4DE9"/>
    <w:rsid w:val="001B65C0"/>
    <w:rsid w:val="001C3AF6"/>
    <w:rsid w:val="001C4FCA"/>
    <w:rsid w:val="001C6A35"/>
    <w:rsid w:val="001C6B3B"/>
    <w:rsid w:val="001D1485"/>
    <w:rsid w:val="001D35A3"/>
    <w:rsid w:val="001E2091"/>
    <w:rsid w:val="001E50DA"/>
    <w:rsid w:val="001F19A6"/>
    <w:rsid w:val="00211184"/>
    <w:rsid w:val="0021364B"/>
    <w:rsid w:val="00213E12"/>
    <w:rsid w:val="0022190E"/>
    <w:rsid w:val="0024450F"/>
    <w:rsid w:val="00246F96"/>
    <w:rsid w:val="0025020C"/>
    <w:rsid w:val="00256951"/>
    <w:rsid w:val="00270584"/>
    <w:rsid w:val="00274271"/>
    <w:rsid w:val="00274B4C"/>
    <w:rsid w:val="00277A9D"/>
    <w:rsid w:val="00283154"/>
    <w:rsid w:val="002843A7"/>
    <w:rsid w:val="002865F5"/>
    <w:rsid w:val="00292A36"/>
    <w:rsid w:val="00297C2F"/>
    <w:rsid w:val="002C486A"/>
    <w:rsid w:val="002D32AB"/>
    <w:rsid w:val="002D403B"/>
    <w:rsid w:val="002D64A3"/>
    <w:rsid w:val="002D7282"/>
    <w:rsid w:val="002D72D8"/>
    <w:rsid w:val="002E0CC4"/>
    <w:rsid w:val="002E1B9C"/>
    <w:rsid w:val="002E7101"/>
    <w:rsid w:val="002F5143"/>
    <w:rsid w:val="002F5E53"/>
    <w:rsid w:val="002F624D"/>
    <w:rsid w:val="002F6E90"/>
    <w:rsid w:val="003104F9"/>
    <w:rsid w:val="00312A5A"/>
    <w:rsid w:val="003135AD"/>
    <w:rsid w:val="0031551A"/>
    <w:rsid w:val="003202AF"/>
    <w:rsid w:val="00333329"/>
    <w:rsid w:val="0033702E"/>
    <w:rsid w:val="0034026F"/>
    <w:rsid w:val="003474A4"/>
    <w:rsid w:val="00354E33"/>
    <w:rsid w:val="00361B00"/>
    <w:rsid w:val="00367437"/>
    <w:rsid w:val="00393F39"/>
    <w:rsid w:val="00396C03"/>
    <w:rsid w:val="003A0318"/>
    <w:rsid w:val="003A063A"/>
    <w:rsid w:val="003A247C"/>
    <w:rsid w:val="003A66FD"/>
    <w:rsid w:val="003A68DF"/>
    <w:rsid w:val="003B1E32"/>
    <w:rsid w:val="003B599C"/>
    <w:rsid w:val="003B7549"/>
    <w:rsid w:val="003C526C"/>
    <w:rsid w:val="003D3773"/>
    <w:rsid w:val="003E399A"/>
    <w:rsid w:val="003E5404"/>
    <w:rsid w:val="003E8118"/>
    <w:rsid w:val="003F03C3"/>
    <w:rsid w:val="00407960"/>
    <w:rsid w:val="00412616"/>
    <w:rsid w:val="00420A3F"/>
    <w:rsid w:val="0043226D"/>
    <w:rsid w:val="00445AB4"/>
    <w:rsid w:val="00452501"/>
    <w:rsid w:val="0046434F"/>
    <w:rsid w:val="004923CC"/>
    <w:rsid w:val="00494345"/>
    <w:rsid w:val="004A5C99"/>
    <w:rsid w:val="004B14DD"/>
    <w:rsid w:val="004BAF2F"/>
    <w:rsid w:val="004C1323"/>
    <w:rsid w:val="004C7904"/>
    <w:rsid w:val="004D4021"/>
    <w:rsid w:val="004E2367"/>
    <w:rsid w:val="004E6ECF"/>
    <w:rsid w:val="0050366F"/>
    <w:rsid w:val="00504D04"/>
    <w:rsid w:val="0051146E"/>
    <w:rsid w:val="005119DE"/>
    <w:rsid w:val="00514BC6"/>
    <w:rsid w:val="00517C6B"/>
    <w:rsid w:val="0052596E"/>
    <w:rsid w:val="00525F90"/>
    <w:rsid w:val="00525FCB"/>
    <w:rsid w:val="00526550"/>
    <w:rsid w:val="00527737"/>
    <w:rsid w:val="00535FAE"/>
    <w:rsid w:val="00542E40"/>
    <w:rsid w:val="005446BF"/>
    <w:rsid w:val="0055147E"/>
    <w:rsid w:val="005600BE"/>
    <w:rsid w:val="00570DE6"/>
    <w:rsid w:val="005750A5"/>
    <w:rsid w:val="00583C6E"/>
    <w:rsid w:val="0058764C"/>
    <w:rsid w:val="00594CDC"/>
    <w:rsid w:val="00597CA9"/>
    <w:rsid w:val="00597F9E"/>
    <w:rsid w:val="005A22F1"/>
    <w:rsid w:val="005A68A2"/>
    <w:rsid w:val="005B3EDE"/>
    <w:rsid w:val="005B4F7A"/>
    <w:rsid w:val="005B6E67"/>
    <w:rsid w:val="005C293C"/>
    <w:rsid w:val="005C4DA0"/>
    <w:rsid w:val="005C5E80"/>
    <w:rsid w:val="005D7A1E"/>
    <w:rsid w:val="005E02D0"/>
    <w:rsid w:val="005E0ADD"/>
    <w:rsid w:val="005E1650"/>
    <w:rsid w:val="005F2FF5"/>
    <w:rsid w:val="00600038"/>
    <w:rsid w:val="006003C8"/>
    <w:rsid w:val="00604A87"/>
    <w:rsid w:val="00621776"/>
    <w:rsid w:val="00621872"/>
    <w:rsid w:val="006272B4"/>
    <w:rsid w:val="006279B3"/>
    <w:rsid w:val="006324EE"/>
    <w:rsid w:val="00636D9A"/>
    <w:rsid w:val="00642BEF"/>
    <w:rsid w:val="00655385"/>
    <w:rsid w:val="00663845"/>
    <w:rsid w:val="00674623"/>
    <w:rsid w:val="0067739A"/>
    <w:rsid w:val="00685748"/>
    <w:rsid w:val="006A3F0D"/>
    <w:rsid w:val="006A4515"/>
    <w:rsid w:val="006C1B0B"/>
    <w:rsid w:val="006C78AA"/>
    <w:rsid w:val="006D7226"/>
    <w:rsid w:val="006E20FF"/>
    <w:rsid w:val="006E3592"/>
    <w:rsid w:val="006E51B6"/>
    <w:rsid w:val="006F04D4"/>
    <w:rsid w:val="006F4AB2"/>
    <w:rsid w:val="006F4DC1"/>
    <w:rsid w:val="006F65FA"/>
    <w:rsid w:val="006F7848"/>
    <w:rsid w:val="007063BA"/>
    <w:rsid w:val="007103FE"/>
    <w:rsid w:val="00722ECC"/>
    <w:rsid w:val="00725741"/>
    <w:rsid w:val="00730C3C"/>
    <w:rsid w:val="0073280B"/>
    <w:rsid w:val="00735607"/>
    <w:rsid w:val="00742922"/>
    <w:rsid w:val="00743B31"/>
    <w:rsid w:val="00750B5B"/>
    <w:rsid w:val="00752FE0"/>
    <w:rsid w:val="0075518A"/>
    <w:rsid w:val="0077163A"/>
    <w:rsid w:val="00771706"/>
    <w:rsid w:val="0078212B"/>
    <w:rsid w:val="00785752"/>
    <w:rsid w:val="00794430"/>
    <w:rsid w:val="007A59C8"/>
    <w:rsid w:val="007A712E"/>
    <w:rsid w:val="007B21E2"/>
    <w:rsid w:val="007B2E50"/>
    <w:rsid w:val="007B2E65"/>
    <w:rsid w:val="007B6FE8"/>
    <w:rsid w:val="007C1551"/>
    <w:rsid w:val="007C246B"/>
    <w:rsid w:val="007C3DA2"/>
    <w:rsid w:val="007C4566"/>
    <w:rsid w:val="007C5F9D"/>
    <w:rsid w:val="007C685B"/>
    <w:rsid w:val="007D2105"/>
    <w:rsid w:val="007D744F"/>
    <w:rsid w:val="007F2D28"/>
    <w:rsid w:val="007F7847"/>
    <w:rsid w:val="00804B94"/>
    <w:rsid w:val="00807B11"/>
    <w:rsid w:val="00814299"/>
    <w:rsid w:val="00821391"/>
    <w:rsid w:val="0082595F"/>
    <w:rsid w:val="0082760D"/>
    <w:rsid w:val="00851501"/>
    <w:rsid w:val="00860D9D"/>
    <w:rsid w:val="00880B2D"/>
    <w:rsid w:val="00882E73"/>
    <w:rsid w:val="00883AB0"/>
    <w:rsid w:val="008857D9"/>
    <w:rsid w:val="00887C5B"/>
    <w:rsid w:val="008927C6"/>
    <w:rsid w:val="00894108"/>
    <w:rsid w:val="00896848"/>
    <w:rsid w:val="008B1DFA"/>
    <w:rsid w:val="008C38C3"/>
    <w:rsid w:val="008C4155"/>
    <w:rsid w:val="008D31A2"/>
    <w:rsid w:val="008D6F0F"/>
    <w:rsid w:val="008E24DE"/>
    <w:rsid w:val="008E7B2E"/>
    <w:rsid w:val="008F4555"/>
    <w:rsid w:val="008F566A"/>
    <w:rsid w:val="00912EEA"/>
    <w:rsid w:val="0091489B"/>
    <w:rsid w:val="00916814"/>
    <w:rsid w:val="009325D2"/>
    <w:rsid w:val="0094221E"/>
    <w:rsid w:val="0094317F"/>
    <w:rsid w:val="00947428"/>
    <w:rsid w:val="0096272F"/>
    <w:rsid w:val="00980B53"/>
    <w:rsid w:val="00991EA6"/>
    <w:rsid w:val="00995444"/>
    <w:rsid w:val="009A29AB"/>
    <w:rsid w:val="009B3929"/>
    <w:rsid w:val="009D06C5"/>
    <w:rsid w:val="009D31A8"/>
    <w:rsid w:val="009D534C"/>
    <w:rsid w:val="009D728C"/>
    <w:rsid w:val="009E154B"/>
    <w:rsid w:val="009E5B14"/>
    <w:rsid w:val="009F051F"/>
    <w:rsid w:val="009F5959"/>
    <w:rsid w:val="009F6B15"/>
    <w:rsid w:val="00A077C0"/>
    <w:rsid w:val="00A15659"/>
    <w:rsid w:val="00A226DB"/>
    <w:rsid w:val="00A2688D"/>
    <w:rsid w:val="00A370E2"/>
    <w:rsid w:val="00A4007E"/>
    <w:rsid w:val="00A55462"/>
    <w:rsid w:val="00A5738F"/>
    <w:rsid w:val="00A657F5"/>
    <w:rsid w:val="00A662B3"/>
    <w:rsid w:val="00A67076"/>
    <w:rsid w:val="00A71552"/>
    <w:rsid w:val="00A90A7A"/>
    <w:rsid w:val="00A944E9"/>
    <w:rsid w:val="00AA18D7"/>
    <w:rsid w:val="00AA1F09"/>
    <w:rsid w:val="00AA437C"/>
    <w:rsid w:val="00AA7499"/>
    <w:rsid w:val="00AA7D82"/>
    <w:rsid w:val="00AB721F"/>
    <w:rsid w:val="00AB78F0"/>
    <w:rsid w:val="00AD468C"/>
    <w:rsid w:val="00AD4D59"/>
    <w:rsid w:val="00AD784C"/>
    <w:rsid w:val="00B006EA"/>
    <w:rsid w:val="00B01396"/>
    <w:rsid w:val="00B0283B"/>
    <w:rsid w:val="00B07451"/>
    <w:rsid w:val="00B10848"/>
    <w:rsid w:val="00B175D3"/>
    <w:rsid w:val="00B2418B"/>
    <w:rsid w:val="00B24195"/>
    <w:rsid w:val="00B242A6"/>
    <w:rsid w:val="00B26973"/>
    <w:rsid w:val="00B5045C"/>
    <w:rsid w:val="00B575E2"/>
    <w:rsid w:val="00B67E9F"/>
    <w:rsid w:val="00B7073C"/>
    <w:rsid w:val="00B76A90"/>
    <w:rsid w:val="00B858A1"/>
    <w:rsid w:val="00B8603A"/>
    <w:rsid w:val="00BA7521"/>
    <w:rsid w:val="00BB0EA9"/>
    <w:rsid w:val="00BB65AC"/>
    <w:rsid w:val="00BC5D87"/>
    <w:rsid w:val="00BD063D"/>
    <w:rsid w:val="00BD2909"/>
    <w:rsid w:val="00BD4CF4"/>
    <w:rsid w:val="00BD6644"/>
    <w:rsid w:val="00BE14ED"/>
    <w:rsid w:val="00BE74BD"/>
    <w:rsid w:val="00BE777B"/>
    <w:rsid w:val="00BE7CCB"/>
    <w:rsid w:val="00C0408F"/>
    <w:rsid w:val="00C142ED"/>
    <w:rsid w:val="00C17A49"/>
    <w:rsid w:val="00C41734"/>
    <w:rsid w:val="00C4722F"/>
    <w:rsid w:val="00C54488"/>
    <w:rsid w:val="00C56BE0"/>
    <w:rsid w:val="00C56FE5"/>
    <w:rsid w:val="00C63BEE"/>
    <w:rsid w:val="00C66A2F"/>
    <w:rsid w:val="00C73079"/>
    <w:rsid w:val="00C91479"/>
    <w:rsid w:val="00C94DA9"/>
    <w:rsid w:val="00CA49F6"/>
    <w:rsid w:val="00CA6705"/>
    <w:rsid w:val="00CA7D7C"/>
    <w:rsid w:val="00CB38FD"/>
    <w:rsid w:val="00CB3AF6"/>
    <w:rsid w:val="00CB3C13"/>
    <w:rsid w:val="00CC116C"/>
    <w:rsid w:val="00CD4E23"/>
    <w:rsid w:val="00CD4E37"/>
    <w:rsid w:val="00CE3FD1"/>
    <w:rsid w:val="00CE620E"/>
    <w:rsid w:val="00CE6F8E"/>
    <w:rsid w:val="00CE7874"/>
    <w:rsid w:val="00CF1ED5"/>
    <w:rsid w:val="00D0625C"/>
    <w:rsid w:val="00D10EBB"/>
    <w:rsid w:val="00D12BE7"/>
    <w:rsid w:val="00D13A82"/>
    <w:rsid w:val="00D13DB7"/>
    <w:rsid w:val="00D232F5"/>
    <w:rsid w:val="00D24DAA"/>
    <w:rsid w:val="00D306AF"/>
    <w:rsid w:val="00D54B50"/>
    <w:rsid w:val="00D744D4"/>
    <w:rsid w:val="00D868B7"/>
    <w:rsid w:val="00D9238F"/>
    <w:rsid w:val="00D93194"/>
    <w:rsid w:val="00D970DE"/>
    <w:rsid w:val="00DA287A"/>
    <w:rsid w:val="00DB28A2"/>
    <w:rsid w:val="00DB5727"/>
    <w:rsid w:val="00DB71AC"/>
    <w:rsid w:val="00DC00D1"/>
    <w:rsid w:val="00DD02A4"/>
    <w:rsid w:val="00DD439C"/>
    <w:rsid w:val="00DD6BC6"/>
    <w:rsid w:val="00DE1A02"/>
    <w:rsid w:val="00DE3F68"/>
    <w:rsid w:val="00DF4293"/>
    <w:rsid w:val="00DF4DA5"/>
    <w:rsid w:val="00DF5489"/>
    <w:rsid w:val="00E05924"/>
    <w:rsid w:val="00E05C6C"/>
    <w:rsid w:val="00E11529"/>
    <w:rsid w:val="00E157E1"/>
    <w:rsid w:val="00E2170E"/>
    <w:rsid w:val="00E2182C"/>
    <w:rsid w:val="00E31816"/>
    <w:rsid w:val="00E325CF"/>
    <w:rsid w:val="00E34A7A"/>
    <w:rsid w:val="00E34F8E"/>
    <w:rsid w:val="00E371C0"/>
    <w:rsid w:val="00E379B1"/>
    <w:rsid w:val="00E40B0D"/>
    <w:rsid w:val="00E43281"/>
    <w:rsid w:val="00E472C7"/>
    <w:rsid w:val="00E55669"/>
    <w:rsid w:val="00E65DCD"/>
    <w:rsid w:val="00E71420"/>
    <w:rsid w:val="00E85409"/>
    <w:rsid w:val="00E94DA0"/>
    <w:rsid w:val="00EA1D5F"/>
    <w:rsid w:val="00EA29B8"/>
    <w:rsid w:val="00EA5CC3"/>
    <w:rsid w:val="00EA60B6"/>
    <w:rsid w:val="00EA64AA"/>
    <w:rsid w:val="00EB286A"/>
    <w:rsid w:val="00EB3555"/>
    <w:rsid w:val="00EB3847"/>
    <w:rsid w:val="00EB4989"/>
    <w:rsid w:val="00EF6341"/>
    <w:rsid w:val="00F02EA5"/>
    <w:rsid w:val="00F054D4"/>
    <w:rsid w:val="00F0560A"/>
    <w:rsid w:val="00F1095C"/>
    <w:rsid w:val="00F1255F"/>
    <w:rsid w:val="00F14BB1"/>
    <w:rsid w:val="00F158D7"/>
    <w:rsid w:val="00F161C0"/>
    <w:rsid w:val="00F20EE5"/>
    <w:rsid w:val="00F27543"/>
    <w:rsid w:val="00F44833"/>
    <w:rsid w:val="00F50081"/>
    <w:rsid w:val="00F544B0"/>
    <w:rsid w:val="00F67ABF"/>
    <w:rsid w:val="00F67C87"/>
    <w:rsid w:val="00F75150"/>
    <w:rsid w:val="00F84C23"/>
    <w:rsid w:val="00F90336"/>
    <w:rsid w:val="00F910E3"/>
    <w:rsid w:val="00F9409C"/>
    <w:rsid w:val="00FB1193"/>
    <w:rsid w:val="00FD1125"/>
    <w:rsid w:val="00FD3DE0"/>
    <w:rsid w:val="00FD7729"/>
    <w:rsid w:val="00FD7C22"/>
    <w:rsid w:val="00FE5C58"/>
    <w:rsid w:val="00FE77B3"/>
    <w:rsid w:val="00FF1776"/>
    <w:rsid w:val="010FDA78"/>
    <w:rsid w:val="012F69AB"/>
    <w:rsid w:val="0155AFB3"/>
    <w:rsid w:val="017ACB95"/>
    <w:rsid w:val="01817A26"/>
    <w:rsid w:val="01AE34DF"/>
    <w:rsid w:val="01CCFAD1"/>
    <w:rsid w:val="01D94BF8"/>
    <w:rsid w:val="01F119D3"/>
    <w:rsid w:val="01FB5B7F"/>
    <w:rsid w:val="023DAD81"/>
    <w:rsid w:val="026AA3B8"/>
    <w:rsid w:val="02910469"/>
    <w:rsid w:val="029F9216"/>
    <w:rsid w:val="02B5D908"/>
    <w:rsid w:val="02C00E46"/>
    <w:rsid w:val="02C4DCD3"/>
    <w:rsid w:val="02ED10C7"/>
    <w:rsid w:val="03014E81"/>
    <w:rsid w:val="031FA62A"/>
    <w:rsid w:val="032009C0"/>
    <w:rsid w:val="0322E782"/>
    <w:rsid w:val="0326B72E"/>
    <w:rsid w:val="033066C3"/>
    <w:rsid w:val="034594C8"/>
    <w:rsid w:val="034C64D3"/>
    <w:rsid w:val="036051FC"/>
    <w:rsid w:val="03743827"/>
    <w:rsid w:val="0377E7E3"/>
    <w:rsid w:val="038EAC61"/>
    <w:rsid w:val="03986F4E"/>
    <w:rsid w:val="039AE750"/>
    <w:rsid w:val="03C0B1C4"/>
    <w:rsid w:val="03C2D0BC"/>
    <w:rsid w:val="03CA431D"/>
    <w:rsid w:val="03E81E05"/>
    <w:rsid w:val="0402499C"/>
    <w:rsid w:val="0404C3AC"/>
    <w:rsid w:val="04289B40"/>
    <w:rsid w:val="044D44FD"/>
    <w:rsid w:val="04844BCE"/>
    <w:rsid w:val="04B026EE"/>
    <w:rsid w:val="04D4A056"/>
    <w:rsid w:val="052CF724"/>
    <w:rsid w:val="054BC4DF"/>
    <w:rsid w:val="05502E1A"/>
    <w:rsid w:val="0559B97C"/>
    <w:rsid w:val="055C25BE"/>
    <w:rsid w:val="0565955C"/>
    <w:rsid w:val="05900560"/>
    <w:rsid w:val="05AEB29A"/>
    <w:rsid w:val="05BC2AFF"/>
    <w:rsid w:val="05C48B45"/>
    <w:rsid w:val="05CCBB8C"/>
    <w:rsid w:val="05E73FE3"/>
    <w:rsid w:val="05EDAACE"/>
    <w:rsid w:val="05EDB332"/>
    <w:rsid w:val="06329E2C"/>
    <w:rsid w:val="063428E5"/>
    <w:rsid w:val="0648D878"/>
    <w:rsid w:val="064EB206"/>
    <w:rsid w:val="065A5AE8"/>
    <w:rsid w:val="067FC926"/>
    <w:rsid w:val="068953FA"/>
    <w:rsid w:val="06B270E9"/>
    <w:rsid w:val="06CD90BF"/>
    <w:rsid w:val="06CE707A"/>
    <w:rsid w:val="06D26C68"/>
    <w:rsid w:val="06F75C94"/>
    <w:rsid w:val="06F97993"/>
    <w:rsid w:val="07067568"/>
    <w:rsid w:val="072205D5"/>
    <w:rsid w:val="0750BD0D"/>
    <w:rsid w:val="075B0CAC"/>
    <w:rsid w:val="075CFE01"/>
    <w:rsid w:val="075EE89C"/>
    <w:rsid w:val="077252D4"/>
    <w:rsid w:val="0779A626"/>
    <w:rsid w:val="0780A8A6"/>
    <w:rsid w:val="08397839"/>
    <w:rsid w:val="084042BB"/>
    <w:rsid w:val="08650CAB"/>
    <w:rsid w:val="08A21EFE"/>
    <w:rsid w:val="08AC5BA5"/>
    <w:rsid w:val="08B7E39E"/>
    <w:rsid w:val="08BBB6C9"/>
    <w:rsid w:val="08D01A08"/>
    <w:rsid w:val="09021DD4"/>
    <w:rsid w:val="093CD4FA"/>
    <w:rsid w:val="094FE748"/>
    <w:rsid w:val="098A01E8"/>
    <w:rsid w:val="09923234"/>
    <w:rsid w:val="09AE0719"/>
    <w:rsid w:val="09E05C09"/>
    <w:rsid w:val="09F90C53"/>
    <w:rsid w:val="09FD9683"/>
    <w:rsid w:val="0A01AB10"/>
    <w:rsid w:val="0A0AF45B"/>
    <w:rsid w:val="0A679D3B"/>
    <w:rsid w:val="0A709CED"/>
    <w:rsid w:val="0A7AF720"/>
    <w:rsid w:val="0A91419A"/>
    <w:rsid w:val="0ACC8CFF"/>
    <w:rsid w:val="0AE9D61B"/>
    <w:rsid w:val="0B162158"/>
    <w:rsid w:val="0B352F47"/>
    <w:rsid w:val="0B44645B"/>
    <w:rsid w:val="0B53F019"/>
    <w:rsid w:val="0B638E13"/>
    <w:rsid w:val="0B6CC5F4"/>
    <w:rsid w:val="0B95A192"/>
    <w:rsid w:val="0B9AD016"/>
    <w:rsid w:val="0B9FA2A1"/>
    <w:rsid w:val="0BB3B1FA"/>
    <w:rsid w:val="0BBC55E9"/>
    <w:rsid w:val="0BC52F2A"/>
    <w:rsid w:val="0BEF9589"/>
    <w:rsid w:val="0C157CD8"/>
    <w:rsid w:val="0C1F994D"/>
    <w:rsid w:val="0C412385"/>
    <w:rsid w:val="0C55637E"/>
    <w:rsid w:val="0C58D12E"/>
    <w:rsid w:val="0C5E6CDA"/>
    <w:rsid w:val="0C955FB1"/>
    <w:rsid w:val="0C9FFECC"/>
    <w:rsid w:val="0CA5D118"/>
    <w:rsid w:val="0CAAE9DE"/>
    <w:rsid w:val="0CC85995"/>
    <w:rsid w:val="0CC954E3"/>
    <w:rsid w:val="0D05A2B3"/>
    <w:rsid w:val="0D2FEE42"/>
    <w:rsid w:val="0D3FC11A"/>
    <w:rsid w:val="0D4AC356"/>
    <w:rsid w:val="0D5A53B2"/>
    <w:rsid w:val="0D72BFF8"/>
    <w:rsid w:val="0D73939C"/>
    <w:rsid w:val="0D850D94"/>
    <w:rsid w:val="0D8803AF"/>
    <w:rsid w:val="0D8E76E2"/>
    <w:rsid w:val="0D91A72F"/>
    <w:rsid w:val="0D960E6D"/>
    <w:rsid w:val="0DA28A5C"/>
    <w:rsid w:val="0DBF03D7"/>
    <w:rsid w:val="0DC39744"/>
    <w:rsid w:val="0DDD6D96"/>
    <w:rsid w:val="0DFAB8C9"/>
    <w:rsid w:val="0E260372"/>
    <w:rsid w:val="0E4B0460"/>
    <w:rsid w:val="0E66EC2B"/>
    <w:rsid w:val="0E78C921"/>
    <w:rsid w:val="0E8220E9"/>
    <w:rsid w:val="0E86CA29"/>
    <w:rsid w:val="0E90527A"/>
    <w:rsid w:val="0EEC462F"/>
    <w:rsid w:val="0F02000F"/>
    <w:rsid w:val="0F0503C4"/>
    <w:rsid w:val="0F0697E0"/>
    <w:rsid w:val="0F105504"/>
    <w:rsid w:val="0F14F7E3"/>
    <w:rsid w:val="0F2ED553"/>
    <w:rsid w:val="0F3644FB"/>
    <w:rsid w:val="0F5D9496"/>
    <w:rsid w:val="0F66C0E1"/>
    <w:rsid w:val="0F6E1445"/>
    <w:rsid w:val="0F7C0229"/>
    <w:rsid w:val="0FAD111A"/>
    <w:rsid w:val="0FB9B0DA"/>
    <w:rsid w:val="0FC940DC"/>
    <w:rsid w:val="0FD9254F"/>
    <w:rsid w:val="0FDAECC7"/>
    <w:rsid w:val="0FF30EC0"/>
    <w:rsid w:val="100D9684"/>
    <w:rsid w:val="10208131"/>
    <w:rsid w:val="10217218"/>
    <w:rsid w:val="10316033"/>
    <w:rsid w:val="10399F3E"/>
    <w:rsid w:val="106110C4"/>
    <w:rsid w:val="1062E658"/>
    <w:rsid w:val="1083158D"/>
    <w:rsid w:val="109617C0"/>
    <w:rsid w:val="10A61A36"/>
    <w:rsid w:val="10C34217"/>
    <w:rsid w:val="10D4117C"/>
    <w:rsid w:val="10E7F7E8"/>
    <w:rsid w:val="11404875"/>
    <w:rsid w:val="11818CF4"/>
    <w:rsid w:val="11A3D19D"/>
    <w:rsid w:val="11A8FF5B"/>
    <w:rsid w:val="11B30BDB"/>
    <w:rsid w:val="11D2FBCB"/>
    <w:rsid w:val="11EAAD1D"/>
    <w:rsid w:val="11FFBC06"/>
    <w:rsid w:val="12066CC5"/>
    <w:rsid w:val="121C7F46"/>
    <w:rsid w:val="12262519"/>
    <w:rsid w:val="1242608B"/>
    <w:rsid w:val="1282FDCB"/>
    <w:rsid w:val="128C8BBE"/>
    <w:rsid w:val="128D0A3D"/>
    <w:rsid w:val="128D588D"/>
    <w:rsid w:val="129E379C"/>
    <w:rsid w:val="129ED736"/>
    <w:rsid w:val="12A64DCA"/>
    <w:rsid w:val="12B8A802"/>
    <w:rsid w:val="12EBF799"/>
    <w:rsid w:val="13161679"/>
    <w:rsid w:val="131DC124"/>
    <w:rsid w:val="132A64BD"/>
    <w:rsid w:val="132DEA46"/>
    <w:rsid w:val="132FF86E"/>
    <w:rsid w:val="13322659"/>
    <w:rsid w:val="138BAC1C"/>
    <w:rsid w:val="138DE08E"/>
    <w:rsid w:val="13A7385E"/>
    <w:rsid w:val="13BF4B92"/>
    <w:rsid w:val="13D3F4EC"/>
    <w:rsid w:val="14057C6C"/>
    <w:rsid w:val="140AE70E"/>
    <w:rsid w:val="1439FA44"/>
    <w:rsid w:val="146D5B28"/>
    <w:rsid w:val="147CB2B3"/>
    <w:rsid w:val="1487D130"/>
    <w:rsid w:val="149DCFC7"/>
    <w:rsid w:val="149E6E9A"/>
    <w:rsid w:val="14BDA4D9"/>
    <w:rsid w:val="14CCD933"/>
    <w:rsid w:val="14D2E8E4"/>
    <w:rsid w:val="1504F64D"/>
    <w:rsid w:val="1538D07C"/>
    <w:rsid w:val="153FB95C"/>
    <w:rsid w:val="15C741D1"/>
    <w:rsid w:val="15D3D844"/>
    <w:rsid w:val="161F60F1"/>
    <w:rsid w:val="162048DF"/>
    <w:rsid w:val="164E2F47"/>
    <w:rsid w:val="1659FF87"/>
    <w:rsid w:val="165E4708"/>
    <w:rsid w:val="165ECB97"/>
    <w:rsid w:val="1683DA55"/>
    <w:rsid w:val="169E2945"/>
    <w:rsid w:val="16E002B7"/>
    <w:rsid w:val="16E93348"/>
    <w:rsid w:val="173B0F5A"/>
    <w:rsid w:val="17679E8F"/>
    <w:rsid w:val="176C2803"/>
    <w:rsid w:val="176EFC52"/>
    <w:rsid w:val="1781B12E"/>
    <w:rsid w:val="1798D4C2"/>
    <w:rsid w:val="17CF66C5"/>
    <w:rsid w:val="17D28A29"/>
    <w:rsid w:val="17E2516A"/>
    <w:rsid w:val="17FCE164"/>
    <w:rsid w:val="1815B11B"/>
    <w:rsid w:val="183E1761"/>
    <w:rsid w:val="185A052E"/>
    <w:rsid w:val="185AE0DC"/>
    <w:rsid w:val="18D2C78A"/>
    <w:rsid w:val="1924C694"/>
    <w:rsid w:val="19433215"/>
    <w:rsid w:val="194BC229"/>
    <w:rsid w:val="196605FF"/>
    <w:rsid w:val="197683D5"/>
    <w:rsid w:val="198FA886"/>
    <w:rsid w:val="1997C58F"/>
    <w:rsid w:val="19B6CAF7"/>
    <w:rsid w:val="19BAEEDF"/>
    <w:rsid w:val="19E01CE1"/>
    <w:rsid w:val="19EA6813"/>
    <w:rsid w:val="19F9346E"/>
    <w:rsid w:val="1A067D57"/>
    <w:rsid w:val="1A13BC7D"/>
    <w:rsid w:val="1A144DA5"/>
    <w:rsid w:val="1A19D4ED"/>
    <w:rsid w:val="1A1B9021"/>
    <w:rsid w:val="1A45BB61"/>
    <w:rsid w:val="1A520BB4"/>
    <w:rsid w:val="1A5995A3"/>
    <w:rsid w:val="1AA14F92"/>
    <w:rsid w:val="1AB37459"/>
    <w:rsid w:val="1AB44921"/>
    <w:rsid w:val="1ABA6123"/>
    <w:rsid w:val="1ADC9ADE"/>
    <w:rsid w:val="1AE08F6B"/>
    <w:rsid w:val="1AEF642F"/>
    <w:rsid w:val="1AF07FF6"/>
    <w:rsid w:val="1B02C649"/>
    <w:rsid w:val="1B02C9C5"/>
    <w:rsid w:val="1B155159"/>
    <w:rsid w:val="1B2F8FED"/>
    <w:rsid w:val="1B73DE7A"/>
    <w:rsid w:val="1B9AF5E5"/>
    <w:rsid w:val="1B9F5EB4"/>
    <w:rsid w:val="1BB2FD74"/>
    <w:rsid w:val="1BB5B1F5"/>
    <w:rsid w:val="1BE1C2B0"/>
    <w:rsid w:val="1BE9127D"/>
    <w:rsid w:val="1C11D4C5"/>
    <w:rsid w:val="1C1AAB6E"/>
    <w:rsid w:val="1C22D624"/>
    <w:rsid w:val="1C3BDDDE"/>
    <w:rsid w:val="1C993E8C"/>
    <w:rsid w:val="1CB0F3B6"/>
    <w:rsid w:val="1CCB49F2"/>
    <w:rsid w:val="1CCCF695"/>
    <w:rsid w:val="1CE47432"/>
    <w:rsid w:val="1D20EF3A"/>
    <w:rsid w:val="1D29F72A"/>
    <w:rsid w:val="1D32C9FB"/>
    <w:rsid w:val="1D52CDFF"/>
    <w:rsid w:val="1D574293"/>
    <w:rsid w:val="1D585490"/>
    <w:rsid w:val="1D596D3F"/>
    <w:rsid w:val="1D85A257"/>
    <w:rsid w:val="1DC7C19E"/>
    <w:rsid w:val="1DE7E803"/>
    <w:rsid w:val="1DF28420"/>
    <w:rsid w:val="1DF36945"/>
    <w:rsid w:val="1E0DC7F3"/>
    <w:rsid w:val="1E351A76"/>
    <w:rsid w:val="1E4CD74E"/>
    <w:rsid w:val="1E5496D4"/>
    <w:rsid w:val="1E88EBF2"/>
    <w:rsid w:val="1E975725"/>
    <w:rsid w:val="1EB18E41"/>
    <w:rsid w:val="1EC678D9"/>
    <w:rsid w:val="1EDAE312"/>
    <w:rsid w:val="1EE3A5B0"/>
    <w:rsid w:val="1EF42C58"/>
    <w:rsid w:val="1F0656B0"/>
    <w:rsid w:val="1F13250A"/>
    <w:rsid w:val="1F1A5F83"/>
    <w:rsid w:val="1F27C9E9"/>
    <w:rsid w:val="1F312399"/>
    <w:rsid w:val="1F6022F4"/>
    <w:rsid w:val="1F7D0671"/>
    <w:rsid w:val="1FA63537"/>
    <w:rsid w:val="1FABFC6F"/>
    <w:rsid w:val="1FC4D872"/>
    <w:rsid w:val="1FC68BA4"/>
    <w:rsid w:val="1FDC9C15"/>
    <w:rsid w:val="1FDF44B0"/>
    <w:rsid w:val="1FE4250D"/>
    <w:rsid w:val="1FE55523"/>
    <w:rsid w:val="1FF1DA8B"/>
    <w:rsid w:val="200A7A6A"/>
    <w:rsid w:val="20189B49"/>
    <w:rsid w:val="203EF788"/>
    <w:rsid w:val="20902643"/>
    <w:rsid w:val="209E9823"/>
    <w:rsid w:val="20A044E7"/>
    <w:rsid w:val="20ACB7C5"/>
    <w:rsid w:val="20BD290A"/>
    <w:rsid w:val="20CECBF3"/>
    <w:rsid w:val="20E3C6AF"/>
    <w:rsid w:val="20EE5646"/>
    <w:rsid w:val="21198F5F"/>
    <w:rsid w:val="212F8A93"/>
    <w:rsid w:val="2145CCE4"/>
    <w:rsid w:val="214DD674"/>
    <w:rsid w:val="216268D9"/>
    <w:rsid w:val="2164DD81"/>
    <w:rsid w:val="2171D6E0"/>
    <w:rsid w:val="21934BB4"/>
    <w:rsid w:val="219A6B73"/>
    <w:rsid w:val="219CEF78"/>
    <w:rsid w:val="21B6E255"/>
    <w:rsid w:val="21B7C1B4"/>
    <w:rsid w:val="21CC71BB"/>
    <w:rsid w:val="21EBB099"/>
    <w:rsid w:val="222B4358"/>
    <w:rsid w:val="22375EC0"/>
    <w:rsid w:val="2258B0A9"/>
    <w:rsid w:val="22727278"/>
    <w:rsid w:val="22BC3DFA"/>
    <w:rsid w:val="22CB14C0"/>
    <w:rsid w:val="232B57F3"/>
    <w:rsid w:val="2365B28A"/>
    <w:rsid w:val="237B7AE0"/>
    <w:rsid w:val="239098D7"/>
    <w:rsid w:val="23B41F69"/>
    <w:rsid w:val="23ECE5B0"/>
    <w:rsid w:val="241CE402"/>
    <w:rsid w:val="241FA7A9"/>
    <w:rsid w:val="2420F318"/>
    <w:rsid w:val="24438194"/>
    <w:rsid w:val="244C1A2B"/>
    <w:rsid w:val="246DFC4E"/>
    <w:rsid w:val="2471E322"/>
    <w:rsid w:val="2472128E"/>
    <w:rsid w:val="2479EDAE"/>
    <w:rsid w:val="24857199"/>
    <w:rsid w:val="248AEEC5"/>
    <w:rsid w:val="24A50109"/>
    <w:rsid w:val="24E4479E"/>
    <w:rsid w:val="25043DBE"/>
    <w:rsid w:val="2531F5D2"/>
    <w:rsid w:val="253CB59B"/>
    <w:rsid w:val="2566DF4B"/>
    <w:rsid w:val="2574181B"/>
    <w:rsid w:val="257C8B62"/>
    <w:rsid w:val="2586EBB0"/>
    <w:rsid w:val="25B2DA46"/>
    <w:rsid w:val="25E87111"/>
    <w:rsid w:val="25F13235"/>
    <w:rsid w:val="25F2779B"/>
    <w:rsid w:val="25F7FEB5"/>
    <w:rsid w:val="260B52AF"/>
    <w:rsid w:val="261E8BA8"/>
    <w:rsid w:val="26230260"/>
    <w:rsid w:val="26469ACA"/>
    <w:rsid w:val="2649EDCD"/>
    <w:rsid w:val="26565490"/>
    <w:rsid w:val="265CC3CD"/>
    <w:rsid w:val="269A3E10"/>
    <w:rsid w:val="26A230FC"/>
    <w:rsid w:val="26A9AFDF"/>
    <w:rsid w:val="26BB1C66"/>
    <w:rsid w:val="26E6376D"/>
    <w:rsid w:val="27120972"/>
    <w:rsid w:val="273B9829"/>
    <w:rsid w:val="273D8534"/>
    <w:rsid w:val="277C2B09"/>
    <w:rsid w:val="279615E0"/>
    <w:rsid w:val="27A5CA21"/>
    <w:rsid w:val="27A9E3B1"/>
    <w:rsid w:val="27AB38A6"/>
    <w:rsid w:val="27EA4D3E"/>
    <w:rsid w:val="281B67A4"/>
    <w:rsid w:val="28323BDF"/>
    <w:rsid w:val="2843F2DB"/>
    <w:rsid w:val="28B0B7F9"/>
    <w:rsid w:val="28BE903D"/>
    <w:rsid w:val="28CA71CB"/>
    <w:rsid w:val="28D5EF00"/>
    <w:rsid w:val="28D9F054"/>
    <w:rsid w:val="28DEAC3F"/>
    <w:rsid w:val="28F3A4F9"/>
    <w:rsid w:val="28F7C84B"/>
    <w:rsid w:val="290351A8"/>
    <w:rsid w:val="290F96D7"/>
    <w:rsid w:val="29224538"/>
    <w:rsid w:val="29410AD9"/>
    <w:rsid w:val="29686EF7"/>
    <w:rsid w:val="297778E3"/>
    <w:rsid w:val="29A079A9"/>
    <w:rsid w:val="29B0AD18"/>
    <w:rsid w:val="29CB56C8"/>
    <w:rsid w:val="29D24C06"/>
    <w:rsid w:val="29D4ABEA"/>
    <w:rsid w:val="2A6B097F"/>
    <w:rsid w:val="2A90796C"/>
    <w:rsid w:val="2AF42305"/>
    <w:rsid w:val="2AF77C86"/>
    <w:rsid w:val="2AFB1EEE"/>
    <w:rsid w:val="2B2D71CE"/>
    <w:rsid w:val="2B69CE60"/>
    <w:rsid w:val="2B83C3DB"/>
    <w:rsid w:val="2B97A06C"/>
    <w:rsid w:val="2BAA16D5"/>
    <w:rsid w:val="2BC979D4"/>
    <w:rsid w:val="2BCE6911"/>
    <w:rsid w:val="2BCECA81"/>
    <w:rsid w:val="2BD697E8"/>
    <w:rsid w:val="2C462FD3"/>
    <w:rsid w:val="2C7457DD"/>
    <w:rsid w:val="2C91BFEF"/>
    <w:rsid w:val="2CA7D497"/>
    <w:rsid w:val="2CD9CF64"/>
    <w:rsid w:val="2D070FEA"/>
    <w:rsid w:val="2D0D8BA6"/>
    <w:rsid w:val="2D48953B"/>
    <w:rsid w:val="2D4F3F9D"/>
    <w:rsid w:val="2D5F74E3"/>
    <w:rsid w:val="2D73A3C6"/>
    <w:rsid w:val="2D938896"/>
    <w:rsid w:val="2D961145"/>
    <w:rsid w:val="2DB27331"/>
    <w:rsid w:val="2DCABE44"/>
    <w:rsid w:val="2DE113CF"/>
    <w:rsid w:val="2E167740"/>
    <w:rsid w:val="2E22B539"/>
    <w:rsid w:val="2E233083"/>
    <w:rsid w:val="2E40AF55"/>
    <w:rsid w:val="2E5BF246"/>
    <w:rsid w:val="2E6C832A"/>
    <w:rsid w:val="2E713240"/>
    <w:rsid w:val="2E78B4C5"/>
    <w:rsid w:val="2E89268D"/>
    <w:rsid w:val="2E8EDAED"/>
    <w:rsid w:val="2E910E82"/>
    <w:rsid w:val="2E9A8B5D"/>
    <w:rsid w:val="2E9B9B1A"/>
    <w:rsid w:val="2E9E9297"/>
    <w:rsid w:val="2EA1D60C"/>
    <w:rsid w:val="2ECABE9B"/>
    <w:rsid w:val="2EDC2B6C"/>
    <w:rsid w:val="2EF1CB30"/>
    <w:rsid w:val="2F1351E6"/>
    <w:rsid w:val="2F34A0BE"/>
    <w:rsid w:val="2F42285E"/>
    <w:rsid w:val="2F5AFD5F"/>
    <w:rsid w:val="2F72CE8E"/>
    <w:rsid w:val="2F7A5354"/>
    <w:rsid w:val="2F8804CC"/>
    <w:rsid w:val="2FCD53BF"/>
    <w:rsid w:val="2FD2515A"/>
    <w:rsid w:val="2FD28F51"/>
    <w:rsid w:val="2FDA4B19"/>
    <w:rsid w:val="2FF094C4"/>
    <w:rsid w:val="300F8D82"/>
    <w:rsid w:val="301EE76B"/>
    <w:rsid w:val="302AAB49"/>
    <w:rsid w:val="304560FC"/>
    <w:rsid w:val="304564DB"/>
    <w:rsid w:val="306430F0"/>
    <w:rsid w:val="306E2E96"/>
    <w:rsid w:val="3098336C"/>
    <w:rsid w:val="30AA502B"/>
    <w:rsid w:val="30BB890D"/>
    <w:rsid w:val="30C6766D"/>
    <w:rsid w:val="30CDA18C"/>
    <w:rsid w:val="30D71DF0"/>
    <w:rsid w:val="312499DB"/>
    <w:rsid w:val="315741BB"/>
    <w:rsid w:val="31965DB9"/>
    <w:rsid w:val="31A0855E"/>
    <w:rsid w:val="31A1D9E1"/>
    <w:rsid w:val="31ABE992"/>
    <w:rsid w:val="31B540B1"/>
    <w:rsid w:val="3247873F"/>
    <w:rsid w:val="325F65AD"/>
    <w:rsid w:val="326EAB99"/>
    <w:rsid w:val="327C7534"/>
    <w:rsid w:val="328F3B65"/>
    <w:rsid w:val="3291EB6D"/>
    <w:rsid w:val="3294B585"/>
    <w:rsid w:val="329ECD99"/>
    <w:rsid w:val="32A22B1E"/>
    <w:rsid w:val="32B019A9"/>
    <w:rsid w:val="32B13821"/>
    <w:rsid w:val="32BDE7EC"/>
    <w:rsid w:val="32DE0946"/>
    <w:rsid w:val="331E7964"/>
    <w:rsid w:val="331EC123"/>
    <w:rsid w:val="332E9F86"/>
    <w:rsid w:val="3332761A"/>
    <w:rsid w:val="337EC930"/>
    <w:rsid w:val="33CC2A69"/>
    <w:rsid w:val="33CF0A88"/>
    <w:rsid w:val="33E84AED"/>
    <w:rsid w:val="34103A1B"/>
    <w:rsid w:val="342D40AB"/>
    <w:rsid w:val="34837CE1"/>
    <w:rsid w:val="349D6C37"/>
    <w:rsid w:val="34ADAFF5"/>
    <w:rsid w:val="34CF7EBE"/>
    <w:rsid w:val="34DEC4BF"/>
    <w:rsid w:val="35049FB9"/>
    <w:rsid w:val="350E673A"/>
    <w:rsid w:val="351CF0F0"/>
    <w:rsid w:val="35224967"/>
    <w:rsid w:val="35235B80"/>
    <w:rsid w:val="352970FB"/>
    <w:rsid w:val="3546D0C8"/>
    <w:rsid w:val="358CB8DD"/>
    <w:rsid w:val="35980E56"/>
    <w:rsid w:val="359E9537"/>
    <w:rsid w:val="35ADB392"/>
    <w:rsid w:val="35B7550D"/>
    <w:rsid w:val="35C79441"/>
    <w:rsid w:val="3610BE06"/>
    <w:rsid w:val="3623E750"/>
    <w:rsid w:val="36300812"/>
    <w:rsid w:val="3646FC20"/>
    <w:rsid w:val="36569995"/>
    <w:rsid w:val="365A93C7"/>
    <w:rsid w:val="366D3E4B"/>
    <w:rsid w:val="36885F0F"/>
    <w:rsid w:val="36AE9A17"/>
    <w:rsid w:val="36AFE4B7"/>
    <w:rsid w:val="36D5AF6A"/>
    <w:rsid w:val="36D77720"/>
    <w:rsid w:val="36FEB016"/>
    <w:rsid w:val="3720B711"/>
    <w:rsid w:val="37639B16"/>
    <w:rsid w:val="37943171"/>
    <w:rsid w:val="37A060FA"/>
    <w:rsid w:val="37B88578"/>
    <w:rsid w:val="37BFB54A"/>
    <w:rsid w:val="37C10D9E"/>
    <w:rsid w:val="37CA271B"/>
    <w:rsid w:val="37CD88F5"/>
    <w:rsid w:val="37F241AC"/>
    <w:rsid w:val="38013C4F"/>
    <w:rsid w:val="382F5150"/>
    <w:rsid w:val="3860AB3F"/>
    <w:rsid w:val="38619953"/>
    <w:rsid w:val="389CC2F9"/>
    <w:rsid w:val="38A18560"/>
    <w:rsid w:val="38A5E089"/>
    <w:rsid w:val="38EBE792"/>
    <w:rsid w:val="38F4DF8B"/>
    <w:rsid w:val="38FE7751"/>
    <w:rsid w:val="39002582"/>
    <w:rsid w:val="391295F4"/>
    <w:rsid w:val="39240D84"/>
    <w:rsid w:val="393E5F91"/>
    <w:rsid w:val="396D4FE4"/>
    <w:rsid w:val="3979FFE5"/>
    <w:rsid w:val="39B0F5FC"/>
    <w:rsid w:val="39B9DA3C"/>
    <w:rsid w:val="39D05F87"/>
    <w:rsid w:val="39D54DBA"/>
    <w:rsid w:val="39DF5BA6"/>
    <w:rsid w:val="39F6F96D"/>
    <w:rsid w:val="3A274035"/>
    <w:rsid w:val="3A30AEE9"/>
    <w:rsid w:val="3A3F99BB"/>
    <w:rsid w:val="3AB58F90"/>
    <w:rsid w:val="3AD932E3"/>
    <w:rsid w:val="3B03ECE6"/>
    <w:rsid w:val="3B39FEFA"/>
    <w:rsid w:val="3B69904A"/>
    <w:rsid w:val="3B720B46"/>
    <w:rsid w:val="3B79FE02"/>
    <w:rsid w:val="3B7B557A"/>
    <w:rsid w:val="3BABD03A"/>
    <w:rsid w:val="3BC562C9"/>
    <w:rsid w:val="3BD71052"/>
    <w:rsid w:val="3C0E73C5"/>
    <w:rsid w:val="3C610D62"/>
    <w:rsid w:val="3C6DA5DA"/>
    <w:rsid w:val="3C700587"/>
    <w:rsid w:val="3C80BDED"/>
    <w:rsid w:val="3C97DBFE"/>
    <w:rsid w:val="3CC3B088"/>
    <w:rsid w:val="3CCA986D"/>
    <w:rsid w:val="3CCDA186"/>
    <w:rsid w:val="3CF1BA4E"/>
    <w:rsid w:val="3CF489FA"/>
    <w:rsid w:val="3D0515B9"/>
    <w:rsid w:val="3D28B6FA"/>
    <w:rsid w:val="3D2C0450"/>
    <w:rsid w:val="3D379BA2"/>
    <w:rsid w:val="3D6392CE"/>
    <w:rsid w:val="3D9C9447"/>
    <w:rsid w:val="3DD98999"/>
    <w:rsid w:val="3DEAC3E9"/>
    <w:rsid w:val="3DFB2F65"/>
    <w:rsid w:val="3E1BB6FA"/>
    <w:rsid w:val="3E1FFD9B"/>
    <w:rsid w:val="3E240FAF"/>
    <w:rsid w:val="3E30E254"/>
    <w:rsid w:val="3E598AFD"/>
    <w:rsid w:val="3E61C57E"/>
    <w:rsid w:val="3E84879A"/>
    <w:rsid w:val="3E864E0D"/>
    <w:rsid w:val="3E9FD1CD"/>
    <w:rsid w:val="3EA7198C"/>
    <w:rsid w:val="3EBE84F7"/>
    <w:rsid w:val="3ED01DB6"/>
    <w:rsid w:val="3EE06CDB"/>
    <w:rsid w:val="3F8120D1"/>
    <w:rsid w:val="3F9586C7"/>
    <w:rsid w:val="3FADC0DF"/>
    <w:rsid w:val="3FBA2A5E"/>
    <w:rsid w:val="3FBACBF3"/>
    <w:rsid w:val="3FDC8D06"/>
    <w:rsid w:val="3FFC5A6C"/>
    <w:rsid w:val="400A3294"/>
    <w:rsid w:val="404801A0"/>
    <w:rsid w:val="4065034C"/>
    <w:rsid w:val="406CB5D8"/>
    <w:rsid w:val="406FC6E1"/>
    <w:rsid w:val="40779456"/>
    <w:rsid w:val="40912CA3"/>
    <w:rsid w:val="40B51CD5"/>
    <w:rsid w:val="40B88DB2"/>
    <w:rsid w:val="40C5CCED"/>
    <w:rsid w:val="40CAA6D6"/>
    <w:rsid w:val="40E26CE9"/>
    <w:rsid w:val="410072D9"/>
    <w:rsid w:val="4132C566"/>
    <w:rsid w:val="417DA327"/>
    <w:rsid w:val="417E09F3"/>
    <w:rsid w:val="419AFC48"/>
    <w:rsid w:val="419BDE85"/>
    <w:rsid w:val="419E0056"/>
    <w:rsid w:val="41C47FBF"/>
    <w:rsid w:val="41E15609"/>
    <w:rsid w:val="41ECBD57"/>
    <w:rsid w:val="41F4DC42"/>
    <w:rsid w:val="4222CCF8"/>
    <w:rsid w:val="423E42DF"/>
    <w:rsid w:val="424D2768"/>
    <w:rsid w:val="425482C0"/>
    <w:rsid w:val="4259FF76"/>
    <w:rsid w:val="42681A9B"/>
    <w:rsid w:val="428150FB"/>
    <w:rsid w:val="428BFE98"/>
    <w:rsid w:val="428F2F02"/>
    <w:rsid w:val="429A991F"/>
    <w:rsid w:val="42CBD391"/>
    <w:rsid w:val="42D0CFFC"/>
    <w:rsid w:val="42E6813E"/>
    <w:rsid w:val="42F68E0C"/>
    <w:rsid w:val="43021B02"/>
    <w:rsid w:val="43145AA1"/>
    <w:rsid w:val="43200127"/>
    <w:rsid w:val="435099D1"/>
    <w:rsid w:val="43542B72"/>
    <w:rsid w:val="438E93C9"/>
    <w:rsid w:val="43BF6D55"/>
    <w:rsid w:val="43CDE8A1"/>
    <w:rsid w:val="43D17E43"/>
    <w:rsid w:val="43E512EB"/>
    <w:rsid w:val="440E0080"/>
    <w:rsid w:val="4429F070"/>
    <w:rsid w:val="44653E85"/>
    <w:rsid w:val="44A1B2FD"/>
    <w:rsid w:val="44A3C79C"/>
    <w:rsid w:val="44A43571"/>
    <w:rsid w:val="450C5DC1"/>
    <w:rsid w:val="4529CDA1"/>
    <w:rsid w:val="4541DDC8"/>
    <w:rsid w:val="45482026"/>
    <w:rsid w:val="45A5044C"/>
    <w:rsid w:val="45AB236E"/>
    <w:rsid w:val="45DD1005"/>
    <w:rsid w:val="4693DD6C"/>
    <w:rsid w:val="46B63EF6"/>
    <w:rsid w:val="46DC4516"/>
    <w:rsid w:val="46EFF9C4"/>
    <w:rsid w:val="47188588"/>
    <w:rsid w:val="4725D2DA"/>
    <w:rsid w:val="472E8598"/>
    <w:rsid w:val="472EEE30"/>
    <w:rsid w:val="473787BE"/>
    <w:rsid w:val="475DB4FC"/>
    <w:rsid w:val="47642124"/>
    <w:rsid w:val="4766CD4C"/>
    <w:rsid w:val="476C00FE"/>
    <w:rsid w:val="477F406E"/>
    <w:rsid w:val="479D6B9B"/>
    <w:rsid w:val="47A4DA9D"/>
    <w:rsid w:val="47AA4324"/>
    <w:rsid w:val="47C317EB"/>
    <w:rsid w:val="47F7FF2B"/>
    <w:rsid w:val="4807AC0D"/>
    <w:rsid w:val="481059C1"/>
    <w:rsid w:val="488B42F9"/>
    <w:rsid w:val="48C43704"/>
    <w:rsid w:val="49043E3B"/>
    <w:rsid w:val="49132DC8"/>
    <w:rsid w:val="492B8257"/>
    <w:rsid w:val="493246E4"/>
    <w:rsid w:val="495F7ECF"/>
    <w:rsid w:val="495F8D8B"/>
    <w:rsid w:val="496823C5"/>
    <w:rsid w:val="499EBB08"/>
    <w:rsid w:val="49A3ED83"/>
    <w:rsid w:val="49ADF592"/>
    <w:rsid w:val="49BCDEE3"/>
    <w:rsid w:val="49BEC666"/>
    <w:rsid w:val="49C77D65"/>
    <w:rsid w:val="49CD874E"/>
    <w:rsid w:val="49D1783C"/>
    <w:rsid w:val="49EB0DD1"/>
    <w:rsid w:val="49F99BBF"/>
    <w:rsid w:val="4A067A9F"/>
    <w:rsid w:val="4A1864B8"/>
    <w:rsid w:val="4A1AEB98"/>
    <w:rsid w:val="4A3A8602"/>
    <w:rsid w:val="4A3B9C2B"/>
    <w:rsid w:val="4A6A387E"/>
    <w:rsid w:val="4AA420B7"/>
    <w:rsid w:val="4ABC089B"/>
    <w:rsid w:val="4AC863E0"/>
    <w:rsid w:val="4ACBDBC8"/>
    <w:rsid w:val="4AD1927B"/>
    <w:rsid w:val="4ADC0AE8"/>
    <w:rsid w:val="4B177860"/>
    <w:rsid w:val="4B4C48E2"/>
    <w:rsid w:val="4B942E2D"/>
    <w:rsid w:val="4BF485BA"/>
    <w:rsid w:val="4BFEA59D"/>
    <w:rsid w:val="4C0EE53F"/>
    <w:rsid w:val="4C1A1B25"/>
    <w:rsid w:val="4C233373"/>
    <w:rsid w:val="4C234C1E"/>
    <w:rsid w:val="4C2991C1"/>
    <w:rsid w:val="4C36EC44"/>
    <w:rsid w:val="4C3AA1EE"/>
    <w:rsid w:val="4C6872A2"/>
    <w:rsid w:val="4CA41DBA"/>
    <w:rsid w:val="4CABAAB2"/>
    <w:rsid w:val="4CE1181B"/>
    <w:rsid w:val="4D0F8D35"/>
    <w:rsid w:val="4D1843AD"/>
    <w:rsid w:val="4D2D3F05"/>
    <w:rsid w:val="4D3AC7F7"/>
    <w:rsid w:val="4D540996"/>
    <w:rsid w:val="4D6DA981"/>
    <w:rsid w:val="4D7EC218"/>
    <w:rsid w:val="4D85BCB3"/>
    <w:rsid w:val="4D86A1A5"/>
    <w:rsid w:val="4D9FF3CF"/>
    <w:rsid w:val="4DB993C3"/>
    <w:rsid w:val="4DBF7C0D"/>
    <w:rsid w:val="4DF9BCBC"/>
    <w:rsid w:val="4E232F94"/>
    <w:rsid w:val="4E2BC903"/>
    <w:rsid w:val="4E7DCE50"/>
    <w:rsid w:val="4E853794"/>
    <w:rsid w:val="4E8A2782"/>
    <w:rsid w:val="4E944178"/>
    <w:rsid w:val="4EC3D2C1"/>
    <w:rsid w:val="4F257FED"/>
    <w:rsid w:val="4F26DC6A"/>
    <w:rsid w:val="4F3B82DB"/>
    <w:rsid w:val="4F50BF3A"/>
    <w:rsid w:val="4F6625BA"/>
    <w:rsid w:val="4F9B540D"/>
    <w:rsid w:val="4FA6C6B8"/>
    <w:rsid w:val="4FABA9ED"/>
    <w:rsid w:val="4FB3D4C8"/>
    <w:rsid w:val="4FB9EE06"/>
    <w:rsid w:val="4FDB4316"/>
    <w:rsid w:val="4FF2DF7E"/>
    <w:rsid w:val="4FF9ABE6"/>
    <w:rsid w:val="500ACC3D"/>
    <w:rsid w:val="501230C1"/>
    <w:rsid w:val="501F5FF1"/>
    <w:rsid w:val="5024E879"/>
    <w:rsid w:val="503E4E7E"/>
    <w:rsid w:val="504EAADF"/>
    <w:rsid w:val="505388F5"/>
    <w:rsid w:val="505F9BDA"/>
    <w:rsid w:val="506EB6CB"/>
    <w:rsid w:val="509B0342"/>
    <w:rsid w:val="50A78599"/>
    <w:rsid w:val="50AADF5F"/>
    <w:rsid w:val="50AEB663"/>
    <w:rsid w:val="50C40BD4"/>
    <w:rsid w:val="50C5086D"/>
    <w:rsid w:val="50DD4355"/>
    <w:rsid w:val="50EA2C30"/>
    <w:rsid w:val="50EA6213"/>
    <w:rsid w:val="50FDBEE9"/>
    <w:rsid w:val="514163A6"/>
    <w:rsid w:val="5155DA6B"/>
    <w:rsid w:val="515D6B1C"/>
    <w:rsid w:val="516956FA"/>
    <w:rsid w:val="5171B2C2"/>
    <w:rsid w:val="522B7C42"/>
    <w:rsid w:val="524C218B"/>
    <w:rsid w:val="5263B69E"/>
    <w:rsid w:val="526F6A6E"/>
    <w:rsid w:val="52A46F7A"/>
    <w:rsid w:val="52BAE674"/>
    <w:rsid w:val="52DA9D71"/>
    <w:rsid w:val="5310A8C9"/>
    <w:rsid w:val="534D7E5E"/>
    <w:rsid w:val="535B4FBC"/>
    <w:rsid w:val="5373C1F4"/>
    <w:rsid w:val="5379DD31"/>
    <w:rsid w:val="538D40E8"/>
    <w:rsid w:val="53BBC521"/>
    <w:rsid w:val="53F546A3"/>
    <w:rsid w:val="53F5A3B6"/>
    <w:rsid w:val="540F1010"/>
    <w:rsid w:val="547277E1"/>
    <w:rsid w:val="548A454C"/>
    <w:rsid w:val="54C0C27A"/>
    <w:rsid w:val="54D11A16"/>
    <w:rsid w:val="54D96F91"/>
    <w:rsid w:val="54DEC9DD"/>
    <w:rsid w:val="54E37156"/>
    <w:rsid w:val="54E53492"/>
    <w:rsid w:val="5509634F"/>
    <w:rsid w:val="5511EDB2"/>
    <w:rsid w:val="551984FF"/>
    <w:rsid w:val="551B7123"/>
    <w:rsid w:val="55211CCB"/>
    <w:rsid w:val="5536B6FF"/>
    <w:rsid w:val="55466136"/>
    <w:rsid w:val="554CE5C7"/>
    <w:rsid w:val="55851985"/>
    <w:rsid w:val="55B3B97B"/>
    <w:rsid w:val="55D1F926"/>
    <w:rsid w:val="55D95E44"/>
    <w:rsid w:val="55E64411"/>
    <w:rsid w:val="55ED73ED"/>
    <w:rsid w:val="560245F3"/>
    <w:rsid w:val="5603E352"/>
    <w:rsid w:val="56246203"/>
    <w:rsid w:val="56323055"/>
    <w:rsid w:val="565B02DC"/>
    <w:rsid w:val="56C0F35F"/>
    <w:rsid w:val="56D0826D"/>
    <w:rsid w:val="56ED6BA9"/>
    <w:rsid w:val="56EEF02F"/>
    <w:rsid w:val="5710320C"/>
    <w:rsid w:val="57225B70"/>
    <w:rsid w:val="5736EA40"/>
    <w:rsid w:val="575E0F03"/>
    <w:rsid w:val="5768F81B"/>
    <w:rsid w:val="577BB9D6"/>
    <w:rsid w:val="579FB563"/>
    <w:rsid w:val="57AA6365"/>
    <w:rsid w:val="57B2CE69"/>
    <w:rsid w:val="582F42D1"/>
    <w:rsid w:val="5830F343"/>
    <w:rsid w:val="5847FB52"/>
    <w:rsid w:val="58545293"/>
    <w:rsid w:val="58681C52"/>
    <w:rsid w:val="58730B5B"/>
    <w:rsid w:val="58848838"/>
    <w:rsid w:val="58A20B12"/>
    <w:rsid w:val="58AD2B21"/>
    <w:rsid w:val="58AFE2B1"/>
    <w:rsid w:val="58B4D696"/>
    <w:rsid w:val="592DD458"/>
    <w:rsid w:val="593C191C"/>
    <w:rsid w:val="594A9E0D"/>
    <w:rsid w:val="594EDB21"/>
    <w:rsid w:val="5974E8EF"/>
    <w:rsid w:val="59818D1D"/>
    <w:rsid w:val="59865EA0"/>
    <w:rsid w:val="59A1AAC1"/>
    <w:rsid w:val="59AE6312"/>
    <w:rsid w:val="59D0235E"/>
    <w:rsid w:val="59D6DC6A"/>
    <w:rsid w:val="59EB92FB"/>
    <w:rsid w:val="59F17DB7"/>
    <w:rsid w:val="59F7ACED"/>
    <w:rsid w:val="59FF335E"/>
    <w:rsid w:val="5A1403C6"/>
    <w:rsid w:val="5A420337"/>
    <w:rsid w:val="5A5A1879"/>
    <w:rsid w:val="5A5A4871"/>
    <w:rsid w:val="5A5AFE37"/>
    <w:rsid w:val="5A5ED2B1"/>
    <w:rsid w:val="5A5F5B11"/>
    <w:rsid w:val="5A6EB43E"/>
    <w:rsid w:val="5A77D9C2"/>
    <w:rsid w:val="5A7EA818"/>
    <w:rsid w:val="5A928D55"/>
    <w:rsid w:val="5AC77D77"/>
    <w:rsid w:val="5AC970AB"/>
    <w:rsid w:val="5AF09E18"/>
    <w:rsid w:val="5B393D04"/>
    <w:rsid w:val="5B704B1B"/>
    <w:rsid w:val="5B7BF8A8"/>
    <w:rsid w:val="5B9CC2BE"/>
    <w:rsid w:val="5BA26CDB"/>
    <w:rsid w:val="5BA397E4"/>
    <w:rsid w:val="5BB28B04"/>
    <w:rsid w:val="5BB6EBB9"/>
    <w:rsid w:val="5BB8B542"/>
    <w:rsid w:val="5BBD12AF"/>
    <w:rsid w:val="5BD720D8"/>
    <w:rsid w:val="5BDD373C"/>
    <w:rsid w:val="5BED84F2"/>
    <w:rsid w:val="5BF622BA"/>
    <w:rsid w:val="5C166399"/>
    <w:rsid w:val="5C2294DB"/>
    <w:rsid w:val="5C2C573F"/>
    <w:rsid w:val="5C3311A3"/>
    <w:rsid w:val="5C3E8012"/>
    <w:rsid w:val="5C42203A"/>
    <w:rsid w:val="5C55E797"/>
    <w:rsid w:val="5C5D94CC"/>
    <w:rsid w:val="5C714093"/>
    <w:rsid w:val="5C7983AF"/>
    <w:rsid w:val="5C95741F"/>
    <w:rsid w:val="5C9C620C"/>
    <w:rsid w:val="5CB5B3B9"/>
    <w:rsid w:val="5CE22035"/>
    <w:rsid w:val="5CE32991"/>
    <w:rsid w:val="5D8A9E9E"/>
    <w:rsid w:val="5DBE67B2"/>
    <w:rsid w:val="5DD23525"/>
    <w:rsid w:val="5DD89EF9"/>
    <w:rsid w:val="5DDD93E7"/>
    <w:rsid w:val="5DFDF729"/>
    <w:rsid w:val="5DFFBF77"/>
    <w:rsid w:val="5E08FCAB"/>
    <w:rsid w:val="5E3E5B54"/>
    <w:rsid w:val="5E4469E3"/>
    <w:rsid w:val="5E8B7FD6"/>
    <w:rsid w:val="5EA2FEC1"/>
    <w:rsid w:val="5EAFB8F8"/>
    <w:rsid w:val="5EB26C4F"/>
    <w:rsid w:val="5EF07A8C"/>
    <w:rsid w:val="5F0066A6"/>
    <w:rsid w:val="5F09946F"/>
    <w:rsid w:val="5F0AC74C"/>
    <w:rsid w:val="5F2BD345"/>
    <w:rsid w:val="5F54D2D3"/>
    <w:rsid w:val="5F571A68"/>
    <w:rsid w:val="5F5EF4BB"/>
    <w:rsid w:val="5F6DF6AE"/>
    <w:rsid w:val="5F9C330D"/>
    <w:rsid w:val="5FA4A1AB"/>
    <w:rsid w:val="5FACCCFC"/>
    <w:rsid w:val="5FC36351"/>
    <w:rsid w:val="5FC78EE9"/>
    <w:rsid w:val="5FD40C1B"/>
    <w:rsid w:val="601412EE"/>
    <w:rsid w:val="604611FE"/>
    <w:rsid w:val="60663C3C"/>
    <w:rsid w:val="606B1181"/>
    <w:rsid w:val="607878F3"/>
    <w:rsid w:val="607D91CC"/>
    <w:rsid w:val="608CDA68"/>
    <w:rsid w:val="60A0984D"/>
    <w:rsid w:val="60AC8AC2"/>
    <w:rsid w:val="60B3AD28"/>
    <w:rsid w:val="60B54CB8"/>
    <w:rsid w:val="60B6890D"/>
    <w:rsid w:val="60C491B0"/>
    <w:rsid w:val="617E6321"/>
    <w:rsid w:val="618325C2"/>
    <w:rsid w:val="61DC5AA4"/>
    <w:rsid w:val="61EDBEF5"/>
    <w:rsid w:val="61F6E6A3"/>
    <w:rsid w:val="6207E543"/>
    <w:rsid w:val="622E52B0"/>
    <w:rsid w:val="624B5656"/>
    <w:rsid w:val="62747416"/>
    <w:rsid w:val="62926D97"/>
    <w:rsid w:val="62A6B4A6"/>
    <w:rsid w:val="62C44101"/>
    <w:rsid w:val="62D283A4"/>
    <w:rsid w:val="62E87C20"/>
    <w:rsid w:val="6316C65D"/>
    <w:rsid w:val="632D96C1"/>
    <w:rsid w:val="63313B37"/>
    <w:rsid w:val="639F74D4"/>
    <w:rsid w:val="639FE3D0"/>
    <w:rsid w:val="63C8A8DA"/>
    <w:rsid w:val="63CCCC13"/>
    <w:rsid w:val="63D419DA"/>
    <w:rsid w:val="64211D27"/>
    <w:rsid w:val="643F3E92"/>
    <w:rsid w:val="64514EA7"/>
    <w:rsid w:val="647E7F00"/>
    <w:rsid w:val="6482C185"/>
    <w:rsid w:val="64AD686A"/>
    <w:rsid w:val="64B64E82"/>
    <w:rsid w:val="64BFB0EF"/>
    <w:rsid w:val="64CD0D2E"/>
    <w:rsid w:val="64E05D1A"/>
    <w:rsid w:val="64F8F800"/>
    <w:rsid w:val="652B7887"/>
    <w:rsid w:val="654CE109"/>
    <w:rsid w:val="6566DE41"/>
    <w:rsid w:val="656F944D"/>
    <w:rsid w:val="658C6E75"/>
    <w:rsid w:val="659141C8"/>
    <w:rsid w:val="65BC1704"/>
    <w:rsid w:val="65BD25FC"/>
    <w:rsid w:val="65CF6895"/>
    <w:rsid w:val="661C69F2"/>
    <w:rsid w:val="662F85DD"/>
    <w:rsid w:val="665129F8"/>
    <w:rsid w:val="6671F729"/>
    <w:rsid w:val="6677B420"/>
    <w:rsid w:val="66BF57E2"/>
    <w:rsid w:val="66CCDDEF"/>
    <w:rsid w:val="66E01842"/>
    <w:rsid w:val="670F850D"/>
    <w:rsid w:val="67217185"/>
    <w:rsid w:val="67446016"/>
    <w:rsid w:val="677BA90E"/>
    <w:rsid w:val="679BD53C"/>
    <w:rsid w:val="67BA8334"/>
    <w:rsid w:val="67CDDD40"/>
    <w:rsid w:val="67DBEA7D"/>
    <w:rsid w:val="67E085AB"/>
    <w:rsid w:val="67EA54BA"/>
    <w:rsid w:val="68507C02"/>
    <w:rsid w:val="687DAF7C"/>
    <w:rsid w:val="689788D2"/>
    <w:rsid w:val="689A350B"/>
    <w:rsid w:val="689C220A"/>
    <w:rsid w:val="68A7E971"/>
    <w:rsid w:val="68B94C2F"/>
    <w:rsid w:val="68C543C3"/>
    <w:rsid w:val="68D90E2F"/>
    <w:rsid w:val="68F823AE"/>
    <w:rsid w:val="690A74AB"/>
    <w:rsid w:val="6925C2A5"/>
    <w:rsid w:val="6941D06E"/>
    <w:rsid w:val="69552AF0"/>
    <w:rsid w:val="6956C7EE"/>
    <w:rsid w:val="6961C5B1"/>
    <w:rsid w:val="69A0B32E"/>
    <w:rsid w:val="69B81777"/>
    <w:rsid w:val="69BBAEBF"/>
    <w:rsid w:val="69BCF007"/>
    <w:rsid w:val="69C14A13"/>
    <w:rsid w:val="69CBE5BB"/>
    <w:rsid w:val="69E42DBE"/>
    <w:rsid w:val="69E97986"/>
    <w:rsid w:val="69EE5EBE"/>
    <w:rsid w:val="6A15A0F9"/>
    <w:rsid w:val="6A2D45F2"/>
    <w:rsid w:val="6A543D23"/>
    <w:rsid w:val="6A77AAA8"/>
    <w:rsid w:val="6A7E4814"/>
    <w:rsid w:val="6A864F61"/>
    <w:rsid w:val="6A9418F5"/>
    <w:rsid w:val="6AB47516"/>
    <w:rsid w:val="6AC07B70"/>
    <w:rsid w:val="6ACC2816"/>
    <w:rsid w:val="6AD041E1"/>
    <w:rsid w:val="6AF6731C"/>
    <w:rsid w:val="6AF7B8D0"/>
    <w:rsid w:val="6AF87D59"/>
    <w:rsid w:val="6B11FEC9"/>
    <w:rsid w:val="6B8F1CD9"/>
    <w:rsid w:val="6B97EB3A"/>
    <w:rsid w:val="6BE3363F"/>
    <w:rsid w:val="6BF24FCE"/>
    <w:rsid w:val="6BFB4FC5"/>
    <w:rsid w:val="6C34584F"/>
    <w:rsid w:val="6C51D5AF"/>
    <w:rsid w:val="6C7F55DD"/>
    <w:rsid w:val="6CAB2A73"/>
    <w:rsid w:val="6CAD0246"/>
    <w:rsid w:val="6CC7BD1F"/>
    <w:rsid w:val="6CDC17A1"/>
    <w:rsid w:val="6CE11B53"/>
    <w:rsid w:val="6D5108E1"/>
    <w:rsid w:val="6D51ADAC"/>
    <w:rsid w:val="6D52A3D4"/>
    <w:rsid w:val="6D64E20B"/>
    <w:rsid w:val="6D709CF7"/>
    <w:rsid w:val="6D72F561"/>
    <w:rsid w:val="6DA366E4"/>
    <w:rsid w:val="6DD0475C"/>
    <w:rsid w:val="6DFF7044"/>
    <w:rsid w:val="6E05CAC8"/>
    <w:rsid w:val="6E1665BA"/>
    <w:rsid w:val="6E44999E"/>
    <w:rsid w:val="6E47EBD2"/>
    <w:rsid w:val="6E57B277"/>
    <w:rsid w:val="6E926AC4"/>
    <w:rsid w:val="6E9FE475"/>
    <w:rsid w:val="6EA0A71B"/>
    <w:rsid w:val="6ED568EA"/>
    <w:rsid w:val="6ED638CE"/>
    <w:rsid w:val="6EDB6D16"/>
    <w:rsid w:val="6EE22078"/>
    <w:rsid w:val="6EE56AA6"/>
    <w:rsid w:val="6EEAE645"/>
    <w:rsid w:val="6EF6F5F9"/>
    <w:rsid w:val="6F0C7382"/>
    <w:rsid w:val="6F17F142"/>
    <w:rsid w:val="6F24A623"/>
    <w:rsid w:val="6F52A29D"/>
    <w:rsid w:val="6F73D58C"/>
    <w:rsid w:val="6F77601D"/>
    <w:rsid w:val="6F8A741B"/>
    <w:rsid w:val="6F9431CD"/>
    <w:rsid w:val="6FB5E91F"/>
    <w:rsid w:val="6FBA8C9F"/>
    <w:rsid w:val="6FC7FBC1"/>
    <w:rsid w:val="6FF6AD19"/>
    <w:rsid w:val="70037A16"/>
    <w:rsid w:val="700F773A"/>
    <w:rsid w:val="701685D2"/>
    <w:rsid w:val="702056B2"/>
    <w:rsid w:val="704847EC"/>
    <w:rsid w:val="705783BC"/>
    <w:rsid w:val="705CD8A8"/>
    <w:rsid w:val="70640161"/>
    <w:rsid w:val="7071E7A6"/>
    <w:rsid w:val="707278B8"/>
    <w:rsid w:val="7081B7D1"/>
    <w:rsid w:val="70AA1747"/>
    <w:rsid w:val="70AA7F76"/>
    <w:rsid w:val="70AD651E"/>
    <w:rsid w:val="70F1D1E3"/>
    <w:rsid w:val="7119B56D"/>
    <w:rsid w:val="7122220A"/>
    <w:rsid w:val="713BAE05"/>
    <w:rsid w:val="715673E0"/>
    <w:rsid w:val="71603711"/>
    <w:rsid w:val="716D0D23"/>
    <w:rsid w:val="71A2AAEE"/>
    <w:rsid w:val="71A8CAC7"/>
    <w:rsid w:val="71C1CECF"/>
    <w:rsid w:val="71ECAE38"/>
    <w:rsid w:val="7204B23D"/>
    <w:rsid w:val="7235F94F"/>
    <w:rsid w:val="724502EB"/>
    <w:rsid w:val="7264BA8E"/>
    <w:rsid w:val="72708BC2"/>
    <w:rsid w:val="727D6BB3"/>
    <w:rsid w:val="72A68D91"/>
    <w:rsid w:val="72AC6890"/>
    <w:rsid w:val="72C67370"/>
    <w:rsid w:val="72D7700F"/>
    <w:rsid w:val="72E9197C"/>
    <w:rsid w:val="72FD4C13"/>
    <w:rsid w:val="7305B601"/>
    <w:rsid w:val="7326E5D3"/>
    <w:rsid w:val="733685D1"/>
    <w:rsid w:val="733BB7CE"/>
    <w:rsid w:val="733DD7E9"/>
    <w:rsid w:val="73518B1C"/>
    <w:rsid w:val="736684D8"/>
    <w:rsid w:val="73687DD6"/>
    <w:rsid w:val="736F1894"/>
    <w:rsid w:val="73841B18"/>
    <w:rsid w:val="73AE968D"/>
    <w:rsid w:val="73B1A10B"/>
    <w:rsid w:val="73CE7BE9"/>
    <w:rsid w:val="73D598CB"/>
    <w:rsid w:val="73E7525D"/>
    <w:rsid w:val="73E93AA1"/>
    <w:rsid w:val="7406CE9D"/>
    <w:rsid w:val="74594726"/>
    <w:rsid w:val="7470B75F"/>
    <w:rsid w:val="747FA745"/>
    <w:rsid w:val="748FD95B"/>
    <w:rsid w:val="749704ED"/>
    <w:rsid w:val="74CB95F3"/>
    <w:rsid w:val="75061FD0"/>
    <w:rsid w:val="75182790"/>
    <w:rsid w:val="75539DF8"/>
    <w:rsid w:val="75761E70"/>
    <w:rsid w:val="757B3770"/>
    <w:rsid w:val="75888085"/>
    <w:rsid w:val="759DCFD6"/>
    <w:rsid w:val="75DB9877"/>
    <w:rsid w:val="76098AFC"/>
    <w:rsid w:val="7609BC98"/>
    <w:rsid w:val="76296051"/>
    <w:rsid w:val="764F379A"/>
    <w:rsid w:val="76672259"/>
    <w:rsid w:val="76756FBD"/>
    <w:rsid w:val="767D1BCC"/>
    <w:rsid w:val="768ED5BB"/>
    <w:rsid w:val="7697872F"/>
    <w:rsid w:val="76ACABE6"/>
    <w:rsid w:val="76C95509"/>
    <w:rsid w:val="76FEBF71"/>
    <w:rsid w:val="771E76F9"/>
    <w:rsid w:val="772FA54E"/>
    <w:rsid w:val="775EA3F1"/>
    <w:rsid w:val="779554AE"/>
    <w:rsid w:val="77A2B178"/>
    <w:rsid w:val="77A56390"/>
    <w:rsid w:val="77A99EE9"/>
    <w:rsid w:val="77B26662"/>
    <w:rsid w:val="77B73F07"/>
    <w:rsid w:val="77C4714A"/>
    <w:rsid w:val="77CA6A28"/>
    <w:rsid w:val="7827DED7"/>
    <w:rsid w:val="7829083F"/>
    <w:rsid w:val="7843E0B2"/>
    <w:rsid w:val="7886AB74"/>
    <w:rsid w:val="78E56D32"/>
    <w:rsid w:val="78F6A2A7"/>
    <w:rsid w:val="7908333C"/>
    <w:rsid w:val="7908E743"/>
    <w:rsid w:val="79231576"/>
    <w:rsid w:val="79409A53"/>
    <w:rsid w:val="795F437D"/>
    <w:rsid w:val="797AE99E"/>
    <w:rsid w:val="79884EF1"/>
    <w:rsid w:val="79BC7616"/>
    <w:rsid w:val="79BE2929"/>
    <w:rsid w:val="79C20701"/>
    <w:rsid w:val="79F4C477"/>
    <w:rsid w:val="7A086977"/>
    <w:rsid w:val="7A4154F1"/>
    <w:rsid w:val="7A521923"/>
    <w:rsid w:val="7A5F7377"/>
    <w:rsid w:val="7A684142"/>
    <w:rsid w:val="7A96B7A7"/>
    <w:rsid w:val="7ABDCDD3"/>
    <w:rsid w:val="7ACA39E5"/>
    <w:rsid w:val="7AF35F75"/>
    <w:rsid w:val="7AF6F819"/>
    <w:rsid w:val="7AF884E0"/>
    <w:rsid w:val="7B13DE42"/>
    <w:rsid w:val="7B254398"/>
    <w:rsid w:val="7B3E57C4"/>
    <w:rsid w:val="7B4F1833"/>
    <w:rsid w:val="7B95A151"/>
    <w:rsid w:val="7B9F21A4"/>
    <w:rsid w:val="7BED7836"/>
    <w:rsid w:val="7C268BFD"/>
    <w:rsid w:val="7C4D1F56"/>
    <w:rsid w:val="7C6CEBC1"/>
    <w:rsid w:val="7C73FA19"/>
    <w:rsid w:val="7C79CA37"/>
    <w:rsid w:val="7C7D91F0"/>
    <w:rsid w:val="7C8C716F"/>
    <w:rsid w:val="7CAD79F7"/>
    <w:rsid w:val="7CBEE75B"/>
    <w:rsid w:val="7CC1DA4D"/>
    <w:rsid w:val="7CD671A4"/>
    <w:rsid w:val="7CD88BB8"/>
    <w:rsid w:val="7CE00CE7"/>
    <w:rsid w:val="7D117B0C"/>
    <w:rsid w:val="7D28C4BB"/>
    <w:rsid w:val="7D3071B6"/>
    <w:rsid w:val="7D636CDE"/>
    <w:rsid w:val="7DA38BDF"/>
    <w:rsid w:val="7DB3A863"/>
    <w:rsid w:val="7DCD5029"/>
    <w:rsid w:val="7DD91C0B"/>
    <w:rsid w:val="7DDDDFD7"/>
    <w:rsid w:val="7DE1531A"/>
    <w:rsid w:val="7DF796E0"/>
    <w:rsid w:val="7DF858F5"/>
    <w:rsid w:val="7DFA6568"/>
    <w:rsid w:val="7E0643A0"/>
    <w:rsid w:val="7E19A169"/>
    <w:rsid w:val="7E413B2F"/>
    <w:rsid w:val="7E5908FA"/>
    <w:rsid w:val="7E76502F"/>
    <w:rsid w:val="7EB608DB"/>
    <w:rsid w:val="7EEE2783"/>
    <w:rsid w:val="7EF4BAA6"/>
    <w:rsid w:val="7F113C8B"/>
    <w:rsid w:val="7F1951EB"/>
    <w:rsid w:val="7F3E46A1"/>
    <w:rsid w:val="7F4744BB"/>
    <w:rsid w:val="7F4770F3"/>
    <w:rsid w:val="7F7C417B"/>
    <w:rsid w:val="7FA64B03"/>
    <w:rsid w:val="7FCAD8BE"/>
    <w:rsid w:val="7FD19083"/>
    <w:rsid w:val="7FD41819"/>
    <w:rsid w:val="7FE635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017B87B2-846A-4745-AC6F-B650416F1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uiPriority w:val="39"/>
    <w:unhideWhenUsed/>
    <w:rsid w:val="0E260372"/>
    <w:pPr>
      <w:spacing w:after="100"/>
    </w:pPr>
  </w:style>
  <w:style w:type="paragraph" w:styleId="TOC2">
    <w:name w:val="toc 2"/>
    <w:basedOn w:val="Normal"/>
    <w:next w:val="Normal"/>
    <w:uiPriority w:val="39"/>
    <w:unhideWhenUsed/>
    <w:rsid w:val="0E260372"/>
    <w:pPr>
      <w:spacing w:after="100"/>
      <w:ind w:left="220"/>
    </w:pPr>
  </w:style>
  <w:style w:type="paragraph" w:styleId="TOC3">
    <w:name w:val="toc 3"/>
    <w:basedOn w:val="Normal"/>
    <w:next w:val="Normal"/>
    <w:uiPriority w:val="39"/>
    <w:unhideWhenUsed/>
    <w:rsid w:val="0E260372"/>
    <w:pPr>
      <w:spacing w:after="100"/>
      <w:ind w:left="440"/>
    </w:pPr>
  </w:style>
  <w:style w:type="paragraph" w:styleId="TOCHeading">
    <w:name w:val="TOC Heading"/>
    <w:basedOn w:val="Heading1"/>
    <w:next w:val="Normal"/>
    <w:uiPriority w:val="39"/>
    <w:unhideWhenUsed/>
    <w:qFormat/>
    <w:rsid w:val="008E24DE"/>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table" w:styleId="GridTable1Light">
    <w:name w:val="Grid Table 1 Light"/>
    <w:basedOn w:val="TableNormal"/>
    <w:uiPriority w:val="46"/>
    <w:rsid w:val="0028315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Light">
    <w:name w:val="Grid Table Light"/>
    <w:basedOn w:val="TableNormal"/>
    <w:uiPriority w:val="40"/>
    <w:rsid w:val="00A662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DD6BC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542/peds.2022-057992" TargetMode="External"/><Relationship Id="rId21" Type="http://schemas.openxmlformats.org/officeDocument/2006/relationships/hyperlink" Target="https://doi.org/10.1111/jcpp.12145" TargetMode="External"/><Relationship Id="rId42" Type="http://schemas.openxmlformats.org/officeDocument/2006/relationships/hyperlink" Target="https://doi.org/10.1007/s11920-022-01338-z" TargetMode="External"/><Relationship Id="rId47" Type="http://schemas.openxmlformats.org/officeDocument/2006/relationships/hyperlink" Target="https://doi.org/10.1177/1473325018786996" TargetMode="External"/><Relationship Id="rId63" Type="http://schemas.openxmlformats.org/officeDocument/2006/relationships/hyperlink" Target="https://doi.org/10.1016/j.disamonth.2018.12.002" TargetMode="External"/><Relationship Id="rId68" Type="http://schemas.openxmlformats.org/officeDocument/2006/relationships/hyperlink" Target="https://doi.org/10.1093/pubmed/fdac114" TargetMode="External"/><Relationship Id="rId2" Type="http://schemas.openxmlformats.org/officeDocument/2006/relationships/customXml" Target="../customXml/item2.xml"/><Relationship Id="rId16" Type="http://schemas.openxmlformats.org/officeDocument/2006/relationships/hyperlink" Target="https://doi.org/10.1186/s12874-019-0674-3" TargetMode="External"/><Relationship Id="rId29" Type="http://schemas.openxmlformats.org/officeDocument/2006/relationships/hyperlink" Target="https://doi.org/10.1016/j.jclinepi.2017.10.022" TargetMode="External"/><Relationship Id="rId11" Type="http://schemas.openxmlformats.org/officeDocument/2006/relationships/image" Target="media/image1.png"/><Relationship Id="rId24" Type="http://schemas.openxmlformats.org/officeDocument/2006/relationships/hyperlink" Target="https://doi.org/10.1016/j.cptl.2018.03.019" TargetMode="External"/><Relationship Id="rId32" Type="http://schemas.openxmlformats.org/officeDocument/2006/relationships/hyperlink" Target="https://www.gov.uk/government/publications/from-harm-to-hope-a-10-year-drugs-plan-to-cut-crime-and-save-lives" TargetMode="External"/><Relationship Id="rId37" Type="http://schemas.openxmlformats.org/officeDocument/2006/relationships/hyperlink" Target="https://doi.org/10.1093/pubmed/fdac114" TargetMode="External"/><Relationship Id="rId40" Type="http://schemas.openxmlformats.org/officeDocument/2006/relationships/hyperlink" Target="https://doi.org/10.4103/0019-5545.204444" TargetMode="External"/><Relationship Id="rId45" Type="http://schemas.openxmlformats.org/officeDocument/2006/relationships/hyperlink" Target="https://www.legislation.gov.uk/uksi/2001/713/made/data.html" TargetMode="External"/><Relationship Id="rId53" Type="http://schemas.openxmlformats.org/officeDocument/2006/relationships/hyperlink" Target="https://doi.org/10.1080/10911359.2013.800007" TargetMode="External"/><Relationship Id="rId58" Type="http://schemas.openxmlformats.org/officeDocument/2006/relationships/hyperlink" Target="https://doi.org/10.1037/stl0000076" TargetMode="External"/><Relationship Id="rId66" Type="http://schemas.openxmlformats.org/officeDocument/2006/relationships/hyperlink" Target="https://doi.org/10.1016/j.chiabu.2018.09.020" TargetMode="External"/><Relationship Id="rId74"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doi.org/10.1186/s13643-016-0240-6" TargetMode="External"/><Relationship Id="rId19" Type="http://schemas.openxmlformats.org/officeDocument/2006/relationships/hyperlink" Target="https://doi.org/10.1111/add.16003" TargetMode="External"/><Relationship Id="rId14" Type="http://schemas.openxmlformats.org/officeDocument/2006/relationships/hyperlink" Target="https://doi.org/10.1093/jamia/ocaa148" TargetMode="External"/><Relationship Id="rId22" Type="http://schemas.openxmlformats.org/officeDocument/2006/relationships/hyperlink" Target="https://doi.org/10.1016/S0140-6736(16)00619-X" TargetMode="External"/><Relationship Id="rId27" Type="http://schemas.openxmlformats.org/officeDocument/2006/relationships/hyperlink" Target="https://www.gov.uk/government/publications/working-together-to-safeguard-children--2" TargetMode="External"/><Relationship Id="rId30" Type="http://schemas.openxmlformats.org/officeDocument/2006/relationships/hyperlink" Target="https://doi.org/10.1111/add.13957" TargetMode="External"/><Relationship Id="rId35" Type="http://schemas.openxmlformats.org/officeDocument/2006/relationships/hyperlink" Target="https://doi.org/10.3310/phr08130" TargetMode="External"/><Relationship Id="rId43" Type="http://schemas.openxmlformats.org/officeDocument/2006/relationships/hyperlink" Target="https://doi.org/10.1007/s10805-021-09422-4" TargetMode="External"/><Relationship Id="rId48" Type="http://schemas.openxmlformats.org/officeDocument/2006/relationships/hyperlink" Target="https://doi.org/10.7759/cureus.31193" TargetMode="External"/><Relationship Id="rId56" Type="http://schemas.openxmlformats.org/officeDocument/2006/relationships/hyperlink" Target="https://doi.org/10.1016/j.drugpo.2022.103841" TargetMode="External"/><Relationship Id="rId64" Type="http://schemas.openxmlformats.org/officeDocument/2006/relationships/hyperlink" Target="https://doi.org/10.1007/s12144-023-04944-z" TargetMode="External"/><Relationship Id="rId69" Type="http://schemas.openxmlformats.org/officeDocument/2006/relationships/hyperlink" Target="https://doi.org/10.1186/s12874-019-0674-3" TargetMode="External"/><Relationship Id="rId8" Type="http://schemas.openxmlformats.org/officeDocument/2006/relationships/webSettings" Target="webSettings.xml"/><Relationship Id="rId51" Type="http://schemas.openxmlformats.org/officeDocument/2006/relationships/hyperlink" Target="https://www.gov.uk/government/statistics/substance-misuse-treatment-for-young-people-2023-to-2024/children-and-young-peoples-substance-misuse-treatment-statistics-2023-to-2024-report" TargetMode="External"/><Relationship Id="rId72" Type="http://schemas.openxmlformats.org/officeDocument/2006/relationships/header" Target="header2.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doi.org/10.7759/cureus.32316" TargetMode="External"/><Relationship Id="rId25" Type="http://schemas.openxmlformats.org/officeDocument/2006/relationships/hyperlink" Target="https://doi.org/10.1093/pnasnexus/pgae191" TargetMode="External"/><Relationship Id="rId33" Type="http://schemas.openxmlformats.org/officeDocument/2006/relationships/hyperlink" Target="https://doi.org/10.1080/13603116.2019.1607913" TargetMode="External"/><Relationship Id="rId38" Type="http://schemas.openxmlformats.org/officeDocument/2006/relationships/hyperlink" Target="https://doi.org/10.3310/hta21150" TargetMode="External"/><Relationship Id="rId46" Type="http://schemas.openxmlformats.org/officeDocument/2006/relationships/hyperlink" Target="https://doi.org/10.1016/j.drugpo.2011.06.003" TargetMode="External"/><Relationship Id="rId59" Type="http://schemas.openxmlformats.org/officeDocument/2006/relationships/hyperlink" Target="https://doi.org/10.1007/s11606-021-06934-y" TargetMode="External"/><Relationship Id="rId67" Type="http://schemas.openxmlformats.org/officeDocument/2006/relationships/hyperlink" Target="https://doi.org/10.1186/1471-2458-14-49" TargetMode="External"/><Relationship Id="rId20" Type="http://schemas.openxmlformats.org/officeDocument/2006/relationships/hyperlink" Target="https://doi.org/10.56687/9781447358299" TargetMode="External"/><Relationship Id="rId41" Type="http://schemas.openxmlformats.org/officeDocument/2006/relationships/hyperlink" Target="https://doi.org/10.1111/inm.13378" TargetMode="External"/><Relationship Id="rId54" Type="http://schemas.openxmlformats.org/officeDocument/2006/relationships/hyperlink" Target="https://www.gov.uk/government/publications/improving-young-peoples-health-and-wellbeing-a-framework-for-public-health" TargetMode="External"/><Relationship Id="rId62" Type="http://schemas.openxmlformats.org/officeDocument/2006/relationships/hyperlink" Target="https://doi.org/10.1002/wps.21073" TargetMode="External"/><Relationship Id="rId70" Type="http://schemas.openxmlformats.org/officeDocument/2006/relationships/hyperlink" Target="https://doi.org/10.1016/j.drugpo.2022.103841" TargetMode="External"/><Relationship Id="rId75"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oi.org/10.3389/fpsyg.2016.01380" TargetMode="External"/><Relationship Id="rId23" Type="http://schemas.openxmlformats.org/officeDocument/2006/relationships/hyperlink" Target="https://doi.org/10.1186/s13643-017-0625-1" TargetMode="External"/><Relationship Id="rId28" Type="http://schemas.openxmlformats.org/officeDocument/2006/relationships/hyperlink" Target="https://doi.org/10.1177/1477370818775291" TargetMode="External"/><Relationship Id="rId36" Type="http://schemas.openxmlformats.org/officeDocument/2006/relationships/hyperlink" Target="https://doi.org/10.1016/j.acap.2021.05.026" TargetMode="External"/><Relationship Id="rId49" Type="http://schemas.openxmlformats.org/officeDocument/2006/relationships/hyperlink" Target="https://www.hee.nhs.uk/" TargetMode="External"/><Relationship Id="rId57" Type="http://schemas.openxmlformats.org/officeDocument/2006/relationships/hyperlink" Target="https://doi.org/10.1136/bmjopen-2021-049647" TargetMode="External"/><Relationship Id="rId10" Type="http://schemas.openxmlformats.org/officeDocument/2006/relationships/endnotes" Target="endnotes.xml"/><Relationship Id="rId31" Type="http://schemas.openxmlformats.org/officeDocument/2006/relationships/hyperlink" Target="https://doi.org/10.1108/DAT-11-2018-0068" TargetMode="External"/><Relationship Id="rId44" Type="http://schemas.openxmlformats.org/officeDocument/2006/relationships/hyperlink" Target="https://doi.org/10.1007/s10648-023-09827-0" TargetMode="External"/><Relationship Id="rId52" Type="http://schemas.openxmlformats.org/officeDocument/2006/relationships/hyperlink" Target="https://doi.org/10.1016/j.socscimed.2025.118199" TargetMode="External"/><Relationship Id="rId60" Type="http://schemas.openxmlformats.org/officeDocument/2006/relationships/hyperlink" Target="https://doi.org/10.1111/1467-9566.13240" TargetMode="External"/><Relationship Id="rId65" Type="http://schemas.openxmlformats.org/officeDocument/2006/relationships/hyperlink" Target="https://doi.org/10.1080/09687630110118478" TargetMode="External"/><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hyperlink" Target="https://doi.org/10.1007/s00431-021-04220-x" TargetMode="External"/><Relationship Id="rId39" Type="http://schemas.openxmlformats.org/officeDocument/2006/relationships/hyperlink" Target="https://eric.ed.gov/?id=ED594190" TargetMode="External"/><Relationship Id="rId34" Type="http://schemas.openxmlformats.org/officeDocument/2006/relationships/hyperlink" Target="https://www.legislation.gov.uk/ukpga/2014/6/contents" TargetMode="External"/><Relationship Id="rId50" Type="http://schemas.openxmlformats.org/officeDocument/2006/relationships/hyperlink" Target="https://doi.org/10.1007/s11625-016-0387-z" TargetMode="External"/><Relationship Id="rId55" Type="http://schemas.openxmlformats.org/officeDocument/2006/relationships/hyperlink" Target="https://doi.org/10.1332/204986021X16109919707738" TargetMode="External"/><Relationship Id="rId7" Type="http://schemas.openxmlformats.org/officeDocument/2006/relationships/settings" Target="settings.xml"/><Relationship Id="rId71" Type="http://schemas.openxmlformats.org/officeDocument/2006/relationships/hyperlink" Target="https://doi.org/10.3310/hta211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9" ma:contentTypeDescription="Create a new document." ma:contentTypeScope="" ma:versionID="152e11bedca90b70e043f4249d99b31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79267b11a18d92162dfbc5f6442620a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BillingMetadata" ma:index="16"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customXml/itemProps2.xml><?xml version="1.0" encoding="utf-8"?>
<ds:datastoreItem xmlns:ds="http://schemas.openxmlformats.org/officeDocument/2006/customXml" ds:itemID="{31D0DD75-58FF-4FF7-BFB3-29C344AD11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DEE50B5-5676-4197-BADB-AE3AD552EA50}">
  <ds:schemaRefs>
    <ds:schemaRef ds:uri="http://schemas.microsoft.com/sharepoint/v3/contenttype/forms"/>
  </ds:schemaRefs>
</ds:datastoreItem>
</file>

<file path=customXml/itemProps4.xml><?xml version="1.0" encoding="utf-8"?>
<ds:datastoreItem xmlns:ds="http://schemas.openxmlformats.org/officeDocument/2006/customXml" ds:itemID="{E3F02E35-76AC-4C85-8FE6-23108E4E5E3E}">
  <ds:schemaRefs>
    <ds:schemaRef ds:uri="http://schemas.microsoft.com/office/2006/metadata/properties"/>
    <ds:schemaRef ds:uri="http://schemas.microsoft.com/office/2006/documentManagement/types"/>
    <ds:schemaRef ds:uri="d8e79d84-78fb-44a9-92e9-d04bdd8f0359"/>
    <ds:schemaRef ds:uri="http://purl.org/dc/terms/"/>
    <ds:schemaRef ds:uri="http://purl.org/dc/dcmitype/"/>
    <ds:schemaRef ds:uri="http://purl.org/dc/elements/1.1/"/>
    <ds:schemaRef ds:uri="http://www.w3.org/XML/1998/namespace"/>
    <ds:schemaRef ds:uri="04c7059f-bde8-4ce9-bb0f-e52888740953"/>
    <ds:schemaRef ds:uri="http://schemas.microsoft.com/office/infopath/2007/PartnerControls"/>
    <ds:schemaRef ds:uri="http://schemas.openxmlformats.org/package/2006/metadata/core-propertie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57</Pages>
  <Words>18497</Words>
  <Characters>105437</Characters>
  <Application>Microsoft Office Word</Application>
  <DocSecurity>0</DocSecurity>
  <Lines>878</Lines>
  <Paragraphs>247</Paragraphs>
  <ScaleCrop>false</ScaleCrop>
  <Company>University of Wales Trinity Saint David</Company>
  <LinksUpToDate>false</LinksUpToDate>
  <CharactersWithSpaces>123687</CharactersWithSpaces>
  <SharedDoc>false</SharedDoc>
  <HLinks>
    <vt:vector size="570" baseType="variant">
      <vt:variant>
        <vt:i4>5701716</vt:i4>
      </vt:variant>
      <vt:variant>
        <vt:i4>390</vt:i4>
      </vt:variant>
      <vt:variant>
        <vt:i4>0</vt:i4>
      </vt:variant>
      <vt:variant>
        <vt:i4>5</vt:i4>
      </vt:variant>
      <vt:variant>
        <vt:lpwstr>https://doi.org/10.3310/hta21150</vt:lpwstr>
      </vt:variant>
      <vt:variant>
        <vt:lpwstr/>
      </vt:variant>
      <vt:variant>
        <vt:i4>5308493</vt:i4>
      </vt:variant>
      <vt:variant>
        <vt:i4>387</vt:i4>
      </vt:variant>
      <vt:variant>
        <vt:i4>0</vt:i4>
      </vt:variant>
      <vt:variant>
        <vt:i4>5</vt:i4>
      </vt:variant>
      <vt:variant>
        <vt:lpwstr>https://doi.org/10.1016/j.drugpo.2022.103841</vt:lpwstr>
      </vt:variant>
      <vt:variant>
        <vt:lpwstr/>
      </vt:variant>
      <vt:variant>
        <vt:i4>327704</vt:i4>
      </vt:variant>
      <vt:variant>
        <vt:i4>384</vt:i4>
      </vt:variant>
      <vt:variant>
        <vt:i4>0</vt:i4>
      </vt:variant>
      <vt:variant>
        <vt:i4>5</vt:i4>
      </vt:variant>
      <vt:variant>
        <vt:lpwstr>https://doi.org/10.1186/s12874-019-0674-3</vt:lpwstr>
      </vt:variant>
      <vt:variant>
        <vt:lpwstr/>
      </vt:variant>
      <vt:variant>
        <vt:i4>6553655</vt:i4>
      </vt:variant>
      <vt:variant>
        <vt:i4>381</vt:i4>
      </vt:variant>
      <vt:variant>
        <vt:i4>0</vt:i4>
      </vt:variant>
      <vt:variant>
        <vt:i4>5</vt:i4>
      </vt:variant>
      <vt:variant>
        <vt:lpwstr>https://doi.org/10.1093/pubmed/fdac114</vt:lpwstr>
      </vt:variant>
      <vt:variant>
        <vt:lpwstr/>
      </vt:variant>
      <vt:variant>
        <vt:i4>3407974</vt:i4>
      </vt:variant>
      <vt:variant>
        <vt:i4>378</vt:i4>
      </vt:variant>
      <vt:variant>
        <vt:i4>0</vt:i4>
      </vt:variant>
      <vt:variant>
        <vt:i4>5</vt:i4>
      </vt:variant>
      <vt:variant>
        <vt:lpwstr>https://doi.org/10.1186/1471-2458-14-49</vt:lpwstr>
      </vt:variant>
      <vt:variant>
        <vt:lpwstr/>
      </vt:variant>
      <vt:variant>
        <vt:i4>5505108</vt:i4>
      </vt:variant>
      <vt:variant>
        <vt:i4>375</vt:i4>
      </vt:variant>
      <vt:variant>
        <vt:i4>0</vt:i4>
      </vt:variant>
      <vt:variant>
        <vt:i4>5</vt:i4>
      </vt:variant>
      <vt:variant>
        <vt:lpwstr>https://doi.org/10.1016/j.chiabu.2018.09.020</vt:lpwstr>
      </vt:variant>
      <vt:variant>
        <vt:lpwstr/>
      </vt:variant>
      <vt:variant>
        <vt:i4>1245276</vt:i4>
      </vt:variant>
      <vt:variant>
        <vt:i4>372</vt:i4>
      </vt:variant>
      <vt:variant>
        <vt:i4>0</vt:i4>
      </vt:variant>
      <vt:variant>
        <vt:i4>5</vt:i4>
      </vt:variant>
      <vt:variant>
        <vt:lpwstr>https://doi.org/10.1080/09687630110118478</vt:lpwstr>
      </vt:variant>
      <vt:variant>
        <vt:lpwstr/>
      </vt:variant>
      <vt:variant>
        <vt:i4>6488119</vt:i4>
      </vt:variant>
      <vt:variant>
        <vt:i4>369</vt:i4>
      </vt:variant>
      <vt:variant>
        <vt:i4>0</vt:i4>
      </vt:variant>
      <vt:variant>
        <vt:i4>5</vt:i4>
      </vt:variant>
      <vt:variant>
        <vt:lpwstr>https://doi.org/10.1007/s12144-023-04944-z</vt:lpwstr>
      </vt:variant>
      <vt:variant>
        <vt:lpwstr/>
      </vt:variant>
      <vt:variant>
        <vt:i4>458818</vt:i4>
      </vt:variant>
      <vt:variant>
        <vt:i4>366</vt:i4>
      </vt:variant>
      <vt:variant>
        <vt:i4>0</vt:i4>
      </vt:variant>
      <vt:variant>
        <vt:i4>5</vt:i4>
      </vt:variant>
      <vt:variant>
        <vt:lpwstr>https://doi.org/10.1080/00332747.2020.1800291</vt:lpwstr>
      </vt:variant>
      <vt:variant>
        <vt:lpwstr/>
      </vt:variant>
      <vt:variant>
        <vt:i4>2490469</vt:i4>
      </vt:variant>
      <vt:variant>
        <vt:i4>363</vt:i4>
      </vt:variant>
      <vt:variant>
        <vt:i4>0</vt:i4>
      </vt:variant>
      <vt:variant>
        <vt:i4>5</vt:i4>
      </vt:variant>
      <vt:variant>
        <vt:lpwstr>https://doi.org/10.1016/j.disamonth.2018.12.002</vt:lpwstr>
      </vt:variant>
      <vt:variant>
        <vt:lpwstr/>
      </vt:variant>
      <vt:variant>
        <vt:i4>4915294</vt:i4>
      </vt:variant>
      <vt:variant>
        <vt:i4>360</vt:i4>
      </vt:variant>
      <vt:variant>
        <vt:i4>0</vt:i4>
      </vt:variant>
      <vt:variant>
        <vt:i4>5</vt:i4>
      </vt:variant>
      <vt:variant>
        <vt:lpwstr>https://doi.org/10.1002/wps.21073</vt:lpwstr>
      </vt:variant>
      <vt:variant>
        <vt:lpwstr/>
      </vt:variant>
      <vt:variant>
        <vt:i4>26</vt:i4>
      </vt:variant>
      <vt:variant>
        <vt:i4>357</vt:i4>
      </vt:variant>
      <vt:variant>
        <vt:i4>0</vt:i4>
      </vt:variant>
      <vt:variant>
        <vt:i4>5</vt:i4>
      </vt:variant>
      <vt:variant>
        <vt:lpwstr>https://doi.org/10.1186/s13643-016-0240-6</vt:lpwstr>
      </vt:variant>
      <vt:variant>
        <vt:lpwstr/>
      </vt:variant>
      <vt:variant>
        <vt:i4>3604592</vt:i4>
      </vt:variant>
      <vt:variant>
        <vt:i4>354</vt:i4>
      </vt:variant>
      <vt:variant>
        <vt:i4>0</vt:i4>
      </vt:variant>
      <vt:variant>
        <vt:i4>5</vt:i4>
      </vt:variant>
      <vt:variant>
        <vt:lpwstr>https://doi.org/10.1111/1467-9566.13240</vt:lpwstr>
      </vt:variant>
      <vt:variant>
        <vt:lpwstr/>
      </vt:variant>
      <vt:variant>
        <vt:i4>6750261</vt:i4>
      </vt:variant>
      <vt:variant>
        <vt:i4>351</vt:i4>
      </vt:variant>
      <vt:variant>
        <vt:i4>0</vt:i4>
      </vt:variant>
      <vt:variant>
        <vt:i4>5</vt:i4>
      </vt:variant>
      <vt:variant>
        <vt:lpwstr>https://doi.org/10.1007/s11606-021-06934-y</vt:lpwstr>
      </vt:variant>
      <vt:variant>
        <vt:lpwstr/>
      </vt:variant>
      <vt:variant>
        <vt:i4>6422645</vt:i4>
      </vt:variant>
      <vt:variant>
        <vt:i4>348</vt:i4>
      </vt:variant>
      <vt:variant>
        <vt:i4>0</vt:i4>
      </vt:variant>
      <vt:variant>
        <vt:i4>5</vt:i4>
      </vt:variant>
      <vt:variant>
        <vt:lpwstr>https://doi.org/10.1037/stl0000076</vt:lpwstr>
      </vt:variant>
      <vt:variant>
        <vt:lpwstr/>
      </vt:variant>
      <vt:variant>
        <vt:i4>6684772</vt:i4>
      </vt:variant>
      <vt:variant>
        <vt:i4>345</vt:i4>
      </vt:variant>
      <vt:variant>
        <vt:i4>0</vt:i4>
      </vt:variant>
      <vt:variant>
        <vt:i4>5</vt:i4>
      </vt:variant>
      <vt:variant>
        <vt:lpwstr>https://doi.org/10.1136/bmjopen-2021-049647</vt:lpwstr>
      </vt:variant>
      <vt:variant>
        <vt:lpwstr/>
      </vt:variant>
      <vt:variant>
        <vt:i4>3407974</vt:i4>
      </vt:variant>
      <vt:variant>
        <vt:i4>342</vt:i4>
      </vt:variant>
      <vt:variant>
        <vt:i4>0</vt:i4>
      </vt:variant>
      <vt:variant>
        <vt:i4>5</vt:i4>
      </vt:variant>
      <vt:variant>
        <vt:lpwstr>https://doi.org/10.1186/1471-2458-14-49</vt:lpwstr>
      </vt:variant>
      <vt:variant>
        <vt:lpwstr/>
      </vt:variant>
      <vt:variant>
        <vt:i4>5308493</vt:i4>
      </vt:variant>
      <vt:variant>
        <vt:i4>339</vt:i4>
      </vt:variant>
      <vt:variant>
        <vt:i4>0</vt:i4>
      </vt:variant>
      <vt:variant>
        <vt:i4>5</vt:i4>
      </vt:variant>
      <vt:variant>
        <vt:lpwstr>https://doi.org/10.1016/j.drugpo.2022.103841</vt:lpwstr>
      </vt:variant>
      <vt:variant>
        <vt:lpwstr/>
      </vt:variant>
      <vt:variant>
        <vt:i4>6029407</vt:i4>
      </vt:variant>
      <vt:variant>
        <vt:i4>336</vt:i4>
      </vt:variant>
      <vt:variant>
        <vt:i4>0</vt:i4>
      </vt:variant>
      <vt:variant>
        <vt:i4>5</vt:i4>
      </vt:variant>
      <vt:variant>
        <vt:lpwstr>https://doi.org/10.1332/204986021X16109919707738</vt:lpwstr>
      </vt:variant>
      <vt:variant>
        <vt:lpwstr/>
      </vt:variant>
      <vt:variant>
        <vt:i4>5177416</vt:i4>
      </vt:variant>
      <vt:variant>
        <vt:i4>333</vt:i4>
      </vt:variant>
      <vt:variant>
        <vt:i4>0</vt:i4>
      </vt:variant>
      <vt:variant>
        <vt:i4>5</vt:i4>
      </vt:variant>
      <vt:variant>
        <vt:lpwstr>https://www.gov.uk/government/publications/improving-young-peoples-health-and-wellbeing-a-framework-for-public-health</vt:lpwstr>
      </vt:variant>
      <vt:variant>
        <vt:lpwstr/>
      </vt:variant>
      <vt:variant>
        <vt:i4>655427</vt:i4>
      </vt:variant>
      <vt:variant>
        <vt:i4>330</vt:i4>
      </vt:variant>
      <vt:variant>
        <vt:i4>0</vt:i4>
      </vt:variant>
      <vt:variant>
        <vt:i4>5</vt:i4>
      </vt:variant>
      <vt:variant>
        <vt:lpwstr>https://doi.org/10.1080/10911359.2013.800007</vt:lpwstr>
      </vt:variant>
      <vt:variant>
        <vt:lpwstr/>
      </vt:variant>
      <vt:variant>
        <vt:i4>3604578</vt:i4>
      </vt:variant>
      <vt:variant>
        <vt:i4>327</vt:i4>
      </vt:variant>
      <vt:variant>
        <vt:i4>0</vt:i4>
      </vt:variant>
      <vt:variant>
        <vt:i4>5</vt:i4>
      </vt:variant>
      <vt:variant>
        <vt:lpwstr>https://doi.org/10.1016/j.socscimed.2025.118199</vt:lpwstr>
      </vt:variant>
      <vt:variant>
        <vt:lpwstr/>
      </vt:variant>
      <vt:variant>
        <vt:i4>3735609</vt:i4>
      </vt:variant>
      <vt:variant>
        <vt:i4>324</vt:i4>
      </vt:variant>
      <vt:variant>
        <vt:i4>0</vt:i4>
      </vt:variant>
      <vt:variant>
        <vt:i4>5</vt:i4>
      </vt:variant>
      <vt:variant>
        <vt:lpwstr>https://www.gov.uk/government/statistics/substance-misuse-treatment-for-young-people-2023-to-2024/children-and-young-peoples-substance-misuse-treatment-statistics-2023-to-2024-report</vt:lpwstr>
      </vt:variant>
      <vt:variant>
        <vt:lpwstr/>
      </vt:variant>
      <vt:variant>
        <vt:i4>131096</vt:i4>
      </vt:variant>
      <vt:variant>
        <vt:i4>321</vt:i4>
      </vt:variant>
      <vt:variant>
        <vt:i4>0</vt:i4>
      </vt:variant>
      <vt:variant>
        <vt:i4>5</vt:i4>
      </vt:variant>
      <vt:variant>
        <vt:lpwstr>https://doi.org/10.1007/s11625-016-0387-z</vt:lpwstr>
      </vt:variant>
      <vt:variant>
        <vt:lpwstr/>
      </vt:variant>
      <vt:variant>
        <vt:i4>3014693</vt:i4>
      </vt:variant>
      <vt:variant>
        <vt:i4>318</vt:i4>
      </vt:variant>
      <vt:variant>
        <vt:i4>0</vt:i4>
      </vt:variant>
      <vt:variant>
        <vt:i4>5</vt:i4>
      </vt:variant>
      <vt:variant>
        <vt:lpwstr>https://www.hee.nhs.uk/</vt:lpwstr>
      </vt:variant>
      <vt:variant>
        <vt:lpwstr/>
      </vt:variant>
      <vt:variant>
        <vt:i4>4325398</vt:i4>
      </vt:variant>
      <vt:variant>
        <vt:i4>315</vt:i4>
      </vt:variant>
      <vt:variant>
        <vt:i4>0</vt:i4>
      </vt:variant>
      <vt:variant>
        <vt:i4>5</vt:i4>
      </vt:variant>
      <vt:variant>
        <vt:lpwstr>https://doi.org/10.7759/cureus.31193</vt:lpwstr>
      </vt:variant>
      <vt:variant>
        <vt:lpwstr/>
      </vt:variant>
      <vt:variant>
        <vt:i4>1966165</vt:i4>
      </vt:variant>
      <vt:variant>
        <vt:i4>312</vt:i4>
      </vt:variant>
      <vt:variant>
        <vt:i4>0</vt:i4>
      </vt:variant>
      <vt:variant>
        <vt:i4>5</vt:i4>
      </vt:variant>
      <vt:variant>
        <vt:lpwstr>https://doi.org/10.1177/1473325018786996</vt:lpwstr>
      </vt:variant>
      <vt:variant>
        <vt:lpwstr/>
      </vt:variant>
      <vt:variant>
        <vt:i4>6160470</vt:i4>
      </vt:variant>
      <vt:variant>
        <vt:i4>309</vt:i4>
      </vt:variant>
      <vt:variant>
        <vt:i4>0</vt:i4>
      </vt:variant>
      <vt:variant>
        <vt:i4>5</vt:i4>
      </vt:variant>
      <vt:variant>
        <vt:lpwstr>https://doi.org/10.1016/j.drugpo.2011.06.003</vt:lpwstr>
      </vt:variant>
      <vt:variant>
        <vt:lpwstr/>
      </vt:variant>
      <vt:variant>
        <vt:i4>3670122</vt:i4>
      </vt:variant>
      <vt:variant>
        <vt:i4>306</vt:i4>
      </vt:variant>
      <vt:variant>
        <vt:i4>0</vt:i4>
      </vt:variant>
      <vt:variant>
        <vt:i4>5</vt:i4>
      </vt:variant>
      <vt:variant>
        <vt:lpwstr>https://www.legislation.gov.uk/uksi/2001/713/made/data.html</vt:lpwstr>
      </vt:variant>
      <vt:variant>
        <vt:lpwstr/>
      </vt:variant>
      <vt:variant>
        <vt:i4>2097214</vt:i4>
      </vt:variant>
      <vt:variant>
        <vt:i4>303</vt:i4>
      </vt:variant>
      <vt:variant>
        <vt:i4>0</vt:i4>
      </vt:variant>
      <vt:variant>
        <vt:i4>5</vt:i4>
      </vt:variant>
      <vt:variant>
        <vt:lpwstr>https://doi.org/10.1007/s10648-023-09827-0</vt:lpwstr>
      </vt:variant>
      <vt:variant>
        <vt:lpwstr/>
      </vt:variant>
      <vt:variant>
        <vt:i4>2883642</vt:i4>
      </vt:variant>
      <vt:variant>
        <vt:i4>300</vt:i4>
      </vt:variant>
      <vt:variant>
        <vt:i4>0</vt:i4>
      </vt:variant>
      <vt:variant>
        <vt:i4>5</vt:i4>
      </vt:variant>
      <vt:variant>
        <vt:lpwstr>https://doi.org/10.1007/s10805-021-09422-4</vt:lpwstr>
      </vt:variant>
      <vt:variant>
        <vt:lpwstr/>
      </vt:variant>
      <vt:variant>
        <vt:i4>6815792</vt:i4>
      </vt:variant>
      <vt:variant>
        <vt:i4>297</vt:i4>
      </vt:variant>
      <vt:variant>
        <vt:i4>0</vt:i4>
      </vt:variant>
      <vt:variant>
        <vt:i4>5</vt:i4>
      </vt:variant>
      <vt:variant>
        <vt:lpwstr>https://doi.org/10.1007/s11920-022-01338-z</vt:lpwstr>
      </vt:variant>
      <vt:variant>
        <vt:lpwstr/>
      </vt:variant>
      <vt:variant>
        <vt:i4>5636188</vt:i4>
      </vt:variant>
      <vt:variant>
        <vt:i4>294</vt:i4>
      </vt:variant>
      <vt:variant>
        <vt:i4>0</vt:i4>
      </vt:variant>
      <vt:variant>
        <vt:i4>5</vt:i4>
      </vt:variant>
      <vt:variant>
        <vt:lpwstr>https://doi.org/10.1111/inm.13378</vt:lpwstr>
      </vt:variant>
      <vt:variant>
        <vt:lpwstr/>
      </vt:variant>
      <vt:variant>
        <vt:i4>70</vt:i4>
      </vt:variant>
      <vt:variant>
        <vt:i4>291</vt:i4>
      </vt:variant>
      <vt:variant>
        <vt:i4>0</vt:i4>
      </vt:variant>
      <vt:variant>
        <vt:i4>5</vt:i4>
      </vt:variant>
      <vt:variant>
        <vt:lpwstr>https://doi.org/10.4103/0019-5545.204444</vt:lpwstr>
      </vt:variant>
      <vt:variant>
        <vt:lpwstr/>
      </vt:variant>
      <vt:variant>
        <vt:i4>196625</vt:i4>
      </vt:variant>
      <vt:variant>
        <vt:i4>288</vt:i4>
      </vt:variant>
      <vt:variant>
        <vt:i4>0</vt:i4>
      </vt:variant>
      <vt:variant>
        <vt:i4>5</vt:i4>
      </vt:variant>
      <vt:variant>
        <vt:lpwstr>https://eric.ed.gov/?id=ED594190</vt:lpwstr>
      </vt:variant>
      <vt:variant>
        <vt:lpwstr/>
      </vt:variant>
      <vt:variant>
        <vt:i4>5701716</vt:i4>
      </vt:variant>
      <vt:variant>
        <vt:i4>285</vt:i4>
      </vt:variant>
      <vt:variant>
        <vt:i4>0</vt:i4>
      </vt:variant>
      <vt:variant>
        <vt:i4>5</vt:i4>
      </vt:variant>
      <vt:variant>
        <vt:lpwstr>https://doi.org/10.3310/hta21150</vt:lpwstr>
      </vt:variant>
      <vt:variant>
        <vt:lpwstr/>
      </vt:variant>
      <vt:variant>
        <vt:i4>6553655</vt:i4>
      </vt:variant>
      <vt:variant>
        <vt:i4>282</vt:i4>
      </vt:variant>
      <vt:variant>
        <vt:i4>0</vt:i4>
      </vt:variant>
      <vt:variant>
        <vt:i4>5</vt:i4>
      </vt:variant>
      <vt:variant>
        <vt:lpwstr>https://doi.org/10.1093/pubmed/fdac114</vt:lpwstr>
      </vt:variant>
      <vt:variant>
        <vt:lpwstr/>
      </vt:variant>
      <vt:variant>
        <vt:i4>3276853</vt:i4>
      </vt:variant>
      <vt:variant>
        <vt:i4>279</vt:i4>
      </vt:variant>
      <vt:variant>
        <vt:i4>0</vt:i4>
      </vt:variant>
      <vt:variant>
        <vt:i4>5</vt:i4>
      </vt:variant>
      <vt:variant>
        <vt:lpwstr>https://doi.org/10.1016/j.acap.2021.05.026</vt:lpwstr>
      </vt:variant>
      <vt:variant>
        <vt:lpwstr/>
      </vt:variant>
      <vt:variant>
        <vt:i4>4784208</vt:i4>
      </vt:variant>
      <vt:variant>
        <vt:i4>276</vt:i4>
      </vt:variant>
      <vt:variant>
        <vt:i4>0</vt:i4>
      </vt:variant>
      <vt:variant>
        <vt:i4>5</vt:i4>
      </vt:variant>
      <vt:variant>
        <vt:lpwstr>https://doi.org/10.3310/phr08130</vt:lpwstr>
      </vt:variant>
      <vt:variant>
        <vt:lpwstr/>
      </vt:variant>
      <vt:variant>
        <vt:i4>131136</vt:i4>
      </vt:variant>
      <vt:variant>
        <vt:i4>273</vt:i4>
      </vt:variant>
      <vt:variant>
        <vt:i4>0</vt:i4>
      </vt:variant>
      <vt:variant>
        <vt:i4>5</vt:i4>
      </vt:variant>
      <vt:variant>
        <vt:lpwstr>https://doi.org/10.1080/13603116.2019.1607913</vt:lpwstr>
      </vt:variant>
      <vt:variant>
        <vt:lpwstr/>
      </vt:variant>
      <vt:variant>
        <vt:i4>4587586</vt:i4>
      </vt:variant>
      <vt:variant>
        <vt:i4>270</vt:i4>
      </vt:variant>
      <vt:variant>
        <vt:i4>0</vt:i4>
      </vt:variant>
      <vt:variant>
        <vt:i4>5</vt:i4>
      </vt:variant>
      <vt:variant>
        <vt:lpwstr>https://www.gov.uk/government/publications/from-harm-to-hope-a-10-year-drugs-plan-to-cut-crime-and-save-lives</vt:lpwstr>
      </vt:variant>
      <vt:variant>
        <vt:lpwstr/>
      </vt:variant>
      <vt:variant>
        <vt:i4>4718673</vt:i4>
      </vt:variant>
      <vt:variant>
        <vt:i4>267</vt:i4>
      </vt:variant>
      <vt:variant>
        <vt:i4>0</vt:i4>
      </vt:variant>
      <vt:variant>
        <vt:i4>5</vt:i4>
      </vt:variant>
      <vt:variant>
        <vt:lpwstr>https://doi.org/10.1108/DAT-11-2018-0068</vt:lpwstr>
      </vt:variant>
      <vt:variant>
        <vt:lpwstr/>
      </vt:variant>
      <vt:variant>
        <vt:i4>6160471</vt:i4>
      </vt:variant>
      <vt:variant>
        <vt:i4>264</vt:i4>
      </vt:variant>
      <vt:variant>
        <vt:i4>0</vt:i4>
      </vt:variant>
      <vt:variant>
        <vt:i4>5</vt:i4>
      </vt:variant>
      <vt:variant>
        <vt:lpwstr>https://doi.org/10.1111/add.13957</vt:lpwstr>
      </vt:variant>
      <vt:variant>
        <vt:lpwstr/>
      </vt:variant>
      <vt:variant>
        <vt:i4>2424874</vt:i4>
      </vt:variant>
      <vt:variant>
        <vt:i4>261</vt:i4>
      </vt:variant>
      <vt:variant>
        <vt:i4>0</vt:i4>
      </vt:variant>
      <vt:variant>
        <vt:i4>5</vt:i4>
      </vt:variant>
      <vt:variant>
        <vt:lpwstr>https://doi.org/10.1016/j.jclinepi.2017.10.022</vt:lpwstr>
      </vt:variant>
      <vt:variant>
        <vt:lpwstr/>
      </vt:variant>
      <vt:variant>
        <vt:i4>1310803</vt:i4>
      </vt:variant>
      <vt:variant>
        <vt:i4>258</vt:i4>
      </vt:variant>
      <vt:variant>
        <vt:i4>0</vt:i4>
      </vt:variant>
      <vt:variant>
        <vt:i4>5</vt:i4>
      </vt:variant>
      <vt:variant>
        <vt:lpwstr>https://doi.org/10.1177/1477370818775291</vt:lpwstr>
      </vt:variant>
      <vt:variant>
        <vt:lpwstr/>
      </vt:variant>
      <vt:variant>
        <vt:i4>4784144</vt:i4>
      </vt:variant>
      <vt:variant>
        <vt:i4>255</vt:i4>
      </vt:variant>
      <vt:variant>
        <vt:i4>0</vt:i4>
      </vt:variant>
      <vt:variant>
        <vt:i4>5</vt:i4>
      </vt:variant>
      <vt:variant>
        <vt:lpwstr>https://doi.org/10.1002/14651858.CD009113</vt:lpwstr>
      </vt:variant>
      <vt:variant>
        <vt:lpwstr/>
      </vt:variant>
      <vt:variant>
        <vt:i4>1507417</vt:i4>
      </vt:variant>
      <vt:variant>
        <vt:i4>252</vt:i4>
      </vt:variant>
      <vt:variant>
        <vt:i4>0</vt:i4>
      </vt:variant>
      <vt:variant>
        <vt:i4>5</vt:i4>
      </vt:variant>
      <vt:variant>
        <vt:lpwstr>https://www.gov.uk/government/publications/working-together-to-safeguard-children--2</vt:lpwstr>
      </vt:variant>
      <vt:variant>
        <vt:lpwstr/>
      </vt:variant>
      <vt:variant>
        <vt:i4>1179739</vt:i4>
      </vt:variant>
      <vt:variant>
        <vt:i4>249</vt:i4>
      </vt:variant>
      <vt:variant>
        <vt:i4>0</vt:i4>
      </vt:variant>
      <vt:variant>
        <vt:i4>5</vt:i4>
      </vt:variant>
      <vt:variant>
        <vt:lpwstr>https://doi.org/10.1542/peds.2022-057992</vt:lpwstr>
      </vt:variant>
      <vt:variant>
        <vt:lpwstr/>
      </vt:variant>
      <vt:variant>
        <vt:i4>196621</vt:i4>
      </vt:variant>
      <vt:variant>
        <vt:i4>246</vt:i4>
      </vt:variant>
      <vt:variant>
        <vt:i4>0</vt:i4>
      </vt:variant>
      <vt:variant>
        <vt:i4>5</vt:i4>
      </vt:variant>
      <vt:variant>
        <vt:lpwstr>https://doi.org/10.1093/pnasnexus/pgae191</vt:lpwstr>
      </vt:variant>
      <vt:variant>
        <vt:lpwstr/>
      </vt:variant>
      <vt:variant>
        <vt:i4>3604520</vt:i4>
      </vt:variant>
      <vt:variant>
        <vt:i4>243</vt:i4>
      </vt:variant>
      <vt:variant>
        <vt:i4>0</vt:i4>
      </vt:variant>
      <vt:variant>
        <vt:i4>5</vt:i4>
      </vt:variant>
      <vt:variant>
        <vt:lpwstr>https://doi.org/10.1016/j.cptl.2018.03.019</vt:lpwstr>
      </vt:variant>
      <vt:variant>
        <vt:lpwstr/>
      </vt:variant>
      <vt:variant>
        <vt:i4>458779</vt:i4>
      </vt:variant>
      <vt:variant>
        <vt:i4>240</vt:i4>
      </vt:variant>
      <vt:variant>
        <vt:i4>0</vt:i4>
      </vt:variant>
      <vt:variant>
        <vt:i4>5</vt:i4>
      </vt:variant>
      <vt:variant>
        <vt:lpwstr>https://doi.org/10.1186/s13643-017-0625-1</vt:lpwstr>
      </vt:variant>
      <vt:variant>
        <vt:lpwstr/>
      </vt:variant>
      <vt:variant>
        <vt:i4>917514</vt:i4>
      </vt:variant>
      <vt:variant>
        <vt:i4>237</vt:i4>
      </vt:variant>
      <vt:variant>
        <vt:i4>0</vt:i4>
      </vt:variant>
      <vt:variant>
        <vt:i4>5</vt:i4>
      </vt:variant>
      <vt:variant>
        <vt:lpwstr>https://doi.org/10.1016/S0140-6736(16)00619-X</vt:lpwstr>
      </vt:variant>
      <vt:variant>
        <vt:lpwstr/>
      </vt:variant>
      <vt:variant>
        <vt:i4>3407976</vt:i4>
      </vt:variant>
      <vt:variant>
        <vt:i4>234</vt:i4>
      </vt:variant>
      <vt:variant>
        <vt:i4>0</vt:i4>
      </vt:variant>
      <vt:variant>
        <vt:i4>5</vt:i4>
      </vt:variant>
      <vt:variant>
        <vt:lpwstr>https://doi.org/10.1111/jcpp.12145</vt:lpwstr>
      </vt:variant>
      <vt:variant>
        <vt:lpwstr/>
      </vt:variant>
      <vt:variant>
        <vt:i4>3473531</vt:i4>
      </vt:variant>
      <vt:variant>
        <vt:i4>231</vt:i4>
      </vt:variant>
      <vt:variant>
        <vt:i4>0</vt:i4>
      </vt:variant>
      <vt:variant>
        <vt:i4>5</vt:i4>
      </vt:variant>
      <vt:variant>
        <vt:lpwstr>https://doi.org/10.56687/9781447358299</vt:lpwstr>
      </vt:variant>
      <vt:variant>
        <vt:lpwstr/>
      </vt:variant>
      <vt:variant>
        <vt:i4>6160478</vt:i4>
      </vt:variant>
      <vt:variant>
        <vt:i4>228</vt:i4>
      </vt:variant>
      <vt:variant>
        <vt:i4>0</vt:i4>
      </vt:variant>
      <vt:variant>
        <vt:i4>5</vt:i4>
      </vt:variant>
      <vt:variant>
        <vt:lpwstr>https://doi.org/10.1111/add.16003</vt:lpwstr>
      </vt:variant>
      <vt:variant>
        <vt:lpwstr/>
      </vt:variant>
      <vt:variant>
        <vt:i4>7143476</vt:i4>
      </vt:variant>
      <vt:variant>
        <vt:i4>225</vt:i4>
      </vt:variant>
      <vt:variant>
        <vt:i4>0</vt:i4>
      </vt:variant>
      <vt:variant>
        <vt:i4>5</vt:i4>
      </vt:variant>
      <vt:variant>
        <vt:lpwstr>https://doi.org/10.1007/s00431-021-04220-x</vt:lpwstr>
      </vt:variant>
      <vt:variant>
        <vt:lpwstr/>
      </vt:variant>
      <vt:variant>
        <vt:i4>4522013</vt:i4>
      </vt:variant>
      <vt:variant>
        <vt:i4>222</vt:i4>
      </vt:variant>
      <vt:variant>
        <vt:i4>0</vt:i4>
      </vt:variant>
      <vt:variant>
        <vt:i4>5</vt:i4>
      </vt:variant>
      <vt:variant>
        <vt:lpwstr>https://doi.org/10.7759/cureus.32316</vt:lpwstr>
      </vt:variant>
      <vt:variant>
        <vt:lpwstr/>
      </vt:variant>
      <vt:variant>
        <vt:i4>327704</vt:i4>
      </vt:variant>
      <vt:variant>
        <vt:i4>219</vt:i4>
      </vt:variant>
      <vt:variant>
        <vt:i4>0</vt:i4>
      </vt:variant>
      <vt:variant>
        <vt:i4>5</vt:i4>
      </vt:variant>
      <vt:variant>
        <vt:lpwstr>https://doi.org/10.1186/s12874-019-0674-3</vt:lpwstr>
      </vt:variant>
      <vt:variant>
        <vt:lpwstr/>
      </vt:variant>
      <vt:variant>
        <vt:i4>720902</vt:i4>
      </vt:variant>
      <vt:variant>
        <vt:i4>216</vt:i4>
      </vt:variant>
      <vt:variant>
        <vt:i4>0</vt:i4>
      </vt:variant>
      <vt:variant>
        <vt:i4>5</vt:i4>
      </vt:variant>
      <vt:variant>
        <vt:lpwstr>https://doi.org/10.3389/fpsyg.2016.01380</vt:lpwstr>
      </vt:variant>
      <vt:variant>
        <vt:lpwstr/>
      </vt:variant>
      <vt:variant>
        <vt:i4>720896</vt:i4>
      </vt:variant>
      <vt:variant>
        <vt:i4>213</vt:i4>
      </vt:variant>
      <vt:variant>
        <vt:i4>0</vt:i4>
      </vt:variant>
      <vt:variant>
        <vt:i4>5</vt:i4>
      </vt:variant>
      <vt:variant>
        <vt:lpwstr>https://doi.org/10.1093/jamia/ocaa148</vt:lpwstr>
      </vt:variant>
      <vt:variant>
        <vt:lpwstr/>
      </vt:variant>
      <vt:variant>
        <vt:i4>1572917</vt:i4>
      </vt:variant>
      <vt:variant>
        <vt:i4>206</vt:i4>
      </vt:variant>
      <vt:variant>
        <vt:i4>0</vt:i4>
      </vt:variant>
      <vt:variant>
        <vt:i4>5</vt:i4>
      </vt:variant>
      <vt:variant>
        <vt:lpwstr/>
      </vt:variant>
      <vt:variant>
        <vt:lpwstr>_Toc213871370</vt:lpwstr>
      </vt:variant>
      <vt:variant>
        <vt:i4>1638453</vt:i4>
      </vt:variant>
      <vt:variant>
        <vt:i4>200</vt:i4>
      </vt:variant>
      <vt:variant>
        <vt:i4>0</vt:i4>
      </vt:variant>
      <vt:variant>
        <vt:i4>5</vt:i4>
      </vt:variant>
      <vt:variant>
        <vt:lpwstr/>
      </vt:variant>
      <vt:variant>
        <vt:lpwstr>_Toc213871369</vt:lpwstr>
      </vt:variant>
      <vt:variant>
        <vt:i4>1638453</vt:i4>
      </vt:variant>
      <vt:variant>
        <vt:i4>194</vt:i4>
      </vt:variant>
      <vt:variant>
        <vt:i4>0</vt:i4>
      </vt:variant>
      <vt:variant>
        <vt:i4>5</vt:i4>
      </vt:variant>
      <vt:variant>
        <vt:lpwstr/>
      </vt:variant>
      <vt:variant>
        <vt:lpwstr>_Toc213871368</vt:lpwstr>
      </vt:variant>
      <vt:variant>
        <vt:i4>1638453</vt:i4>
      </vt:variant>
      <vt:variant>
        <vt:i4>188</vt:i4>
      </vt:variant>
      <vt:variant>
        <vt:i4>0</vt:i4>
      </vt:variant>
      <vt:variant>
        <vt:i4>5</vt:i4>
      </vt:variant>
      <vt:variant>
        <vt:lpwstr/>
      </vt:variant>
      <vt:variant>
        <vt:lpwstr>_Toc213871367</vt:lpwstr>
      </vt:variant>
      <vt:variant>
        <vt:i4>1638453</vt:i4>
      </vt:variant>
      <vt:variant>
        <vt:i4>182</vt:i4>
      </vt:variant>
      <vt:variant>
        <vt:i4>0</vt:i4>
      </vt:variant>
      <vt:variant>
        <vt:i4>5</vt:i4>
      </vt:variant>
      <vt:variant>
        <vt:lpwstr/>
      </vt:variant>
      <vt:variant>
        <vt:lpwstr>_Toc213871366</vt:lpwstr>
      </vt:variant>
      <vt:variant>
        <vt:i4>1638453</vt:i4>
      </vt:variant>
      <vt:variant>
        <vt:i4>176</vt:i4>
      </vt:variant>
      <vt:variant>
        <vt:i4>0</vt:i4>
      </vt:variant>
      <vt:variant>
        <vt:i4>5</vt:i4>
      </vt:variant>
      <vt:variant>
        <vt:lpwstr/>
      </vt:variant>
      <vt:variant>
        <vt:lpwstr>_Toc213871365</vt:lpwstr>
      </vt:variant>
      <vt:variant>
        <vt:i4>1638453</vt:i4>
      </vt:variant>
      <vt:variant>
        <vt:i4>170</vt:i4>
      </vt:variant>
      <vt:variant>
        <vt:i4>0</vt:i4>
      </vt:variant>
      <vt:variant>
        <vt:i4>5</vt:i4>
      </vt:variant>
      <vt:variant>
        <vt:lpwstr/>
      </vt:variant>
      <vt:variant>
        <vt:lpwstr>_Toc213871364</vt:lpwstr>
      </vt:variant>
      <vt:variant>
        <vt:i4>1638453</vt:i4>
      </vt:variant>
      <vt:variant>
        <vt:i4>164</vt:i4>
      </vt:variant>
      <vt:variant>
        <vt:i4>0</vt:i4>
      </vt:variant>
      <vt:variant>
        <vt:i4>5</vt:i4>
      </vt:variant>
      <vt:variant>
        <vt:lpwstr/>
      </vt:variant>
      <vt:variant>
        <vt:lpwstr>_Toc213871363</vt:lpwstr>
      </vt:variant>
      <vt:variant>
        <vt:i4>1638453</vt:i4>
      </vt:variant>
      <vt:variant>
        <vt:i4>158</vt:i4>
      </vt:variant>
      <vt:variant>
        <vt:i4>0</vt:i4>
      </vt:variant>
      <vt:variant>
        <vt:i4>5</vt:i4>
      </vt:variant>
      <vt:variant>
        <vt:lpwstr/>
      </vt:variant>
      <vt:variant>
        <vt:lpwstr>_Toc213871362</vt:lpwstr>
      </vt:variant>
      <vt:variant>
        <vt:i4>1638453</vt:i4>
      </vt:variant>
      <vt:variant>
        <vt:i4>152</vt:i4>
      </vt:variant>
      <vt:variant>
        <vt:i4>0</vt:i4>
      </vt:variant>
      <vt:variant>
        <vt:i4>5</vt:i4>
      </vt:variant>
      <vt:variant>
        <vt:lpwstr/>
      </vt:variant>
      <vt:variant>
        <vt:lpwstr>_Toc213871361</vt:lpwstr>
      </vt:variant>
      <vt:variant>
        <vt:i4>1638453</vt:i4>
      </vt:variant>
      <vt:variant>
        <vt:i4>146</vt:i4>
      </vt:variant>
      <vt:variant>
        <vt:i4>0</vt:i4>
      </vt:variant>
      <vt:variant>
        <vt:i4>5</vt:i4>
      </vt:variant>
      <vt:variant>
        <vt:lpwstr/>
      </vt:variant>
      <vt:variant>
        <vt:lpwstr>_Toc213871360</vt:lpwstr>
      </vt:variant>
      <vt:variant>
        <vt:i4>1703989</vt:i4>
      </vt:variant>
      <vt:variant>
        <vt:i4>140</vt:i4>
      </vt:variant>
      <vt:variant>
        <vt:i4>0</vt:i4>
      </vt:variant>
      <vt:variant>
        <vt:i4>5</vt:i4>
      </vt:variant>
      <vt:variant>
        <vt:lpwstr/>
      </vt:variant>
      <vt:variant>
        <vt:lpwstr>_Toc213871359</vt:lpwstr>
      </vt:variant>
      <vt:variant>
        <vt:i4>1703989</vt:i4>
      </vt:variant>
      <vt:variant>
        <vt:i4>134</vt:i4>
      </vt:variant>
      <vt:variant>
        <vt:i4>0</vt:i4>
      </vt:variant>
      <vt:variant>
        <vt:i4>5</vt:i4>
      </vt:variant>
      <vt:variant>
        <vt:lpwstr/>
      </vt:variant>
      <vt:variant>
        <vt:lpwstr>_Toc213871358</vt:lpwstr>
      </vt:variant>
      <vt:variant>
        <vt:i4>1703989</vt:i4>
      </vt:variant>
      <vt:variant>
        <vt:i4>128</vt:i4>
      </vt:variant>
      <vt:variant>
        <vt:i4>0</vt:i4>
      </vt:variant>
      <vt:variant>
        <vt:i4>5</vt:i4>
      </vt:variant>
      <vt:variant>
        <vt:lpwstr/>
      </vt:variant>
      <vt:variant>
        <vt:lpwstr>_Toc213871357</vt:lpwstr>
      </vt:variant>
      <vt:variant>
        <vt:i4>1703989</vt:i4>
      </vt:variant>
      <vt:variant>
        <vt:i4>122</vt:i4>
      </vt:variant>
      <vt:variant>
        <vt:i4>0</vt:i4>
      </vt:variant>
      <vt:variant>
        <vt:i4>5</vt:i4>
      </vt:variant>
      <vt:variant>
        <vt:lpwstr/>
      </vt:variant>
      <vt:variant>
        <vt:lpwstr>_Toc213871356</vt:lpwstr>
      </vt:variant>
      <vt:variant>
        <vt:i4>1703989</vt:i4>
      </vt:variant>
      <vt:variant>
        <vt:i4>116</vt:i4>
      </vt:variant>
      <vt:variant>
        <vt:i4>0</vt:i4>
      </vt:variant>
      <vt:variant>
        <vt:i4>5</vt:i4>
      </vt:variant>
      <vt:variant>
        <vt:lpwstr/>
      </vt:variant>
      <vt:variant>
        <vt:lpwstr>_Toc213871355</vt:lpwstr>
      </vt:variant>
      <vt:variant>
        <vt:i4>1703989</vt:i4>
      </vt:variant>
      <vt:variant>
        <vt:i4>110</vt:i4>
      </vt:variant>
      <vt:variant>
        <vt:i4>0</vt:i4>
      </vt:variant>
      <vt:variant>
        <vt:i4>5</vt:i4>
      </vt:variant>
      <vt:variant>
        <vt:lpwstr/>
      </vt:variant>
      <vt:variant>
        <vt:lpwstr>_Toc213871354</vt:lpwstr>
      </vt:variant>
      <vt:variant>
        <vt:i4>1703989</vt:i4>
      </vt:variant>
      <vt:variant>
        <vt:i4>104</vt:i4>
      </vt:variant>
      <vt:variant>
        <vt:i4>0</vt:i4>
      </vt:variant>
      <vt:variant>
        <vt:i4>5</vt:i4>
      </vt:variant>
      <vt:variant>
        <vt:lpwstr/>
      </vt:variant>
      <vt:variant>
        <vt:lpwstr>_Toc213871353</vt:lpwstr>
      </vt:variant>
      <vt:variant>
        <vt:i4>1703989</vt:i4>
      </vt:variant>
      <vt:variant>
        <vt:i4>98</vt:i4>
      </vt:variant>
      <vt:variant>
        <vt:i4>0</vt:i4>
      </vt:variant>
      <vt:variant>
        <vt:i4>5</vt:i4>
      </vt:variant>
      <vt:variant>
        <vt:lpwstr/>
      </vt:variant>
      <vt:variant>
        <vt:lpwstr>_Toc213871352</vt:lpwstr>
      </vt:variant>
      <vt:variant>
        <vt:i4>1703989</vt:i4>
      </vt:variant>
      <vt:variant>
        <vt:i4>92</vt:i4>
      </vt:variant>
      <vt:variant>
        <vt:i4>0</vt:i4>
      </vt:variant>
      <vt:variant>
        <vt:i4>5</vt:i4>
      </vt:variant>
      <vt:variant>
        <vt:lpwstr/>
      </vt:variant>
      <vt:variant>
        <vt:lpwstr>_Toc213871351</vt:lpwstr>
      </vt:variant>
      <vt:variant>
        <vt:i4>1703989</vt:i4>
      </vt:variant>
      <vt:variant>
        <vt:i4>86</vt:i4>
      </vt:variant>
      <vt:variant>
        <vt:i4>0</vt:i4>
      </vt:variant>
      <vt:variant>
        <vt:i4>5</vt:i4>
      </vt:variant>
      <vt:variant>
        <vt:lpwstr/>
      </vt:variant>
      <vt:variant>
        <vt:lpwstr>_Toc213871350</vt:lpwstr>
      </vt:variant>
      <vt:variant>
        <vt:i4>1769525</vt:i4>
      </vt:variant>
      <vt:variant>
        <vt:i4>80</vt:i4>
      </vt:variant>
      <vt:variant>
        <vt:i4>0</vt:i4>
      </vt:variant>
      <vt:variant>
        <vt:i4>5</vt:i4>
      </vt:variant>
      <vt:variant>
        <vt:lpwstr/>
      </vt:variant>
      <vt:variant>
        <vt:lpwstr>_Toc213871349</vt:lpwstr>
      </vt:variant>
      <vt:variant>
        <vt:i4>1769525</vt:i4>
      </vt:variant>
      <vt:variant>
        <vt:i4>74</vt:i4>
      </vt:variant>
      <vt:variant>
        <vt:i4>0</vt:i4>
      </vt:variant>
      <vt:variant>
        <vt:i4>5</vt:i4>
      </vt:variant>
      <vt:variant>
        <vt:lpwstr/>
      </vt:variant>
      <vt:variant>
        <vt:lpwstr>_Toc213871348</vt:lpwstr>
      </vt:variant>
      <vt:variant>
        <vt:i4>1769525</vt:i4>
      </vt:variant>
      <vt:variant>
        <vt:i4>68</vt:i4>
      </vt:variant>
      <vt:variant>
        <vt:i4>0</vt:i4>
      </vt:variant>
      <vt:variant>
        <vt:i4>5</vt:i4>
      </vt:variant>
      <vt:variant>
        <vt:lpwstr/>
      </vt:variant>
      <vt:variant>
        <vt:lpwstr>_Toc213871347</vt:lpwstr>
      </vt:variant>
      <vt:variant>
        <vt:i4>1769525</vt:i4>
      </vt:variant>
      <vt:variant>
        <vt:i4>62</vt:i4>
      </vt:variant>
      <vt:variant>
        <vt:i4>0</vt:i4>
      </vt:variant>
      <vt:variant>
        <vt:i4>5</vt:i4>
      </vt:variant>
      <vt:variant>
        <vt:lpwstr/>
      </vt:variant>
      <vt:variant>
        <vt:lpwstr>_Toc213871346</vt:lpwstr>
      </vt:variant>
      <vt:variant>
        <vt:i4>1769525</vt:i4>
      </vt:variant>
      <vt:variant>
        <vt:i4>56</vt:i4>
      </vt:variant>
      <vt:variant>
        <vt:i4>0</vt:i4>
      </vt:variant>
      <vt:variant>
        <vt:i4>5</vt:i4>
      </vt:variant>
      <vt:variant>
        <vt:lpwstr/>
      </vt:variant>
      <vt:variant>
        <vt:lpwstr>_Toc213871345</vt:lpwstr>
      </vt:variant>
      <vt:variant>
        <vt:i4>1769525</vt:i4>
      </vt:variant>
      <vt:variant>
        <vt:i4>50</vt:i4>
      </vt:variant>
      <vt:variant>
        <vt:i4>0</vt:i4>
      </vt:variant>
      <vt:variant>
        <vt:i4>5</vt:i4>
      </vt:variant>
      <vt:variant>
        <vt:lpwstr/>
      </vt:variant>
      <vt:variant>
        <vt:lpwstr>_Toc213871344</vt:lpwstr>
      </vt:variant>
      <vt:variant>
        <vt:i4>1769525</vt:i4>
      </vt:variant>
      <vt:variant>
        <vt:i4>44</vt:i4>
      </vt:variant>
      <vt:variant>
        <vt:i4>0</vt:i4>
      </vt:variant>
      <vt:variant>
        <vt:i4>5</vt:i4>
      </vt:variant>
      <vt:variant>
        <vt:lpwstr/>
      </vt:variant>
      <vt:variant>
        <vt:lpwstr>_Toc213871343</vt:lpwstr>
      </vt:variant>
      <vt:variant>
        <vt:i4>1769525</vt:i4>
      </vt:variant>
      <vt:variant>
        <vt:i4>38</vt:i4>
      </vt:variant>
      <vt:variant>
        <vt:i4>0</vt:i4>
      </vt:variant>
      <vt:variant>
        <vt:i4>5</vt:i4>
      </vt:variant>
      <vt:variant>
        <vt:lpwstr/>
      </vt:variant>
      <vt:variant>
        <vt:lpwstr>_Toc213871342</vt:lpwstr>
      </vt:variant>
      <vt:variant>
        <vt:i4>1769525</vt:i4>
      </vt:variant>
      <vt:variant>
        <vt:i4>32</vt:i4>
      </vt:variant>
      <vt:variant>
        <vt:i4>0</vt:i4>
      </vt:variant>
      <vt:variant>
        <vt:i4>5</vt:i4>
      </vt:variant>
      <vt:variant>
        <vt:lpwstr/>
      </vt:variant>
      <vt:variant>
        <vt:lpwstr>_Toc213871341</vt:lpwstr>
      </vt:variant>
      <vt:variant>
        <vt:i4>1769525</vt:i4>
      </vt:variant>
      <vt:variant>
        <vt:i4>26</vt:i4>
      </vt:variant>
      <vt:variant>
        <vt:i4>0</vt:i4>
      </vt:variant>
      <vt:variant>
        <vt:i4>5</vt:i4>
      </vt:variant>
      <vt:variant>
        <vt:lpwstr/>
      </vt:variant>
      <vt:variant>
        <vt:lpwstr>_Toc213871340</vt:lpwstr>
      </vt:variant>
      <vt:variant>
        <vt:i4>1835061</vt:i4>
      </vt:variant>
      <vt:variant>
        <vt:i4>20</vt:i4>
      </vt:variant>
      <vt:variant>
        <vt:i4>0</vt:i4>
      </vt:variant>
      <vt:variant>
        <vt:i4>5</vt:i4>
      </vt:variant>
      <vt:variant>
        <vt:lpwstr/>
      </vt:variant>
      <vt:variant>
        <vt:lpwstr>_Toc213871339</vt:lpwstr>
      </vt:variant>
      <vt:variant>
        <vt:i4>1835061</vt:i4>
      </vt:variant>
      <vt:variant>
        <vt:i4>14</vt:i4>
      </vt:variant>
      <vt:variant>
        <vt:i4>0</vt:i4>
      </vt:variant>
      <vt:variant>
        <vt:i4>5</vt:i4>
      </vt:variant>
      <vt:variant>
        <vt:lpwstr/>
      </vt:variant>
      <vt:variant>
        <vt:lpwstr>_Toc213871338</vt:lpwstr>
      </vt:variant>
      <vt:variant>
        <vt:i4>1835061</vt:i4>
      </vt:variant>
      <vt:variant>
        <vt:i4>8</vt:i4>
      </vt:variant>
      <vt:variant>
        <vt:i4>0</vt:i4>
      </vt:variant>
      <vt:variant>
        <vt:i4>5</vt:i4>
      </vt:variant>
      <vt:variant>
        <vt:lpwstr/>
      </vt:variant>
      <vt:variant>
        <vt:lpwstr>_Toc213871337</vt:lpwstr>
      </vt:variant>
      <vt:variant>
        <vt:i4>1835061</vt:i4>
      </vt:variant>
      <vt:variant>
        <vt:i4>2</vt:i4>
      </vt:variant>
      <vt:variant>
        <vt:i4>0</vt:i4>
      </vt:variant>
      <vt:variant>
        <vt:i4>5</vt:i4>
      </vt:variant>
      <vt:variant>
        <vt:lpwstr/>
      </vt:variant>
      <vt:variant>
        <vt:lpwstr>_Toc213871336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Shahana Islam (2209436)</cp:lastModifiedBy>
  <cp:revision>2</cp:revision>
  <cp:lastPrinted>2025-11-24T23:03:00Z</cp:lastPrinted>
  <dcterms:created xsi:type="dcterms:W3CDTF">2025-11-24T23:06:00Z</dcterms:created>
  <dcterms:modified xsi:type="dcterms:W3CDTF">2025-11-24T23:06:00Z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