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86C859" w14:textId="4F00AD9E" w:rsidR="000742E0" w:rsidRPr="00B044A4" w:rsidRDefault="00B044A4" w:rsidP="00B044A4">
      <w:pPr>
        <w:jc w:val="center"/>
        <w:rPr>
          <w:u w:val="single"/>
        </w:rPr>
      </w:pPr>
      <w:r>
        <w:rPr>
          <w:u w:val="single"/>
        </w:rPr>
        <w:t>Reference List</w:t>
      </w:r>
    </w:p>
    <w:p w14:paraId="252FEEE2" w14:textId="3D461D79" w:rsidR="00C91052" w:rsidRPr="00C91052" w:rsidRDefault="00C91052" w:rsidP="00B044A4">
      <w:pPr>
        <w:spacing w:line="360" w:lineRule="auto"/>
      </w:pPr>
      <w:r>
        <w:t xml:space="preserve">General Medical Council (2025) </w:t>
      </w:r>
      <w:r>
        <w:rPr>
          <w:i/>
          <w:iCs/>
        </w:rPr>
        <w:t>The seven principles of decision making and consent</w:t>
      </w:r>
      <w:r>
        <w:t xml:space="preserve">. Available at: </w:t>
      </w:r>
      <w:r w:rsidRPr="00C91052">
        <w:t>https://www.gmc-uk.org/professional-standards/the-professional-standards/decision-making-and-consent/the-seven-principles-of-decision-making-and-consent</w:t>
      </w:r>
      <w:r>
        <w:t xml:space="preserve"> (Accessed: 10</w:t>
      </w:r>
      <w:r w:rsidRPr="00C91052">
        <w:rPr>
          <w:vertAlign w:val="superscript"/>
        </w:rPr>
        <w:t>th</w:t>
      </w:r>
      <w:r>
        <w:t xml:space="preserve"> November 2025)</w:t>
      </w:r>
    </w:p>
    <w:p w14:paraId="59FC360B" w14:textId="4AD3E006" w:rsidR="00E16E7E" w:rsidRPr="00C91052" w:rsidRDefault="00E16E7E" w:rsidP="00B044A4">
      <w:pPr>
        <w:spacing w:line="360" w:lineRule="auto"/>
        <w:rPr>
          <w:color w:val="000000" w:themeColor="text1"/>
        </w:rPr>
      </w:pPr>
      <w:r w:rsidRPr="00C91052">
        <w:rPr>
          <w:rFonts w:ascii="Segoe UI" w:hAnsi="Segoe UI" w:cs="Segoe UI"/>
          <w:color w:val="000000" w:themeColor="text1"/>
          <w:shd w:val="clear" w:color="auto" w:fill="FFFFFF"/>
        </w:rPr>
        <w:t xml:space="preserve">Iversen, H.W., Riley, H., </w:t>
      </w:r>
      <w:proofErr w:type="spellStart"/>
      <w:r w:rsidRPr="00C91052">
        <w:rPr>
          <w:rFonts w:ascii="Segoe UI" w:hAnsi="Segoe UI" w:cs="Segoe UI"/>
          <w:color w:val="000000" w:themeColor="text1"/>
          <w:shd w:val="clear" w:color="auto" w:fill="FFFFFF"/>
        </w:rPr>
        <w:t>Råbu</w:t>
      </w:r>
      <w:proofErr w:type="spellEnd"/>
      <w:r w:rsidRPr="00C91052">
        <w:rPr>
          <w:rFonts w:ascii="Segoe UI" w:hAnsi="Segoe UI" w:cs="Segoe UI"/>
          <w:color w:val="000000" w:themeColor="text1"/>
          <w:shd w:val="clear" w:color="auto" w:fill="FFFFFF"/>
        </w:rPr>
        <w:t>, M.</w:t>
      </w:r>
      <w:r w:rsidR="007C49AC" w:rsidRPr="00C91052">
        <w:rPr>
          <w:rFonts w:ascii="Segoe UI" w:hAnsi="Segoe UI" w:cs="Segoe UI"/>
          <w:color w:val="000000" w:themeColor="text1"/>
          <w:shd w:val="clear" w:color="auto" w:fill="FFFFFF"/>
        </w:rPr>
        <w:t xml:space="preserve"> and Loren, G.F</w:t>
      </w:r>
      <w:r w:rsidRPr="00C91052">
        <w:rPr>
          <w:rFonts w:ascii="Segoe UI" w:hAnsi="Segoe UI" w:cs="Segoe UI"/>
          <w:i/>
          <w:iCs/>
          <w:color w:val="000000" w:themeColor="text1"/>
          <w:shd w:val="clear" w:color="auto" w:fill="FFFFFF"/>
        </w:rPr>
        <w:t>.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 xml:space="preserve"> </w:t>
      </w:r>
      <w:r w:rsidR="00B044A4" w:rsidRPr="00C91052">
        <w:rPr>
          <w:rFonts w:ascii="Segoe UI" w:hAnsi="Segoe UI" w:cs="Segoe UI"/>
          <w:color w:val="000000" w:themeColor="text1"/>
          <w:shd w:val="clear" w:color="auto" w:fill="FFFFFF"/>
        </w:rPr>
        <w:t>(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>2025</w:t>
      </w:r>
      <w:r w:rsidR="00B044A4" w:rsidRPr="00C91052">
        <w:rPr>
          <w:rFonts w:ascii="Segoe UI" w:hAnsi="Segoe UI" w:cs="Segoe UI"/>
          <w:color w:val="000000" w:themeColor="text1"/>
          <w:shd w:val="clear" w:color="auto" w:fill="FFFFFF"/>
        </w:rPr>
        <w:t>)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 xml:space="preserve"> </w:t>
      </w:r>
      <w:r w:rsidR="00260F0C" w:rsidRPr="00C91052">
        <w:rPr>
          <w:rFonts w:ascii="Segoe UI" w:hAnsi="Segoe UI" w:cs="Segoe UI"/>
          <w:color w:val="000000" w:themeColor="text1"/>
          <w:shd w:val="clear" w:color="auto" w:fill="FFFFFF"/>
        </w:rPr>
        <w:t>‘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>Building and sustaining therapeutic relationships across treatment settings: a qualitative study of how patients navigate the group dynamics of mental healthcare</w:t>
      </w:r>
      <w:r w:rsidR="00260F0C" w:rsidRPr="00C91052">
        <w:rPr>
          <w:rFonts w:ascii="Segoe UI" w:hAnsi="Segoe UI" w:cs="Segoe UI"/>
          <w:color w:val="000000" w:themeColor="text1"/>
          <w:shd w:val="clear" w:color="auto" w:fill="FFFFFF"/>
        </w:rPr>
        <w:t>’</w:t>
      </w:r>
      <w:r w:rsidR="00173987">
        <w:rPr>
          <w:rFonts w:ascii="Segoe UI" w:hAnsi="Segoe UI" w:cs="Segoe UI"/>
          <w:color w:val="000000" w:themeColor="text1"/>
          <w:shd w:val="clear" w:color="auto" w:fill="FFFFFF"/>
        </w:rPr>
        <w:t>,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> </w:t>
      </w:r>
      <w:r w:rsidRPr="00C91052">
        <w:rPr>
          <w:rFonts w:ascii="Segoe UI" w:hAnsi="Segoe UI" w:cs="Segoe UI"/>
          <w:i/>
          <w:iCs/>
          <w:color w:val="000000" w:themeColor="text1"/>
          <w:shd w:val="clear" w:color="auto" w:fill="FFFFFF"/>
        </w:rPr>
        <w:t>BMC Psychiatry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>, </w:t>
      </w:r>
      <w:r w:rsidR="00173987">
        <w:rPr>
          <w:rFonts w:ascii="Segoe UI" w:hAnsi="Segoe UI" w:cs="Segoe UI"/>
          <w:color w:val="000000" w:themeColor="text1"/>
          <w:shd w:val="clear" w:color="auto" w:fill="FFFFFF"/>
        </w:rPr>
        <w:t>25(1)</w:t>
      </w:r>
      <w:r w:rsidR="009774C9" w:rsidRPr="00C91052">
        <w:rPr>
          <w:rFonts w:ascii="Segoe UI" w:hAnsi="Segoe UI" w:cs="Segoe UI"/>
          <w:color w:val="000000" w:themeColor="text1"/>
          <w:shd w:val="clear" w:color="auto" w:fill="FFFFFF"/>
        </w:rPr>
        <w:t>. Available at: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 xml:space="preserve"> https://doi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>.</w:t>
      </w:r>
      <w:r w:rsidRPr="00C91052">
        <w:rPr>
          <w:rFonts w:ascii="Segoe UI" w:hAnsi="Segoe UI" w:cs="Segoe UI"/>
          <w:color w:val="000000" w:themeColor="text1"/>
          <w:shd w:val="clear" w:color="auto" w:fill="FFFFFF"/>
        </w:rPr>
        <w:t>org/10.1186/s12888-025-06874-5</w:t>
      </w:r>
    </w:p>
    <w:p w14:paraId="32292BF3" w14:textId="2215D526" w:rsidR="009774C9" w:rsidRDefault="009774C9" w:rsidP="00B044A4">
      <w:pPr>
        <w:spacing w:line="360" w:lineRule="auto"/>
      </w:pPr>
      <w:r w:rsidRPr="009774C9">
        <w:t>Kahneman, D. (2012) </w:t>
      </w:r>
      <w:r w:rsidRPr="009774C9">
        <w:rPr>
          <w:i/>
          <w:iCs/>
        </w:rPr>
        <w:t>Thinking, fast and slow</w:t>
      </w:r>
      <w:r w:rsidRPr="009774C9">
        <w:t>. London:</w:t>
      </w:r>
      <w:r w:rsidR="00173987">
        <w:t xml:space="preserve"> </w:t>
      </w:r>
      <w:r>
        <w:t>Penguin.</w:t>
      </w:r>
    </w:p>
    <w:p w14:paraId="25602547" w14:textId="036813FF" w:rsidR="00B044A4" w:rsidRPr="00E16E7E" w:rsidRDefault="00B044A4" w:rsidP="00B044A4">
      <w:pPr>
        <w:spacing w:line="360" w:lineRule="auto"/>
      </w:pPr>
      <w:r>
        <w:t xml:space="preserve">Morgan, S. </w:t>
      </w:r>
      <w:r w:rsidR="00260F0C">
        <w:t>(</w:t>
      </w:r>
      <w:r>
        <w:t>2004</w:t>
      </w:r>
      <w:r w:rsidR="00260F0C">
        <w:t>)</w:t>
      </w:r>
      <w:r>
        <w:t xml:space="preserve"> </w:t>
      </w:r>
      <w:r w:rsidR="00260F0C">
        <w:t>‘</w:t>
      </w:r>
      <w:r>
        <w:t>Positive risk-taking: an idea whose time has come</w:t>
      </w:r>
      <w:r w:rsidR="00260F0C">
        <w:t>’</w:t>
      </w:r>
      <w:r w:rsidR="00173987">
        <w:t>,</w:t>
      </w:r>
      <w:r>
        <w:t xml:space="preserve"> </w:t>
      </w:r>
      <w:r w:rsidRPr="00260F0C">
        <w:rPr>
          <w:i/>
          <w:iCs/>
        </w:rPr>
        <w:t>Health Care Risk Report</w:t>
      </w:r>
      <w:r>
        <w:t xml:space="preserve">, </w:t>
      </w:r>
      <w:r w:rsidR="00260F0C">
        <w:t>(</w:t>
      </w:r>
      <w:r>
        <w:t>10</w:t>
      </w:r>
      <w:r w:rsidR="00260F0C">
        <w:t>)</w:t>
      </w:r>
      <w:r>
        <w:t>, pp 18-19</w:t>
      </w:r>
      <w:r w:rsidR="00C53E1E">
        <w:t>. Available at:</w:t>
      </w:r>
      <w:r w:rsidR="00C53E1E" w:rsidRPr="00C53E1E">
        <w:t xml:space="preserve"> </w:t>
      </w:r>
      <w:r w:rsidR="00C53E1E" w:rsidRPr="00C53E1E">
        <w:t>https://static1.1.sqspcdn.com/static/f/586382/9538512/1290507680737/OpenMind-PositiveRiskTakin</w:t>
      </w:r>
      <w:r w:rsidR="00C53E1E" w:rsidRPr="00C53E1E">
        <w:t>g</w:t>
      </w:r>
      <w:r w:rsidR="00C53E1E" w:rsidRPr="00C53E1E">
        <w:t>.pdf</w:t>
      </w:r>
      <w:r w:rsidR="00C53E1E">
        <w:t xml:space="preserve">  </w:t>
      </w:r>
    </w:p>
    <w:p w14:paraId="699A263E" w14:textId="200F9D76" w:rsidR="00B044A4" w:rsidRPr="001301F1" w:rsidRDefault="00B044A4" w:rsidP="00C91052">
      <w:pPr>
        <w:spacing w:line="360" w:lineRule="auto"/>
      </w:pPr>
      <w:bookmarkStart w:id="0" w:name="_Hlk213668322"/>
      <w:proofErr w:type="spellStart"/>
      <w:r>
        <w:t>Ohrnberger</w:t>
      </w:r>
      <w:proofErr w:type="spellEnd"/>
      <w:r>
        <w:t>, J., Fichera, E and Sutton</w:t>
      </w:r>
      <w:bookmarkEnd w:id="0"/>
      <w:r>
        <w:t xml:space="preserve">, M. </w:t>
      </w:r>
      <w:r w:rsidR="00AF6D76">
        <w:t>(</w:t>
      </w:r>
      <w:r>
        <w:t>2017</w:t>
      </w:r>
      <w:r w:rsidR="00AF6D76">
        <w:t>)</w:t>
      </w:r>
      <w:r>
        <w:t xml:space="preserve">. </w:t>
      </w:r>
      <w:r w:rsidR="00AF6D76">
        <w:t>‘</w:t>
      </w:r>
      <w:r>
        <w:t>The dynamics of physical and mental health in the older population</w:t>
      </w:r>
      <w:r w:rsidR="00AF6D76">
        <w:t>’</w:t>
      </w:r>
      <w:r>
        <w:t xml:space="preserve">. </w:t>
      </w:r>
      <w:r w:rsidRPr="00AF6D76">
        <w:rPr>
          <w:i/>
          <w:iCs/>
        </w:rPr>
        <w:t>The Journal of the Economics of Ageing</w:t>
      </w:r>
      <w:r>
        <w:t xml:space="preserve">, </w:t>
      </w:r>
      <w:r w:rsidR="00AF6D76">
        <w:t>(</w:t>
      </w:r>
      <w:r>
        <w:t>9</w:t>
      </w:r>
      <w:r w:rsidR="00AF6D76">
        <w:t>)</w:t>
      </w:r>
      <w:r>
        <w:t xml:space="preserve">, pp 52-62. Available at: </w:t>
      </w:r>
      <w:r w:rsidRPr="00AF6D76">
        <w:t>https://doi.org/10.1016/j.jeoa.2016.</w:t>
      </w:r>
      <w:r w:rsidRPr="00AF6D76">
        <w:t>0</w:t>
      </w:r>
      <w:r w:rsidRPr="00AF6D76">
        <w:t>7.002</w:t>
      </w:r>
      <w:r>
        <w:t xml:space="preserve"> </w:t>
      </w:r>
    </w:p>
    <w:sectPr w:rsidR="00B044A4" w:rsidRPr="001301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213DC"/>
    <w:multiLevelType w:val="hybridMultilevel"/>
    <w:tmpl w:val="721ABF16"/>
    <w:lvl w:ilvl="0" w:tplc="A274D622">
      <w:start w:val="1"/>
      <w:numFmt w:val="decimal"/>
      <w:lvlText w:val="%1)"/>
      <w:lvlJc w:val="left"/>
      <w:pPr>
        <w:ind w:left="1080" w:hanging="360"/>
      </w:pPr>
      <w:rPr>
        <w:rFonts w:ascii="Segoe UI" w:hAnsi="Segoe UI" w:cs="Segoe UI"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36D15F2"/>
    <w:multiLevelType w:val="hybridMultilevel"/>
    <w:tmpl w:val="8EBC302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73648238">
    <w:abstractNumId w:val="1"/>
  </w:num>
  <w:num w:numId="2" w16cid:durableId="14416804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1F1"/>
    <w:rsid w:val="000742E0"/>
    <w:rsid w:val="000F5E59"/>
    <w:rsid w:val="001301F1"/>
    <w:rsid w:val="00173987"/>
    <w:rsid w:val="00205BBC"/>
    <w:rsid w:val="00260F0C"/>
    <w:rsid w:val="0041523B"/>
    <w:rsid w:val="004A2889"/>
    <w:rsid w:val="005A740C"/>
    <w:rsid w:val="00730275"/>
    <w:rsid w:val="00765D64"/>
    <w:rsid w:val="007C49AC"/>
    <w:rsid w:val="008D631B"/>
    <w:rsid w:val="009774C9"/>
    <w:rsid w:val="0099298F"/>
    <w:rsid w:val="00A7165A"/>
    <w:rsid w:val="00AB6293"/>
    <w:rsid w:val="00AF6D76"/>
    <w:rsid w:val="00B044A4"/>
    <w:rsid w:val="00C2158C"/>
    <w:rsid w:val="00C53E1E"/>
    <w:rsid w:val="00C91052"/>
    <w:rsid w:val="00D74F9B"/>
    <w:rsid w:val="00E16E7E"/>
    <w:rsid w:val="00E66EB3"/>
    <w:rsid w:val="00F65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A2178"/>
  <w15:chartTrackingRefBased/>
  <w15:docId w15:val="{CC68D46F-FA4B-4148-8541-0D16E12741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01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01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01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01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01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01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01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01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01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01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01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01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01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01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01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01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01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01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01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01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01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01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01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01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01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01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01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01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01F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301F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A2889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0742E0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F5E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167</Words>
  <Characters>956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Hart</dc:creator>
  <cp:keywords/>
  <dc:description/>
  <cp:lastModifiedBy>Gemma Hart</cp:lastModifiedBy>
  <cp:revision>2</cp:revision>
  <dcterms:created xsi:type="dcterms:W3CDTF">2025-11-10T20:16:00Z</dcterms:created>
  <dcterms:modified xsi:type="dcterms:W3CDTF">2025-11-10T20:16:00Z</dcterms:modified>
</cp:coreProperties>
</file>