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color w:val="auto"/>
          <w:kern w:val="2"/>
          <w:sz w:val="22"/>
          <w:szCs w:val="22"/>
          <w:lang w:val="en-GB"/>
          <w14:ligatures w14:val="standardContextual"/>
        </w:rPr>
        <w:id w:val="1569924058"/>
        <w:docPartObj>
          <w:docPartGallery w:val="Table of Contents"/>
          <w:docPartUnique/>
        </w:docPartObj>
      </w:sdtPr>
      <w:sdtEndPr>
        <w:rPr>
          <w:b/>
          <w:bCs/>
          <w:noProof/>
        </w:rPr>
      </w:sdtEndPr>
      <w:sdtContent>
        <w:p w14:paraId="2FD5AC53" w14:textId="0DAFDD4F" w:rsidR="00DA31AC" w:rsidRPr="00DA31AC" w:rsidRDefault="00DA31AC" w:rsidP="00DA31AC">
          <w:pPr>
            <w:pStyle w:val="TOCHeading"/>
            <w:jc w:val="center"/>
            <w:rPr>
              <w:rFonts w:asciiTheme="minorHAnsi" w:hAnsiTheme="minorHAnsi"/>
              <w:color w:val="auto"/>
              <w:sz w:val="36"/>
              <w:szCs w:val="36"/>
            </w:rPr>
          </w:pPr>
          <w:r w:rsidRPr="00DA31AC">
            <w:rPr>
              <w:rFonts w:asciiTheme="minorHAnsi" w:hAnsiTheme="minorHAnsi"/>
              <w:color w:val="auto"/>
              <w:sz w:val="36"/>
              <w:szCs w:val="36"/>
            </w:rPr>
            <w:t>Contents</w:t>
          </w:r>
        </w:p>
        <w:p w14:paraId="2923293D" w14:textId="7E8202B6" w:rsidR="00DA31AC" w:rsidRPr="00DA31AC" w:rsidRDefault="00DA31A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4028390" w:history="1">
            <w:r w:rsidRPr="00DA31AC">
              <w:rPr>
                <w:rStyle w:val="Hyperlink"/>
                <w:noProof/>
                <w:sz w:val="24"/>
                <w:szCs w:val="24"/>
              </w:rPr>
              <w:t>2.1 Introduction</w:t>
            </w:r>
            <w:r w:rsidRPr="00DA31AC">
              <w:rPr>
                <w:noProof/>
                <w:webHidden/>
                <w:sz w:val="24"/>
                <w:szCs w:val="24"/>
              </w:rPr>
              <w:tab/>
            </w:r>
            <w:r w:rsidRPr="00DA31AC">
              <w:rPr>
                <w:noProof/>
                <w:webHidden/>
                <w:sz w:val="24"/>
                <w:szCs w:val="24"/>
              </w:rPr>
              <w:fldChar w:fldCharType="begin"/>
            </w:r>
            <w:r w:rsidRPr="00DA31AC">
              <w:rPr>
                <w:noProof/>
                <w:webHidden/>
                <w:sz w:val="24"/>
                <w:szCs w:val="24"/>
              </w:rPr>
              <w:instrText xml:space="preserve"> PAGEREF _Toc204028390 \h </w:instrText>
            </w:r>
            <w:r w:rsidRPr="00DA31AC">
              <w:rPr>
                <w:noProof/>
                <w:webHidden/>
                <w:sz w:val="24"/>
                <w:szCs w:val="24"/>
              </w:rPr>
            </w:r>
            <w:r w:rsidRPr="00DA31AC">
              <w:rPr>
                <w:noProof/>
                <w:webHidden/>
                <w:sz w:val="24"/>
                <w:szCs w:val="24"/>
              </w:rPr>
              <w:fldChar w:fldCharType="separate"/>
            </w:r>
            <w:r w:rsidRPr="00DA31AC">
              <w:rPr>
                <w:noProof/>
                <w:webHidden/>
                <w:sz w:val="24"/>
                <w:szCs w:val="24"/>
              </w:rPr>
              <w:t>2</w:t>
            </w:r>
            <w:r w:rsidRPr="00DA31AC">
              <w:rPr>
                <w:noProof/>
                <w:webHidden/>
                <w:sz w:val="24"/>
                <w:szCs w:val="24"/>
              </w:rPr>
              <w:fldChar w:fldCharType="end"/>
            </w:r>
          </w:hyperlink>
        </w:p>
        <w:p w14:paraId="44F1C5ED" w14:textId="256AFCEA" w:rsidR="00DA31AC" w:rsidRPr="00DA31AC" w:rsidRDefault="00DA31AC">
          <w:pPr>
            <w:pStyle w:val="TOC1"/>
            <w:tabs>
              <w:tab w:val="right" w:leader="dot" w:pos="9016"/>
            </w:tabs>
            <w:rPr>
              <w:rFonts w:eastAsiaTheme="minorEastAsia"/>
              <w:noProof/>
              <w:sz w:val="24"/>
              <w:szCs w:val="24"/>
              <w:lang w:eastAsia="en-GB"/>
            </w:rPr>
          </w:pPr>
          <w:hyperlink w:anchor="_Toc204028391" w:history="1">
            <w:r w:rsidRPr="00DA31AC">
              <w:rPr>
                <w:rStyle w:val="Hyperlink"/>
                <w:noProof/>
                <w:sz w:val="24"/>
                <w:szCs w:val="24"/>
              </w:rPr>
              <w:t>2.2 Feminist and Criminology Perspectives</w:t>
            </w:r>
            <w:r w:rsidRPr="00DA31AC">
              <w:rPr>
                <w:noProof/>
                <w:webHidden/>
                <w:sz w:val="24"/>
                <w:szCs w:val="24"/>
              </w:rPr>
              <w:tab/>
            </w:r>
            <w:r w:rsidRPr="00DA31AC">
              <w:rPr>
                <w:noProof/>
                <w:webHidden/>
                <w:sz w:val="24"/>
                <w:szCs w:val="24"/>
              </w:rPr>
              <w:fldChar w:fldCharType="begin"/>
            </w:r>
            <w:r w:rsidRPr="00DA31AC">
              <w:rPr>
                <w:noProof/>
                <w:webHidden/>
                <w:sz w:val="24"/>
                <w:szCs w:val="24"/>
              </w:rPr>
              <w:instrText xml:space="preserve"> PAGEREF _Toc204028391 \h </w:instrText>
            </w:r>
            <w:r w:rsidRPr="00DA31AC">
              <w:rPr>
                <w:noProof/>
                <w:webHidden/>
                <w:sz w:val="24"/>
                <w:szCs w:val="24"/>
              </w:rPr>
            </w:r>
            <w:r w:rsidRPr="00DA31AC">
              <w:rPr>
                <w:noProof/>
                <w:webHidden/>
                <w:sz w:val="24"/>
                <w:szCs w:val="24"/>
              </w:rPr>
              <w:fldChar w:fldCharType="separate"/>
            </w:r>
            <w:r w:rsidRPr="00DA31AC">
              <w:rPr>
                <w:noProof/>
                <w:webHidden/>
                <w:sz w:val="24"/>
                <w:szCs w:val="24"/>
              </w:rPr>
              <w:t>4</w:t>
            </w:r>
            <w:r w:rsidRPr="00DA31AC">
              <w:rPr>
                <w:noProof/>
                <w:webHidden/>
                <w:sz w:val="24"/>
                <w:szCs w:val="24"/>
              </w:rPr>
              <w:fldChar w:fldCharType="end"/>
            </w:r>
          </w:hyperlink>
        </w:p>
        <w:p w14:paraId="0A42FADB" w14:textId="03E64A21" w:rsidR="00DA31AC" w:rsidRPr="00DA31AC" w:rsidRDefault="00DA31AC">
          <w:pPr>
            <w:pStyle w:val="TOC1"/>
            <w:tabs>
              <w:tab w:val="right" w:leader="dot" w:pos="9016"/>
            </w:tabs>
            <w:rPr>
              <w:rFonts w:eastAsiaTheme="minorEastAsia"/>
              <w:noProof/>
              <w:sz w:val="24"/>
              <w:szCs w:val="24"/>
              <w:lang w:eastAsia="en-GB"/>
            </w:rPr>
          </w:pPr>
          <w:hyperlink w:anchor="_Toc204028392" w:history="1">
            <w:r w:rsidRPr="00DA31AC">
              <w:rPr>
                <w:rStyle w:val="Hyperlink"/>
                <w:noProof/>
                <w:sz w:val="24"/>
                <w:szCs w:val="24"/>
              </w:rPr>
              <w:t>2.3 International comparative and field studies</w:t>
            </w:r>
            <w:r w:rsidRPr="00DA31AC">
              <w:rPr>
                <w:noProof/>
                <w:webHidden/>
                <w:sz w:val="24"/>
                <w:szCs w:val="24"/>
              </w:rPr>
              <w:tab/>
            </w:r>
            <w:r w:rsidRPr="00DA31AC">
              <w:rPr>
                <w:noProof/>
                <w:webHidden/>
                <w:sz w:val="24"/>
                <w:szCs w:val="24"/>
              </w:rPr>
              <w:fldChar w:fldCharType="begin"/>
            </w:r>
            <w:r w:rsidRPr="00DA31AC">
              <w:rPr>
                <w:noProof/>
                <w:webHidden/>
                <w:sz w:val="24"/>
                <w:szCs w:val="24"/>
              </w:rPr>
              <w:instrText xml:space="preserve"> PAGEREF _Toc204028392 \h </w:instrText>
            </w:r>
            <w:r w:rsidRPr="00DA31AC">
              <w:rPr>
                <w:noProof/>
                <w:webHidden/>
                <w:sz w:val="24"/>
                <w:szCs w:val="24"/>
              </w:rPr>
            </w:r>
            <w:r w:rsidRPr="00DA31AC">
              <w:rPr>
                <w:noProof/>
                <w:webHidden/>
                <w:sz w:val="24"/>
                <w:szCs w:val="24"/>
              </w:rPr>
              <w:fldChar w:fldCharType="separate"/>
            </w:r>
            <w:r w:rsidRPr="00DA31AC">
              <w:rPr>
                <w:noProof/>
                <w:webHidden/>
                <w:sz w:val="24"/>
                <w:szCs w:val="24"/>
              </w:rPr>
              <w:t>6</w:t>
            </w:r>
            <w:r w:rsidRPr="00DA31AC">
              <w:rPr>
                <w:noProof/>
                <w:webHidden/>
                <w:sz w:val="24"/>
                <w:szCs w:val="24"/>
              </w:rPr>
              <w:fldChar w:fldCharType="end"/>
            </w:r>
          </w:hyperlink>
        </w:p>
        <w:p w14:paraId="469E4A4C" w14:textId="0363F088" w:rsidR="00DA31AC" w:rsidRPr="00DA31AC" w:rsidRDefault="00DA31AC">
          <w:pPr>
            <w:pStyle w:val="TOC1"/>
            <w:tabs>
              <w:tab w:val="right" w:leader="dot" w:pos="9016"/>
            </w:tabs>
            <w:rPr>
              <w:rFonts w:eastAsiaTheme="minorEastAsia"/>
              <w:noProof/>
              <w:sz w:val="24"/>
              <w:szCs w:val="24"/>
              <w:lang w:eastAsia="en-GB"/>
            </w:rPr>
          </w:pPr>
          <w:hyperlink w:anchor="_Toc204028393" w:history="1">
            <w:r w:rsidRPr="00DA31AC">
              <w:rPr>
                <w:rStyle w:val="Hyperlink"/>
                <w:noProof/>
                <w:sz w:val="24"/>
                <w:szCs w:val="24"/>
              </w:rPr>
              <w:t>2.4 Male versus Female use of force in policing</w:t>
            </w:r>
            <w:r w:rsidRPr="00DA31AC">
              <w:rPr>
                <w:noProof/>
                <w:webHidden/>
                <w:sz w:val="24"/>
                <w:szCs w:val="24"/>
              </w:rPr>
              <w:tab/>
            </w:r>
            <w:r w:rsidRPr="00DA31AC">
              <w:rPr>
                <w:noProof/>
                <w:webHidden/>
                <w:sz w:val="24"/>
                <w:szCs w:val="24"/>
              </w:rPr>
              <w:fldChar w:fldCharType="begin"/>
            </w:r>
            <w:r w:rsidRPr="00DA31AC">
              <w:rPr>
                <w:noProof/>
                <w:webHidden/>
                <w:sz w:val="24"/>
                <w:szCs w:val="24"/>
              </w:rPr>
              <w:instrText xml:space="preserve"> PAGEREF _Toc204028393 \h </w:instrText>
            </w:r>
            <w:r w:rsidRPr="00DA31AC">
              <w:rPr>
                <w:noProof/>
                <w:webHidden/>
                <w:sz w:val="24"/>
                <w:szCs w:val="24"/>
              </w:rPr>
            </w:r>
            <w:r w:rsidRPr="00DA31AC">
              <w:rPr>
                <w:noProof/>
                <w:webHidden/>
                <w:sz w:val="24"/>
                <w:szCs w:val="24"/>
              </w:rPr>
              <w:fldChar w:fldCharType="separate"/>
            </w:r>
            <w:r w:rsidRPr="00DA31AC">
              <w:rPr>
                <w:noProof/>
                <w:webHidden/>
                <w:sz w:val="24"/>
                <w:szCs w:val="24"/>
              </w:rPr>
              <w:t>8</w:t>
            </w:r>
            <w:r w:rsidRPr="00DA31AC">
              <w:rPr>
                <w:noProof/>
                <w:webHidden/>
                <w:sz w:val="24"/>
                <w:szCs w:val="24"/>
              </w:rPr>
              <w:fldChar w:fldCharType="end"/>
            </w:r>
          </w:hyperlink>
        </w:p>
        <w:p w14:paraId="41951BED" w14:textId="6EE83C5B" w:rsidR="00DA31AC" w:rsidRPr="00DA31AC" w:rsidRDefault="00DA31AC">
          <w:pPr>
            <w:pStyle w:val="TOC1"/>
            <w:tabs>
              <w:tab w:val="right" w:leader="dot" w:pos="9016"/>
            </w:tabs>
            <w:rPr>
              <w:rFonts w:eastAsiaTheme="minorEastAsia"/>
              <w:noProof/>
              <w:sz w:val="24"/>
              <w:szCs w:val="24"/>
              <w:lang w:eastAsia="en-GB"/>
            </w:rPr>
          </w:pPr>
          <w:hyperlink w:anchor="_Toc204028394" w:history="1">
            <w:r w:rsidRPr="00DA31AC">
              <w:rPr>
                <w:rStyle w:val="Hyperlink"/>
                <w:noProof/>
                <w:sz w:val="24"/>
                <w:szCs w:val="24"/>
              </w:rPr>
              <w:t>2.5 Gendered Policing culture and leadership</w:t>
            </w:r>
            <w:r w:rsidRPr="00DA31AC">
              <w:rPr>
                <w:noProof/>
                <w:webHidden/>
                <w:sz w:val="24"/>
                <w:szCs w:val="24"/>
              </w:rPr>
              <w:tab/>
            </w:r>
            <w:r w:rsidRPr="00DA31AC">
              <w:rPr>
                <w:noProof/>
                <w:webHidden/>
                <w:sz w:val="24"/>
                <w:szCs w:val="24"/>
              </w:rPr>
              <w:fldChar w:fldCharType="begin"/>
            </w:r>
            <w:r w:rsidRPr="00DA31AC">
              <w:rPr>
                <w:noProof/>
                <w:webHidden/>
                <w:sz w:val="24"/>
                <w:szCs w:val="24"/>
              </w:rPr>
              <w:instrText xml:space="preserve"> PAGEREF _Toc204028394 \h </w:instrText>
            </w:r>
            <w:r w:rsidRPr="00DA31AC">
              <w:rPr>
                <w:noProof/>
                <w:webHidden/>
                <w:sz w:val="24"/>
                <w:szCs w:val="24"/>
              </w:rPr>
            </w:r>
            <w:r w:rsidRPr="00DA31AC">
              <w:rPr>
                <w:noProof/>
                <w:webHidden/>
                <w:sz w:val="24"/>
                <w:szCs w:val="24"/>
              </w:rPr>
              <w:fldChar w:fldCharType="separate"/>
            </w:r>
            <w:r w:rsidRPr="00DA31AC">
              <w:rPr>
                <w:noProof/>
                <w:webHidden/>
                <w:sz w:val="24"/>
                <w:szCs w:val="24"/>
              </w:rPr>
              <w:t>10</w:t>
            </w:r>
            <w:r w:rsidRPr="00DA31AC">
              <w:rPr>
                <w:noProof/>
                <w:webHidden/>
                <w:sz w:val="24"/>
                <w:szCs w:val="24"/>
              </w:rPr>
              <w:fldChar w:fldCharType="end"/>
            </w:r>
          </w:hyperlink>
        </w:p>
        <w:p w14:paraId="105D3688" w14:textId="67CA7289" w:rsidR="00DA31AC" w:rsidRPr="00DA31AC" w:rsidRDefault="00DA31AC">
          <w:pPr>
            <w:pStyle w:val="TOC1"/>
            <w:tabs>
              <w:tab w:val="right" w:leader="dot" w:pos="9016"/>
            </w:tabs>
            <w:rPr>
              <w:rFonts w:eastAsiaTheme="minorEastAsia"/>
              <w:noProof/>
              <w:sz w:val="24"/>
              <w:szCs w:val="24"/>
              <w:lang w:eastAsia="en-GB"/>
            </w:rPr>
          </w:pPr>
          <w:hyperlink w:anchor="_Toc204028395" w:history="1">
            <w:r w:rsidRPr="00DA31AC">
              <w:rPr>
                <w:rStyle w:val="Hyperlink"/>
                <w:noProof/>
                <w:sz w:val="24"/>
                <w:szCs w:val="24"/>
              </w:rPr>
              <w:t>2.6 Theory and broader legitimacy frameworks</w:t>
            </w:r>
            <w:r w:rsidRPr="00DA31AC">
              <w:rPr>
                <w:noProof/>
                <w:webHidden/>
                <w:sz w:val="24"/>
                <w:szCs w:val="24"/>
              </w:rPr>
              <w:tab/>
            </w:r>
            <w:r w:rsidRPr="00DA31AC">
              <w:rPr>
                <w:noProof/>
                <w:webHidden/>
                <w:sz w:val="24"/>
                <w:szCs w:val="24"/>
              </w:rPr>
              <w:fldChar w:fldCharType="begin"/>
            </w:r>
            <w:r w:rsidRPr="00DA31AC">
              <w:rPr>
                <w:noProof/>
                <w:webHidden/>
                <w:sz w:val="24"/>
                <w:szCs w:val="24"/>
              </w:rPr>
              <w:instrText xml:space="preserve"> PAGEREF _Toc204028395 \h </w:instrText>
            </w:r>
            <w:r w:rsidRPr="00DA31AC">
              <w:rPr>
                <w:noProof/>
                <w:webHidden/>
                <w:sz w:val="24"/>
                <w:szCs w:val="24"/>
              </w:rPr>
            </w:r>
            <w:r w:rsidRPr="00DA31AC">
              <w:rPr>
                <w:noProof/>
                <w:webHidden/>
                <w:sz w:val="24"/>
                <w:szCs w:val="24"/>
              </w:rPr>
              <w:fldChar w:fldCharType="separate"/>
            </w:r>
            <w:r w:rsidRPr="00DA31AC">
              <w:rPr>
                <w:noProof/>
                <w:webHidden/>
                <w:sz w:val="24"/>
                <w:szCs w:val="24"/>
              </w:rPr>
              <w:t>12</w:t>
            </w:r>
            <w:r w:rsidRPr="00DA31AC">
              <w:rPr>
                <w:noProof/>
                <w:webHidden/>
                <w:sz w:val="24"/>
                <w:szCs w:val="24"/>
              </w:rPr>
              <w:fldChar w:fldCharType="end"/>
            </w:r>
          </w:hyperlink>
        </w:p>
        <w:p w14:paraId="6301B44E" w14:textId="29168149" w:rsidR="00DA31AC" w:rsidRPr="00DA31AC" w:rsidRDefault="00DA31AC">
          <w:pPr>
            <w:pStyle w:val="TOC1"/>
            <w:tabs>
              <w:tab w:val="right" w:leader="dot" w:pos="9016"/>
            </w:tabs>
            <w:rPr>
              <w:rFonts w:eastAsiaTheme="minorEastAsia"/>
              <w:noProof/>
              <w:sz w:val="24"/>
              <w:szCs w:val="24"/>
              <w:lang w:eastAsia="en-GB"/>
            </w:rPr>
          </w:pPr>
          <w:hyperlink w:anchor="_Toc204028396" w:history="1">
            <w:r w:rsidRPr="00DA31AC">
              <w:rPr>
                <w:rStyle w:val="Hyperlink"/>
                <w:noProof/>
                <w:sz w:val="24"/>
                <w:szCs w:val="24"/>
              </w:rPr>
              <w:t>2.7 Conclusion</w:t>
            </w:r>
            <w:r w:rsidRPr="00DA31AC">
              <w:rPr>
                <w:noProof/>
                <w:webHidden/>
                <w:sz w:val="24"/>
                <w:szCs w:val="24"/>
              </w:rPr>
              <w:tab/>
            </w:r>
            <w:r w:rsidRPr="00DA31AC">
              <w:rPr>
                <w:noProof/>
                <w:webHidden/>
                <w:sz w:val="24"/>
                <w:szCs w:val="24"/>
              </w:rPr>
              <w:fldChar w:fldCharType="begin"/>
            </w:r>
            <w:r w:rsidRPr="00DA31AC">
              <w:rPr>
                <w:noProof/>
                <w:webHidden/>
                <w:sz w:val="24"/>
                <w:szCs w:val="24"/>
              </w:rPr>
              <w:instrText xml:space="preserve"> PAGEREF _Toc204028396 \h </w:instrText>
            </w:r>
            <w:r w:rsidRPr="00DA31AC">
              <w:rPr>
                <w:noProof/>
                <w:webHidden/>
                <w:sz w:val="24"/>
                <w:szCs w:val="24"/>
              </w:rPr>
            </w:r>
            <w:r w:rsidRPr="00DA31AC">
              <w:rPr>
                <w:noProof/>
                <w:webHidden/>
                <w:sz w:val="24"/>
                <w:szCs w:val="24"/>
              </w:rPr>
              <w:fldChar w:fldCharType="separate"/>
            </w:r>
            <w:r w:rsidRPr="00DA31AC">
              <w:rPr>
                <w:noProof/>
                <w:webHidden/>
                <w:sz w:val="24"/>
                <w:szCs w:val="24"/>
              </w:rPr>
              <w:t>13</w:t>
            </w:r>
            <w:r w:rsidRPr="00DA31AC">
              <w:rPr>
                <w:noProof/>
                <w:webHidden/>
                <w:sz w:val="24"/>
                <w:szCs w:val="24"/>
              </w:rPr>
              <w:fldChar w:fldCharType="end"/>
            </w:r>
          </w:hyperlink>
        </w:p>
        <w:p w14:paraId="536EF751" w14:textId="5B29DB7A" w:rsidR="00DA31AC" w:rsidRPr="00DA31AC" w:rsidRDefault="00DA31AC">
          <w:pPr>
            <w:pStyle w:val="TOC1"/>
            <w:tabs>
              <w:tab w:val="right" w:leader="dot" w:pos="9016"/>
            </w:tabs>
            <w:rPr>
              <w:rFonts w:eastAsiaTheme="minorEastAsia"/>
              <w:noProof/>
              <w:sz w:val="24"/>
              <w:szCs w:val="24"/>
              <w:lang w:eastAsia="en-GB"/>
            </w:rPr>
          </w:pPr>
          <w:hyperlink w:anchor="_Toc204028397" w:history="1">
            <w:r w:rsidRPr="00DA31AC">
              <w:rPr>
                <w:rStyle w:val="Hyperlink"/>
                <w:noProof/>
                <w:sz w:val="24"/>
                <w:szCs w:val="24"/>
              </w:rPr>
              <w:t>2.8 References</w:t>
            </w:r>
            <w:r w:rsidRPr="00DA31AC">
              <w:rPr>
                <w:noProof/>
                <w:webHidden/>
                <w:sz w:val="24"/>
                <w:szCs w:val="24"/>
              </w:rPr>
              <w:tab/>
            </w:r>
            <w:r w:rsidRPr="00DA31AC">
              <w:rPr>
                <w:noProof/>
                <w:webHidden/>
                <w:sz w:val="24"/>
                <w:szCs w:val="24"/>
              </w:rPr>
              <w:fldChar w:fldCharType="begin"/>
            </w:r>
            <w:r w:rsidRPr="00DA31AC">
              <w:rPr>
                <w:noProof/>
                <w:webHidden/>
                <w:sz w:val="24"/>
                <w:szCs w:val="24"/>
              </w:rPr>
              <w:instrText xml:space="preserve"> PAGEREF _Toc204028397 \h </w:instrText>
            </w:r>
            <w:r w:rsidRPr="00DA31AC">
              <w:rPr>
                <w:noProof/>
                <w:webHidden/>
                <w:sz w:val="24"/>
                <w:szCs w:val="24"/>
              </w:rPr>
            </w:r>
            <w:r w:rsidRPr="00DA31AC">
              <w:rPr>
                <w:noProof/>
                <w:webHidden/>
                <w:sz w:val="24"/>
                <w:szCs w:val="24"/>
              </w:rPr>
              <w:fldChar w:fldCharType="separate"/>
            </w:r>
            <w:r w:rsidRPr="00DA31AC">
              <w:rPr>
                <w:noProof/>
                <w:webHidden/>
                <w:sz w:val="24"/>
                <w:szCs w:val="24"/>
              </w:rPr>
              <w:t>15</w:t>
            </w:r>
            <w:r w:rsidRPr="00DA31AC">
              <w:rPr>
                <w:noProof/>
                <w:webHidden/>
                <w:sz w:val="24"/>
                <w:szCs w:val="24"/>
              </w:rPr>
              <w:fldChar w:fldCharType="end"/>
            </w:r>
          </w:hyperlink>
        </w:p>
        <w:p w14:paraId="6312B63D" w14:textId="38FD46FB" w:rsidR="00DA31AC" w:rsidRPr="00DA31AC" w:rsidRDefault="00DA31AC">
          <w:pPr>
            <w:pStyle w:val="TOC1"/>
            <w:tabs>
              <w:tab w:val="right" w:leader="dot" w:pos="9016"/>
            </w:tabs>
            <w:rPr>
              <w:rFonts w:eastAsiaTheme="minorEastAsia"/>
              <w:noProof/>
              <w:sz w:val="24"/>
              <w:szCs w:val="24"/>
              <w:lang w:eastAsia="en-GB"/>
            </w:rPr>
          </w:pPr>
          <w:hyperlink w:anchor="_Toc204028398" w:history="1">
            <w:r w:rsidRPr="00DA31AC">
              <w:rPr>
                <w:rStyle w:val="Hyperlink"/>
                <w:noProof/>
                <w:sz w:val="24"/>
                <w:szCs w:val="24"/>
              </w:rPr>
              <w:t>2.9 Bibliography</w:t>
            </w:r>
            <w:r w:rsidRPr="00DA31AC">
              <w:rPr>
                <w:noProof/>
                <w:webHidden/>
                <w:sz w:val="24"/>
                <w:szCs w:val="24"/>
              </w:rPr>
              <w:tab/>
            </w:r>
            <w:r w:rsidRPr="00DA31AC">
              <w:rPr>
                <w:noProof/>
                <w:webHidden/>
                <w:sz w:val="24"/>
                <w:szCs w:val="24"/>
              </w:rPr>
              <w:fldChar w:fldCharType="begin"/>
            </w:r>
            <w:r w:rsidRPr="00DA31AC">
              <w:rPr>
                <w:noProof/>
                <w:webHidden/>
                <w:sz w:val="24"/>
                <w:szCs w:val="24"/>
              </w:rPr>
              <w:instrText xml:space="preserve"> PAGEREF _Toc204028398 \h </w:instrText>
            </w:r>
            <w:r w:rsidRPr="00DA31AC">
              <w:rPr>
                <w:noProof/>
                <w:webHidden/>
                <w:sz w:val="24"/>
                <w:szCs w:val="24"/>
              </w:rPr>
            </w:r>
            <w:r w:rsidRPr="00DA31AC">
              <w:rPr>
                <w:noProof/>
                <w:webHidden/>
                <w:sz w:val="24"/>
                <w:szCs w:val="24"/>
              </w:rPr>
              <w:fldChar w:fldCharType="separate"/>
            </w:r>
            <w:r w:rsidRPr="00DA31AC">
              <w:rPr>
                <w:noProof/>
                <w:webHidden/>
                <w:sz w:val="24"/>
                <w:szCs w:val="24"/>
              </w:rPr>
              <w:t>18</w:t>
            </w:r>
            <w:r w:rsidRPr="00DA31AC">
              <w:rPr>
                <w:noProof/>
                <w:webHidden/>
                <w:sz w:val="24"/>
                <w:szCs w:val="24"/>
              </w:rPr>
              <w:fldChar w:fldCharType="end"/>
            </w:r>
          </w:hyperlink>
        </w:p>
        <w:p w14:paraId="3340C445" w14:textId="5FE63DDD" w:rsidR="00DA31AC" w:rsidRDefault="00DA31AC">
          <w:r>
            <w:rPr>
              <w:b/>
              <w:bCs/>
              <w:noProof/>
            </w:rPr>
            <w:fldChar w:fldCharType="end"/>
          </w:r>
        </w:p>
      </w:sdtContent>
    </w:sdt>
    <w:p w14:paraId="556E1A28" w14:textId="77777777" w:rsidR="00FB6AB5" w:rsidRDefault="00FB6AB5" w:rsidP="00DA31AC">
      <w:pPr>
        <w:pStyle w:val="Heading1"/>
        <w:rPr>
          <w:color w:val="595959" w:themeColor="text1" w:themeTint="A6"/>
          <w:spacing w:val="15"/>
          <w:sz w:val="28"/>
          <w:szCs w:val="28"/>
        </w:rPr>
      </w:pPr>
      <w:r>
        <w:br w:type="page"/>
      </w:r>
    </w:p>
    <w:p w14:paraId="414FB6E4" w14:textId="6B2A6B95" w:rsidR="00A94180" w:rsidRPr="00DA31AC" w:rsidRDefault="001E517E" w:rsidP="00DA31AC">
      <w:pPr>
        <w:pStyle w:val="Subtitle"/>
        <w:jc w:val="both"/>
        <w:outlineLvl w:val="0"/>
        <w:rPr>
          <w:sz w:val="24"/>
          <w:szCs w:val="24"/>
        </w:rPr>
      </w:pPr>
      <w:bookmarkStart w:id="0" w:name="_Toc204028250"/>
      <w:bookmarkStart w:id="1" w:name="_Toc204028390"/>
      <w:r w:rsidRPr="00DA31AC">
        <w:rPr>
          <w:sz w:val="24"/>
          <w:szCs w:val="24"/>
        </w:rPr>
        <w:lastRenderedPageBreak/>
        <w:t xml:space="preserve">2.1 </w:t>
      </w:r>
      <w:r w:rsidR="00A94180" w:rsidRPr="00DA31AC">
        <w:rPr>
          <w:sz w:val="24"/>
          <w:szCs w:val="24"/>
        </w:rPr>
        <w:t>Introduction</w:t>
      </w:r>
      <w:bookmarkEnd w:id="0"/>
      <w:bookmarkEnd w:id="1"/>
      <w:r w:rsidR="00A94180" w:rsidRPr="00DA31AC">
        <w:rPr>
          <w:sz w:val="24"/>
          <w:szCs w:val="24"/>
        </w:rPr>
        <w:t xml:space="preserve"> </w:t>
      </w:r>
    </w:p>
    <w:p w14:paraId="0E07D798" w14:textId="77777777" w:rsidR="00251E04" w:rsidRPr="00DA31AC" w:rsidRDefault="00251E04" w:rsidP="00DA31AC">
      <w:pPr>
        <w:spacing w:line="480" w:lineRule="auto"/>
        <w:jc w:val="both"/>
        <w:rPr>
          <w:sz w:val="24"/>
          <w:szCs w:val="24"/>
        </w:rPr>
      </w:pPr>
    </w:p>
    <w:p w14:paraId="58BDDA83" w14:textId="14C1DA9B" w:rsidR="00251E04" w:rsidRPr="00DA31AC" w:rsidRDefault="00D15F48" w:rsidP="00DA31AC">
      <w:pPr>
        <w:spacing w:line="480" w:lineRule="auto"/>
        <w:jc w:val="both"/>
        <w:rPr>
          <w:sz w:val="24"/>
          <w:szCs w:val="24"/>
        </w:rPr>
      </w:pPr>
      <w:r w:rsidRPr="00DA31AC">
        <w:rPr>
          <w:sz w:val="24"/>
          <w:szCs w:val="24"/>
        </w:rPr>
        <w:t xml:space="preserve">This literature review explores the question: </w:t>
      </w:r>
      <w:r w:rsidR="00251E04" w:rsidRPr="00DA31AC">
        <w:rPr>
          <w:i/>
          <w:iCs/>
          <w:sz w:val="24"/>
          <w:szCs w:val="24"/>
        </w:rPr>
        <w:t xml:space="preserve">Do women police differently? An examination of gendered approaches to policing and public perception. </w:t>
      </w:r>
      <w:r w:rsidRPr="00DA31AC">
        <w:rPr>
          <w:sz w:val="24"/>
          <w:szCs w:val="24"/>
        </w:rPr>
        <w:t>The increa</w:t>
      </w:r>
      <w:r w:rsidR="005165D9">
        <w:rPr>
          <w:sz w:val="24"/>
          <w:szCs w:val="24"/>
        </w:rPr>
        <w:t xml:space="preserve">se </w:t>
      </w:r>
      <w:r w:rsidR="000A1CE7">
        <w:rPr>
          <w:sz w:val="24"/>
          <w:szCs w:val="24"/>
        </w:rPr>
        <w:t xml:space="preserve">of </w:t>
      </w:r>
      <w:r w:rsidR="005165D9">
        <w:rPr>
          <w:sz w:val="24"/>
          <w:szCs w:val="24"/>
        </w:rPr>
        <w:t xml:space="preserve">women employed </w:t>
      </w:r>
      <w:r w:rsidRPr="00DA31AC">
        <w:rPr>
          <w:sz w:val="24"/>
          <w:szCs w:val="24"/>
        </w:rPr>
        <w:t xml:space="preserve">within police forces globally has prompted </w:t>
      </w:r>
      <w:r w:rsidR="00E658D7" w:rsidRPr="00DA31AC">
        <w:rPr>
          <w:sz w:val="24"/>
          <w:szCs w:val="24"/>
        </w:rPr>
        <w:t>a</w:t>
      </w:r>
      <w:r w:rsidR="005165D9">
        <w:rPr>
          <w:sz w:val="24"/>
          <w:szCs w:val="24"/>
        </w:rPr>
        <w:t>n</w:t>
      </w:r>
      <w:r w:rsidRPr="00DA31AC">
        <w:rPr>
          <w:sz w:val="24"/>
          <w:szCs w:val="24"/>
        </w:rPr>
        <w:t xml:space="preserve"> interest in understanding how gender influences not only </w:t>
      </w:r>
      <w:r w:rsidR="00E658D7" w:rsidRPr="00DA31AC">
        <w:rPr>
          <w:sz w:val="24"/>
          <w:szCs w:val="24"/>
        </w:rPr>
        <w:t>policing</w:t>
      </w:r>
      <w:r w:rsidRPr="00DA31AC">
        <w:rPr>
          <w:sz w:val="24"/>
          <w:szCs w:val="24"/>
        </w:rPr>
        <w:t xml:space="preserve"> styles but also institutional </w:t>
      </w:r>
      <w:r w:rsidR="008816BB">
        <w:rPr>
          <w:sz w:val="24"/>
          <w:szCs w:val="24"/>
        </w:rPr>
        <w:t>culture</w:t>
      </w:r>
      <w:r w:rsidRPr="00DA31AC">
        <w:rPr>
          <w:sz w:val="24"/>
          <w:szCs w:val="24"/>
        </w:rPr>
        <w:t xml:space="preserve"> and public </w:t>
      </w:r>
      <w:r w:rsidR="00A609AB">
        <w:rPr>
          <w:sz w:val="24"/>
          <w:szCs w:val="24"/>
        </w:rPr>
        <w:t>perception</w:t>
      </w:r>
      <w:r w:rsidRPr="00DA31AC">
        <w:rPr>
          <w:sz w:val="24"/>
          <w:szCs w:val="24"/>
        </w:rPr>
        <w:t xml:space="preserve">. While </w:t>
      </w:r>
      <w:r w:rsidR="00E658D7" w:rsidRPr="00DA31AC">
        <w:rPr>
          <w:sz w:val="24"/>
          <w:szCs w:val="24"/>
        </w:rPr>
        <w:t xml:space="preserve">internal </w:t>
      </w:r>
      <w:r w:rsidRPr="00DA31AC">
        <w:rPr>
          <w:sz w:val="24"/>
          <w:szCs w:val="24"/>
        </w:rPr>
        <w:t xml:space="preserve">policies may </w:t>
      </w:r>
      <w:r w:rsidR="00E658D7" w:rsidRPr="00DA31AC">
        <w:rPr>
          <w:sz w:val="24"/>
          <w:szCs w:val="24"/>
        </w:rPr>
        <w:t>aim to improve</w:t>
      </w:r>
      <w:r w:rsidRPr="00DA31AC">
        <w:rPr>
          <w:sz w:val="24"/>
          <w:szCs w:val="24"/>
        </w:rPr>
        <w:t xml:space="preserve"> equality and diversity, research suggests that the lived experiences, behavioural expectations, and career trajectories of female officers remain shaped by </w:t>
      </w:r>
      <w:r w:rsidR="00E658D7" w:rsidRPr="00DA31AC">
        <w:rPr>
          <w:sz w:val="24"/>
          <w:szCs w:val="24"/>
        </w:rPr>
        <w:t>deep rooted masculine cultures</w:t>
      </w:r>
      <w:r w:rsidRPr="00DA31AC">
        <w:rPr>
          <w:sz w:val="24"/>
          <w:szCs w:val="24"/>
        </w:rPr>
        <w:t xml:space="preserve">. </w:t>
      </w:r>
    </w:p>
    <w:p w14:paraId="7C976119" w14:textId="77777777" w:rsidR="00D15F48" w:rsidRPr="00DA31AC" w:rsidRDefault="00D15F48" w:rsidP="00DA31AC">
      <w:pPr>
        <w:spacing w:line="480" w:lineRule="auto"/>
        <w:jc w:val="both"/>
        <w:rPr>
          <w:sz w:val="24"/>
          <w:szCs w:val="24"/>
        </w:rPr>
      </w:pPr>
    </w:p>
    <w:p w14:paraId="5F923E9D" w14:textId="5C89282A" w:rsidR="00D15F48" w:rsidRPr="00DA31AC" w:rsidRDefault="00D15F48" w:rsidP="00DA31AC">
      <w:pPr>
        <w:spacing w:line="480" w:lineRule="auto"/>
        <w:jc w:val="both"/>
        <w:rPr>
          <w:sz w:val="24"/>
          <w:szCs w:val="24"/>
        </w:rPr>
      </w:pPr>
      <w:r w:rsidRPr="00DA31AC">
        <w:rPr>
          <w:sz w:val="24"/>
          <w:szCs w:val="24"/>
        </w:rPr>
        <w:t xml:space="preserve">This review begins by </w:t>
      </w:r>
      <w:r w:rsidR="00E658D7" w:rsidRPr="00DA31AC">
        <w:rPr>
          <w:sz w:val="24"/>
          <w:szCs w:val="24"/>
        </w:rPr>
        <w:t>reviewing</w:t>
      </w:r>
      <w:r w:rsidRPr="00DA31AC">
        <w:rPr>
          <w:sz w:val="24"/>
          <w:szCs w:val="24"/>
        </w:rPr>
        <w:t xml:space="preserve"> feminist and criminological perspectives to uncover how gendered expectations influence both the practice and perception of female officers. Feminist scholars highlight how women </w:t>
      </w:r>
      <w:proofErr w:type="gramStart"/>
      <w:r w:rsidRPr="00DA31AC">
        <w:rPr>
          <w:sz w:val="24"/>
          <w:szCs w:val="24"/>
        </w:rPr>
        <w:t>are often seen</w:t>
      </w:r>
      <w:proofErr w:type="gramEnd"/>
      <w:r w:rsidRPr="00DA31AC">
        <w:rPr>
          <w:sz w:val="24"/>
          <w:szCs w:val="24"/>
        </w:rPr>
        <w:t xml:space="preserve"> as more suited to community-</w:t>
      </w:r>
      <w:r w:rsidR="00E658D7" w:rsidRPr="00DA31AC">
        <w:rPr>
          <w:sz w:val="24"/>
          <w:szCs w:val="24"/>
        </w:rPr>
        <w:t>orientated</w:t>
      </w:r>
      <w:r w:rsidRPr="00DA31AC">
        <w:rPr>
          <w:sz w:val="24"/>
          <w:szCs w:val="24"/>
        </w:rPr>
        <w:t xml:space="preserve"> or emotionally intelligent policing, while being marginalised from specialist </w:t>
      </w:r>
      <w:r w:rsidR="00E658D7" w:rsidRPr="00DA31AC">
        <w:rPr>
          <w:sz w:val="24"/>
          <w:szCs w:val="24"/>
        </w:rPr>
        <w:t>departments</w:t>
      </w:r>
      <w:r w:rsidRPr="00DA31AC">
        <w:rPr>
          <w:sz w:val="24"/>
          <w:szCs w:val="24"/>
        </w:rPr>
        <w:t xml:space="preserve"> or fac</w:t>
      </w:r>
      <w:r w:rsidR="00A609AB">
        <w:rPr>
          <w:sz w:val="24"/>
          <w:szCs w:val="24"/>
        </w:rPr>
        <w:t>e</w:t>
      </w:r>
      <w:r w:rsidRPr="00DA31AC">
        <w:rPr>
          <w:sz w:val="24"/>
          <w:szCs w:val="24"/>
        </w:rPr>
        <w:t xml:space="preserve"> resistance within masculine subcultures. Such insights </w:t>
      </w:r>
      <w:r w:rsidR="00E658D7" w:rsidRPr="00DA31AC">
        <w:rPr>
          <w:sz w:val="24"/>
          <w:szCs w:val="24"/>
        </w:rPr>
        <w:t>indicate the presence of</w:t>
      </w:r>
      <w:r w:rsidRPr="00DA31AC">
        <w:rPr>
          <w:sz w:val="24"/>
          <w:szCs w:val="24"/>
        </w:rPr>
        <w:t xml:space="preserve"> broader issues </w:t>
      </w:r>
      <w:r w:rsidR="00E658D7" w:rsidRPr="00DA31AC">
        <w:rPr>
          <w:sz w:val="24"/>
          <w:szCs w:val="24"/>
        </w:rPr>
        <w:t>with</w:t>
      </w:r>
      <w:r w:rsidRPr="00DA31AC">
        <w:rPr>
          <w:sz w:val="24"/>
          <w:szCs w:val="24"/>
        </w:rPr>
        <w:t xml:space="preserve"> power, </w:t>
      </w:r>
      <w:proofErr w:type="gramStart"/>
      <w:r w:rsidRPr="00DA31AC">
        <w:rPr>
          <w:sz w:val="24"/>
          <w:szCs w:val="24"/>
        </w:rPr>
        <w:t>identity</w:t>
      </w:r>
      <w:proofErr w:type="gramEnd"/>
      <w:r w:rsidRPr="00DA31AC">
        <w:rPr>
          <w:sz w:val="24"/>
          <w:szCs w:val="24"/>
        </w:rPr>
        <w:t xml:space="preserve"> and legitimacy within policing institutions. </w:t>
      </w:r>
    </w:p>
    <w:p w14:paraId="29A1BE94" w14:textId="77777777" w:rsidR="00D15F48" w:rsidRPr="00DA31AC" w:rsidRDefault="00D15F48" w:rsidP="00DA31AC">
      <w:pPr>
        <w:spacing w:line="480" w:lineRule="auto"/>
        <w:jc w:val="both"/>
        <w:rPr>
          <w:sz w:val="24"/>
          <w:szCs w:val="24"/>
        </w:rPr>
      </w:pPr>
    </w:p>
    <w:p w14:paraId="0523255F" w14:textId="25E02224" w:rsidR="00D15F48" w:rsidRPr="00DA31AC" w:rsidRDefault="00D15F48" w:rsidP="00DA31AC">
      <w:pPr>
        <w:spacing w:line="480" w:lineRule="auto"/>
        <w:jc w:val="both"/>
        <w:rPr>
          <w:sz w:val="24"/>
          <w:szCs w:val="24"/>
        </w:rPr>
      </w:pPr>
      <w:r w:rsidRPr="00DA31AC">
        <w:rPr>
          <w:sz w:val="24"/>
          <w:szCs w:val="24"/>
        </w:rPr>
        <w:t xml:space="preserve">The review then turns to international field studies, which further </w:t>
      </w:r>
      <w:r w:rsidR="00A609AB">
        <w:rPr>
          <w:sz w:val="24"/>
          <w:szCs w:val="24"/>
        </w:rPr>
        <w:t>highlights</w:t>
      </w:r>
      <w:r w:rsidRPr="00DA31AC">
        <w:rPr>
          <w:sz w:val="24"/>
          <w:szCs w:val="24"/>
        </w:rPr>
        <w:t xml:space="preserve"> how gendered dynamics in policing manifest across social and cultural contexts. These studies reveal both the </w:t>
      </w:r>
      <w:r w:rsidR="004B0A01">
        <w:rPr>
          <w:sz w:val="24"/>
          <w:szCs w:val="24"/>
        </w:rPr>
        <w:t>universal nature</w:t>
      </w:r>
      <w:r w:rsidRPr="00DA31AC">
        <w:rPr>
          <w:sz w:val="24"/>
          <w:szCs w:val="24"/>
        </w:rPr>
        <w:t xml:space="preserve"> of gender-based challenges and </w:t>
      </w:r>
      <w:r w:rsidR="004B0A01">
        <w:rPr>
          <w:sz w:val="24"/>
          <w:szCs w:val="24"/>
        </w:rPr>
        <w:t>where</w:t>
      </w:r>
      <w:r w:rsidRPr="00DA31AC">
        <w:rPr>
          <w:sz w:val="24"/>
          <w:szCs w:val="24"/>
        </w:rPr>
        <w:t xml:space="preserve"> local institutional cultures </w:t>
      </w:r>
      <w:r w:rsidR="004B0A01">
        <w:rPr>
          <w:sz w:val="24"/>
          <w:szCs w:val="24"/>
        </w:rPr>
        <w:t>are shaping</w:t>
      </w:r>
      <w:r w:rsidRPr="00DA31AC">
        <w:rPr>
          <w:sz w:val="24"/>
          <w:szCs w:val="24"/>
        </w:rPr>
        <w:t xml:space="preserve"> how women integrate</w:t>
      </w:r>
      <w:r w:rsidR="004B0A01">
        <w:rPr>
          <w:sz w:val="24"/>
          <w:szCs w:val="24"/>
        </w:rPr>
        <w:t xml:space="preserve"> </w:t>
      </w:r>
      <w:r w:rsidRPr="00DA31AC">
        <w:rPr>
          <w:sz w:val="24"/>
          <w:szCs w:val="24"/>
        </w:rPr>
        <w:t xml:space="preserve">into policing. They also highlight how performance, legitimacy, and career progression </w:t>
      </w:r>
      <w:proofErr w:type="gramStart"/>
      <w:r w:rsidRPr="00DA31AC">
        <w:rPr>
          <w:sz w:val="24"/>
          <w:szCs w:val="24"/>
        </w:rPr>
        <w:t>are affected</w:t>
      </w:r>
      <w:proofErr w:type="gramEnd"/>
      <w:r w:rsidRPr="00DA31AC">
        <w:rPr>
          <w:sz w:val="24"/>
          <w:szCs w:val="24"/>
        </w:rPr>
        <w:t xml:space="preserve"> </w:t>
      </w:r>
      <w:r w:rsidR="004B0A01">
        <w:rPr>
          <w:sz w:val="24"/>
          <w:szCs w:val="24"/>
        </w:rPr>
        <w:t xml:space="preserve">differently </w:t>
      </w:r>
      <w:r w:rsidRPr="00DA31AC">
        <w:rPr>
          <w:sz w:val="24"/>
          <w:szCs w:val="24"/>
        </w:rPr>
        <w:t xml:space="preserve">by gender. </w:t>
      </w:r>
    </w:p>
    <w:p w14:paraId="7F07D9C1" w14:textId="77777777" w:rsidR="00D15F48" w:rsidRPr="00DA31AC" w:rsidRDefault="00D15F48" w:rsidP="00DA31AC">
      <w:pPr>
        <w:spacing w:line="480" w:lineRule="auto"/>
        <w:jc w:val="both"/>
        <w:rPr>
          <w:sz w:val="24"/>
          <w:szCs w:val="24"/>
        </w:rPr>
      </w:pPr>
    </w:p>
    <w:p w14:paraId="1FE86720" w14:textId="3C230F05" w:rsidR="00D15F48" w:rsidRPr="00DA31AC" w:rsidRDefault="00D15F48" w:rsidP="00DA31AC">
      <w:pPr>
        <w:spacing w:line="480" w:lineRule="auto"/>
        <w:jc w:val="both"/>
        <w:rPr>
          <w:sz w:val="24"/>
          <w:szCs w:val="24"/>
        </w:rPr>
      </w:pPr>
      <w:r w:rsidRPr="00DA31AC">
        <w:rPr>
          <w:sz w:val="24"/>
          <w:szCs w:val="24"/>
        </w:rPr>
        <w:t xml:space="preserve">A key area of focus is the use of force, where </w:t>
      </w:r>
      <w:r w:rsidR="008157D3" w:rsidRPr="00DA31AC">
        <w:rPr>
          <w:sz w:val="24"/>
          <w:szCs w:val="24"/>
        </w:rPr>
        <w:t>the</w:t>
      </w:r>
      <w:r w:rsidRPr="00DA31AC">
        <w:rPr>
          <w:sz w:val="24"/>
          <w:szCs w:val="24"/>
        </w:rPr>
        <w:t xml:space="preserve"> data consistently shows gender-based differences. Female officers tend to use </w:t>
      </w:r>
      <w:r w:rsidR="0020227F" w:rsidRPr="00DA31AC">
        <w:rPr>
          <w:sz w:val="24"/>
          <w:szCs w:val="24"/>
        </w:rPr>
        <w:t xml:space="preserve">more communicative tactics and face fewer complaints of serious misconduct. However, they also experience unique pressures, such as the need to prove physical competence or to navigate a fine balance between assertiveness and approachability. </w:t>
      </w:r>
    </w:p>
    <w:p w14:paraId="158A41BE" w14:textId="77777777" w:rsidR="0020227F" w:rsidRPr="00DA31AC" w:rsidRDefault="0020227F" w:rsidP="00DA31AC">
      <w:pPr>
        <w:spacing w:line="480" w:lineRule="auto"/>
        <w:jc w:val="both"/>
        <w:rPr>
          <w:sz w:val="24"/>
          <w:szCs w:val="24"/>
        </w:rPr>
      </w:pPr>
    </w:p>
    <w:p w14:paraId="127A0A68" w14:textId="69634EE6" w:rsidR="0020227F" w:rsidRPr="00DA31AC" w:rsidRDefault="0020227F" w:rsidP="00DA31AC">
      <w:pPr>
        <w:spacing w:line="480" w:lineRule="auto"/>
        <w:jc w:val="both"/>
        <w:rPr>
          <w:sz w:val="24"/>
          <w:szCs w:val="24"/>
        </w:rPr>
      </w:pPr>
      <w:r w:rsidRPr="00DA31AC">
        <w:rPr>
          <w:sz w:val="24"/>
          <w:szCs w:val="24"/>
        </w:rPr>
        <w:t xml:space="preserve">The review also considers the role of policing cultures and leadership, examining how masculine norms shape the expectations, behaviours, and </w:t>
      </w:r>
      <w:r w:rsidR="008157D3" w:rsidRPr="00DA31AC">
        <w:rPr>
          <w:sz w:val="24"/>
          <w:szCs w:val="24"/>
        </w:rPr>
        <w:t>career progression</w:t>
      </w:r>
      <w:r w:rsidRPr="00DA31AC">
        <w:rPr>
          <w:sz w:val="24"/>
          <w:szCs w:val="24"/>
        </w:rPr>
        <w:t xml:space="preserve"> of female officers. Even when women adopt effective leadership styles, they </w:t>
      </w:r>
      <w:proofErr w:type="gramStart"/>
      <w:r w:rsidRPr="00DA31AC">
        <w:rPr>
          <w:sz w:val="24"/>
          <w:szCs w:val="24"/>
        </w:rPr>
        <w:t>are often undervalued</w:t>
      </w:r>
      <w:proofErr w:type="gramEnd"/>
      <w:r w:rsidRPr="00DA31AC">
        <w:rPr>
          <w:sz w:val="24"/>
          <w:szCs w:val="24"/>
        </w:rPr>
        <w:t xml:space="preserve"> in comparison to more traditional models of command and control. Despite the presence of inclusion policies, structural biases persist within policing, particularly in senior leadership pathways. </w:t>
      </w:r>
    </w:p>
    <w:p w14:paraId="03C9BE27" w14:textId="3CE9D553" w:rsidR="0020227F" w:rsidRPr="00DA31AC" w:rsidRDefault="0020227F" w:rsidP="00DA31AC">
      <w:pPr>
        <w:spacing w:line="480" w:lineRule="auto"/>
        <w:jc w:val="both"/>
        <w:rPr>
          <w:sz w:val="24"/>
          <w:szCs w:val="24"/>
        </w:rPr>
      </w:pPr>
    </w:p>
    <w:p w14:paraId="138AB589" w14:textId="13206EFC" w:rsidR="0020227F" w:rsidRPr="00DA31AC" w:rsidRDefault="0020227F" w:rsidP="00DA31AC">
      <w:pPr>
        <w:spacing w:line="480" w:lineRule="auto"/>
        <w:jc w:val="both"/>
        <w:rPr>
          <w:sz w:val="24"/>
          <w:szCs w:val="24"/>
        </w:rPr>
      </w:pPr>
      <w:r w:rsidRPr="00DA31AC">
        <w:rPr>
          <w:sz w:val="24"/>
          <w:szCs w:val="24"/>
        </w:rPr>
        <w:t xml:space="preserve">Finally, this review </w:t>
      </w:r>
      <w:r w:rsidR="002964C6" w:rsidRPr="00DA31AC">
        <w:rPr>
          <w:sz w:val="24"/>
          <w:szCs w:val="24"/>
        </w:rPr>
        <w:t>examines</w:t>
      </w:r>
      <w:r w:rsidRPr="00DA31AC">
        <w:rPr>
          <w:sz w:val="24"/>
          <w:szCs w:val="24"/>
        </w:rPr>
        <w:t xml:space="preserve"> Role Congruity Theory </w:t>
      </w:r>
      <w:r w:rsidR="004B0A01">
        <w:rPr>
          <w:sz w:val="24"/>
          <w:szCs w:val="24"/>
        </w:rPr>
        <w:t>revealing</w:t>
      </w:r>
      <w:r w:rsidRPr="00DA31AC">
        <w:rPr>
          <w:sz w:val="24"/>
          <w:szCs w:val="24"/>
        </w:rPr>
        <w:t xml:space="preserve"> a conceptional framework for understanding the social </w:t>
      </w:r>
      <w:r w:rsidR="002964C6" w:rsidRPr="00DA31AC">
        <w:rPr>
          <w:sz w:val="24"/>
          <w:szCs w:val="24"/>
        </w:rPr>
        <w:t>pressures</w:t>
      </w:r>
      <w:r w:rsidRPr="00DA31AC">
        <w:rPr>
          <w:sz w:val="24"/>
          <w:szCs w:val="24"/>
        </w:rPr>
        <w:t xml:space="preserve"> women face when their behaviour </w:t>
      </w:r>
      <w:r w:rsidR="004B0A01">
        <w:rPr>
          <w:sz w:val="24"/>
          <w:szCs w:val="24"/>
        </w:rPr>
        <w:t>crosses</w:t>
      </w:r>
      <w:r w:rsidRPr="00DA31AC">
        <w:rPr>
          <w:sz w:val="24"/>
          <w:szCs w:val="24"/>
        </w:rPr>
        <w:t xml:space="preserve"> gendered expectations. Whether using force or demonstrating empathy, female officers often encounter conflicting demands that can undermine their perceived competence or legitimacy. </w:t>
      </w:r>
    </w:p>
    <w:p w14:paraId="6EBC9C91" w14:textId="77777777" w:rsidR="00275970" w:rsidRDefault="00275970" w:rsidP="00DA31AC">
      <w:pPr>
        <w:spacing w:line="480" w:lineRule="auto"/>
        <w:jc w:val="both"/>
        <w:rPr>
          <w:sz w:val="24"/>
          <w:szCs w:val="24"/>
        </w:rPr>
      </w:pPr>
    </w:p>
    <w:p w14:paraId="35CD30E9" w14:textId="77777777" w:rsidR="004B0A01" w:rsidRPr="00DA31AC" w:rsidRDefault="004B0A01" w:rsidP="00DA31AC">
      <w:pPr>
        <w:spacing w:line="480" w:lineRule="auto"/>
        <w:jc w:val="both"/>
        <w:rPr>
          <w:sz w:val="24"/>
          <w:szCs w:val="24"/>
        </w:rPr>
      </w:pPr>
    </w:p>
    <w:p w14:paraId="2F6648A1" w14:textId="77777777" w:rsidR="00275970" w:rsidRPr="00DA31AC" w:rsidRDefault="00275970" w:rsidP="00DA31AC">
      <w:pPr>
        <w:jc w:val="both"/>
        <w:rPr>
          <w:sz w:val="24"/>
          <w:szCs w:val="24"/>
        </w:rPr>
      </w:pPr>
    </w:p>
    <w:p w14:paraId="71A503DC" w14:textId="76992753" w:rsidR="00251E04" w:rsidRPr="00DA31AC" w:rsidRDefault="001E517E" w:rsidP="00DA31AC">
      <w:pPr>
        <w:pStyle w:val="Subtitle"/>
        <w:jc w:val="both"/>
        <w:outlineLvl w:val="0"/>
        <w:rPr>
          <w:sz w:val="24"/>
          <w:szCs w:val="24"/>
        </w:rPr>
      </w:pPr>
      <w:bookmarkStart w:id="2" w:name="_Toc204028251"/>
      <w:bookmarkStart w:id="3" w:name="_Toc204028391"/>
      <w:r w:rsidRPr="00DA31AC">
        <w:rPr>
          <w:sz w:val="24"/>
          <w:szCs w:val="24"/>
        </w:rPr>
        <w:lastRenderedPageBreak/>
        <w:t>2.2</w:t>
      </w:r>
      <w:r w:rsidR="00A94180" w:rsidRPr="00DA31AC">
        <w:rPr>
          <w:sz w:val="24"/>
          <w:szCs w:val="24"/>
        </w:rPr>
        <w:t xml:space="preserve"> </w:t>
      </w:r>
      <w:r w:rsidRPr="00DA31AC">
        <w:rPr>
          <w:sz w:val="24"/>
          <w:szCs w:val="24"/>
        </w:rPr>
        <w:t>F</w:t>
      </w:r>
      <w:r w:rsidR="00A94180" w:rsidRPr="00DA31AC">
        <w:rPr>
          <w:sz w:val="24"/>
          <w:szCs w:val="24"/>
        </w:rPr>
        <w:t xml:space="preserve">eminist and </w:t>
      </w:r>
      <w:r w:rsidRPr="00DA31AC">
        <w:rPr>
          <w:sz w:val="24"/>
          <w:szCs w:val="24"/>
        </w:rPr>
        <w:t>C</w:t>
      </w:r>
      <w:r w:rsidR="00A94180" w:rsidRPr="00DA31AC">
        <w:rPr>
          <w:sz w:val="24"/>
          <w:szCs w:val="24"/>
        </w:rPr>
        <w:t xml:space="preserve">riminology </w:t>
      </w:r>
      <w:r w:rsidRPr="00DA31AC">
        <w:rPr>
          <w:sz w:val="24"/>
          <w:szCs w:val="24"/>
        </w:rPr>
        <w:t>P</w:t>
      </w:r>
      <w:r w:rsidR="00A94180" w:rsidRPr="00DA31AC">
        <w:rPr>
          <w:sz w:val="24"/>
          <w:szCs w:val="24"/>
        </w:rPr>
        <w:t>erspectives</w:t>
      </w:r>
      <w:bookmarkEnd w:id="2"/>
      <w:bookmarkEnd w:id="3"/>
    </w:p>
    <w:p w14:paraId="595F9F26" w14:textId="77777777" w:rsidR="002964C6" w:rsidRPr="00DA31AC" w:rsidRDefault="002964C6" w:rsidP="00DA31AC">
      <w:pPr>
        <w:spacing w:line="480" w:lineRule="auto"/>
        <w:jc w:val="both"/>
        <w:rPr>
          <w:sz w:val="24"/>
          <w:szCs w:val="24"/>
        </w:rPr>
      </w:pPr>
    </w:p>
    <w:p w14:paraId="55121C40" w14:textId="6328F53A" w:rsidR="00EA4A84" w:rsidRPr="00DA31AC" w:rsidRDefault="00EA4A84" w:rsidP="00DA31AC">
      <w:pPr>
        <w:spacing w:line="480" w:lineRule="auto"/>
        <w:jc w:val="both"/>
        <w:rPr>
          <w:sz w:val="24"/>
          <w:szCs w:val="24"/>
        </w:rPr>
      </w:pPr>
      <w:r w:rsidRPr="00DA31AC">
        <w:rPr>
          <w:sz w:val="24"/>
          <w:szCs w:val="24"/>
        </w:rPr>
        <w:t xml:space="preserve">A reoccurring theme throughout the literature for this research, is the hypothesis that female officer adopts a community-orientated and more empathetic approach to policing compared to their male counterparts. Their approach often characterised by </w:t>
      </w:r>
      <w:r w:rsidR="002964C6" w:rsidRPr="00DA31AC">
        <w:rPr>
          <w:sz w:val="24"/>
          <w:szCs w:val="24"/>
        </w:rPr>
        <w:t>utilising communication</w:t>
      </w:r>
      <w:r w:rsidR="00BB4200" w:rsidRPr="00DA31AC">
        <w:rPr>
          <w:sz w:val="24"/>
          <w:szCs w:val="24"/>
        </w:rPr>
        <w:t xml:space="preserve"> </w:t>
      </w:r>
      <w:r w:rsidRPr="00DA31AC">
        <w:rPr>
          <w:sz w:val="24"/>
          <w:szCs w:val="24"/>
        </w:rPr>
        <w:t xml:space="preserve">and conflict resolution, </w:t>
      </w:r>
      <w:r w:rsidR="00C40A6F" w:rsidRPr="00DA31AC">
        <w:rPr>
          <w:sz w:val="24"/>
          <w:szCs w:val="24"/>
        </w:rPr>
        <w:t xml:space="preserve">as opposed to physical force. These theories </w:t>
      </w:r>
      <w:r w:rsidR="00700D3F" w:rsidRPr="00DA31AC">
        <w:rPr>
          <w:sz w:val="24"/>
          <w:szCs w:val="24"/>
        </w:rPr>
        <w:t xml:space="preserve">reflect broader gendered narratives within both policing and the </w:t>
      </w:r>
      <w:r w:rsidR="00BB4200" w:rsidRPr="00DA31AC">
        <w:rPr>
          <w:sz w:val="24"/>
          <w:szCs w:val="24"/>
        </w:rPr>
        <w:t>public’s</w:t>
      </w:r>
      <w:r w:rsidR="00700D3F" w:rsidRPr="00DA31AC">
        <w:rPr>
          <w:sz w:val="24"/>
          <w:szCs w:val="24"/>
        </w:rPr>
        <w:t xml:space="preserve"> perception of female officers. </w:t>
      </w:r>
    </w:p>
    <w:p w14:paraId="427CAA68" w14:textId="77777777" w:rsidR="00700D3F" w:rsidRPr="00DA31AC" w:rsidRDefault="00700D3F" w:rsidP="00DA31AC">
      <w:pPr>
        <w:spacing w:line="480" w:lineRule="auto"/>
        <w:jc w:val="both"/>
        <w:rPr>
          <w:sz w:val="24"/>
          <w:szCs w:val="24"/>
        </w:rPr>
      </w:pPr>
    </w:p>
    <w:p w14:paraId="789DC7E8" w14:textId="56582779" w:rsidR="00700D3F" w:rsidRPr="00DA31AC" w:rsidRDefault="00700D3F" w:rsidP="00DA31AC">
      <w:pPr>
        <w:spacing w:line="480" w:lineRule="auto"/>
        <w:jc w:val="both"/>
        <w:rPr>
          <w:sz w:val="24"/>
          <w:szCs w:val="24"/>
        </w:rPr>
      </w:pPr>
      <w:r w:rsidRPr="00DA31AC">
        <w:rPr>
          <w:sz w:val="24"/>
          <w:szCs w:val="24"/>
        </w:rPr>
        <w:t xml:space="preserve">Paolio (2021) highlights that female officers are frequently perceived as overly emotional and less physically capable than their male colleagues. In response to these stereotypes, </w:t>
      </w:r>
      <w:proofErr w:type="gramStart"/>
      <w:r w:rsidRPr="00DA31AC">
        <w:rPr>
          <w:sz w:val="24"/>
          <w:szCs w:val="24"/>
        </w:rPr>
        <w:t>many</w:t>
      </w:r>
      <w:proofErr w:type="gramEnd"/>
      <w:r w:rsidRPr="00DA31AC">
        <w:rPr>
          <w:sz w:val="24"/>
          <w:szCs w:val="24"/>
        </w:rPr>
        <w:t xml:space="preserve"> women adopt strategies such as leveraging emotional intelligence, and cautious decision-making practices to build professional credibility and mediate conflict effectively. These strategies not only </w:t>
      </w:r>
      <w:r w:rsidR="000F1B4E" w:rsidRPr="00DA31AC">
        <w:rPr>
          <w:sz w:val="24"/>
          <w:szCs w:val="24"/>
        </w:rPr>
        <w:t>challenge</w:t>
      </w:r>
      <w:r w:rsidRPr="00DA31AC">
        <w:rPr>
          <w:sz w:val="24"/>
          <w:szCs w:val="24"/>
        </w:rPr>
        <w:t xml:space="preserve"> masculine ideals within policing but also reveals how women adapt and navigate a gendered occupational space. </w:t>
      </w:r>
    </w:p>
    <w:p w14:paraId="3171ADB0" w14:textId="77777777" w:rsidR="000F1B4E" w:rsidRPr="00DA31AC" w:rsidRDefault="000F1B4E" w:rsidP="00DA31AC">
      <w:pPr>
        <w:spacing w:line="480" w:lineRule="auto"/>
        <w:jc w:val="both"/>
        <w:rPr>
          <w:sz w:val="24"/>
          <w:szCs w:val="24"/>
        </w:rPr>
      </w:pPr>
    </w:p>
    <w:p w14:paraId="1C75927E" w14:textId="4B893447" w:rsidR="000F1B4E" w:rsidRPr="00DA31AC" w:rsidRDefault="000F1B4E" w:rsidP="00DA31AC">
      <w:pPr>
        <w:spacing w:line="480" w:lineRule="auto"/>
        <w:jc w:val="both"/>
        <w:rPr>
          <w:sz w:val="24"/>
          <w:szCs w:val="24"/>
        </w:rPr>
      </w:pPr>
      <w:r w:rsidRPr="00DA31AC">
        <w:rPr>
          <w:sz w:val="24"/>
          <w:szCs w:val="24"/>
        </w:rPr>
        <w:t xml:space="preserve">However, responses to the strategies adopted by women vary. Whilst </w:t>
      </w:r>
      <w:proofErr w:type="gramStart"/>
      <w:r w:rsidRPr="00DA31AC">
        <w:rPr>
          <w:sz w:val="24"/>
          <w:szCs w:val="24"/>
        </w:rPr>
        <w:t>some</w:t>
      </w:r>
      <w:proofErr w:type="gramEnd"/>
      <w:r w:rsidRPr="00DA31AC">
        <w:rPr>
          <w:sz w:val="24"/>
          <w:szCs w:val="24"/>
        </w:rPr>
        <w:t xml:space="preserve"> females internalise the traditional gender expectations, viewing themselves better suited to “women’s work” in policing, others actively resist masculine ideals by asserting their capabilities in physically demanding or investigative roles (Holdaway &amp; Parker, 1998). </w:t>
      </w:r>
    </w:p>
    <w:p w14:paraId="567028FA" w14:textId="77777777" w:rsidR="000F1B4E" w:rsidRPr="00DA31AC" w:rsidRDefault="000F1B4E" w:rsidP="00DA31AC">
      <w:pPr>
        <w:spacing w:line="480" w:lineRule="auto"/>
        <w:jc w:val="both"/>
        <w:rPr>
          <w:sz w:val="24"/>
          <w:szCs w:val="24"/>
        </w:rPr>
      </w:pPr>
    </w:p>
    <w:p w14:paraId="7B29176E" w14:textId="42EA9E78" w:rsidR="000F1B4E" w:rsidRPr="00DA31AC" w:rsidRDefault="000F1B4E" w:rsidP="00DA31AC">
      <w:pPr>
        <w:spacing w:line="480" w:lineRule="auto"/>
        <w:jc w:val="both"/>
        <w:rPr>
          <w:sz w:val="24"/>
          <w:szCs w:val="24"/>
        </w:rPr>
      </w:pPr>
      <w:r w:rsidRPr="00DA31AC">
        <w:rPr>
          <w:sz w:val="24"/>
          <w:szCs w:val="24"/>
        </w:rPr>
        <w:lastRenderedPageBreak/>
        <w:t xml:space="preserve">Cunningham (2022) provides a comprehensive feminist critique of policing, </w:t>
      </w:r>
      <w:r w:rsidR="00490F23" w:rsidRPr="00DA31AC">
        <w:rPr>
          <w:sz w:val="24"/>
          <w:szCs w:val="24"/>
        </w:rPr>
        <w:t xml:space="preserve">arguing that both theoretical and empirical evidence point to a deeply entrenched gender dynamic within policing. Cunningham’s research highlights that female officers who defy traditional norms, particularly those surrounding how officers should look, act, or communicate, often face sexualised “banter” or derogatory labels from male colleagues. Significantly, Cunningham contends that it is not physical strength, but rather communication skills and emotional acuity, </w:t>
      </w:r>
      <w:proofErr w:type="gramStart"/>
      <w:r w:rsidR="00490F23" w:rsidRPr="00DA31AC">
        <w:rPr>
          <w:sz w:val="24"/>
          <w:szCs w:val="24"/>
        </w:rPr>
        <w:t>that</w:t>
      </w:r>
      <w:proofErr w:type="gramEnd"/>
      <w:r w:rsidR="00490F23" w:rsidRPr="00DA31AC">
        <w:rPr>
          <w:sz w:val="24"/>
          <w:szCs w:val="24"/>
        </w:rPr>
        <w:t xml:space="preserve"> underpin effective policing. Nevertheless, female officers continue to face exclusion from specialist units and </w:t>
      </w:r>
      <w:r w:rsidR="004B0A01">
        <w:rPr>
          <w:sz w:val="24"/>
          <w:szCs w:val="24"/>
        </w:rPr>
        <w:t>promotional</w:t>
      </w:r>
      <w:r w:rsidR="00490F23" w:rsidRPr="00DA31AC">
        <w:rPr>
          <w:sz w:val="24"/>
          <w:szCs w:val="24"/>
        </w:rPr>
        <w:t xml:space="preserve"> opportunities due to persistent, sex-based assumptions about their suitability for certain roles. </w:t>
      </w:r>
    </w:p>
    <w:p w14:paraId="3BDE55F9" w14:textId="77777777" w:rsidR="00490F23" w:rsidRPr="00DA31AC" w:rsidRDefault="00490F23" w:rsidP="00DA31AC">
      <w:pPr>
        <w:spacing w:line="480" w:lineRule="auto"/>
        <w:jc w:val="both"/>
        <w:rPr>
          <w:sz w:val="24"/>
          <w:szCs w:val="24"/>
        </w:rPr>
      </w:pPr>
    </w:p>
    <w:p w14:paraId="00BF6A33" w14:textId="4FAE3B4F" w:rsidR="00490F23" w:rsidRPr="00DA31AC" w:rsidRDefault="00490F23" w:rsidP="00DA31AC">
      <w:pPr>
        <w:spacing w:line="480" w:lineRule="auto"/>
        <w:jc w:val="both"/>
        <w:rPr>
          <w:sz w:val="24"/>
          <w:szCs w:val="24"/>
        </w:rPr>
      </w:pPr>
      <w:r w:rsidRPr="00DA31AC">
        <w:rPr>
          <w:sz w:val="24"/>
          <w:szCs w:val="24"/>
        </w:rPr>
        <w:t xml:space="preserve">In a similar vein, Brown (2016) introduces the concept of “transformational scenes” to describe instances </w:t>
      </w:r>
      <w:r w:rsidR="00E869E6" w:rsidRPr="00DA31AC">
        <w:rPr>
          <w:sz w:val="24"/>
          <w:szCs w:val="24"/>
        </w:rPr>
        <w:t xml:space="preserve">in which </w:t>
      </w:r>
      <w:proofErr w:type="gramStart"/>
      <w:r w:rsidR="00E869E6" w:rsidRPr="00DA31AC">
        <w:rPr>
          <w:sz w:val="24"/>
          <w:szCs w:val="24"/>
        </w:rPr>
        <w:t>policewomen</w:t>
      </w:r>
      <w:proofErr w:type="gramEnd"/>
      <w:r w:rsidR="00E869E6" w:rsidRPr="00DA31AC">
        <w:rPr>
          <w:sz w:val="24"/>
          <w:szCs w:val="24"/>
        </w:rPr>
        <w:t xml:space="preserve"> establish legitimacy by unequivocally adhering to procedure. However, this approach often sets them apart in a policing culture that values informal rule-breaking to achieve results. Brown’s work underscores how gendered expectations, ranging from doubts about women’s physical competence to aspirations that they will ‘clean-up’ the service, </w:t>
      </w:r>
      <w:proofErr w:type="gramStart"/>
      <w:r w:rsidR="00E869E6" w:rsidRPr="00DA31AC">
        <w:rPr>
          <w:sz w:val="24"/>
          <w:szCs w:val="24"/>
        </w:rPr>
        <w:t>are socially constructed</w:t>
      </w:r>
      <w:proofErr w:type="gramEnd"/>
      <w:r w:rsidR="00E869E6" w:rsidRPr="00DA31AC">
        <w:rPr>
          <w:sz w:val="24"/>
          <w:szCs w:val="24"/>
        </w:rPr>
        <w:t xml:space="preserve"> and historically situated. </w:t>
      </w:r>
    </w:p>
    <w:p w14:paraId="488AE896" w14:textId="77777777" w:rsidR="007F6D7B" w:rsidRPr="00DA31AC" w:rsidRDefault="007F6D7B" w:rsidP="00DA31AC">
      <w:pPr>
        <w:spacing w:line="480" w:lineRule="auto"/>
        <w:jc w:val="both"/>
        <w:rPr>
          <w:sz w:val="24"/>
          <w:szCs w:val="24"/>
        </w:rPr>
      </w:pPr>
    </w:p>
    <w:p w14:paraId="57D7166C" w14:textId="1D637A87" w:rsidR="00EA4A84" w:rsidRPr="00DA31AC" w:rsidRDefault="007F6D7B" w:rsidP="00DA31AC">
      <w:pPr>
        <w:spacing w:line="480" w:lineRule="auto"/>
        <w:jc w:val="both"/>
        <w:rPr>
          <w:sz w:val="24"/>
          <w:szCs w:val="24"/>
        </w:rPr>
      </w:pPr>
      <w:r w:rsidRPr="00DA31AC">
        <w:rPr>
          <w:sz w:val="24"/>
          <w:szCs w:val="24"/>
        </w:rPr>
        <w:t xml:space="preserve">These findings suggests that female officers do not simply ‘police differently’ in terms of style or method; but rather their presence and practices expose the underlying power dynamics, contradictions, and assumptions which are inherent in policing cultures. The gendered nature of these experiences </w:t>
      </w:r>
      <w:proofErr w:type="gramStart"/>
      <w:r w:rsidRPr="00DA31AC">
        <w:rPr>
          <w:sz w:val="24"/>
          <w:szCs w:val="24"/>
        </w:rPr>
        <w:t>is not confined</w:t>
      </w:r>
      <w:proofErr w:type="gramEnd"/>
      <w:r w:rsidRPr="00DA31AC">
        <w:rPr>
          <w:sz w:val="24"/>
          <w:szCs w:val="24"/>
        </w:rPr>
        <w:t xml:space="preserve"> to a single country. As Brown and </w:t>
      </w:r>
      <w:r w:rsidRPr="00DA31AC">
        <w:rPr>
          <w:sz w:val="24"/>
          <w:szCs w:val="24"/>
        </w:rPr>
        <w:lastRenderedPageBreak/>
        <w:t xml:space="preserve">Lewis (2003) observe, while female officers globally contend with </w:t>
      </w:r>
      <w:proofErr w:type="gramStart"/>
      <w:r w:rsidRPr="00DA31AC">
        <w:rPr>
          <w:sz w:val="24"/>
          <w:szCs w:val="24"/>
        </w:rPr>
        <w:t>many</w:t>
      </w:r>
      <w:proofErr w:type="gramEnd"/>
      <w:r w:rsidRPr="00DA31AC">
        <w:rPr>
          <w:sz w:val="24"/>
          <w:szCs w:val="24"/>
        </w:rPr>
        <w:t xml:space="preserve"> of the same structural </w:t>
      </w:r>
      <w:r w:rsidR="009D7A85" w:rsidRPr="00DA31AC">
        <w:rPr>
          <w:sz w:val="24"/>
          <w:szCs w:val="24"/>
        </w:rPr>
        <w:t xml:space="preserve">and cultural barriers, the specific form and intensity of these challenges are shaped by local traditions, policing systems, and institutional cultures. </w:t>
      </w:r>
      <w:bookmarkStart w:id="4" w:name="_Hlk203512717"/>
    </w:p>
    <w:bookmarkEnd w:id="4"/>
    <w:p w14:paraId="1E9D91C3" w14:textId="77777777" w:rsidR="00F76BA5" w:rsidRPr="00DA31AC" w:rsidRDefault="00F76BA5" w:rsidP="00DA31AC">
      <w:pPr>
        <w:spacing w:line="480" w:lineRule="auto"/>
        <w:jc w:val="both"/>
        <w:rPr>
          <w:sz w:val="24"/>
          <w:szCs w:val="24"/>
        </w:rPr>
      </w:pPr>
    </w:p>
    <w:p w14:paraId="449276F2" w14:textId="3731358C" w:rsidR="00A94180" w:rsidRPr="00DA31AC" w:rsidRDefault="001E517E" w:rsidP="00DA31AC">
      <w:pPr>
        <w:pStyle w:val="Subtitle"/>
        <w:jc w:val="both"/>
        <w:outlineLvl w:val="0"/>
        <w:rPr>
          <w:sz w:val="24"/>
          <w:szCs w:val="24"/>
        </w:rPr>
      </w:pPr>
      <w:bookmarkStart w:id="5" w:name="_Toc204028252"/>
      <w:bookmarkStart w:id="6" w:name="_Toc204028392"/>
      <w:r w:rsidRPr="00DA31AC">
        <w:rPr>
          <w:sz w:val="24"/>
          <w:szCs w:val="24"/>
        </w:rPr>
        <w:t xml:space="preserve">2.3 </w:t>
      </w:r>
      <w:r w:rsidR="00A94180" w:rsidRPr="00DA31AC">
        <w:rPr>
          <w:sz w:val="24"/>
          <w:szCs w:val="24"/>
        </w:rPr>
        <w:t>International comparative and field studies</w:t>
      </w:r>
      <w:bookmarkEnd w:id="5"/>
      <w:bookmarkEnd w:id="6"/>
    </w:p>
    <w:p w14:paraId="7053726E" w14:textId="77777777" w:rsidR="00FC41FE" w:rsidRPr="00DA31AC" w:rsidRDefault="00FC41FE" w:rsidP="00DA31AC">
      <w:pPr>
        <w:spacing w:line="480" w:lineRule="auto"/>
        <w:jc w:val="both"/>
        <w:rPr>
          <w:sz w:val="24"/>
          <w:szCs w:val="24"/>
        </w:rPr>
      </w:pPr>
    </w:p>
    <w:p w14:paraId="71717002" w14:textId="58BF3D86" w:rsidR="0085758F" w:rsidRPr="00DA31AC" w:rsidRDefault="0085758F" w:rsidP="00DA31AC">
      <w:pPr>
        <w:spacing w:line="480" w:lineRule="auto"/>
        <w:jc w:val="both"/>
        <w:rPr>
          <w:sz w:val="24"/>
          <w:szCs w:val="24"/>
        </w:rPr>
      </w:pPr>
      <w:r w:rsidRPr="00DA31AC">
        <w:rPr>
          <w:sz w:val="24"/>
          <w:szCs w:val="24"/>
        </w:rPr>
        <w:t xml:space="preserve">International field studies further illustrate the gendered dynamics of policing, offering an insight into how officers of different genders interact with the public and navigate institutional cultures across a variety of policing systems. While gendered differences in behaviour </w:t>
      </w:r>
      <w:proofErr w:type="gramStart"/>
      <w:r w:rsidRPr="00DA31AC">
        <w:rPr>
          <w:sz w:val="24"/>
          <w:szCs w:val="24"/>
        </w:rPr>
        <w:t>are often assumed</w:t>
      </w:r>
      <w:proofErr w:type="gramEnd"/>
      <w:r w:rsidRPr="00DA31AC">
        <w:rPr>
          <w:sz w:val="24"/>
          <w:szCs w:val="24"/>
        </w:rPr>
        <w:t xml:space="preserve">, studies present a more nuanced and complex picture. </w:t>
      </w:r>
    </w:p>
    <w:p w14:paraId="3EAE8C0B" w14:textId="77777777" w:rsidR="0085758F" w:rsidRPr="00DA31AC" w:rsidRDefault="0085758F" w:rsidP="00DA31AC">
      <w:pPr>
        <w:spacing w:line="480" w:lineRule="auto"/>
        <w:jc w:val="both"/>
        <w:rPr>
          <w:sz w:val="24"/>
          <w:szCs w:val="24"/>
        </w:rPr>
      </w:pPr>
    </w:p>
    <w:p w14:paraId="1EAA52CE" w14:textId="28BE3042" w:rsidR="0085758F" w:rsidRPr="00DA31AC" w:rsidRDefault="0085758F" w:rsidP="00DA31AC">
      <w:pPr>
        <w:spacing w:line="480" w:lineRule="auto"/>
        <w:jc w:val="both"/>
        <w:rPr>
          <w:sz w:val="24"/>
          <w:szCs w:val="24"/>
        </w:rPr>
      </w:pPr>
      <w:r w:rsidRPr="00DA31AC">
        <w:rPr>
          <w:sz w:val="24"/>
          <w:szCs w:val="24"/>
        </w:rPr>
        <w:t>Rabe-Hemp (2008</w:t>
      </w:r>
      <w:r w:rsidR="00FE2F9A">
        <w:rPr>
          <w:sz w:val="24"/>
          <w:szCs w:val="24"/>
        </w:rPr>
        <w:t>(a)</w:t>
      </w:r>
      <w:r w:rsidRPr="00DA31AC">
        <w:rPr>
          <w:sz w:val="24"/>
          <w:szCs w:val="24"/>
        </w:rPr>
        <w:t xml:space="preserve">) found that gendered patterns in officer behaviour became more pronounced during encounters where members of the public were disrespectful. </w:t>
      </w:r>
      <w:r w:rsidR="00A0605D" w:rsidRPr="00DA31AC">
        <w:rPr>
          <w:sz w:val="24"/>
          <w:szCs w:val="24"/>
        </w:rPr>
        <w:t xml:space="preserve">Female officers appeared less reactive than their male counterparts. Contrary to stereotypical assumptions, women in policing did not consistently behave in a more ‘feminine’ or nurturing manner during public interactions. However, consistent with broader trends, female officers </w:t>
      </w:r>
      <w:proofErr w:type="gramStart"/>
      <w:r w:rsidR="00A0605D" w:rsidRPr="00DA31AC">
        <w:rPr>
          <w:sz w:val="24"/>
          <w:szCs w:val="24"/>
        </w:rPr>
        <w:t>were shown</w:t>
      </w:r>
      <w:proofErr w:type="gramEnd"/>
      <w:r w:rsidR="00A0605D" w:rsidRPr="00DA31AC">
        <w:rPr>
          <w:sz w:val="24"/>
          <w:szCs w:val="24"/>
        </w:rPr>
        <w:t xml:space="preserve"> to use physical force less frequently than men, though they were equally likely to engage in indirect forms of aggression (Rabe-Hemp,2008</w:t>
      </w:r>
      <w:r w:rsidR="00FE2F9A">
        <w:rPr>
          <w:sz w:val="24"/>
          <w:szCs w:val="24"/>
        </w:rPr>
        <w:t>(</w:t>
      </w:r>
      <w:r w:rsidR="00A0605D" w:rsidRPr="00DA31AC">
        <w:rPr>
          <w:sz w:val="24"/>
          <w:szCs w:val="24"/>
        </w:rPr>
        <w:t>a</w:t>
      </w:r>
      <w:r w:rsidR="00FE2F9A">
        <w:rPr>
          <w:sz w:val="24"/>
          <w:szCs w:val="24"/>
        </w:rPr>
        <w:t>)</w:t>
      </w:r>
      <w:r w:rsidR="00A0605D" w:rsidRPr="00DA31AC">
        <w:rPr>
          <w:sz w:val="24"/>
          <w:szCs w:val="24"/>
        </w:rPr>
        <w:t xml:space="preserve">). </w:t>
      </w:r>
    </w:p>
    <w:p w14:paraId="1CA4A8CF" w14:textId="77777777" w:rsidR="00A0605D" w:rsidRPr="00DA31AC" w:rsidRDefault="00A0605D" w:rsidP="00DA31AC">
      <w:pPr>
        <w:spacing w:line="480" w:lineRule="auto"/>
        <w:jc w:val="both"/>
        <w:rPr>
          <w:sz w:val="24"/>
          <w:szCs w:val="24"/>
        </w:rPr>
      </w:pPr>
    </w:p>
    <w:p w14:paraId="5FEA1903" w14:textId="46F05D28" w:rsidR="00A0605D" w:rsidRPr="00DA31AC" w:rsidRDefault="00A0605D" w:rsidP="00DA31AC">
      <w:pPr>
        <w:spacing w:line="480" w:lineRule="auto"/>
        <w:jc w:val="both"/>
        <w:rPr>
          <w:sz w:val="24"/>
          <w:szCs w:val="24"/>
        </w:rPr>
      </w:pPr>
      <w:r w:rsidRPr="00DA31AC">
        <w:rPr>
          <w:sz w:val="24"/>
          <w:szCs w:val="24"/>
        </w:rPr>
        <w:t>In a separate study, Rabe-Hemp (2008</w:t>
      </w:r>
      <w:r w:rsidR="00FE2F9A">
        <w:rPr>
          <w:sz w:val="24"/>
          <w:szCs w:val="24"/>
        </w:rPr>
        <w:t>(</w:t>
      </w:r>
      <w:r w:rsidRPr="00DA31AC">
        <w:rPr>
          <w:sz w:val="24"/>
          <w:szCs w:val="24"/>
        </w:rPr>
        <w:t>b</w:t>
      </w:r>
      <w:r w:rsidR="00FE2F9A">
        <w:rPr>
          <w:sz w:val="24"/>
          <w:szCs w:val="24"/>
        </w:rPr>
        <w:t>)</w:t>
      </w:r>
      <w:r w:rsidRPr="00DA31AC">
        <w:rPr>
          <w:sz w:val="24"/>
          <w:szCs w:val="24"/>
        </w:rPr>
        <w:t xml:space="preserve">) identifies the persistence of a ‘glass ceiling’ within policing institutions. Female officers often obtained legitimacy only after demonstrating behaviours aligned with traditionally masculine values, such as </w:t>
      </w:r>
      <w:r w:rsidRPr="00DA31AC">
        <w:rPr>
          <w:sz w:val="24"/>
          <w:szCs w:val="24"/>
        </w:rPr>
        <w:lastRenderedPageBreak/>
        <w:t xml:space="preserve">aggression, physical strength, and solidarity. </w:t>
      </w:r>
      <w:r w:rsidR="00496D3C" w:rsidRPr="00DA31AC">
        <w:rPr>
          <w:sz w:val="24"/>
          <w:szCs w:val="24"/>
        </w:rPr>
        <w:t xml:space="preserve">This masculine cultural framework not only shapes what </w:t>
      </w:r>
      <w:proofErr w:type="gramStart"/>
      <w:r w:rsidR="00496D3C" w:rsidRPr="00DA31AC">
        <w:rPr>
          <w:sz w:val="24"/>
          <w:szCs w:val="24"/>
        </w:rPr>
        <w:t>is rewarded</w:t>
      </w:r>
      <w:proofErr w:type="gramEnd"/>
      <w:r w:rsidR="00496D3C" w:rsidRPr="00DA31AC">
        <w:rPr>
          <w:sz w:val="24"/>
          <w:szCs w:val="24"/>
        </w:rPr>
        <w:t xml:space="preserve"> within policing but also restricts the professional identities available to female police offices. As such, the occupational culture tends to </w:t>
      </w:r>
      <w:r w:rsidR="00FE2F9A">
        <w:rPr>
          <w:sz w:val="24"/>
          <w:szCs w:val="24"/>
        </w:rPr>
        <w:t>favour</w:t>
      </w:r>
      <w:r w:rsidR="00496D3C" w:rsidRPr="00DA31AC">
        <w:rPr>
          <w:sz w:val="24"/>
          <w:szCs w:val="24"/>
        </w:rPr>
        <w:t xml:space="preserve"> traits associated with </w:t>
      </w:r>
      <w:r w:rsidR="00FE2F9A">
        <w:rPr>
          <w:sz w:val="24"/>
          <w:szCs w:val="24"/>
        </w:rPr>
        <w:t>“</w:t>
      </w:r>
      <w:r w:rsidR="00496D3C" w:rsidRPr="00DA31AC">
        <w:rPr>
          <w:sz w:val="24"/>
          <w:szCs w:val="24"/>
        </w:rPr>
        <w:t>hemogenic masculinity</w:t>
      </w:r>
      <w:proofErr w:type="gramStart"/>
      <w:r w:rsidR="00FE2F9A">
        <w:rPr>
          <w:sz w:val="24"/>
          <w:szCs w:val="24"/>
        </w:rPr>
        <w:t>”</w:t>
      </w:r>
      <w:r w:rsidR="00496D3C" w:rsidRPr="00DA31AC">
        <w:rPr>
          <w:sz w:val="24"/>
          <w:szCs w:val="24"/>
        </w:rPr>
        <w:t>,</w:t>
      </w:r>
      <w:proofErr w:type="gramEnd"/>
      <w:r w:rsidR="00496D3C" w:rsidRPr="00DA31AC">
        <w:rPr>
          <w:sz w:val="24"/>
          <w:szCs w:val="24"/>
        </w:rPr>
        <w:t xml:space="preserve"> reinforcing gender hierarchies and marginalising alternative policing styles (Rabe-Hemp, 2008</w:t>
      </w:r>
      <w:r w:rsidR="00FE2F9A">
        <w:rPr>
          <w:sz w:val="24"/>
          <w:szCs w:val="24"/>
        </w:rPr>
        <w:t>(</w:t>
      </w:r>
      <w:r w:rsidR="00496D3C" w:rsidRPr="00DA31AC">
        <w:rPr>
          <w:sz w:val="24"/>
          <w:szCs w:val="24"/>
        </w:rPr>
        <w:t>b</w:t>
      </w:r>
      <w:r w:rsidR="00FE2F9A">
        <w:rPr>
          <w:sz w:val="24"/>
          <w:szCs w:val="24"/>
        </w:rPr>
        <w:t>)</w:t>
      </w:r>
      <w:r w:rsidR="00496D3C" w:rsidRPr="00DA31AC">
        <w:rPr>
          <w:sz w:val="24"/>
          <w:szCs w:val="24"/>
        </w:rPr>
        <w:t xml:space="preserve">). </w:t>
      </w:r>
      <w:r w:rsidRPr="00DA31AC">
        <w:rPr>
          <w:sz w:val="24"/>
          <w:szCs w:val="24"/>
        </w:rPr>
        <w:t xml:space="preserve"> </w:t>
      </w:r>
    </w:p>
    <w:p w14:paraId="5F1AD521" w14:textId="77777777" w:rsidR="00496D3C" w:rsidRPr="00DA31AC" w:rsidRDefault="00496D3C" w:rsidP="00DA31AC">
      <w:pPr>
        <w:spacing w:line="480" w:lineRule="auto"/>
        <w:jc w:val="both"/>
        <w:rPr>
          <w:sz w:val="24"/>
          <w:szCs w:val="24"/>
        </w:rPr>
      </w:pPr>
    </w:p>
    <w:p w14:paraId="002AD83D" w14:textId="408AE7F3" w:rsidR="00496D3C" w:rsidRPr="00DA31AC" w:rsidRDefault="00496D3C" w:rsidP="00DA31AC">
      <w:pPr>
        <w:spacing w:line="480" w:lineRule="auto"/>
        <w:jc w:val="both"/>
        <w:rPr>
          <w:sz w:val="24"/>
          <w:szCs w:val="24"/>
        </w:rPr>
      </w:pPr>
      <w:r w:rsidRPr="00DA31AC">
        <w:rPr>
          <w:sz w:val="24"/>
          <w:szCs w:val="24"/>
        </w:rPr>
        <w:t>This rigid value system poses significant challenges for women officers, who must navigate the tension between stereotypical expectations of femininity and the hyper-masculine demands of the police environment. Pabichuk et al. (2024) report</w:t>
      </w:r>
      <w:r w:rsidR="001355D6">
        <w:rPr>
          <w:sz w:val="24"/>
          <w:szCs w:val="24"/>
        </w:rPr>
        <w:t>s</w:t>
      </w:r>
      <w:r w:rsidRPr="00DA31AC">
        <w:rPr>
          <w:sz w:val="24"/>
          <w:szCs w:val="24"/>
        </w:rPr>
        <w:t xml:space="preserve"> that this dissonance contributes to elevated mental health risks among female officers, who </w:t>
      </w:r>
      <w:proofErr w:type="gramStart"/>
      <w:r w:rsidRPr="00DA31AC">
        <w:rPr>
          <w:sz w:val="24"/>
          <w:szCs w:val="24"/>
        </w:rPr>
        <w:t>are found</w:t>
      </w:r>
      <w:proofErr w:type="gramEnd"/>
      <w:r w:rsidRPr="00DA31AC">
        <w:rPr>
          <w:sz w:val="24"/>
          <w:szCs w:val="24"/>
        </w:rPr>
        <w:t xml:space="preserve"> to be 1.66 times more likely than their male colleagues to experience psychological distress. The emotional toll of managing conflicting role expectations is often an overlooked, yet critical, consequence of institutional gender dynamics. </w:t>
      </w:r>
    </w:p>
    <w:p w14:paraId="384CD375" w14:textId="77777777" w:rsidR="00496D3C" w:rsidRPr="00DA31AC" w:rsidRDefault="00496D3C" w:rsidP="00DA31AC">
      <w:pPr>
        <w:spacing w:line="480" w:lineRule="auto"/>
        <w:jc w:val="both"/>
        <w:rPr>
          <w:sz w:val="24"/>
          <w:szCs w:val="24"/>
        </w:rPr>
      </w:pPr>
    </w:p>
    <w:p w14:paraId="512162A1" w14:textId="41117423" w:rsidR="00496D3C" w:rsidRPr="00DA31AC" w:rsidRDefault="00496D3C" w:rsidP="00DA31AC">
      <w:pPr>
        <w:spacing w:line="480" w:lineRule="auto"/>
        <w:jc w:val="both"/>
        <w:rPr>
          <w:sz w:val="24"/>
          <w:szCs w:val="24"/>
        </w:rPr>
      </w:pPr>
      <w:r w:rsidRPr="00DA31AC">
        <w:rPr>
          <w:sz w:val="24"/>
          <w:szCs w:val="24"/>
        </w:rPr>
        <w:t xml:space="preserve">Internationally, </w:t>
      </w:r>
      <w:proofErr w:type="gramStart"/>
      <w:r w:rsidRPr="00DA31AC">
        <w:rPr>
          <w:sz w:val="24"/>
          <w:szCs w:val="24"/>
        </w:rPr>
        <w:t>structural</w:t>
      </w:r>
      <w:proofErr w:type="gramEnd"/>
      <w:r w:rsidRPr="00DA31AC">
        <w:rPr>
          <w:sz w:val="24"/>
          <w:szCs w:val="24"/>
        </w:rPr>
        <w:t xml:space="preserve"> and cultural barriers manifest in a variety of forms. In India, the establishment of all-women police stations, intended </w:t>
      </w:r>
      <w:r w:rsidR="0081511F" w:rsidRPr="00DA31AC">
        <w:rPr>
          <w:sz w:val="24"/>
          <w:szCs w:val="24"/>
        </w:rPr>
        <w:t>to</w:t>
      </w:r>
      <w:r w:rsidRPr="00DA31AC">
        <w:rPr>
          <w:sz w:val="24"/>
          <w:szCs w:val="24"/>
        </w:rPr>
        <w:t xml:space="preserve"> create more inclusive and supportive environments, </w:t>
      </w:r>
      <w:r w:rsidR="0081511F" w:rsidRPr="00DA31AC">
        <w:rPr>
          <w:sz w:val="24"/>
          <w:szCs w:val="24"/>
        </w:rPr>
        <w:t xml:space="preserve">did not lead to an overall increase in crime reporting. Instead, male officers often redirected gender-based crimes to these specialised units, effectively reducing their own caseloads. While this policy may have initially appeared progressive, it inadvertently reinforced the perception that female officers are only suited to gender-specific cases, limiting their operational exposure and hindering their career advancement (Nirvikar, 2020). </w:t>
      </w:r>
      <w:r w:rsidR="00726CC7" w:rsidRPr="00DA31AC">
        <w:rPr>
          <w:sz w:val="24"/>
          <w:szCs w:val="24"/>
        </w:rPr>
        <w:t>Thus,</w:t>
      </w:r>
      <w:r w:rsidR="0081511F" w:rsidRPr="00DA31AC">
        <w:rPr>
          <w:sz w:val="24"/>
          <w:szCs w:val="24"/>
        </w:rPr>
        <w:t xml:space="preserve"> showing that initiatives aimed at ‘feminising’ </w:t>
      </w:r>
      <w:r w:rsidR="0081511F" w:rsidRPr="00DA31AC">
        <w:rPr>
          <w:sz w:val="24"/>
          <w:szCs w:val="24"/>
        </w:rPr>
        <w:lastRenderedPageBreak/>
        <w:t xml:space="preserve">policing spaces, can sometimes entrench, rather than challenge, occupational gender roles. </w:t>
      </w:r>
    </w:p>
    <w:p w14:paraId="6D85096A" w14:textId="77777777" w:rsidR="0081511F" w:rsidRPr="00DA31AC" w:rsidRDefault="0081511F" w:rsidP="00DA31AC">
      <w:pPr>
        <w:spacing w:line="480" w:lineRule="auto"/>
        <w:jc w:val="both"/>
        <w:rPr>
          <w:sz w:val="24"/>
          <w:szCs w:val="24"/>
        </w:rPr>
      </w:pPr>
    </w:p>
    <w:p w14:paraId="29EF4701" w14:textId="3DB1CAE6" w:rsidR="0081511F" w:rsidRPr="00DA31AC" w:rsidRDefault="0081511F" w:rsidP="00DA31AC">
      <w:pPr>
        <w:spacing w:line="480" w:lineRule="auto"/>
        <w:jc w:val="both"/>
        <w:rPr>
          <w:sz w:val="24"/>
          <w:szCs w:val="24"/>
        </w:rPr>
      </w:pPr>
      <w:proofErr w:type="gramStart"/>
      <w:r w:rsidRPr="00DA31AC">
        <w:rPr>
          <w:sz w:val="24"/>
          <w:szCs w:val="24"/>
        </w:rPr>
        <w:t>A contrasting cultural context is provided by Wagner et al. (2017)</w:t>
      </w:r>
      <w:proofErr w:type="gramEnd"/>
      <w:r w:rsidRPr="00DA31AC">
        <w:rPr>
          <w:sz w:val="24"/>
          <w:szCs w:val="24"/>
        </w:rPr>
        <w:t xml:space="preserve"> in their study of Ugandan policing. The researchers found that male officers demonstrated greater stringency in judging misconduct and recommended harsher disciplinary actions than female officers. </w:t>
      </w:r>
      <w:r w:rsidR="00726CC7" w:rsidRPr="00DA31AC">
        <w:rPr>
          <w:sz w:val="24"/>
          <w:szCs w:val="24"/>
        </w:rPr>
        <w:t xml:space="preserve">Furthermore, male respondents showed greater leniency when the officer in question was male. These findings suggest that gender biases may influence not only policing behaviours but also disciplinary practices within law enforcement. </w:t>
      </w:r>
    </w:p>
    <w:p w14:paraId="66E15FD5" w14:textId="77777777" w:rsidR="00726CC7" w:rsidRPr="00DA31AC" w:rsidRDefault="00726CC7" w:rsidP="00DA31AC">
      <w:pPr>
        <w:spacing w:line="480" w:lineRule="auto"/>
        <w:jc w:val="both"/>
        <w:rPr>
          <w:sz w:val="24"/>
          <w:szCs w:val="24"/>
        </w:rPr>
      </w:pPr>
    </w:p>
    <w:p w14:paraId="59BD8175" w14:textId="56D29F2E" w:rsidR="008F1E3A" w:rsidRPr="00DA31AC" w:rsidRDefault="00726CC7" w:rsidP="00DA31AC">
      <w:pPr>
        <w:spacing w:line="480" w:lineRule="auto"/>
        <w:jc w:val="both"/>
        <w:rPr>
          <w:sz w:val="24"/>
          <w:szCs w:val="24"/>
        </w:rPr>
      </w:pPr>
      <w:r w:rsidRPr="00DA31AC">
        <w:rPr>
          <w:sz w:val="24"/>
          <w:szCs w:val="24"/>
        </w:rPr>
        <w:t xml:space="preserve">Together, these comparative studies illustrate that gendered approaches to policing </w:t>
      </w:r>
      <w:proofErr w:type="gramStart"/>
      <w:r w:rsidRPr="00DA31AC">
        <w:rPr>
          <w:sz w:val="24"/>
          <w:szCs w:val="24"/>
        </w:rPr>
        <w:t xml:space="preserve">are </w:t>
      </w:r>
      <w:r w:rsidR="001355D6">
        <w:rPr>
          <w:sz w:val="24"/>
          <w:szCs w:val="24"/>
        </w:rPr>
        <w:t>shaped</w:t>
      </w:r>
      <w:proofErr w:type="gramEnd"/>
      <w:r w:rsidRPr="00DA31AC">
        <w:rPr>
          <w:sz w:val="24"/>
          <w:szCs w:val="24"/>
        </w:rPr>
        <w:t xml:space="preserve"> not only by individual behaviours, but by broader institutional frameworks, cultural norms, and operational policies. While there are shared challenges faced by women within policing across international contexts, the extent and manifestations of these issues </w:t>
      </w:r>
      <w:proofErr w:type="gramStart"/>
      <w:r w:rsidRPr="00DA31AC">
        <w:rPr>
          <w:sz w:val="24"/>
          <w:szCs w:val="24"/>
        </w:rPr>
        <w:t>are deeply shared</w:t>
      </w:r>
      <w:proofErr w:type="gramEnd"/>
      <w:r w:rsidRPr="00DA31AC">
        <w:rPr>
          <w:sz w:val="24"/>
          <w:szCs w:val="24"/>
        </w:rPr>
        <w:t xml:space="preserve"> by local policing traditions and societal expectations. </w:t>
      </w:r>
    </w:p>
    <w:p w14:paraId="299130B9" w14:textId="77777777" w:rsidR="00726CC7" w:rsidRPr="00DA31AC" w:rsidRDefault="00726CC7" w:rsidP="00DA31AC">
      <w:pPr>
        <w:spacing w:line="480" w:lineRule="auto"/>
        <w:jc w:val="both"/>
        <w:rPr>
          <w:sz w:val="24"/>
          <w:szCs w:val="24"/>
        </w:rPr>
      </w:pPr>
    </w:p>
    <w:p w14:paraId="63C820B2" w14:textId="4C9CDD20" w:rsidR="00061F48" w:rsidRPr="00DA31AC" w:rsidRDefault="001E517E" w:rsidP="00DA31AC">
      <w:pPr>
        <w:pStyle w:val="Subtitle"/>
        <w:jc w:val="both"/>
        <w:outlineLvl w:val="0"/>
        <w:rPr>
          <w:sz w:val="24"/>
          <w:szCs w:val="24"/>
        </w:rPr>
      </w:pPr>
      <w:bookmarkStart w:id="7" w:name="_Toc204028253"/>
      <w:bookmarkStart w:id="8" w:name="_Toc204028393"/>
      <w:r w:rsidRPr="00DA31AC">
        <w:rPr>
          <w:sz w:val="24"/>
          <w:szCs w:val="24"/>
        </w:rPr>
        <w:t xml:space="preserve">2.4 </w:t>
      </w:r>
      <w:r w:rsidR="00A94180" w:rsidRPr="00DA31AC">
        <w:rPr>
          <w:sz w:val="24"/>
          <w:szCs w:val="24"/>
        </w:rPr>
        <w:t>Male versus Female use of force in policing</w:t>
      </w:r>
      <w:bookmarkEnd w:id="7"/>
      <w:bookmarkEnd w:id="8"/>
      <w:r w:rsidR="00A94180" w:rsidRPr="00DA31AC">
        <w:rPr>
          <w:sz w:val="24"/>
          <w:szCs w:val="24"/>
        </w:rPr>
        <w:t xml:space="preserve"> </w:t>
      </w:r>
    </w:p>
    <w:p w14:paraId="3DC806C7" w14:textId="77777777" w:rsidR="00061D99" w:rsidRPr="00DA31AC" w:rsidRDefault="00061D99" w:rsidP="00DA31AC">
      <w:pPr>
        <w:spacing w:line="480" w:lineRule="auto"/>
        <w:jc w:val="both"/>
        <w:rPr>
          <w:sz w:val="24"/>
          <w:szCs w:val="24"/>
        </w:rPr>
      </w:pPr>
    </w:p>
    <w:p w14:paraId="6A700E09" w14:textId="221E33D8" w:rsidR="00061D99" w:rsidRPr="00DA31AC" w:rsidRDefault="00061D99" w:rsidP="00DA31AC">
      <w:pPr>
        <w:spacing w:line="480" w:lineRule="auto"/>
        <w:jc w:val="both"/>
        <w:rPr>
          <w:sz w:val="24"/>
          <w:szCs w:val="24"/>
        </w:rPr>
      </w:pPr>
      <w:r w:rsidRPr="00DA31AC">
        <w:rPr>
          <w:sz w:val="24"/>
          <w:szCs w:val="24"/>
        </w:rPr>
        <w:t>Use of force data in England and Wales shows that for the year ending 31</w:t>
      </w:r>
      <w:r w:rsidRPr="00DA31AC">
        <w:rPr>
          <w:sz w:val="24"/>
          <w:szCs w:val="24"/>
          <w:vertAlign w:val="superscript"/>
        </w:rPr>
        <w:t>st</w:t>
      </w:r>
      <w:r w:rsidRPr="00DA31AC">
        <w:rPr>
          <w:sz w:val="24"/>
          <w:szCs w:val="24"/>
        </w:rPr>
        <w:t xml:space="preserve"> March 2024, female officers accounted for 18% of all use of force incidents. While there was no specific breakdown by gender in the overall rate of </w:t>
      </w:r>
      <w:proofErr w:type="gramStart"/>
      <w:r w:rsidRPr="00DA31AC">
        <w:rPr>
          <w:sz w:val="24"/>
          <w:szCs w:val="24"/>
        </w:rPr>
        <w:t>13</w:t>
      </w:r>
      <w:proofErr w:type="gramEnd"/>
      <w:r w:rsidRPr="00DA31AC">
        <w:rPr>
          <w:sz w:val="24"/>
          <w:szCs w:val="24"/>
        </w:rPr>
        <w:t xml:space="preserve"> incidents per 1000 people, this figure suggests a disproportionately lower involvement of women in such cases. </w:t>
      </w:r>
    </w:p>
    <w:p w14:paraId="4F47D881" w14:textId="77777777" w:rsidR="00061D99" w:rsidRPr="00DA31AC" w:rsidRDefault="00061D99" w:rsidP="00DA31AC">
      <w:pPr>
        <w:spacing w:line="480" w:lineRule="auto"/>
        <w:jc w:val="both"/>
        <w:rPr>
          <w:sz w:val="24"/>
          <w:szCs w:val="24"/>
        </w:rPr>
      </w:pPr>
    </w:p>
    <w:p w14:paraId="31503940" w14:textId="2EE242BD" w:rsidR="00061D99" w:rsidRPr="00DA31AC" w:rsidRDefault="00061D99" w:rsidP="00DA31AC">
      <w:pPr>
        <w:spacing w:line="480" w:lineRule="auto"/>
        <w:jc w:val="both"/>
        <w:rPr>
          <w:sz w:val="24"/>
          <w:szCs w:val="24"/>
        </w:rPr>
      </w:pPr>
      <w:r w:rsidRPr="00DA31AC">
        <w:rPr>
          <w:sz w:val="24"/>
          <w:szCs w:val="24"/>
        </w:rPr>
        <w:t xml:space="preserve">Further analysis of tactic-specific data reveals that female officers are less likely to be involved in incidents involving multiple or high-lethality tactics, with male officers more frequently associated with firearms or other high-risk interventions (Home Office, 2024). </w:t>
      </w:r>
    </w:p>
    <w:p w14:paraId="2DAF31AA" w14:textId="77777777" w:rsidR="00061D99" w:rsidRPr="00DA31AC" w:rsidRDefault="00061D99" w:rsidP="00DA31AC">
      <w:pPr>
        <w:spacing w:line="480" w:lineRule="auto"/>
        <w:jc w:val="both"/>
        <w:rPr>
          <w:sz w:val="24"/>
          <w:szCs w:val="24"/>
        </w:rPr>
      </w:pPr>
    </w:p>
    <w:p w14:paraId="6C7886A0" w14:textId="6ED6BC0B" w:rsidR="00061D99" w:rsidRPr="00DA31AC" w:rsidRDefault="00061D99" w:rsidP="00DA31AC">
      <w:pPr>
        <w:spacing w:line="480" w:lineRule="auto"/>
        <w:jc w:val="both"/>
        <w:rPr>
          <w:sz w:val="24"/>
          <w:szCs w:val="24"/>
        </w:rPr>
      </w:pPr>
      <w:r w:rsidRPr="00DA31AC">
        <w:rPr>
          <w:sz w:val="24"/>
          <w:szCs w:val="24"/>
        </w:rPr>
        <w:t>Rabe-Hemp (2005) found that female officers are more likely to have force used against them, though the finding</w:t>
      </w:r>
      <w:r w:rsidR="00353BDE">
        <w:rPr>
          <w:sz w:val="24"/>
          <w:szCs w:val="24"/>
        </w:rPr>
        <w:t>s</w:t>
      </w:r>
      <w:r w:rsidRPr="00DA31AC">
        <w:rPr>
          <w:sz w:val="24"/>
          <w:szCs w:val="24"/>
        </w:rPr>
        <w:t xml:space="preserve"> </w:t>
      </w:r>
      <w:proofErr w:type="gramStart"/>
      <w:r w:rsidRPr="00DA31AC">
        <w:rPr>
          <w:sz w:val="24"/>
          <w:szCs w:val="24"/>
        </w:rPr>
        <w:t>are tempered</w:t>
      </w:r>
      <w:proofErr w:type="gramEnd"/>
      <w:r w:rsidRPr="00DA31AC">
        <w:rPr>
          <w:sz w:val="24"/>
          <w:szCs w:val="24"/>
        </w:rPr>
        <w:t xml:space="preserve"> by contextual variables such as assignment type and offender characteristics. Her research suggests that women are more likely to use communicative and de-escalatory approaches, favouring conflict resolution and rapport-building over physical confrontation. However, female officers also face persistent scepticism regarding their physical competence, which, coupled with a masculine workplace culture, can lead to pressure either to conform or adopt alternative strategies to demonstrate professional credibility. </w:t>
      </w:r>
    </w:p>
    <w:p w14:paraId="7162E887" w14:textId="77777777" w:rsidR="00061D99" w:rsidRPr="00DA31AC" w:rsidRDefault="00061D99" w:rsidP="00DA31AC">
      <w:pPr>
        <w:spacing w:line="480" w:lineRule="auto"/>
        <w:jc w:val="both"/>
        <w:rPr>
          <w:sz w:val="24"/>
          <w:szCs w:val="24"/>
        </w:rPr>
      </w:pPr>
    </w:p>
    <w:p w14:paraId="04DB87AD" w14:textId="367B7758" w:rsidR="00061D99" w:rsidRPr="00DA31AC" w:rsidRDefault="00061D99" w:rsidP="00DA31AC">
      <w:pPr>
        <w:spacing w:line="480" w:lineRule="auto"/>
        <w:jc w:val="both"/>
        <w:rPr>
          <w:sz w:val="24"/>
          <w:szCs w:val="24"/>
        </w:rPr>
      </w:pPr>
      <w:r w:rsidRPr="00DA31AC">
        <w:rPr>
          <w:sz w:val="24"/>
          <w:szCs w:val="24"/>
        </w:rPr>
        <w:t xml:space="preserve">Studies have consistently found that male officers are significantly more likely to be involved in serious misconduct. In contrast, female officers, though subject to fewer </w:t>
      </w:r>
      <w:r w:rsidR="00353BDE">
        <w:rPr>
          <w:sz w:val="24"/>
          <w:szCs w:val="24"/>
        </w:rPr>
        <w:t xml:space="preserve">complaints </w:t>
      </w:r>
      <w:r w:rsidRPr="00DA31AC">
        <w:rPr>
          <w:sz w:val="24"/>
          <w:szCs w:val="24"/>
        </w:rPr>
        <w:t xml:space="preserve">receive remedial action </w:t>
      </w:r>
      <w:proofErr w:type="gramStart"/>
      <w:r w:rsidRPr="00DA31AC">
        <w:rPr>
          <w:sz w:val="24"/>
          <w:szCs w:val="24"/>
        </w:rPr>
        <w:t>rather that</w:t>
      </w:r>
      <w:proofErr w:type="gramEnd"/>
      <w:r w:rsidRPr="00DA31AC">
        <w:rPr>
          <w:sz w:val="24"/>
          <w:szCs w:val="24"/>
        </w:rPr>
        <w:t xml:space="preserve"> formal disciplinary measures. </w:t>
      </w:r>
    </w:p>
    <w:p w14:paraId="29C12E55" w14:textId="3725E5F0" w:rsidR="00061D99" w:rsidRPr="00DA31AC" w:rsidRDefault="00061D99" w:rsidP="00DA31AC">
      <w:pPr>
        <w:spacing w:line="480" w:lineRule="auto"/>
        <w:jc w:val="both"/>
        <w:rPr>
          <w:sz w:val="24"/>
          <w:szCs w:val="24"/>
        </w:rPr>
      </w:pPr>
      <w:r w:rsidRPr="00DA31AC">
        <w:rPr>
          <w:sz w:val="24"/>
          <w:szCs w:val="24"/>
        </w:rPr>
        <w:t xml:space="preserve">Cubitt et al. (2022) further notes that male misconduct is concentrated in the </w:t>
      </w:r>
      <w:proofErr w:type="gramStart"/>
      <w:r w:rsidRPr="00DA31AC">
        <w:rPr>
          <w:sz w:val="24"/>
          <w:szCs w:val="24"/>
        </w:rPr>
        <w:t>early stages</w:t>
      </w:r>
      <w:proofErr w:type="gramEnd"/>
      <w:r w:rsidRPr="00DA31AC">
        <w:rPr>
          <w:sz w:val="24"/>
          <w:szCs w:val="24"/>
        </w:rPr>
        <w:t xml:space="preserve"> of an officer’s career, whereas female misconduct </w:t>
      </w:r>
      <w:r w:rsidR="00F30340" w:rsidRPr="00DA31AC">
        <w:rPr>
          <w:sz w:val="24"/>
          <w:szCs w:val="24"/>
        </w:rPr>
        <w:t xml:space="preserve">is more evenly distributed over time. </w:t>
      </w:r>
    </w:p>
    <w:p w14:paraId="5E0EA7CA" w14:textId="77777777" w:rsidR="00F30340" w:rsidRPr="00DA31AC" w:rsidRDefault="00F30340" w:rsidP="00DA31AC">
      <w:pPr>
        <w:spacing w:line="480" w:lineRule="auto"/>
        <w:jc w:val="both"/>
        <w:rPr>
          <w:sz w:val="24"/>
          <w:szCs w:val="24"/>
        </w:rPr>
      </w:pPr>
    </w:p>
    <w:p w14:paraId="2622877D" w14:textId="2E608487" w:rsidR="00F30340" w:rsidRPr="00DA31AC" w:rsidRDefault="00F30340" w:rsidP="00DA31AC">
      <w:pPr>
        <w:spacing w:line="480" w:lineRule="auto"/>
        <w:jc w:val="both"/>
        <w:rPr>
          <w:sz w:val="24"/>
          <w:szCs w:val="24"/>
        </w:rPr>
      </w:pPr>
      <w:r w:rsidRPr="00DA31AC">
        <w:rPr>
          <w:sz w:val="24"/>
          <w:szCs w:val="24"/>
        </w:rPr>
        <w:t xml:space="preserve">Gender differences are also evident in discretionary practices. Research into traffic stops </w:t>
      </w:r>
      <w:r w:rsidR="00353BDE">
        <w:rPr>
          <w:sz w:val="24"/>
          <w:szCs w:val="24"/>
        </w:rPr>
        <w:t xml:space="preserve">shows </w:t>
      </w:r>
      <w:r w:rsidRPr="00DA31AC">
        <w:rPr>
          <w:sz w:val="24"/>
          <w:szCs w:val="24"/>
        </w:rPr>
        <w:t xml:space="preserve">that female officers are less likely to initiate searches than their male </w:t>
      </w:r>
      <w:r w:rsidRPr="00DA31AC">
        <w:rPr>
          <w:sz w:val="24"/>
          <w:szCs w:val="24"/>
        </w:rPr>
        <w:lastRenderedPageBreak/>
        <w:t xml:space="preserve">counterparts. Yet, when searches </w:t>
      </w:r>
      <w:proofErr w:type="gramStart"/>
      <w:r w:rsidRPr="00DA31AC">
        <w:rPr>
          <w:sz w:val="24"/>
          <w:szCs w:val="24"/>
        </w:rPr>
        <w:t>are conducted</w:t>
      </w:r>
      <w:proofErr w:type="gramEnd"/>
      <w:r w:rsidRPr="00DA31AC">
        <w:rPr>
          <w:sz w:val="24"/>
          <w:szCs w:val="24"/>
        </w:rPr>
        <w:t xml:space="preserve">, women are more likely to recover contraband, indicating a higher success rate and more targeted decision-making (Shoub et al. 2021). This supports broader findings that female officers are more community-orientated and possess stronger communication skills, both of which may influence their approach to public interactions and help reduce the likelihood of escalation. </w:t>
      </w:r>
    </w:p>
    <w:p w14:paraId="32AC48D2" w14:textId="77777777" w:rsidR="00061F48" w:rsidRPr="00DA31AC" w:rsidRDefault="00061F48" w:rsidP="00DA31AC">
      <w:pPr>
        <w:jc w:val="both"/>
        <w:rPr>
          <w:sz w:val="24"/>
          <w:szCs w:val="24"/>
        </w:rPr>
      </w:pPr>
    </w:p>
    <w:p w14:paraId="3891C4AA" w14:textId="2689D570" w:rsidR="00A94180" w:rsidRPr="00DA31AC" w:rsidRDefault="001E517E" w:rsidP="00DA31AC">
      <w:pPr>
        <w:pStyle w:val="Subtitle"/>
        <w:jc w:val="both"/>
        <w:outlineLvl w:val="0"/>
        <w:rPr>
          <w:sz w:val="24"/>
          <w:szCs w:val="24"/>
        </w:rPr>
      </w:pPr>
      <w:bookmarkStart w:id="9" w:name="_Toc204028254"/>
      <w:bookmarkStart w:id="10" w:name="_Toc204028394"/>
      <w:r w:rsidRPr="00DA31AC">
        <w:rPr>
          <w:sz w:val="24"/>
          <w:szCs w:val="24"/>
        </w:rPr>
        <w:t xml:space="preserve">2.5 </w:t>
      </w:r>
      <w:r w:rsidR="00A94180" w:rsidRPr="00DA31AC">
        <w:rPr>
          <w:sz w:val="24"/>
          <w:szCs w:val="24"/>
        </w:rPr>
        <w:t>Gendered Policing culture and leadership</w:t>
      </w:r>
      <w:bookmarkEnd w:id="9"/>
      <w:bookmarkEnd w:id="10"/>
    </w:p>
    <w:p w14:paraId="342ABC0F" w14:textId="7930895B" w:rsidR="00BB3E65" w:rsidRPr="00DA31AC" w:rsidRDefault="00BB3E65" w:rsidP="00DA31AC">
      <w:pPr>
        <w:spacing w:line="480" w:lineRule="auto"/>
        <w:jc w:val="both"/>
        <w:rPr>
          <w:sz w:val="24"/>
          <w:szCs w:val="24"/>
        </w:rPr>
      </w:pPr>
    </w:p>
    <w:p w14:paraId="1AC96901" w14:textId="268D081F" w:rsidR="00C236A9" w:rsidRPr="00DA31AC" w:rsidRDefault="00C236A9" w:rsidP="00DA31AC">
      <w:pPr>
        <w:spacing w:line="480" w:lineRule="auto"/>
        <w:jc w:val="both"/>
        <w:rPr>
          <w:sz w:val="24"/>
          <w:szCs w:val="24"/>
        </w:rPr>
      </w:pPr>
      <w:r w:rsidRPr="00DA31AC">
        <w:rPr>
          <w:sz w:val="24"/>
          <w:szCs w:val="24"/>
        </w:rPr>
        <w:t xml:space="preserve">Organisational culture in policing </w:t>
      </w:r>
      <w:proofErr w:type="gramStart"/>
      <w:r w:rsidRPr="00DA31AC">
        <w:rPr>
          <w:sz w:val="24"/>
          <w:szCs w:val="24"/>
        </w:rPr>
        <w:t>is deeply gendered</w:t>
      </w:r>
      <w:proofErr w:type="gramEnd"/>
      <w:r w:rsidRPr="00DA31AC">
        <w:rPr>
          <w:sz w:val="24"/>
          <w:szCs w:val="24"/>
        </w:rPr>
        <w:t>, shaping perceptions, behaviours, and power hierarchies. Female officers report experiencing derogatory labels such</w:t>
      </w:r>
      <w:r w:rsidR="00353BDE">
        <w:rPr>
          <w:sz w:val="24"/>
          <w:szCs w:val="24"/>
        </w:rPr>
        <w:t xml:space="preserve"> as being</w:t>
      </w:r>
      <w:r w:rsidRPr="00DA31AC">
        <w:rPr>
          <w:sz w:val="24"/>
          <w:szCs w:val="24"/>
        </w:rPr>
        <w:t xml:space="preserve"> “dykes” or “bitchy</w:t>
      </w:r>
      <w:proofErr w:type="gramStart"/>
      <w:r w:rsidRPr="00DA31AC">
        <w:rPr>
          <w:sz w:val="24"/>
          <w:szCs w:val="24"/>
        </w:rPr>
        <w:t>”,</w:t>
      </w:r>
      <w:proofErr w:type="gramEnd"/>
      <w:r w:rsidRPr="00DA31AC">
        <w:rPr>
          <w:sz w:val="24"/>
          <w:szCs w:val="24"/>
        </w:rPr>
        <w:t xml:space="preserve"> and ongoing sexual harassment. Their physical capabilities and willingness to use force are often scrutinised by male peers. Franklin (2005) describes policing as an “inherently masculine” institution, where subcultural norms valorise aggression, weapons, danger, and emotional restraint. </w:t>
      </w:r>
    </w:p>
    <w:p w14:paraId="1456F5A8" w14:textId="77777777" w:rsidR="00C236A9" w:rsidRPr="00DA31AC" w:rsidRDefault="00C236A9" w:rsidP="00DA31AC">
      <w:pPr>
        <w:spacing w:line="480" w:lineRule="auto"/>
        <w:jc w:val="both"/>
        <w:rPr>
          <w:sz w:val="24"/>
          <w:szCs w:val="24"/>
        </w:rPr>
      </w:pPr>
    </w:p>
    <w:p w14:paraId="0C47558B" w14:textId="0B7D4B9B" w:rsidR="00C236A9" w:rsidRPr="00DA31AC" w:rsidRDefault="00C236A9" w:rsidP="00DA31AC">
      <w:pPr>
        <w:spacing w:line="480" w:lineRule="auto"/>
        <w:jc w:val="both"/>
        <w:rPr>
          <w:sz w:val="24"/>
          <w:szCs w:val="24"/>
        </w:rPr>
      </w:pPr>
      <w:r w:rsidRPr="00DA31AC">
        <w:rPr>
          <w:sz w:val="24"/>
          <w:szCs w:val="24"/>
        </w:rPr>
        <w:t>Women within such cultures face pressure to conform, risking hostility if they do not. Those who over-conform are still at risk of being labelled “weak</w:t>
      </w:r>
      <w:proofErr w:type="gramStart"/>
      <w:r w:rsidRPr="00DA31AC">
        <w:rPr>
          <w:sz w:val="24"/>
          <w:szCs w:val="24"/>
        </w:rPr>
        <w:t>”,</w:t>
      </w:r>
      <w:proofErr w:type="gramEnd"/>
      <w:r w:rsidRPr="00DA31AC">
        <w:rPr>
          <w:sz w:val="24"/>
          <w:szCs w:val="24"/>
        </w:rPr>
        <w:t xml:space="preserve"> reinforcing narrow conception of masculinity (Franklin, 2005). Historically, women were relegated to </w:t>
      </w:r>
      <w:proofErr w:type="gramStart"/>
      <w:r w:rsidRPr="00DA31AC">
        <w:rPr>
          <w:sz w:val="24"/>
          <w:szCs w:val="24"/>
        </w:rPr>
        <w:t>handling</w:t>
      </w:r>
      <w:proofErr w:type="gramEnd"/>
      <w:r w:rsidRPr="00DA31AC">
        <w:rPr>
          <w:sz w:val="24"/>
          <w:szCs w:val="24"/>
        </w:rPr>
        <w:t xml:space="preserve"> juveniles, morality, and female-related cases. Thes</w:t>
      </w:r>
      <w:r w:rsidR="00353BDE">
        <w:rPr>
          <w:sz w:val="24"/>
          <w:szCs w:val="24"/>
        </w:rPr>
        <w:t>e</w:t>
      </w:r>
      <w:r w:rsidRPr="00DA31AC">
        <w:rPr>
          <w:sz w:val="24"/>
          <w:szCs w:val="24"/>
        </w:rPr>
        <w:t xml:space="preserve"> biases persist, with female officers still deemed as “unsuitable” for firearms teams, excluded due to sexist beliefs of </w:t>
      </w:r>
      <w:r w:rsidR="00081D20" w:rsidRPr="00DA31AC">
        <w:rPr>
          <w:sz w:val="24"/>
          <w:szCs w:val="24"/>
        </w:rPr>
        <w:t>be</w:t>
      </w:r>
      <w:r w:rsidRPr="00DA31AC">
        <w:rPr>
          <w:sz w:val="24"/>
          <w:szCs w:val="24"/>
        </w:rPr>
        <w:t>ing “not strong enough</w:t>
      </w:r>
      <w:r w:rsidR="00081D20" w:rsidRPr="00DA31AC">
        <w:rPr>
          <w:sz w:val="24"/>
          <w:szCs w:val="24"/>
        </w:rPr>
        <w:t>” or affected by “pre-menstrual tension</w:t>
      </w:r>
      <w:proofErr w:type="gramStart"/>
      <w:r w:rsidR="00081D20" w:rsidRPr="00DA31AC">
        <w:rPr>
          <w:sz w:val="24"/>
          <w:szCs w:val="24"/>
        </w:rPr>
        <w:t>”.</w:t>
      </w:r>
      <w:proofErr w:type="gramEnd"/>
      <w:r w:rsidR="00081D20" w:rsidRPr="00DA31AC">
        <w:rPr>
          <w:sz w:val="24"/>
          <w:szCs w:val="24"/>
        </w:rPr>
        <w:t xml:space="preserve"> </w:t>
      </w:r>
    </w:p>
    <w:p w14:paraId="7D669A0D" w14:textId="77777777" w:rsidR="00081D20" w:rsidRPr="00DA31AC" w:rsidRDefault="00081D20" w:rsidP="00DA31AC">
      <w:pPr>
        <w:spacing w:line="480" w:lineRule="auto"/>
        <w:jc w:val="both"/>
        <w:rPr>
          <w:sz w:val="24"/>
          <w:szCs w:val="24"/>
        </w:rPr>
      </w:pPr>
    </w:p>
    <w:p w14:paraId="44B3D3DC" w14:textId="21779A37" w:rsidR="00081D20" w:rsidRPr="00DA31AC" w:rsidRDefault="00081D20" w:rsidP="00DA31AC">
      <w:pPr>
        <w:spacing w:line="480" w:lineRule="auto"/>
        <w:jc w:val="both"/>
        <w:rPr>
          <w:sz w:val="24"/>
          <w:szCs w:val="24"/>
        </w:rPr>
      </w:pPr>
      <w:r w:rsidRPr="00DA31AC">
        <w:rPr>
          <w:sz w:val="24"/>
          <w:szCs w:val="24"/>
        </w:rPr>
        <w:lastRenderedPageBreak/>
        <w:t xml:space="preserve">The psychological burden of needing to outperform male peers just to </w:t>
      </w:r>
      <w:proofErr w:type="gramStart"/>
      <w:r w:rsidRPr="00DA31AC">
        <w:rPr>
          <w:sz w:val="24"/>
          <w:szCs w:val="24"/>
        </w:rPr>
        <w:t>be seen</w:t>
      </w:r>
      <w:proofErr w:type="gramEnd"/>
      <w:r w:rsidRPr="00DA31AC">
        <w:rPr>
          <w:sz w:val="24"/>
          <w:szCs w:val="24"/>
        </w:rPr>
        <w:t xml:space="preserve"> as equal is significant. Silvestri (2004) notes that women often engage </w:t>
      </w:r>
      <w:r w:rsidR="00CF7F67" w:rsidRPr="00DA31AC">
        <w:rPr>
          <w:sz w:val="24"/>
          <w:szCs w:val="24"/>
        </w:rPr>
        <w:t xml:space="preserve">in strategic conformity, demonstrating assertiveness, avoiding emotional displays, and downplaying gender or caregiving roles, to fit within masculinised professional norms. However, such adaptation comes at a cost as female leadership styles, centred on mentoring, </w:t>
      </w:r>
      <w:proofErr w:type="gramStart"/>
      <w:r w:rsidR="00CF7F67" w:rsidRPr="00DA31AC">
        <w:rPr>
          <w:sz w:val="24"/>
          <w:szCs w:val="24"/>
        </w:rPr>
        <w:t>relationship</w:t>
      </w:r>
      <w:proofErr w:type="gramEnd"/>
      <w:r w:rsidR="00CF7F67" w:rsidRPr="00DA31AC">
        <w:rPr>
          <w:sz w:val="24"/>
          <w:szCs w:val="24"/>
        </w:rPr>
        <w:t xml:space="preserve"> and morale building, are frequently perceived as lacking authority in traditional policing culture. </w:t>
      </w:r>
    </w:p>
    <w:p w14:paraId="073C4FA1" w14:textId="77777777" w:rsidR="00CF7F67" w:rsidRPr="00DA31AC" w:rsidRDefault="00CF7F67" w:rsidP="00DA31AC">
      <w:pPr>
        <w:spacing w:line="480" w:lineRule="auto"/>
        <w:jc w:val="both"/>
        <w:rPr>
          <w:sz w:val="24"/>
          <w:szCs w:val="24"/>
        </w:rPr>
      </w:pPr>
    </w:p>
    <w:p w14:paraId="12D6D752" w14:textId="71F85239" w:rsidR="00CF7F67" w:rsidRPr="00DA31AC" w:rsidRDefault="00CF7F67" w:rsidP="00DA31AC">
      <w:pPr>
        <w:spacing w:line="480" w:lineRule="auto"/>
        <w:jc w:val="both"/>
        <w:rPr>
          <w:sz w:val="24"/>
          <w:szCs w:val="24"/>
        </w:rPr>
      </w:pPr>
      <w:r w:rsidRPr="00DA31AC">
        <w:rPr>
          <w:sz w:val="24"/>
          <w:szCs w:val="24"/>
        </w:rPr>
        <w:t xml:space="preserve">Despite diversity initiatives and leadership development programmes, Silvestri argues these reforms remain </w:t>
      </w:r>
      <w:proofErr w:type="gramStart"/>
      <w:r w:rsidRPr="00DA31AC">
        <w:rPr>
          <w:sz w:val="24"/>
          <w:szCs w:val="24"/>
        </w:rPr>
        <w:t>largely symbolic</w:t>
      </w:r>
      <w:proofErr w:type="gramEnd"/>
      <w:r w:rsidRPr="00DA31AC">
        <w:rPr>
          <w:sz w:val="24"/>
          <w:szCs w:val="24"/>
        </w:rPr>
        <w:t xml:space="preserve">. Structural biases endure, and leadership pathways still reward conformity to masculine norms (Silvestri, 2004). Kingshott (2009) also identifies a hyper-masculine and often misogynistic culture, fostering homophobia, racism, and gender bias, conditions that can produce adverse experiences for female officers. </w:t>
      </w:r>
    </w:p>
    <w:p w14:paraId="22D62242" w14:textId="77777777" w:rsidR="00CF7F67" w:rsidRPr="00DA31AC" w:rsidRDefault="00CF7F67" w:rsidP="00DA31AC">
      <w:pPr>
        <w:spacing w:line="480" w:lineRule="auto"/>
        <w:jc w:val="both"/>
        <w:rPr>
          <w:sz w:val="24"/>
          <w:szCs w:val="24"/>
        </w:rPr>
      </w:pPr>
    </w:p>
    <w:p w14:paraId="1F6A391D" w14:textId="3AC8B188" w:rsidR="00CF7F67" w:rsidRPr="00DA31AC" w:rsidRDefault="00CF7F67" w:rsidP="00DA31AC">
      <w:pPr>
        <w:spacing w:line="480" w:lineRule="auto"/>
        <w:jc w:val="both"/>
        <w:rPr>
          <w:sz w:val="24"/>
          <w:szCs w:val="24"/>
        </w:rPr>
      </w:pPr>
      <w:r w:rsidRPr="00DA31AC">
        <w:rPr>
          <w:sz w:val="24"/>
          <w:szCs w:val="24"/>
        </w:rPr>
        <w:t>Kingshott proposes a feminist leadership ethic, which values empathy, care and adaptability</w:t>
      </w:r>
      <w:r w:rsidR="007A0321">
        <w:rPr>
          <w:sz w:val="24"/>
          <w:szCs w:val="24"/>
        </w:rPr>
        <w:t>, over c</w:t>
      </w:r>
      <w:r w:rsidR="007A0321" w:rsidRPr="00DA31AC">
        <w:rPr>
          <w:sz w:val="24"/>
          <w:szCs w:val="24"/>
        </w:rPr>
        <w:t>ontrasting leadership models focused on traits such as decisiveness and physical dominance</w:t>
      </w:r>
      <w:r w:rsidRPr="00DA31AC">
        <w:rPr>
          <w:sz w:val="24"/>
          <w:szCs w:val="24"/>
        </w:rPr>
        <w:t xml:space="preserve">. Female leaders may favour relational or situational approaches over rigid, hierarchal structures. Nevertheless, barriers to leadership remain significant, ranging from tokenism and discriminatory training practices to male-dominated networks and poor retention. In 2009, women represented less than </w:t>
      </w:r>
      <w:r w:rsidR="00A86C37" w:rsidRPr="00DA31AC">
        <w:rPr>
          <w:sz w:val="24"/>
          <w:szCs w:val="24"/>
        </w:rPr>
        <w:t xml:space="preserve">5% of senior leadership, and as of 2013, only 16.3% of officers at Chief Inspector rank and above in England and Wales were women (Silvestri et al. 2013). </w:t>
      </w:r>
    </w:p>
    <w:p w14:paraId="7572E281" w14:textId="77777777" w:rsidR="00A86C37" w:rsidRPr="00DA31AC" w:rsidRDefault="00A86C37" w:rsidP="00DA31AC">
      <w:pPr>
        <w:spacing w:line="480" w:lineRule="auto"/>
        <w:jc w:val="both"/>
        <w:rPr>
          <w:sz w:val="24"/>
          <w:szCs w:val="24"/>
        </w:rPr>
      </w:pPr>
    </w:p>
    <w:p w14:paraId="67C778F0" w14:textId="0BBD64C8" w:rsidR="00A86C37" w:rsidRPr="00DA31AC" w:rsidRDefault="00A86C37" w:rsidP="00DA31AC">
      <w:pPr>
        <w:spacing w:line="480" w:lineRule="auto"/>
        <w:jc w:val="both"/>
        <w:rPr>
          <w:sz w:val="24"/>
          <w:szCs w:val="24"/>
        </w:rPr>
      </w:pPr>
      <w:r w:rsidRPr="00DA31AC">
        <w:rPr>
          <w:sz w:val="24"/>
          <w:szCs w:val="24"/>
        </w:rPr>
        <w:t xml:space="preserve">Moore (1999) draws on Gilligan (1982) and Walker (1991) to compare the ethics of justice, centred on rules, rights and impartiality, with the ethics of care, which emphasises empathy, </w:t>
      </w:r>
      <w:proofErr w:type="gramStart"/>
      <w:r w:rsidRPr="00DA31AC">
        <w:rPr>
          <w:sz w:val="24"/>
          <w:szCs w:val="24"/>
        </w:rPr>
        <w:t>context</w:t>
      </w:r>
      <w:proofErr w:type="gramEnd"/>
      <w:r w:rsidRPr="00DA31AC">
        <w:rPr>
          <w:sz w:val="24"/>
          <w:szCs w:val="24"/>
        </w:rPr>
        <w:t xml:space="preserve"> and responsiveness. Applied to policing, officers orientated toward justice may</w:t>
      </w:r>
      <w:r w:rsidR="007A0321">
        <w:rPr>
          <w:sz w:val="24"/>
          <w:szCs w:val="24"/>
        </w:rPr>
        <w:t xml:space="preserve"> </w:t>
      </w:r>
      <w:r w:rsidRPr="00DA31AC">
        <w:rPr>
          <w:sz w:val="24"/>
          <w:szCs w:val="24"/>
        </w:rPr>
        <w:t xml:space="preserve">focus on strict legal enforcement, while those leaning toward care prioritise de-escalation and relationship-building. Moore notes that women tend to score higher on care, and men on justice, suggesting differing leadership and policing styles shaped by gendered moral orientations. </w:t>
      </w:r>
    </w:p>
    <w:p w14:paraId="0950F0DA" w14:textId="77777777" w:rsidR="00251E04" w:rsidRPr="00DA31AC" w:rsidRDefault="00251E04" w:rsidP="00DA31AC">
      <w:pPr>
        <w:spacing w:line="480" w:lineRule="auto"/>
        <w:jc w:val="both"/>
        <w:rPr>
          <w:sz w:val="24"/>
          <w:szCs w:val="24"/>
        </w:rPr>
      </w:pPr>
    </w:p>
    <w:p w14:paraId="3EC0F547" w14:textId="3B3AD77F" w:rsidR="00A94180" w:rsidRPr="00DA31AC" w:rsidRDefault="001E517E" w:rsidP="00DA31AC">
      <w:pPr>
        <w:pStyle w:val="Subtitle"/>
        <w:jc w:val="both"/>
        <w:outlineLvl w:val="0"/>
        <w:rPr>
          <w:sz w:val="24"/>
          <w:szCs w:val="24"/>
        </w:rPr>
      </w:pPr>
      <w:bookmarkStart w:id="11" w:name="_Toc204028255"/>
      <w:bookmarkStart w:id="12" w:name="_Toc204028395"/>
      <w:r w:rsidRPr="00DA31AC">
        <w:rPr>
          <w:sz w:val="24"/>
          <w:szCs w:val="24"/>
        </w:rPr>
        <w:t xml:space="preserve">2.6 </w:t>
      </w:r>
      <w:r w:rsidR="00A94180" w:rsidRPr="00DA31AC">
        <w:rPr>
          <w:sz w:val="24"/>
          <w:szCs w:val="24"/>
        </w:rPr>
        <w:t>Theory and broader legitimacy frameworks</w:t>
      </w:r>
      <w:bookmarkEnd w:id="11"/>
      <w:bookmarkEnd w:id="12"/>
    </w:p>
    <w:p w14:paraId="4767D898" w14:textId="43BA7A84" w:rsidR="00A86C37" w:rsidRPr="00DA31AC" w:rsidRDefault="00A86C37" w:rsidP="00DA31AC">
      <w:pPr>
        <w:spacing w:line="480" w:lineRule="auto"/>
        <w:jc w:val="both"/>
        <w:rPr>
          <w:sz w:val="24"/>
          <w:szCs w:val="24"/>
        </w:rPr>
      </w:pPr>
    </w:p>
    <w:p w14:paraId="2F478ED2" w14:textId="4DD4357B" w:rsidR="00A86C37" w:rsidRPr="00DA31AC" w:rsidRDefault="00A86C37" w:rsidP="00DA31AC">
      <w:pPr>
        <w:spacing w:line="480" w:lineRule="auto"/>
        <w:jc w:val="both"/>
        <w:rPr>
          <w:sz w:val="24"/>
          <w:szCs w:val="24"/>
        </w:rPr>
      </w:pPr>
      <w:r w:rsidRPr="00DA31AC">
        <w:rPr>
          <w:sz w:val="24"/>
          <w:szCs w:val="24"/>
        </w:rPr>
        <w:t xml:space="preserve">Role Congruity Theory (Eagly and Karau, 2002) </w:t>
      </w:r>
      <w:r w:rsidR="007A0321">
        <w:rPr>
          <w:sz w:val="24"/>
          <w:szCs w:val="24"/>
        </w:rPr>
        <w:t>states</w:t>
      </w:r>
      <w:r w:rsidRPr="00DA31AC">
        <w:rPr>
          <w:sz w:val="24"/>
          <w:szCs w:val="24"/>
        </w:rPr>
        <w:t xml:space="preserve"> that individuals face bias when their social roles conflict with gendered stereotypes. In male-dominated professions such as policing, where traits like physical dominance, assertiveness, and aggression are often valorised, women </w:t>
      </w:r>
      <w:proofErr w:type="gramStart"/>
      <w:r w:rsidRPr="00DA31AC">
        <w:rPr>
          <w:sz w:val="24"/>
          <w:szCs w:val="24"/>
        </w:rPr>
        <w:t>are perceived</w:t>
      </w:r>
      <w:proofErr w:type="gramEnd"/>
      <w:r w:rsidRPr="00DA31AC">
        <w:rPr>
          <w:sz w:val="24"/>
          <w:szCs w:val="24"/>
        </w:rPr>
        <w:t xml:space="preserve"> as incongruent with the role. Consequently, female officers, particularly in leadership positions, may </w:t>
      </w:r>
      <w:proofErr w:type="gramStart"/>
      <w:r w:rsidRPr="00DA31AC">
        <w:rPr>
          <w:sz w:val="24"/>
          <w:szCs w:val="24"/>
        </w:rPr>
        <w:t>be judged</w:t>
      </w:r>
      <w:proofErr w:type="gramEnd"/>
      <w:r w:rsidRPr="00DA31AC">
        <w:rPr>
          <w:sz w:val="24"/>
          <w:szCs w:val="24"/>
        </w:rPr>
        <w:t xml:space="preserve"> as less credible or effective simply due to their gender. </w:t>
      </w:r>
    </w:p>
    <w:p w14:paraId="7C03AE5F" w14:textId="77777777" w:rsidR="00A86C37" w:rsidRPr="00DA31AC" w:rsidRDefault="00A86C37" w:rsidP="00DA31AC">
      <w:pPr>
        <w:spacing w:line="480" w:lineRule="auto"/>
        <w:jc w:val="both"/>
        <w:rPr>
          <w:sz w:val="24"/>
          <w:szCs w:val="24"/>
        </w:rPr>
      </w:pPr>
    </w:p>
    <w:p w14:paraId="672F0993" w14:textId="580D4E93" w:rsidR="00A86C37" w:rsidRPr="00DA31AC" w:rsidRDefault="00A86C37" w:rsidP="00DA31AC">
      <w:pPr>
        <w:spacing w:line="480" w:lineRule="auto"/>
        <w:jc w:val="both"/>
        <w:rPr>
          <w:sz w:val="24"/>
          <w:szCs w:val="24"/>
        </w:rPr>
      </w:pPr>
      <w:r w:rsidRPr="00DA31AC">
        <w:rPr>
          <w:sz w:val="24"/>
          <w:szCs w:val="24"/>
        </w:rPr>
        <w:t xml:space="preserve">When women adopt behaviours aligned with conventional policing norms, such as using force, they risk violating gender expectations, leading to a backlash where they are perceived </w:t>
      </w:r>
      <w:r w:rsidR="008C04CF" w:rsidRPr="00DA31AC">
        <w:rPr>
          <w:sz w:val="24"/>
          <w:szCs w:val="24"/>
        </w:rPr>
        <w:t>as competent but “cold” or “unlikable</w:t>
      </w:r>
      <w:proofErr w:type="gramStart"/>
      <w:r w:rsidR="008C04CF" w:rsidRPr="00DA31AC">
        <w:rPr>
          <w:sz w:val="24"/>
          <w:szCs w:val="24"/>
        </w:rPr>
        <w:t>”.</w:t>
      </w:r>
      <w:proofErr w:type="gramEnd"/>
      <w:r w:rsidR="008C04CF" w:rsidRPr="00DA31AC">
        <w:rPr>
          <w:sz w:val="24"/>
          <w:szCs w:val="24"/>
        </w:rPr>
        <w:t xml:space="preserve"> Conversely, when employing communicative strategies traditionally associated with femininity, such as empathy and </w:t>
      </w:r>
      <w:r w:rsidR="008C04CF" w:rsidRPr="00DA31AC">
        <w:rPr>
          <w:sz w:val="24"/>
          <w:szCs w:val="24"/>
        </w:rPr>
        <w:lastRenderedPageBreak/>
        <w:t xml:space="preserve">active listening, female officers </w:t>
      </w:r>
      <w:proofErr w:type="gramStart"/>
      <w:r w:rsidR="008C04CF" w:rsidRPr="00DA31AC">
        <w:rPr>
          <w:sz w:val="24"/>
          <w:szCs w:val="24"/>
        </w:rPr>
        <w:t>are often evaluated</w:t>
      </w:r>
      <w:proofErr w:type="gramEnd"/>
      <w:r w:rsidR="008C04CF" w:rsidRPr="00DA31AC">
        <w:rPr>
          <w:sz w:val="24"/>
          <w:szCs w:val="24"/>
        </w:rPr>
        <w:t xml:space="preserve"> more favourably, but those tactics may simultaneously undermine perceptions of their authority or strength. </w:t>
      </w:r>
    </w:p>
    <w:p w14:paraId="704FFBCA" w14:textId="182FA025" w:rsidR="008C04CF" w:rsidRPr="00DA31AC" w:rsidRDefault="008C04CF" w:rsidP="00DA31AC">
      <w:pPr>
        <w:spacing w:line="480" w:lineRule="auto"/>
        <w:jc w:val="both"/>
        <w:rPr>
          <w:sz w:val="24"/>
          <w:szCs w:val="24"/>
        </w:rPr>
      </w:pPr>
      <w:r w:rsidRPr="00DA31AC">
        <w:rPr>
          <w:sz w:val="24"/>
          <w:szCs w:val="24"/>
        </w:rPr>
        <w:br/>
        <w:t>This theoretical framework highlights a double bind. Women are often penalised regardless of the behavioural strategy they adopt. If they prioritise agentic traits (</w:t>
      </w:r>
      <w:r w:rsidR="00B82FA4" w:rsidRPr="00DA31AC">
        <w:rPr>
          <w:sz w:val="24"/>
          <w:szCs w:val="24"/>
        </w:rPr>
        <w:t>e.g.</w:t>
      </w:r>
      <w:r w:rsidRPr="00DA31AC">
        <w:rPr>
          <w:sz w:val="24"/>
          <w:szCs w:val="24"/>
        </w:rPr>
        <w:t xml:space="preserve"> assertiveness), they may </w:t>
      </w:r>
      <w:proofErr w:type="gramStart"/>
      <w:r w:rsidRPr="00DA31AC">
        <w:rPr>
          <w:sz w:val="24"/>
          <w:szCs w:val="24"/>
        </w:rPr>
        <w:t>be seen</w:t>
      </w:r>
      <w:proofErr w:type="gramEnd"/>
      <w:r w:rsidRPr="00DA31AC">
        <w:rPr>
          <w:sz w:val="24"/>
          <w:szCs w:val="24"/>
        </w:rPr>
        <w:t xml:space="preserve"> as effective but less likeable. However, if they emphasise communal traits (</w:t>
      </w:r>
      <w:r w:rsidR="00B82FA4" w:rsidRPr="00DA31AC">
        <w:rPr>
          <w:sz w:val="24"/>
          <w:szCs w:val="24"/>
        </w:rPr>
        <w:t>e.g.</w:t>
      </w:r>
      <w:r w:rsidRPr="00DA31AC">
        <w:rPr>
          <w:sz w:val="24"/>
          <w:szCs w:val="24"/>
        </w:rPr>
        <w:t xml:space="preserve"> approachability), they risk </w:t>
      </w:r>
      <w:proofErr w:type="gramStart"/>
      <w:r w:rsidRPr="00DA31AC">
        <w:rPr>
          <w:sz w:val="24"/>
          <w:szCs w:val="24"/>
        </w:rPr>
        <w:t>being perceived</w:t>
      </w:r>
      <w:proofErr w:type="gramEnd"/>
      <w:r w:rsidRPr="00DA31AC">
        <w:rPr>
          <w:sz w:val="24"/>
          <w:szCs w:val="24"/>
        </w:rPr>
        <w:t xml:space="preserve"> as weak or lacking in leadership potential. Eagly and Karau (2002) argues that this tension limits how women can authentically perform their roles without professional persecution. </w:t>
      </w:r>
    </w:p>
    <w:p w14:paraId="63D883CC" w14:textId="77777777" w:rsidR="008C04CF" w:rsidRPr="00DA31AC" w:rsidRDefault="008C04CF" w:rsidP="00DA31AC">
      <w:pPr>
        <w:spacing w:line="480" w:lineRule="auto"/>
        <w:jc w:val="both"/>
        <w:rPr>
          <w:sz w:val="24"/>
          <w:szCs w:val="24"/>
        </w:rPr>
      </w:pPr>
    </w:p>
    <w:p w14:paraId="2753D509" w14:textId="10E1038F" w:rsidR="008C04CF" w:rsidRDefault="008C04CF" w:rsidP="00DA31AC">
      <w:pPr>
        <w:spacing w:line="480" w:lineRule="auto"/>
        <w:jc w:val="both"/>
        <w:rPr>
          <w:sz w:val="24"/>
          <w:szCs w:val="24"/>
        </w:rPr>
      </w:pPr>
      <w:r w:rsidRPr="00DA31AC">
        <w:rPr>
          <w:sz w:val="24"/>
          <w:szCs w:val="24"/>
        </w:rPr>
        <w:t xml:space="preserve">In policing, this dilemma carries particular significance. It can influence both how female officers engage with the public and how they </w:t>
      </w:r>
      <w:proofErr w:type="gramStart"/>
      <w:r w:rsidRPr="00DA31AC">
        <w:rPr>
          <w:sz w:val="24"/>
          <w:szCs w:val="24"/>
        </w:rPr>
        <w:t>are perceived</w:t>
      </w:r>
      <w:proofErr w:type="gramEnd"/>
      <w:r w:rsidRPr="00DA31AC">
        <w:rPr>
          <w:sz w:val="24"/>
          <w:szCs w:val="24"/>
        </w:rPr>
        <w:t xml:space="preserve"> both internally and externally. Even when empathetic approaches are more effective and positively received, the stigma surrounding femininity in policing may discourage their use, thereby effecting both officer behaviour and broader perceptions of legitimacy. </w:t>
      </w:r>
    </w:p>
    <w:p w14:paraId="6B3A735E" w14:textId="77777777" w:rsidR="007A0321" w:rsidRPr="00DA31AC" w:rsidRDefault="007A0321" w:rsidP="00DA31AC">
      <w:pPr>
        <w:spacing w:line="480" w:lineRule="auto"/>
        <w:jc w:val="both"/>
        <w:rPr>
          <w:sz w:val="24"/>
          <w:szCs w:val="24"/>
        </w:rPr>
      </w:pPr>
    </w:p>
    <w:p w14:paraId="34B62B1C" w14:textId="2EAA0329" w:rsidR="00D231D7" w:rsidRPr="00DA31AC" w:rsidRDefault="00D231D7" w:rsidP="00DA31AC">
      <w:pPr>
        <w:pStyle w:val="Subtitle"/>
        <w:jc w:val="both"/>
        <w:outlineLvl w:val="0"/>
        <w:rPr>
          <w:sz w:val="24"/>
          <w:szCs w:val="24"/>
        </w:rPr>
      </w:pPr>
      <w:bookmarkStart w:id="13" w:name="_Toc204028256"/>
      <w:bookmarkStart w:id="14" w:name="_Toc204028396"/>
      <w:r w:rsidRPr="00DA31AC">
        <w:rPr>
          <w:sz w:val="24"/>
          <w:szCs w:val="24"/>
        </w:rPr>
        <w:t>2.7 Conclusion</w:t>
      </w:r>
      <w:bookmarkEnd w:id="13"/>
      <w:bookmarkEnd w:id="14"/>
    </w:p>
    <w:p w14:paraId="19A7893F" w14:textId="6AC5FF04" w:rsidR="00A94180" w:rsidRPr="00DA31AC" w:rsidRDefault="00A94180" w:rsidP="00DA31AC">
      <w:pPr>
        <w:jc w:val="both"/>
        <w:rPr>
          <w:sz w:val="24"/>
          <w:szCs w:val="24"/>
        </w:rPr>
      </w:pPr>
    </w:p>
    <w:p w14:paraId="7F6DBFD6" w14:textId="5C04432F" w:rsidR="002F3D28" w:rsidRPr="00DA31AC" w:rsidRDefault="00C94E5F" w:rsidP="00DA31AC">
      <w:pPr>
        <w:spacing w:line="480" w:lineRule="auto"/>
        <w:jc w:val="both"/>
        <w:rPr>
          <w:sz w:val="24"/>
          <w:szCs w:val="24"/>
        </w:rPr>
      </w:pPr>
      <w:r w:rsidRPr="00DA31AC">
        <w:rPr>
          <w:sz w:val="24"/>
          <w:szCs w:val="24"/>
        </w:rPr>
        <w:t xml:space="preserve">This literature review has shown that while female officers are increasingly present within modern police forces, the gendered nature of policing remains a powerful force shaping both practice and public perception. Across each thematic area, whether operational styles, organisational culture, leadership or theoretical framing, the evidence suggests that women do in many ways </w:t>
      </w:r>
      <w:r w:rsidRPr="00DA31AC">
        <w:rPr>
          <w:i/>
          <w:iCs/>
          <w:sz w:val="24"/>
          <w:szCs w:val="24"/>
        </w:rPr>
        <w:t>‘police differently</w:t>
      </w:r>
      <w:proofErr w:type="gramStart"/>
      <w:r w:rsidRPr="00DA31AC">
        <w:rPr>
          <w:i/>
          <w:iCs/>
          <w:sz w:val="24"/>
          <w:szCs w:val="24"/>
        </w:rPr>
        <w:t>’.</w:t>
      </w:r>
      <w:proofErr w:type="gramEnd"/>
      <w:r w:rsidRPr="00DA31AC">
        <w:rPr>
          <w:i/>
          <w:iCs/>
          <w:sz w:val="24"/>
          <w:szCs w:val="24"/>
        </w:rPr>
        <w:t xml:space="preserve"> </w:t>
      </w:r>
      <w:r w:rsidRPr="00DA31AC">
        <w:rPr>
          <w:sz w:val="24"/>
          <w:szCs w:val="24"/>
        </w:rPr>
        <w:t xml:space="preserve">However, this difference is not merely a </w:t>
      </w:r>
      <w:r w:rsidRPr="00DA31AC">
        <w:rPr>
          <w:sz w:val="24"/>
          <w:szCs w:val="24"/>
        </w:rPr>
        <w:lastRenderedPageBreak/>
        <w:t>matter of choice o</w:t>
      </w:r>
      <w:r w:rsidR="007A0321">
        <w:rPr>
          <w:sz w:val="24"/>
          <w:szCs w:val="24"/>
        </w:rPr>
        <w:t>r</w:t>
      </w:r>
      <w:r w:rsidRPr="00DA31AC">
        <w:rPr>
          <w:sz w:val="24"/>
          <w:szCs w:val="24"/>
        </w:rPr>
        <w:t xml:space="preserve"> capability, it is heavily influenced by institutional expectations, </w:t>
      </w:r>
      <w:proofErr w:type="gramStart"/>
      <w:r w:rsidRPr="00DA31AC">
        <w:rPr>
          <w:sz w:val="24"/>
          <w:szCs w:val="24"/>
        </w:rPr>
        <w:t>stereotypes</w:t>
      </w:r>
      <w:proofErr w:type="gramEnd"/>
      <w:r w:rsidRPr="00DA31AC">
        <w:rPr>
          <w:sz w:val="24"/>
          <w:szCs w:val="24"/>
        </w:rPr>
        <w:t xml:space="preserve"> and structural inequalities. </w:t>
      </w:r>
    </w:p>
    <w:p w14:paraId="4EE3419B" w14:textId="77777777" w:rsidR="00C94E5F" w:rsidRPr="00DA31AC" w:rsidRDefault="00C94E5F" w:rsidP="00DA31AC">
      <w:pPr>
        <w:spacing w:line="480" w:lineRule="auto"/>
        <w:jc w:val="both"/>
        <w:rPr>
          <w:sz w:val="24"/>
          <w:szCs w:val="24"/>
        </w:rPr>
      </w:pPr>
    </w:p>
    <w:p w14:paraId="0AEF5531" w14:textId="3583DFAB" w:rsidR="00C94E5F" w:rsidRPr="00DA31AC" w:rsidRDefault="00C94E5F" w:rsidP="00DA31AC">
      <w:pPr>
        <w:spacing w:line="480" w:lineRule="auto"/>
        <w:jc w:val="both"/>
        <w:rPr>
          <w:sz w:val="24"/>
          <w:szCs w:val="24"/>
        </w:rPr>
      </w:pPr>
      <w:r w:rsidRPr="00DA31AC">
        <w:rPr>
          <w:sz w:val="24"/>
          <w:szCs w:val="24"/>
        </w:rPr>
        <w:t xml:space="preserve">Feminist and criminological literature reveals that women are often associated with more communicative and community-based policing approaches. These styles are </w:t>
      </w:r>
      <w:proofErr w:type="gramStart"/>
      <w:r w:rsidRPr="00DA31AC">
        <w:rPr>
          <w:sz w:val="24"/>
          <w:szCs w:val="24"/>
        </w:rPr>
        <w:t>generally viewed</w:t>
      </w:r>
      <w:proofErr w:type="gramEnd"/>
      <w:r w:rsidRPr="00DA31AC">
        <w:rPr>
          <w:sz w:val="24"/>
          <w:szCs w:val="24"/>
        </w:rPr>
        <w:t xml:space="preserve"> positively by the public and are sometimes more effective at de-escalating conflict. Yet, paradoxically, such approaches </w:t>
      </w:r>
      <w:proofErr w:type="gramStart"/>
      <w:r w:rsidRPr="00DA31AC">
        <w:rPr>
          <w:sz w:val="24"/>
          <w:szCs w:val="24"/>
        </w:rPr>
        <w:t>are undervalued</w:t>
      </w:r>
      <w:proofErr w:type="gramEnd"/>
      <w:r w:rsidRPr="00DA31AC">
        <w:rPr>
          <w:sz w:val="24"/>
          <w:szCs w:val="24"/>
        </w:rPr>
        <w:t xml:space="preserve"> within the police, where masculine norms continue to shape ideas of competence, credibility, and leadership. </w:t>
      </w:r>
    </w:p>
    <w:p w14:paraId="6D7D0FFD" w14:textId="77777777" w:rsidR="00C94E5F" w:rsidRPr="00DA31AC" w:rsidRDefault="00C94E5F" w:rsidP="00DA31AC">
      <w:pPr>
        <w:spacing w:line="480" w:lineRule="auto"/>
        <w:jc w:val="both"/>
        <w:rPr>
          <w:sz w:val="24"/>
          <w:szCs w:val="24"/>
        </w:rPr>
      </w:pPr>
    </w:p>
    <w:p w14:paraId="040F1BA3" w14:textId="336705B3" w:rsidR="00C94E5F" w:rsidRPr="00DA31AC" w:rsidRDefault="00C94E5F" w:rsidP="00DA31AC">
      <w:pPr>
        <w:spacing w:line="480" w:lineRule="auto"/>
        <w:jc w:val="both"/>
        <w:rPr>
          <w:sz w:val="24"/>
          <w:szCs w:val="24"/>
        </w:rPr>
      </w:pPr>
      <w:r w:rsidRPr="00DA31AC">
        <w:rPr>
          <w:sz w:val="24"/>
          <w:szCs w:val="24"/>
        </w:rPr>
        <w:t>Internation</w:t>
      </w:r>
      <w:r w:rsidR="007A0321">
        <w:rPr>
          <w:sz w:val="24"/>
          <w:szCs w:val="24"/>
        </w:rPr>
        <w:t>al</w:t>
      </w:r>
      <w:r w:rsidRPr="00DA31AC">
        <w:rPr>
          <w:sz w:val="24"/>
          <w:szCs w:val="24"/>
        </w:rPr>
        <w:t xml:space="preserve"> and comparative research confirms that these gendered dynamics </w:t>
      </w:r>
      <w:proofErr w:type="gramStart"/>
      <w:r w:rsidRPr="00DA31AC">
        <w:rPr>
          <w:sz w:val="24"/>
          <w:szCs w:val="24"/>
        </w:rPr>
        <w:t>are not isolated</w:t>
      </w:r>
      <w:proofErr w:type="gramEnd"/>
      <w:r w:rsidRPr="00DA31AC">
        <w:rPr>
          <w:sz w:val="24"/>
          <w:szCs w:val="24"/>
        </w:rPr>
        <w:t xml:space="preserve"> to the United Kingdom (UK). Female officers across </w:t>
      </w:r>
      <w:r w:rsidR="007A0321" w:rsidRPr="00DA31AC">
        <w:rPr>
          <w:sz w:val="24"/>
          <w:szCs w:val="24"/>
        </w:rPr>
        <w:t>di</w:t>
      </w:r>
      <w:r w:rsidR="007A0321">
        <w:rPr>
          <w:sz w:val="24"/>
          <w:szCs w:val="24"/>
        </w:rPr>
        <w:t>f</w:t>
      </w:r>
      <w:r w:rsidR="007A0321" w:rsidRPr="00DA31AC">
        <w:rPr>
          <w:sz w:val="24"/>
          <w:szCs w:val="24"/>
        </w:rPr>
        <w:t>fe</w:t>
      </w:r>
      <w:r w:rsidR="007A0321">
        <w:rPr>
          <w:sz w:val="24"/>
          <w:szCs w:val="24"/>
        </w:rPr>
        <w:t>rent</w:t>
      </w:r>
      <w:r w:rsidRPr="00DA31AC">
        <w:rPr>
          <w:sz w:val="24"/>
          <w:szCs w:val="24"/>
        </w:rPr>
        <w:t xml:space="preserve"> policing systems face similar challenges, </w:t>
      </w:r>
      <w:proofErr w:type="gramStart"/>
      <w:r w:rsidRPr="00DA31AC">
        <w:rPr>
          <w:sz w:val="24"/>
          <w:szCs w:val="24"/>
        </w:rPr>
        <w:t>being confirmed</w:t>
      </w:r>
      <w:proofErr w:type="gramEnd"/>
      <w:r w:rsidRPr="00DA31AC">
        <w:rPr>
          <w:sz w:val="24"/>
          <w:szCs w:val="24"/>
        </w:rPr>
        <w:t xml:space="preserve"> to ‘gendered’ roles, excluded from specialist units, or overlooked for promotional opportunities. Even where well-intended policies </w:t>
      </w:r>
      <w:proofErr w:type="gramStart"/>
      <w:r w:rsidRPr="00DA31AC">
        <w:rPr>
          <w:sz w:val="24"/>
          <w:szCs w:val="24"/>
        </w:rPr>
        <w:t>are introduced</w:t>
      </w:r>
      <w:proofErr w:type="gramEnd"/>
      <w:r w:rsidRPr="00DA31AC">
        <w:rPr>
          <w:sz w:val="24"/>
          <w:szCs w:val="24"/>
        </w:rPr>
        <w:t xml:space="preserve"> (e.g. all-women stations in India), they often fail to address deeper structural and cultural biases. </w:t>
      </w:r>
    </w:p>
    <w:p w14:paraId="0B2F3A91" w14:textId="77777777" w:rsidR="00C94E5F" w:rsidRPr="00DA31AC" w:rsidRDefault="00C94E5F" w:rsidP="00DA31AC">
      <w:pPr>
        <w:spacing w:line="480" w:lineRule="auto"/>
        <w:jc w:val="both"/>
        <w:rPr>
          <w:sz w:val="24"/>
          <w:szCs w:val="24"/>
        </w:rPr>
      </w:pPr>
    </w:p>
    <w:p w14:paraId="7FF73C84" w14:textId="5E5CA87D" w:rsidR="00C94E5F" w:rsidRPr="00DA31AC" w:rsidRDefault="00C94E5F" w:rsidP="00DA31AC">
      <w:pPr>
        <w:spacing w:line="480" w:lineRule="auto"/>
        <w:jc w:val="both"/>
        <w:rPr>
          <w:sz w:val="24"/>
          <w:szCs w:val="24"/>
        </w:rPr>
      </w:pPr>
      <w:r w:rsidRPr="00DA31AC">
        <w:rPr>
          <w:sz w:val="24"/>
          <w:szCs w:val="24"/>
        </w:rPr>
        <w:t>The literature on use of force provides a particularly striking illustration of gendered practice. Female officers tend to use force less frequently, achieve higher success rates in discretionary actions (</w:t>
      </w:r>
      <w:r w:rsidR="00B82FA4" w:rsidRPr="00DA31AC">
        <w:rPr>
          <w:sz w:val="24"/>
          <w:szCs w:val="24"/>
        </w:rPr>
        <w:t>e.g.</w:t>
      </w:r>
      <w:r w:rsidRPr="00DA31AC">
        <w:rPr>
          <w:sz w:val="24"/>
          <w:szCs w:val="24"/>
        </w:rPr>
        <w:t xml:space="preserve"> traffic stops), and receive fewer misconduct complaints. This suggests that alternative policing styles can be both effective and less harmful. However, these outcomes </w:t>
      </w:r>
      <w:proofErr w:type="gramStart"/>
      <w:r w:rsidRPr="00DA31AC">
        <w:rPr>
          <w:sz w:val="24"/>
          <w:szCs w:val="24"/>
        </w:rPr>
        <w:t>are often overshadowed</w:t>
      </w:r>
      <w:proofErr w:type="gramEnd"/>
      <w:r w:rsidRPr="00DA31AC">
        <w:rPr>
          <w:sz w:val="24"/>
          <w:szCs w:val="24"/>
        </w:rPr>
        <w:t xml:space="preserve"> by institutional scepticism about </w:t>
      </w:r>
      <w:r w:rsidRPr="00DA31AC">
        <w:rPr>
          <w:sz w:val="24"/>
          <w:szCs w:val="24"/>
        </w:rPr>
        <w:lastRenderedPageBreak/>
        <w:t xml:space="preserve">female competence, leading many women to adopt either overcompensation strategies or face professional segregation. </w:t>
      </w:r>
    </w:p>
    <w:p w14:paraId="13D9FE63" w14:textId="77777777" w:rsidR="00C94E5F" w:rsidRPr="00DA31AC" w:rsidRDefault="00C94E5F" w:rsidP="00DA31AC">
      <w:pPr>
        <w:spacing w:line="480" w:lineRule="auto"/>
        <w:jc w:val="both"/>
        <w:rPr>
          <w:sz w:val="24"/>
          <w:szCs w:val="24"/>
        </w:rPr>
      </w:pPr>
    </w:p>
    <w:p w14:paraId="13035526" w14:textId="1D656B97" w:rsidR="00C94E5F" w:rsidRPr="00DA31AC" w:rsidRDefault="00C94E5F" w:rsidP="00DA31AC">
      <w:pPr>
        <w:spacing w:line="480" w:lineRule="auto"/>
        <w:jc w:val="both"/>
        <w:rPr>
          <w:sz w:val="24"/>
          <w:szCs w:val="24"/>
        </w:rPr>
      </w:pPr>
      <w:r w:rsidRPr="00DA31AC">
        <w:rPr>
          <w:sz w:val="24"/>
          <w:szCs w:val="24"/>
        </w:rPr>
        <w:t xml:space="preserve">In leadership and culture, women remain significantly underrepresented, particularly in senior ranks. Despite the introduction of diversity and inclusion initiatives, leadership development continues to favour those who align with dominant, masculine ideals. Even when women adopt strategic conformity, their leadership styles </w:t>
      </w:r>
      <w:proofErr w:type="gramStart"/>
      <w:r w:rsidRPr="00DA31AC">
        <w:rPr>
          <w:sz w:val="24"/>
          <w:szCs w:val="24"/>
        </w:rPr>
        <w:t>are often devalued</w:t>
      </w:r>
      <w:proofErr w:type="gramEnd"/>
      <w:r w:rsidRPr="00DA31AC">
        <w:rPr>
          <w:sz w:val="24"/>
          <w:szCs w:val="24"/>
        </w:rPr>
        <w:t xml:space="preserve">. </w:t>
      </w:r>
    </w:p>
    <w:p w14:paraId="7F0435AD" w14:textId="77777777" w:rsidR="00C94E5F" w:rsidRPr="00DA31AC" w:rsidRDefault="00C94E5F" w:rsidP="00DA31AC">
      <w:pPr>
        <w:spacing w:line="480" w:lineRule="auto"/>
        <w:jc w:val="both"/>
        <w:rPr>
          <w:sz w:val="24"/>
          <w:szCs w:val="24"/>
        </w:rPr>
      </w:pPr>
    </w:p>
    <w:p w14:paraId="205C540F" w14:textId="125029FF" w:rsidR="00C94E5F" w:rsidRPr="00DA31AC" w:rsidRDefault="00C94E5F" w:rsidP="00DA31AC">
      <w:pPr>
        <w:spacing w:line="480" w:lineRule="auto"/>
        <w:jc w:val="both"/>
        <w:rPr>
          <w:sz w:val="24"/>
          <w:szCs w:val="24"/>
        </w:rPr>
      </w:pPr>
      <w:r w:rsidRPr="00DA31AC">
        <w:rPr>
          <w:sz w:val="24"/>
          <w:szCs w:val="24"/>
        </w:rPr>
        <w:t xml:space="preserve">Role </w:t>
      </w:r>
      <w:r w:rsidR="00D15F48" w:rsidRPr="00DA31AC">
        <w:rPr>
          <w:sz w:val="24"/>
          <w:szCs w:val="24"/>
        </w:rPr>
        <w:t xml:space="preserve">Congruity Theory helps explain the double bind female officers face; demonstrating agentic behaviours may increase perceptions of competence but reduce likability, while communal behaviours may gain social approval but undermine authority. This tension lies at the heart of gendered policing and affects both practice and public perception. </w:t>
      </w:r>
    </w:p>
    <w:p w14:paraId="2FE92F93" w14:textId="77777777" w:rsidR="00D15F48" w:rsidRPr="00DA31AC" w:rsidRDefault="00D15F48" w:rsidP="00DA31AC">
      <w:pPr>
        <w:spacing w:line="480" w:lineRule="auto"/>
        <w:jc w:val="both"/>
        <w:rPr>
          <w:sz w:val="24"/>
          <w:szCs w:val="24"/>
        </w:rPr>
      </w:pPr>
    </w:p>
    <w:p w14:paraId="7695725F" w14:textId="63326B0C" w:rsidR="00D15F48" w:rsidRPr="00DA31AC" w:rsidRDefault="00D15F48" w:rsidP="00DA31AC">
      <w:pPr>
        <w:spacing w:line="480" w:lineRule="auto"/>
        <w:jc w:val="both"/>
        <w:rPr>
          <w:sz w:val="24"/>
          <w:szCs w:val="24"/>
        </w:rPr>
      </w:pPr>
      <w:r w:rsidRPr="00DA31AC">
        <w:rPr>
          <w:sz w:val="24"/>
          <w:szCs w:val="24"/>
        </w:rPr>
        <w:t xml:space="preserve">Overall, the literature shows that women do police differently, but this difference </w:t>
      </w:r>
      <w:proofErr w:type="gramStart"/>
      <w:r w:rsidRPr="00DA31AC">
        <w:rPr>
          <w:sz w:val="24"/>
          <w:szCs w:val="24"/>
        </w:rPr>
        <w:t>is shaped</w:t>
      </w:r>
      <w:proofErr w:type="gramEnd"/>
      <w:r w:rsidRPr="00DA31AC">
        <w:rPr>
          <w:sz w:val="24"/>
          <w:szCs w:val="24"/>
        </w:rPr>
        <w:t xml:space="preserve"> as much by institutional constraints as by individual choice. </w:t>
      </w:r>
    </w:p>
    <w:p w14:paraId="60B70664" w14:textId="202A983E" w:rsidR="0020227F" w:rsidRDefault="0020227F" w:rsidP="00DA31AC">
      <w:pPr>
        <w:spacing w:line="480" w:lineRule="auto"/>
        <w:jc w:val="both"/>
        <w:rPr>
          <w:sz w:val="24"/>
          <w:szCs w:val="24"/>
        </w:rPr>
      </w:pPr>
    </w:p>
    <w:p w14:paraId="0F0F8B24" w14:textId="27CC0F21" w:rsidR="009B4B98" w:rsidRDefault="009B4B98" w:rsidP="00DA31AC">
      <w:pPr>
        <w:spacing w:line="480" w:lineRule="auto"/>
        <w:jc w:val="both"/>
        <w:rPr>
          <w:sz w:val="24"/>
          <w:szCs w:val="24"/>
        </w:rPr>
      </w:pPr>
      <w:r>
        <w:rPr>
          <w:sz w:val="24"/>
          <w:szCs w:val="24"/>
        </w:rPr>
        <w:t xml:space="preserve">Word Count total: 2,716 </w:t>
      </w:r>
    </w:p>
    <w:p w14:paraId="53A935AD" w14:textId="77777777" w:rsidR="00B82FA4" w:rsidRDefault="00B82FA4" w:rsidP="00DA31AC">
      <w:pPr>
        <w:spacing w:line="480" w:lineRule="auto"/>
        <w:jc w:val="both"/>
        <w:rPr>
          <w:sz w:val="24"/>
          <w:szCs w:val="24"/>
        </w:rPr>
      </w:pPr>
    </w:p>
    <w:p w14:paraId="62E4425B" w14:textId="77777777" w:rsidR="00B82FA4" w:rsidRDefault="00B82FA4" w:rsidP="00DA31AC">
      <w:pPr>
        <w:spacing w:line="480" w:lineRule="auto"/>
        <w:jc w:val="both"/>
        <w:rPr>
          <w:sz w:val="24"/>
          <w:szCs w:val="24"/>
        </w:rPr>
      </w:pPr>
    </w:p>
    <w:p w14:paraId="5A67E4C1" w14:textId="77777777" w:rsidR="0021248E" w:rsidRDefault="0021248E" w:rsidP="00DA31AC">
      <w:pPr>
        <w:spacing w:line="480" w:lineRule="auto"/>
        <w:jc w:val="both"/>
        <w:rPr>
          <w:sz w:val="24"/>
          <w:szCs w:val="24"/>
        </w:rPr>
      </w:pPr>
    </w:p>
    <w:p w14:paraId="7B2C27C9" w14:textId="77777777" w:rsidR="00B82FA4" w:rsidRPr="00DA31AC" w:rsidRDefault="00B82FA4" w:rsidP="00DA31AC">
      <w:pPr>
        <w:spacing w:line="480" w:lineRule="auto"/>
        <w:jc w:val="both"/>
        <w:rPr>
          <w:b/>
          <w:bCs/>
          <w:sz w:val="24"/>
          <w:szCs w:val="24"/>
        </w:rPr>
      </w:pPr>
    </w:p>
    <w:p w14:paraId="6291AD1E" w14:textId="2FE6811A" w:rsidR="006E0D2E" w:rsidRPr="00DA31AC" w:rsidRDefault="006E0D2E" w:rsidP="00DA31AC">
      <w:pPr>
        <w:pStyle w:val="Subtitle"/>
        <w:jc w:val="both"/>
        <w:outlineLvl w:val="0"/>
        <w:rPr>
          <w:sz w:val="24"/>
          <w:szCs w:val="24"/>
        </w:rPr>
      </w:pPr>
      <w:bookmarkStart w:id="15" w:name="_Toc204028397"/>
      <w:r w:rsidRPr="00DA31AC">
        <w:rPr>
          <w:sz w:val="24"/>
          <w:szCs w:val="24"/>
        </w:rPr>
        <w:lastRenderedPageBreak/>
        <w:t>2.8 References</w:t>
      </w:r>
      <w:bookmarkEnd w:id="15"/>
    </w:p>
    <w:p w14:paraId="269B1B8B" w14:textId="77777777" w:rsidR="009B4B98" w:rsidRDefault="009B4B98" w:rsidP="00DA31AC">
      <w:pPr>
        <w:spacing w:line="360" w:lineRule="auto"/>
        <w:jc w:val="both"/>
        <w:rPr>
          <w:sz w:val="24"/>
          <w:szCs w:val="24"/>
        </w:rPr>
      </w:pPr>
    </w:p>
    <w:p w14:paraId="64C98620" w14:textId="5A6D1A69" w:rsidR="00DA31AC" w:rsidRPr="00DA31AC" w:rsidRDefault="00DA31AC" w:rsidP="00DA31AC">
      <w:pPr>
        <w:spacing w:line="360" w:lineRule="auto"/>
        <w:jc w:val="both"/>
        <w:rPr>
          <w:sz w:val="24"/>
          <w:szCs w:val="24"/>
        </w:rPr>
      </w:pPr>
      <w:r w:rsidRPr="00DA31AC">
        <w:rPr>
          <w:sz w:val="24"/>
          <w:szCs w:val="24"/>
        </w:rPr>
        <w:t>Brown, J. (2016). Revisiting the Classics: women in control? The role of women in law enforcement: Frances Heidensohn. </w:t>
      </w:r>
      <w:r w:rsidRPr="00DA31AC">
        <w:rPr>
          <w:i/>
          <w:iCs/>
          <w:sz w:val="24"/>
          <w:szCs w:val="24"/>
        </w:rPr>
        <w:t>Policing &amp; Society</w:t>
      </w:r>
      <w:r w:rsidRPr="00DA31AC">
        <w:rPr>
          <w:sz w:val="24"/>
          <w:szCs w:val="24"/>
        </w:rPr>
        <w:t>, </w:t>
      </w:r>
      <w:r w:rsidRPr="00DA31AC">
        <w:rPr>
          <w:i/>
          <w:iCs/>
          <w:sz w:val="24"/>
          <w:szCs w:val="24"/>
        </w:rPr>
        <w:t>26</w:t>
      </w:r>
      <w:r w:rsidRPr="00DA31AC">
        <w:rPr>
          <w:sz w:val="24"/>
          <w:szCs w:val="24"/>
        </w:rPr>
        <w:t xml:space="preserve">(2), 230–237. </w:t>
      </w:r>
      <w:hyperlink r:id="rId8" w:history="1">
        <w:r w:rsidRPr="00DA31AC">
          <w:rPr>
            <w:rStyle w:val="Hyperlink"/>
            <w:sz w:val="24"/>
            <w:szCs w:val="24"/>
          </w:rPr>
          <w:t>https://doi.org/10.1080/10439463.2016.1120415</w:t>
        </w:r>
      </w:hyperlink>
      <w:r w:rsidRPr="00DA31AC">
        <w:rPr>
          <w:sz w:val="24"/>
          <w:szCs w:val="24"/>
        </w:rPr>
        <w:t>. Accessed 27 June 2025.</w:t>
      </w:r>
    </w:p>
    <w:p w14:paraId="222B6F7D" w14:textId="77777777" w:rsidR="00DA31AC" w:rsidRPr="00DA31AC" w:rsidRDefault="00DA31AC" w:rsidP="00DA31AC">
      <w:pPr>
        <w:spacing w:line="360" w:lineRule="auto"/>
        <w:jc w:val="both"/>
        <w:rPr>
          <w:sz w:val="24"/>
          <w:szCs w:val="24"/>
        </w:rPr>
      </w:pPr>
      <w:r w:rsidRPr="00DA31AC">
        <w:rPr>
          <w:sz w:val="24"/>
          <w:szCs w:val="24"/>
        </w:rPr>
        <w:t>Brown, J., Heidensohn, F., &amp; Lewis, C. (2003). [Rev. of </w:t>
      </w:r>
      <w:r w:rsidRPr="00DA31AC">
        <w:rPr>
          <w:i/>
          <w:iCs/>
          <w:sz w:val="24"/>
          <w:szCs w:val="24"/>
        </w:rPr>
        <w:t>Gender and policing: comparative perspectives</w:t>
      </w:r>
      <w:r w:rsidRPr="00DA31AC">
        <w:rPr>
          <w:sz w:val="24"/>
          <w:szCs w:val="24"/>
        </w:rPr>
        <w:t>]. </w:t>
      </w:r>
      <w:r w:rsidRPr="00DA31AC">
        <w:rPr>
          <w:i/>
          <w:iCs/>
          <w:sz w:val="24"/>
          <w:szCs w:val="24"/>
        </w:rPr>
        <w:t>Social Policy &amp; Administration</w:t>
      </w:r>
      <w:r w:rsidRPr="00DA31AC">
        <w:rPr>
          <w:sz w:val="24"/>
          <w:szCs w:val="24"/>
        </w:rPr>
        <w:t>, </w:t>
      </w:r>
      <w:r w:rsidRPr="00DA31AC">
        <w:rPr>
          <w:i/>
          <w:iCs/>
          <w:sz w:val="24"/>
          <w:szCs w:val="24"/>
        </w:rPr>
        <w:t>37</w:t>
      </w:r>
      <w:r w:rsidRPr="00DA31AC">
        <w:rPr>
          <w:sz w:val="24"/>
          <w:szCs w:val="24"/>
        </w:rPr>
        <w:t>(7), 787–789. Accessed 27 June 2025</w:t>
      </w:r>
    </w:p>
    <w:p w14:paraId="7760DD88" w14:textId="77777777" w:rsidR="00DA31AC" w:rsidRPr="00DA31AC" w:rsidRDefault="00DA31AC" w:rsidP="00DA31AC">
      <w:pPr>
        <w:spacing w:line="360" w:lineRule="auto"/>
        <w:jc w:val="both"/>
        <w:rPr>
          <w:sz w:val="24"/>
          <w:szCs w:val="24"/>
        </w:rPr>
      </w:pPr>
      <w:r w:rsidRPr="00DA31AC">
        <w:rPr>
          <w:sz w:val="24"/>
          <w:szCs w:val="24"/>
        </w:rPr>
        <w:t>Cubitt, T. I. C., Gaub, J. E., &amp; Holtfreter, K. (2022). Gender differences in serious police misconduct: A machine-learning analysis of the New York Police Department (NYPD). </w:t>
      </w:r>
      <w:r w:rsidRPr="00DA31AC">
        <w:rPr>
          <w:i/>
          <w:iCs/>
          <w:sz w:val="24"/>
          <w:szCs w:val="24"/>
        </w:rPr>
        <w:t>Journal of Criminal Justice</w:t>
      </w:r>
      <w:r w:rsidRPr="00DA31AC">
        <w:rPr>
          <w:sz w:val="24"/>
          <w:szCs w:val="24"/>
        </w:rPr>
        <w:t>, </w:t>
      </w:r>
      <w:r w:rsidRPr="00DA31AC">
        <w:rPr>
          <w:i/>
          <w:iCs/>
          <w:sz w:val="24"/>
          <w:szCs w:val="24"/>
        </w:rPr>
        <w:t>82</w:t>
      </w:r>
      <w:r w:rsidRPr="00DA31AC">
        <w:rPr>
          <w:sz w:val="24"/>
          <w:szCs w:val="24"/>
        </w:rPr>
        <w:t xml:space="preserve">, Article 101976. </w:t>
      </w:r>
      <w:hyperlink r:id="rId9" w:history="1">
        <w:r w:rsidRPr="00DA31AC">
          <w:rPr>
            <w:rStyle w:val="Hyperlink"/>
            <w:sz w:val="24"/>
            <w:szCs w:val="24"/>
          </w:rPr>
          <w:t>https://doi.org/10.1016/j.jcrimjus.2022.101976</w:t>
        </w:r>
      </w:hyperlink>
      <w:r w:rsidRPr="00DA31AC">
        <w:rPr>
          <w:sz w:val="24"/>
          <w:szCs w:val="24"/>
        </w:rPr>
        <w:t xml:space="preserve">. Accessed 01 July 2025. </w:t>
      </w:r>
    </w:p>
    <w:p w14:paraId="5A1FA36A" w14:textId="7F8DB4FB" w:rsidR="00DA31AC" w:rsidRPr="006E0D2E" w:rsidRDefault="00DA31AC" w:rsidP="00DA31AC">
      <w:pPr>
        <w:spacing w:line="360" w:lineRule="auto"/>
        <w:jc w:val="both"/>
        <w:rPr>
          <w:sz w:val="24"/>
          <w:szCs w:val="24"/>
        </w:rPr>
      </w:pPr>
      <w:r w:rsidRPr="006E0D2E">
        <w:rPr>
          <w:sz w:val="24"/>
          <w:szCs w:val="24"/>
        </w:rPr>
        <w:t xml:space="preserve">Cunningham, E. (2022). </w:t>
      </w:r>
      <w:r w:rsidRPr="006E0D2E">
        <w:rPr>
          <w:i/>
          <w:iCs/>
          <w:sz w:val="24"/>
          <w:szCs w:val="24"/>
        </w:rPr>
        <w:t xml:space="preserve">Women in </w:t>
      </w:r>
      <w:r w:rsidR="00B82FA4" w:rsidRPr="006E0D2E">
        <w:rPr>
          <w:i/>
          <w:iCs/>
          <w:sz w:val="24"/>
          <w:szCs w:val="24"/>
        </w:rPr>
        <w:t>policing</w:t>
      </w:r>
      <w:r w:rsidR="00B82FA4" w:rsidRPr="006E0D2E">
        <w:rPr>
          <w:rFonts w:ascii="Arial" w:hAnsi="Arial" w:cs="Arial"/>
          <w:i/>
          <w:iCs/>
          <w:sz w:val="24"/>
          <w:szCs w:val="24"/>
        </w:rPr>
        <w:t>:</w:t>
      </w:r>
      <w:r w:rsidRPr="006E0D2E">
        <w:rPr>
          <w:i/>
          <w:iCs/>
          <w:sz w:val="24"/>
          <w:szCs w:val="24"/>
        </w:rPr>
        <w:t xml:space="preserve"> feminist perspectives on theory and practice</w:t>
      </w:r>
      <w:r w:rsidRPr="006E0D2E">
        <w:rPr>
          <w:sz w:val="24"/>
          <w:szCs w:val="24"/>
        </w:rPr>
        <w:t>. Routledge.</w:t>
      </w:r>
      <w:r w:rsidRPr="00DA31AC">
        <w:rPr>
          <w:sz w:val="24"/>
          <w:szCs w:val="24"/>
        </w:rPr>
        <w:t xml:space="preserve"> Accessed 27 June 2025.</w:t>
      </w:r>
    </w:p>
    <w:p w14:paraId="0ACD00D6" w14:textId="77777777" w:rsidR="00DA31AC" w:rsidRPr="00DA31AC" w:rsidRDefault="00DA31AC" w:rsidP="00DA31AC">
      <w:pPr>
        <w:spacing w:line="360" w:lineRule="auto"/>
        <w:jc w:val="both"/>
        <w:rPr>
          <w:sz w:val="24"/>
          <w:szCs w:val="24"/>
        </w:rPr>
      </w:pPr>
      <w:r w:rsidRPr="00DA31AC">
        <w:rPr>
          <w:sz w:val="24"/>
          <w:szCs w:val="24"/>
        </w:rPr>
        <w:t>Eagly, A. H., &amp; Karau, S. J. (2002). Role Congruity Theory of Prejudice Toward Female Leaders. </w:t>
      </w:r>
      <w:r w:rsidRPr="00DA31AC">
        <w:rPr>
          <w:i/>
          <w:iCs/>
          <w:sz w:val="24"/>
          <w:szCs w:val="24"/>
        </w:rPr>
        <w:t>Psychological Review</w:t>
      </w:r>
      <w:r w:rsidRPr="00DA31AC">
        <w:rPr>
          <w:sz w:val="24"/>
          <w:szCs w:val="24"/>
        </w:rPr>
        <w:t>, </w:t>
      </w:r>
      <w:r w:rsidRPr="00DA31AC">
        <w:rPr>
          <w:i/>
          <w:iCs/>
          <w:sz w:val="24"/>
          <w:szCs w:val="24"/>
        </w:rPr>
        <w:t>109</w:t>
      </w:r>
      <w:r w:rsidRPr="00DA31AC">
        <w:rPr>
          <w:sz w:val="24"/>
          <w:szCs w:val="24"/>
        </w:rPr>
        <w:t xml:space="preserve">(3), 573–598. </w:t>
      </w:r>
      <w:hyperlink r:id="rId10" w:history="1">
        <w:r w:rsidRPr="00DA31AC">
          <w:rPr>
            <w:rStyle w:val="Hyperlink"/>
            <w:sz w:val="24"/>
            <w:szCs w:val="24"/>
          </w:rPr>
          <w:t>https://doi.org/10.1037/0033-295X.109.3.573</w:t>
        </w:r>
      </w:hyperlink>
      <w:r w:rsidRPr="00DA31AC">
        <w:rPr>
          <w:sz w:val="24"/>
          <w:szCs w:val="24"/>
        </w:rPr>
        <w:t xml:space="preserve">. Accessed 01 July 2025. </w:t>
      </w:r>
    </w:p>
    <w:p w14:paraId="75A5D7B9" w14:textId="77777777" w:rsidR="00DA31AC" w:rsidRPr="00DA31AC" w:rsidRDefault="00DA31AC" w:rsidP="00DA31AC">
      <w:pPr>
        <w:spacing w:line="360" w:lineRule="auto"/>
        <w:jc w:val="both"/>
        <w:rPr>
          <w:sz w:val="24"/>
          <w:szCs w:val="24"/>
        </w:rPr>
      </w:pPr>
      <w:r w:rsidRPr="00DA31AC">
        <w:rPr>
          <w:sz w:val="24"/>
          <w:szCs w:val="24"/>
        </w:rPr>
        <w:t>Franklin, C. A. (2005). Male Peer Support and the Police Culture: Understanding the Resistance and Opposition of Women in Policing. </w:t>
      </w:r>
      <w:r w:rsidRPr="00DA31AC">
        <w:rPr>
          <w:i/>
          <w:iCs/>
          <w:sz w:val="24"/>
          <w:szCs w:val="24"/>
        </w:rPr>
        <w:t>Women &amp; Criminal Justice</w:t>
      </w:r>
      <w:r w:rsidRPr="00DA31AC">
        <w:rPr>
          <w:sz w:val="24"/>
          <w:szCs w:val="24"/>
        </w:rPr>
        <w:t>, </w:t>
      </w:r>
      <w:r w:rsidRPr="00DA31AC">
        <w:rPr>
          <w:i/>
          <w:iCs/>
          <w:sz w:val="24"/>
          <w:szCs w:val="24"/>
        </w:rPr>
        <w:t>16</w:t>
      </w:r>
      <w:r w:rsidRPr="00DA31AC">
        <w:rPr>
          <w:sz w:val="24"/>
          <w:szCs w:val="24"/>
        </w:rPr>
        <w:t xml:space="preserve">(3), 1–25. </w:t>
      </w:r>
      <w:hyperlink r:id="rId11" w:history="1">
        <w:r w:rsidRPr="00DA31AC">
          <w:rPr>
            <w:rStyle w:val="Hyperlink"/>
            <w:sz w:val="24"/>
            <w:szCs w:val="24"/>
          </w:rPr>
          <w:t>https://doi.org/10.1300/J012v16n03_01</w:t>
        </w:r>
      </w:hyperlink>
      <w:r w:rsidRPr="00DA31AC">
        <w:rPr>
          <w:sz w:val="24"/>
          <w:szCs w:val="24"/>
        </w:rPr>
        <w:t xml:space="preserve">. Accessed 26 June 2025. </w:t>
      </w:r>
    </w:p>
    <w:p w14:paraId="7651C712" w14:textId="77777777" w:rsidR="00DA31AC" w:rsidRPr="00DA31AC" w:rsidRDefault="00DA31AC" w:rsidP="00DA31AC">
      <w:pPr>
        <w:spacing w:line="360" w:lineRule="auto"/>
        <w:jc w:val="both"/>
        <w:rPr>
          <w:sz w:val="24"/>
          <w:szCs w:val="24"/>
        </w:rPr>
      </w:pPr>
      <w:r w:rsidRPr="00DA31AC">
        <w:rPr>
          <w:sz w:val="24"/>
          <w:szCs w:val="24"/>
        </w:rPr>
        <w:t>Holdaway, S., &amp; Parker, S. K. (1998). POLICING WOMEN POLICE: Uniform Patrol, Promotion and Representation in the CID. </w:t>
      </w:r>
      <w:r w:rsidRPr="00DA31AC">
        <w:rPr>
          <w:i/>
          <w:iCs/>
          <w:sz w:val="24"/>
          <w:szCs w:val="24"/>
        </w:rPr>
        <w:t>British Journal of Criminology</w:t>
      </w:r>
      <w:r w:rsidRPr="00DA31AC">
        <w:rPr>
          <w:sz w:val="24"/>
          <w:szCs w:val="24"/>
        </w:rPr>
        <w:t>, </w:t>
      </w:r>
      <w:r w:rsidRPr="00DA31AC">
        <w:rPr>
          <w:i/>
          <w:iCs/>
          <w:sz w:val="24"/>
          <w:szCs w:val="24"/>
        </w:rPr>
        <w:t>38</w:t>
      </w:r>
      <w:r w:rsidRPr="00DA31AC">
        <w:rPr>
          <w:sz w:val="24"/>
          <w:szCs w:val="24"/>
        </w:rPr>
        <w:t xml:space="preserve">(1), 40–60. </w:t>
      </w:r>
      <w:hyperlink r:id="rId12" w:history="1">
        <w:r w:rsidRPr="00DA31AC">
          <w:rPr>
            <w:rStyle w:val="Hyperlink"/>
            <w:sz w:val="24"/>
            <w:szCs w:val="24"/>
          </w:rPr>
          <w:t>https://doi.org/10.1093/oxfordjournals.bjc.a014227</w:t>
        </w:r>
      </w:hyperlink>
      <w:r w:rsidRPr="00DA31AC">
        <w:rPr>
          <w:sz w:val="24"/>
          <w:szCs w:val="24"/>
        </w:rPr>
        <w:t xml:space="preserve"> Accessed 30 June 2025.</w:t>
      </w:r>
    </w:p>
    <w:p w14:paraId="3A4EE8E9" w14:textId="77777777" w:rsidR="00DA31AC" w:rsidRPr="00DA31AC" w:rsidRDefault="00DA31AC" w:rsidP="00DA31AC">
      <w:pPr>
        <w:spacing w:line="360" w:lineRule="auto"/>
        <w:jc w:val="both"/>
        <w:rPr>
          <w:sz w:val="24"/>
          <w:szCs w:val="24"/>
        </w:rPr>
      </w:pPr>
      <w:r w:rsidRPr="00573AB5">
        <w:rPr>
          <w:sz w:val="24"/>
          <w:szCs w:val="24"/>
        </w:rPr>
        <w:t xml:space="preserve">Home Office. “Police Use of Force Statistics, England and Wales: April 2023 to March 2024.” </w:t>
      </w:r>
      <w:r w:rsidRPr="00573AB5">
        <w:rPr>
          <w:i/>
          <w:iCs/>
          <w:sz w:val="24"/>
          <w:szCs w:val="24"/>
        </w:rPr>
        <w:t>Gov.uk</w:t>
      </w:r>
      <w:r w:rsidRPr="00573AB5">
        <w:rPr>
          <w:sz w:val="24"/>
          <w:szCs w:val="24"/>
        </w:rPr>
        <w:t>, 5 Dec. 2024, www.gov.uk/government/statistics/police-use-of-force-statistics-april-2023-to-march-2024/police-use-of-force-statistics-england-and-wales-april-2023-to-march-2024. Accessed 1 July 2025.</w:t>
      </w:r>
    </w:p>
    <w:p w14:paraId="004A17BA" w14:textId="77777777" w:rsidR="00DA31AC" w:rsidRPr="00DA31AC" w:rsidRDefault="00DA31AC" w:rsidP="00DA31AC">
      <w:pPr>
        <w:spacing w:line="360" w:lineRule="auto"/>
        <w:jc w:val="both"/>
        <w:rPr>
          <w:sz w:val="24"/>
          <w:szCs w:val="24"/>
        </w:rPr>
      </w:pPr>
      <w:r w:rsidRPr="00DA31AC">
        <w:rPr>
          <w:sz w:val="24"/>
          <w:szCs w:val="24"/>
        </w:rPr>
        <w:lastRenderedPageBreak/>
        <w:t>JASSAL, N. (2020). Gender, Law Enforcement, and Access to Justice: Evidence from All-Women Police Stations in India. </w:t>
      </w:r>
      <w:r w:rsidRPr="00DA31AC">
        <w:rPr>
          <w:i/>
          <w:iCs/>
          <w:sz w:val="24"/>
          <w:szCs w:val="24"/>
        </w:rPr>
        <w:t>The American Political Science Review</w:t>
      </w:r>
      <w:r w:rsidRPr="00DA31AC">
        <w:rPr>
          <w:sz w:val="24"/>
          <w:szCs w:val="24"/>
        </w:rPr>
        <w:t>, </w:t>
      </w:r>
      <w:r w:rsidRPr="00DA31AC">
        <w:rPr>
          <w:i/>
          <w:iCs/>
          <w:sz w:val="24"/>
          <w:szCs w:val="24"/>
        </w:rPr>
        <w:t>114</w:t>
      </w:r>
      <w:r w:rsidRPr="00DA31AC">
        <w:rPr>
          <w:sz w:val="24"/>
          <w:szCs w:val="24"/>
        </w:rPr>
        <w:t xml:space="preserve">(4), 1035–1054. </w:t>
      </w:r>
      <w:hyperlink r:id="rId13" w:history="1">
        <w:r w:rsidRPr="00DA31AC">
          <w:rPr>
            <w:rStyle w:val="Hyperlink"/>
            <w:sz w:val="24"/>
            <w:szCs w:val="24"/>
          </w:rPr>
          <w:t>https://doi.org/10.1017/S0003055420000684</w:t>
        </w:r>
      </w:hyperlink>
      <w:r w:rsidRPr="00DA31AC">
        <w:rPr>
          <w:sz w:val="24"/>
          <w:szCs w:val="24"/>
        </w:rPr>
        <w:t>. Accessed 30 June 2025.</w:t>
      </w:r>
    </w:p>
    <w:p w14:paraId="357CEF52" w14:textId="77777777" w:rsidR="00DA31AC" w:rsidRPr="00DA31AC" w:rsidRDefault="00DA31AC" w:rsidP="00DA31AC">
      <w:pPr>
        <w:spacing w:line="360" w:lineRule="auto"/>
        <w:jc w:val="both"/>
        <w:rPr>
          <w:sz w:val="24"/>
          <w:szCs w:val="24"/>
        </w:rPr>
      </w:pPr>
      <w:r w:rsidRPr="00DA31AC">
        <w:rPr>
          <w:sz w:val="24"/>
          <w:szCs w:val="24"/>
        </w:rPr>
        <w:t>Kingshott, B. F. (2009). Women in policing: changing the organizational culture by adopting a feminist perspective on leadership. </w:t>
      </w:r>
      <w:r w:rsidRPr="00DA31AC">
        <w:rPr>
          <w:i/>
          <w:iCs/>
          <w:sz w:val="24"/>
          <w:szCs w:val="24"/>
        </w:rPr>
        <w:t>Criminal Justice Studies</w:t>
      </w:r>
      <w:r w:rsidRPr="00DA31AC">
        <w:rPr>
          <w:sz w:val="24"/>
          <w:szCs w:val="24"/>
        </w:rPr>
        <w:t>, </w:t>
      </w:r>
      <w:r w:rsidRPr="00DA31AC">
        <w:rPr>
          <w:i/>
          <w:iCs/>
          <w:sz w:val="24"/>
          <w:szCs w:val="24"/>
        </w:rPr>
        <w:t>22</w:t>
      </w:r>
      <w:r w:rsidRPr="00DA31AC">
        <w:rPr>
          <w:sz w:val="24"/>
          <w:szCs w:val="24"/>
        </w:rPr>
        <w:t xml:space="preserve">(1), 49–72. </w:t>
      </w:r>
      <w:hyperlink r:id="rId14" w:history="1">
        <w:r w:rsidRPr="00DA31AC">
          <w:rPr>
            <w:rStyle w:val="Hyperlink"/>
            <w:sz w:val="24"/>
            <w:szCs w:val="24"/>
          </w:rPr>
          <w:t>https://doi.org/10.1080/14786010902796481</w:t>
        </w:r>
      </w:hyperlink>
      <w:r w:rsidRPr="00DA31AC">
        <w:rPr>
          <w:sz w:val="24"/>
          <w:szCs w:val="24"/>
        </w:rPr>
        <w:t xml:space="preserve">. Accessed 01 July 2025. </w:t>
      </w:r>
    </w:p>
    <w:p w14:paraId="14F5F1D6" w14:textId="77777777" w:rsidR="00DA31AC" w:rsidRPr="00C437A2" w:rsidRDefault="00DA31AC" w:rsidP="00DA31AC">
      <w:pPr>
        <w:spacing w:line="360" w:lineRule="auto"/>
        <w:jc w:val="both"/>
        <w:rPr>
          <w:sz w:val="24"/>
          <w:szCs w:val="24"/>
        </w:rPr>
      </w:pPr>
      <w:r w:rsidRPr="00C437A2">
        <w:rPr>
          <w:sz w:val="24"/>
          <w:szCs w:val="24"/>
        </w:rPr>
        <w:t xml:space="preserve">Moore, Margaret. “The Ethics of Care and Justice.” </w:t>
      </w:r>
      <w:r w:rsidRPr="00C437A2">
        <w:rPr>
          <w:i/>
          <w:iCs/>
          <w:sz w:val="24"/>
          <w:szCs w:val="24"/>
        </w:rPr>
        <w:t>Women &amp; Politics</w:t>
      </w:r>
      <w:r w:rsidRPr="00C437A2">
        <w:rPr>
          <w:sz w:val="24"/>
          <w:szCs w:val="24"/>
        </w:rPr>
        <w:t>, vol. 20, no. 2, 21 July 1999, pp. 1–16, www-tandfonline-com.ezproxy.uwtsd.ac.uk/doi/epdf/10.1300/J014v20n02_01?needAccess=true, https://doi.org/10.1300/j014v20n02_01. Accessed 1 July 2025.</w:t>
      </w:r>
    </w:p>
    <w:p w14:paraId="3A4B66D3" w14:textId="77777777" w:rsidR="00DA31AC" w:rsidRPr="00DA31AC" w:rsidRDefault="00DA31AC" w:rsidP="00DA31AC">
      <w:pPr>
        <w:spacing w:line="360" w:lineRule="auto"/>
        <w:jc w:val="both"/>
        <w:rPr>
          <w:sz w:val="24"/>
          <w:szCs w:val="24"/>
        </w:rPr>
      </w:pPr>
      <w:r w:rsidRPr="006E0D2E">
        <w:rPr>
          <w:sz w:val="24"/>
          <w:szCs w:val="24"/>
        </w:rPr>
        <w:t xml:space="preserve">Paolillo, Christine. “Gender Bias against Women in Policing: Is It Perception or a Reality? - ProQuest.” </w:t>
      </w:r>
      <w:r w:rsidRPr="006E0D2E">
        <w:rPr>
          <w:i/>
          <w:iCs/>
          <w:sz w:val="24"/>
          <w:szCs w:val="24"/>
        </w:rPr>
        <w:t>Proquest.com</w:t>
      </w:r>
      <w:r w:rsidRPr="006E0D2E">
        <w:rPr>
          <w:sz w:val="24"/>
          <w:szCs w:val="24"/>
        </w:rPr>
        <w:t>, 2021, www.proquest.com/docview/2605134774?pq-origsite=gscholar&amp;fromopenview=true&amp;sourcetype=Dissertations%20&amp;%20Theses. Accessed 29 June 2025.</w:t>
      </w:r>
    </w:p>
    <w:p w14:paraId="73BAA78C" w14:textId="77777777" w:rsidR="000F11A2" w:rsidRPr="00DA31AC" w:rsidRDefault="000F11A2" w:rsidP="00DA31AC">
      <w:pPr>
        <w:spacing w:line="360" w:lineRule="auto"/>
        <w:jc w:val="both"/>
        <w:rPr>
          <w:sz w:val="24"/>
          <w:szCs w:val="24"/>
        </w:rPr>
      </w:pPr>
      <w:r>
        <w:rPr>
          <w:sz w:val="24"/>
          <w:szCs w:val="24"/>
        </w:rPr>
        <w:t xml:space="preserve">(A) </w:t>
      </w:r>
      <w:r w:rsidRPr="00DA31AC">
        <w:rPr>
          <w:sz w:val="24"/>
          <w:szCs w:val="24"/>
        </w:rPr>
        <w:t>Rabe-Hemp, C. E. (2008). Female officers and the ethic of care: Does officer gender impact police behaviors? </w:t>
      </w:r>
      <w:r w:rsidRPr="00DA31AC">
        <w:rPr>
          <w:i/>
          <w:iCs/>
          <w:sz w:val="24"/>
          <w:szCs w:val="24"/>
        </w:rPr>
        <w:t>Journal of Criminal Justice</w:t>
      </w:r>
      <w:r w:rsidRPr="00DA31AC">
        <w:rPr>
          <w:sz w:val="24"/>
          <w:szCs w:val="24"/>
        </w:rPr>
        <w:t>, </w:t>
      </w:r>
      <w:r w:rsidRPr="00DA31AC">
        <w:rPr>
          <w:i/>
          <w:iCs/>
          <w:sz w:val="24"/>
          <w:szCs w:val="24"/>
        </w:rPr>
        <w:t>36</w:t>
      </w:r>
      <w:r w:rsidRPr="00DA31AC">
        <w:rPr>
          <w:sz w:val="24"/>
          <w:szCs w:val="24"/>
        </w:rPr>
        <w:t xml:space="preserve">(5), 426–434. </w:t>
      </w:r>
      <w:hyperlink r:id="rId15" w:history="1">
        <w:r w:rsidRPr="00DA31AC">
          <w:rPr>
            <w:rStyle w:val="Hyperlink"/>
            <w:sz w:val="24"/>
            <w:szCs w:val="24"/>
          </w:rPr>
          <w:t>https://doi.org/10.1016/j.jcrimjus.2008.07.001</w:t>
        </w:r>
      </w:hyperlink>
      <w:r w:rsidRPr="00DA31AC">
        <w:rPr>
          <w:sz w:val="24"/>
          <w:szCs w:val="24"/>
        </w:rPr>
        <w:t xml:space="preserve">. Accessed 3 June 2025. </w:t>
      </w:r>
    </w:p>
    <w:p w14:paraId="5ABAAAC8" w14:textId="77777777" w:rsidR="000F11A2" w:rsidRPr="00DA31AC" w:rsidRDefault="000F11A2" w:rsidP="00DA31AC">
      <w:pPr>
        <w:spacing w:line="360" w:lineRule="auto"/>
        <w:jc w:val="both"/>
        <w:rPr>
          <w:sz w:val="24"/>
          <w:szCs w:val="24"/>
        </w:rPr>
      </w:pPr>
      <w:r>
        <w:rPr>
          <w:sz w:val="24"/>
          <w:szCs w:val="24"/>
        </w:rPr>
        <w:t xml:space="preserve">(B) </w:t>
      </w:r>
      <w:r w:rsidRPr="00DA31AC">
        <w:rPr>
          <w:sz w:val="24"/>
          <w:szCs w:val="24"/>
        </w:rPr>
        <w:t xml:space="preserve">Rabe-Hemp, C. (2008). Survival in an “all-boys club”: </w:t>
      </w:r>
      <w:proofErr w:type="gramStart"/>
      <w:r w:rsidRPr="00DA31AC">
        <w:rPr>
          <w:sz w:val="24"/>
          <w:szCs w:val="24"/>
        </w:rPr>
        <w:t>policewomen</w:t>
      </w:r>
      <w:proofErr w:type="gramEnd"/>
      <w:r w:rsidRPr="00DA31AC">
        <w:rPr>
          <w:sz w:val="24"/>
          <w:szCs w:val="24"/>
        </w:rPr>
        <w:t xml:space="preserve"> and their fight for acceptance. </w:t>
      </w:r>
      <w:r w:rsidRPr="00DA31AC">
        <w:rPr>
          <w:i/>
          <w:iCs/>
          <w:sz w:val="24"/>
          <w:szCs w:val="24"/>
        </w:rPr>
        <w:t>Policing</w:t>
      </w:r>
      <w:r w:rsidRPr="00DA31AC">
        <w:rPr>
          <w:rFonts w:ascii="Arial" w:hAnsi="Arial" w:cs="Arial"/>
          <w:i/>
          <w:iCs/>
          <w:sz w:val="24"/>
          <w:szCs w:val="24"/>
        </w:rPr>
        <w:t>:</w:t>
      </w:r>
      <w:r w:rsidRPr="00DA31AC">
        <w:rPr>
          <w:i/>
          <w:iCs/>
          <w:sz w:val="24"/>
          <w:szCs w:val="24"/>
        </w:rPr>
        <w:t xml:space="preserve"> An International Journal of Police Strategies &amp; Management</w:t>
      </w:r>
      <w:r w:rsidRPr="00DA31AC">
        <w:rPr>
          <w:sz w:val="24"/>
          <w:szCs w:val="24"/>
        </w:rPr>
        <w:t>, </w:t>
      </w:r>
      <w:r w:rsidRPr="00DA31AC">
        <w:rPr>
          <w:i/>
          <w:iCs/>
          <w:sz w:val="24"/>
          <w:szCs w:val="24"/>
        </w:rPr>
        <w:t>31</w:t>
      </w:r>
      <w:r w:rsidRPr="00DA31AC">
        <w:rPr>
          <w:sz w:val="24"/>
          <w:szCs w:val="24"/>
        </w:rPr>
        <w:t xml:space="preserve">(2), 251–270. </w:t>
      </w:r>
      <w:hyperlink r:id="rId16" w:history="1">
        <w:r w:rsidRPr="00DA31AC">
          <w:rPr>
            <w:rStyle w:val="Hyperlink"/>
            <w:sz w:val="24"/>
            <w:szCs w:val="24"/>
          </w:rPr>
          <w:t>https://doi.org/10.1108/13639510810878712</w:t>
        </w:r>
      </w:hyperlink>
      <w:r w:rsidRPr="00DA31AC">
        <w:rPr>
          <w:sz w:val="24"/>
          <w:szCs w:val="24"/>
        </w:rPr>
        <w:t>. Accessed 3 June 2025.</w:t>
      </w:r>
    </w:p>
    <w:p w14:paraId="4103BE74" w14:textId="77777777" w:rsidR="00DA31AC" w:rsidRPr="00DA31AC" w:rsidRDefault="00DA31AC" w:rsidP="00DA31AC">
      <w:pPr>
        <w:spacing w:line="360" w:lineRule="auto"/>
        <w:jc w:val="both"/>
        <w:rPr>
          <w:sz w:val="24"/>
          <w:szCs w:val="24"/>
        </w:rPr>
      </w:pPr>
      <w:proofErr w:type="spellStart"/>
      <w:r w:rsidRPr="00DA31AC">
        <w:rPr>
          <w:sz w:val="24"/>
          <w:szCs w:val="24"/>
        </w:rPr>
        <w:t>Rabichuk</w:t>
      </w:r>
      <w:proofErr w:type="spellEnd"/>
      <w:r w:rsidRPr="00DA31AC">
        <w:rPr>
          <w:sz w:val="24"/>
          <w:szCs w:val="24"/>
        </w:rPr>
        <w:t>, S. B., Williamson, L., &amp; Frankel, S. (2025). Stress experiences of women in policing: A scoping review. </w:t>
      </w:r>
      <w:r w:rsidRPr="00DA31AC">
        <w:rPr>
          <w:i/>
          <w:iCs/>
          <w:sz w:val="24"/>
          <w:szCs w:val="24"/>
        </w:rPr>
        <w:t>International Journal of Police Science &amp; Management</w:t>
      </w:r>
      <w:r w:rsidRPr="00DA31AC">
        <w:rPr>
          <w:sz w:val="24"/>
          <w:szCs w:val="24"/>
        </w:rPr>
        <w:t>, </w:t>
      </w:r>
      <w:r w:rsidRPr="00DA31AC">
        <w:rPr>
          <w:i/>
          <w:iCs/>
          <w:sz w:val="24"/>
          <w:szCs w:val="24"/>
        </w:rPr>
        <w:t>27</w:t>
      </w:r>
      <w:r w:rsidRPr="00DA31AC">
        <w:rPr>
          <w:sz w:val="24"/>
          <w:szCs w:val="24"/>
        </w:rPr>
        <w:t xml:space="preserve">(1), 63–77. </w:t>
      </w:r>
      <w:hyperlink r:id="rId17" w:history="1">
        <w:r w:rsidRPr="00DA31AC">
          <w:rPr>
            <w:rStyle w:val="Hyperlink"/>
            <w:sz w:val="24"/>
            <w:szCs w:val="24"/>
          </w:rPr>
          <w:t>https://doi.org/10.1177/14613557241269477</w:t>
        </w:r>
      </w:hyperlink>
      <w:r w:rsidRPr="00DA31AC">
        <w:rPr>
          <w:sz w:val="24"/>
          <w:szCs w:val="24"/>
        </w:rPr>
        <w:t>. Accessed 30 June 2025.</w:t>
      </w:r>
    </w:p>
    <w:p w14:paraId="47AE50E4" w14:textId="77777777" w:rsidR="00DA31AC" w:rsidRPr="00573AB5" w:rsidRDefault="00DA31AC" w:rsidP="00DA31AC">
      <w:pPr>
        <w:spacing w:line="360" w:lineRule="auto"/>
        <w:jc w:val="both"/>
        <w:rPr>
          <w:sz w:val="24"/>
          <w:szCs w:val="24"/>
        </w:rPr>
      </w:pPr>
      <w:r w:rsidRPr="00DA31AC">
        <w:rPr>
          <w:sz w:val="24"/>
          <w:szCs w:val="24"/>
        </w:rPr>
        <w:t>Schuck, A. M., &amp; Rabe-Hemp, C. (2005). Women Police: The Use of Force by and Against Female Officers. </w:t>
      </w:r>
      <w:r w:rsidRPr="00DA31AC">
        <w:rPr>
          <w:i/>
          <w:iCs/>
          <w:sz w:val="24"/>
          <w:szCs w:val="24"/>
        </w:rPr>
        <w:t>Women &amp; Criminal Justice</w:t>
      </w:r>
      <w:r w:rsidRPr="00DA31AC">
        <w:rPr>
          <w:sz w:val="24"/>
          <w:szCs w:val="24"/>
        </w:rPr>
        <w:t>, </w:t>
      </w:r>
      <w:r w:rsidRPr="00DA31AC">
        <w:rPr>
          <w:i/>
          <w:iCs/>
          <w:sz w:val="24"/>
          <w:szCs w:val="24"/>
        </w:rPr>
        <w:t>16</w:t>
      </w:r>
      <w:r w:rsidRPr="00DA31AC">
        <w:rPr>
          <w:sz w:val="24"/>
          <w:szCs w:val="24"/>
        </w:rPr>
        <w:t xml:space="preserve">(4), 91–117. </w:t>
      </w:r>
      <w:hyperlink r:id="rId18" w:history="1">
        <w:r w:rsidRPr="00DA31AC">
          <w:rPr>
            <w:rStyle w:val="Hyperlink"/>
            <w:sz w:val="24"/>
            <w:szCs w:val="24"/>
          </w:rPr>
          <w:t>https://doi.org/10.1300/J012v16n04_05</w:t>
        </w:r>
      </w:hyperlink>
      <w:r w:rsidRPr="00DA31AC">
        <w:rPr>
          <w:sz w:val="24"/>
          <w:szCs w:val="24"/>
        </w:rPr>
        <w:t xml:space="preserve">. Accessed 01 July 2025. </w:t>
      </w:r>
    </w:p>
    <w:p w14:paraId="05621220" w14:textId="77777777" w:rsidR="00DA31AC" w:rsidRPr="00DA31AC" w:rsidRDefault="00DA31AC" w:rsidP="00DA31AC">
      <w:pPr>
        <w:spacing w:line="360" w:lineRule="auto"/>
        <w:jc w:val="both"/>
        <w:rPr>
          <w:sz w:val="24"/>
          <w:szCs w:val="24"/>
        </w:rPr>
      </w:pPr>
      <w:r w:rsidRPr="00DA31AC">
        <w:rPr>
          <w:sz w:val="24"/>
          <w:szCs w:val="24"/>
        </w:rPr>
        <w:t>Shoub, K., Stauffer, K. E., &amp; Song, M. (2021). Do Female Officers Police Differently? Evidence from Traffic Stops. </w:t>
      </w:r>
      <w:r w:rsidRPr="00DA31AC">
        <w:rPr>
          <w:i/>
          <w:iCs/>
          <w:sz w:val="24"/>
          <w:szCs w:val="24"/>
        </w:rPr>
        <w:t>American Journal of Political Science</w:t>
      </w:r>
      <w:r w:rsidRPr="00DA31AC">
        <w:rPr>
          <w:sz w:val="24"/>
          <w:szCs w:val="24"/>
        </w:rPr>
        <w:t>, </w:t>
      </w:r>
      <w:r w:rsidRPr="00DA31AC">
        <w:rPr>
          <w:i/>
          <w:iCs/>
          <w:sz w:val="24"/>
          <w:szCs w:val="24"/>
        </w:rPr>
        <w:t>65</w:t>
      </w:r>
      <w:r w:rsidRPr="00DA31AC">
        <w:rPr>
          <w:sz w:val="24"/>
          <w:szCs w:val="24"/>
        </w:rPr>
        <w:t xml:space="preserve">(3), 755–769. </w:t>
      </w:r>
      <w:hyperlink r:id="rId19" w:history="1">
        <w:r w:rsidRPr="00DA31AC">
          <w:rPr>
            <w:rStyle w:val="Hyperlink"/>
            <w:sz w:val="24"/>
            <w:szCs w:val="24"/>
          </w:rPr>
          <w:t>https://doi.org/10.1111/ajps.12618</w:t>
        </w:r>
      </w:hyperlink>
      <w:r w:rsidRPr="00DA31AC">
        <w:rPr>
          <w:sz w:val="24"/>
          <w:szCs w:val="24"/>
        </w:rPr>
        <w:t>. Accessed 25 June 2025.</w:t>
      </w:r>
    </w:p>
    <w:p w14:paraId="1E5DFA31" w14:textId="77777777" w:rsidR="00DA31AC" w:rsidRPr="00DA31AC" w:rsidRDefault="00DA31AC" w:rsidP="00DA31AC">
      <w:pPr>
        <w:spacing w:line="360" w:lineRule="auto"/>
        <w:jc w:val="both"/>
        <w:rPr>
          <w:sz w:val="24"/>
          <w:szCs w:val="24"/>
        </w:rPr>
      </w:pPr>
      <w:r w:rsidRPr="00DA31AC">
        <w:rPr>
          <w:sz w:val="24"/>
          <w:szCs w:val="24"/>
        </w:rPr>
        <w:lastRenderedPageBreak/>
        <w:t>Silvestri, M., &amp; Williams, E. (2004). [Rev. of </w:t>
      </w:r>
      <w:r w:rsidRPr="00DA31AC">
        <w:rPr>
          <w:i/>
          <w:iCs/>
          <w:sz w:val="24"/>
          <w:szCs w:val="24"/>
        </w:rPr>
        <w:t xml:space="preserve">Women in charge: policing, </w:t>
      </w:r>
      <w:proofErr w:type="gramStart"/>
      <w:r w:rsidRPr="00DA31AC">
        <w:rPr>
          <w:i/>
          <w:iCs/>
          <w:sz w:val="24"/>
          <w:szCs w:val="24"/>
        </w:rPr>
        <w:t>gender</w:t>
      </w:r>
      <w:proofErr w:type="gramEnd"/>
      <w:r w:rsidRPr="00DA31AC">
        <w:rPr>
          <w:i/>
          <w:iCs/>
          <w:sz w:val="24"/>
          <w:szCs w:val="24"/>
        </w:rPr>
        <w:t xml:space="preserve"> and leadership</w:t>
      </w:r>
      <w:r w:rsidRPr="00DA31AC">
        <w:rPr>
          <w:sz w:val="24"/>
          <w:szCs w:val="24"/>
        </w:rPr>
        <w:t>]. </w:t>
      </w:r>
      <w:r w:rsidRPr="00DA31AC">
        <w:rPr>
          <w:i/>
          <w:iCs/>
          <w:sz w:val="24"/>
          <w:szCs w:val="24"/>
        </w:rPr>
        <w:t>Policing &amp; Society</w:t>
      </w:r>
      <w:r w:rsidRPr="00DA31AC">
        <w:rPr>
          <w:sz w:val="24"/>
          <w:szCs w:val="24"/>
        </w:rPr>
        <w:t>, </w:t>
      </w:r>
      <w:r w:rsidRPr="00DA31AC">
        <w:rPr>
          <w:i/>
          <w:iCs/>
          <w:sz w:val="24"/>
          <w:szCs w:val="24"/>
        </w:rPr>
        <w:t>14</w:t>
      </w:r>
      <w:r w:rsidRPr="00DA31AC">
        <w:rPr>
          <w:sz w:val="24"/>
          <w:szCs w:val="24"/>
        </w:rPr>
        <w:t>(3), 281–283. Accessed 25 June 2025.</w:t>
      </w:r>
    </w:p>
    <w:p w14:paraId="1653F5DB" w14:textId="77777777" w:rsidR="00DA31AC" w:rsidRPr="00DA31AC" w:rsidRDefault="00DA31AC" w:rsidP="00DA31AC">
      <w:pPr>
        <w:spacing w:line="360" w:lineRule="auto"/>
        <w:jc w:val="both"/>
        <w:rPr>
          <w:sz w:val="24"/>
          <w:szCs w:val="24"/>
        </w:rPr>
      </w:pPr>
      <w:r w:rsidRPr="00DA31AC">
        <w:rPr>
          <w:sz w:val="24"/>
          <w:szCs w:val="24"/>
        </w:rPr>
        <w:t>Silvestri, M., Tong, S., &amp; Brown, J. (2013). Gender and Police Leadership: Time for a Paradigm Shift? </w:t>
      </w:r>
      <w:r w:rsidRPr="00DA31AC">
        <w:rPr>
          <w:i/>
          <w:iCs/>
          <w:sz w:val="24"/>
          <w:szCs w:val="24"/>
        </w:rPr>
        <w:t>International Journal of Police Science &amp; Management</w:t>
      </w:r>
      <w:r w:rsidRPr="00DA31AC">
        <w:rPr>
          <w:sz w:val="24"/>
          <w:szCs w:val="24"/>
        </w:rPr>
        <w:t>, </w:t>
      </w:r>
      <w:r w:rsidRPr="00DA31AC">
        <w:rPr>
          <w:i/>
          <w:iCs/>
          <w:sz w:val="24"/>
          <w:szCs w:val="24"/>
        </w:rPr>
        <w:t>15</w:t>
      </w:r>
      <w:r w:rsidRPr="00DA31AC">
        <w:rPr>
          <w:sz w:val="24"/>
          <w:szCs w:val="24"/>
        </w:rPr>
        <w:t xml:space="preserve">(1), 61–73. </w:t>
      </w:r>
      <w:hyperlink r:id="rId20" w:history="1">
        <w:r w:rsidRPr="00DA31AC">
          <w:rPr>
            <w:rStyle w:val="Hyperlink"/>
            <w:sz w:val="24"/>
            <w:szCs w:val="24"/>
          </w:rPr>
          <w:t>https://doi.org/10.1350/ijps.2013.15.1.303</w:t>
        </w:r>
      </w:hyperlink>
      <w:r w:rsidRPr="00DA31AC">
        <w:rPr>
          <w:sz w:val="24"/>
          <w:szCs w:val="24"/>
        </w:rPr>
        <w:t xml:space="preserve">. Accessed 01 July 2025. </w:t>
      </w:r>
    </w:p>
    <w:p w14:paraId="2E0B940C" w14:textId="5B2084D7" w:rsidR="00DA31AC" w:rsidRDefault="00DA31AC" w:rsidP="00DA31AC">
      <w:pPr>
        <w:spacing w:line="360" w:lineRule="auto"/>
        <w:jc w:val="both"/>
        <w:rPr>
          <w:sz w:val="24"/>
          <w:szCs w:val="24"/>
        </w:rPr>
      </w:pPr>
      <w:r w:rsidRPr="00DA31AC">
        <w:rPr>
          <w:sz w:val="24"/>
          <w:szCs w:val="24"/>
        </w:rPr>
        <w:t>Wagner, N., Rieger, M., Bedi, A., &amp; Hout, W. (2017). Gender and Policing Norms: Evidence from Survey Experiments Among Police Officers in Uganda. </w:t>
      </w:r>
      <w:r w:rsidRPr="00DA31AC">
        <w:rPr>
          <w:i/>
          <w:iCs/>
          <w:sz w:val="24"/>
          <w:szCs w:val="24"/>
        </w:rPr>
        <w:t>Journal of African Economies</w:t>
      </w:r>
      <w:r w:rsidRPr="00DA31AC">
        <w:rPr>
          <w:sz w:val="24"/>
          <w:szCs w:val="24"/>
        </w:rPr>
        <w:t>, </w:t>
      </w:r>
      <w:r w:rsidRPr="00DA31AC">
        <w:rPr>
          <w:i/>
          <w:iCs/>
          <w:sz w:val="24"/>
          <w:szCs w:val="24"/>
        </w:rPr>
        <w:t>26</w:t>
      </w:r>
      <w:r w:rsidRPr="00DA31AC">
        <w:rPr>
          <w:sz w:val="24"/>
          <w:szCs w:val="24"/>
        </w:rPr>
        <w:t xml:space="preserve">(4), 492–515. </w:t>
      </w:r>
      <w:r w:rsidR="00B82FA4" w:rsidRPr="00DA31AC">
        <w:rPr>
          <w:sz w:val="24"/>
          <w:szCs w:val="24"/>
        </w:rPr>
        <w:t>https://doi.org/10.1093/jae/ejx014.</w:t>
      </w:r>
      <w:r w:rsidRPr="00DA31AC">
        <w:rPr>
          <w:sz w:val="24"/>
          <w:szCs w:val="24"/>
        </w:rPr>
        <w:t xml:space="preserve"> Accessed 30 June 2025.</w:t>
      </w:r>
    </w:p>
    <w:p w14:paraId="2D622110" w14:textId="77777777" w:rsidR="00DA31AC" w:rsidRPr="006E0D2E" w:rsidRDefault="00DA31AC" w:rsidP="00DA31AC">
      <w:pPr>
        <w:spacing w:line="360" w:lineRule="auto"/>
        <w:jc w:val="both"/>
        <w:rPr>
          <w:sz w:val="24"/>
          <w:szCs w:val="24"/>
        </w:rPr>
      </w:pPr>
    </w:p>
    <w:p w14:paraId="6C105A86" w14:textId="59A8A3CD" w:rsidR="00C437A2" w:rsidRDefault="00C437A2" w:rsidP="00DA31AC">
      <w:pPr>
        <w:pStyle w:val="Subtitle"/>
        <w:jc w:val="both"/>
        <w:outlineLvl w:val="0"/>
        <w:rPr>
          <w:sz w:val="24"/>
          <w:szCs w:val="24"/>
        </w:rPr>
      </w:pPr>
      <w:bookmarkStart w:id="16" w:name="_Toc204028398"/>
      <w:r w:rsidRPr="00DA31AC">
        <w:rPr>
          <w:sz w:val="24"/>
          <w:szCs w:val="24"/>
        </w:rPr>
        <w:t>2.9 Bibliography</w:t>
      </w:r>
      <w:bookmarkEnd w:id="16"/>
    </w:p>
    <w:p w14:paraId="6279121F" w14:textId="77777777" w:rsidR="00DA31AC" w:rsidRPr="00DA31AC" w:rsidRDefault="00DA31AC" w:rsidP="00DA31AC"/>
    <w:p w14:paraId="4B73856D" w14:textId="77777777" w:rsidR="00DA31AC" w:rsidRPr="00DA31AC" w:rsidRDefault="00DA31AC" w:rsidP="00DA31AC">
      <w:pPr>
        <w:spacing w:line="360" w:lineRule="auto"/>
        <w:jc w:val="both"/>
        <w:rPr>
          <w:sz w:val="24"/>
          <w:szCs w:val="24"/>
        </w:rPr>
      </w:pPr>
      <w:r w:rsidRPr="00DA31AC">
        <w:rPr>
          <w:sz w:val="24"/>
          <w:szCs w:val="24"/>
        </w:rPr>
        <w:t>Garner, J. H., Maxwell, C. D., &amp; Heraux, C. G. (2002). Characteristics associated with the prevalence and severity of force used by the police. </w:t>
      </w:r>
      <w:r w:rsidRPr="00DA31AC">
        <w:rPr>
          <w:i/>
          <w:iCs/>
          <w:sz w:val="24"/>
          <w:szCs w:val="24"/>
        </w:rPr>
        <w:t>Justice Quarterly</w:t>
      </w:r>
      <w:r w:rsidRPr="00DA31AC">
        <w:rPr>
          <w:sz w:val="24"/>
          <w:szCs w:val="24"/>
        </w:rPr>
        <w:t>, </w:t>
      </w:r>
      <w:r w:rsidRPr="00DA31AC">
        <w:rPr>
          <w:i/>
          <w:iCs/>
          <w:sz w:val="24"/>
          <w:szCs w:val="24"/>
        </w:rPr>
        <w:t>19</w:t>
      </w:r>
      <w:r w:rsidRPr="00DA31AC">
        <w:rPr>
          <w:sz w:val="24"/>
          <w:szCs w:val="24"/>
        </w:rPr>
        <w:t xml:space="preserve">(4), 705–746. </w:t>
      </w:r>
      <w:hyperlink r:id="rId21" w:history="1">
        <w:r w:rsidRPr="00DA31AC">
          <w:rPr>
            <w:rStyle w:val="Hyperlink"/>
            <w:sz w:val="24"/>
            <w:szCs w:val="24"/>
          </w:rPr>
          <w:t>https://doi.org/10.1080/07418820200095401</w:t>
        </w:r>
      </w:hyperlink>
      <w:r w:rsidRPr="00DA31AC">
        <w:rPr>
          <w:sz w:val="24"/>
          <w:szCs w:val="24"/>
        </w:rPr>
        <w:t xml:space="preserve">. Accessed 20 June 2025. </w:t>
      </w:r>
    </w:p>
    <w:p w14:paraId="29D294BE" w14:textId="77777777" w:rsidR="00DA31AC" w:rsidRPr="00DA31AC" w:rsidRDefault="00DA31AC" w:rsidP="00DA31AC">
      <w:pPr>
        <w:spacing w:line="360" w:lineRule="auto"/>
        <w:jc w:val="both"/>
        <w:rPr>
          <w:sz w:val="24"/>
          <w:szCs w:val="24"/>
        </w:rPr>
      </w:pPr>
      <w:r w:rsidRPr="00DA31AC">
        <w:rPr>
          <w:sz w:val="24"/>
          <w:szCs w:val="24"/>
        </w:rPr>
        <w:t>Gustafson, J. L. (2008). Tokenism in policing: An empirical test of Kanter’s hypothesis. </w:t>
      </w:r>
      <w:r w:rsidRPr="00DA31AC">
        <w:rPr>
          <w:i/>
          <w:iCs/>
          <w:sz w:val="24"/>
          <w:szCs w:val="24"/>
        </w:rPr>
        <w:t>Journal of Criminal Justice</w:t>
      </w:r>
      <w:r w:rsidRPr="00DA31AC">
        <w:rPr>
          <w:sz w:val="24"/>
          <w:szCs w:val="24"/>
        </w:rPr>
        <w:t>, </w:t>
      </w:r>
      <w:r w:rsidRPr="00DA31AC">
        <w:rPr>
          <w:i/>
          <w:iCs/>
          <w:sz w:val="24"/>
          <w:szCs w:val="24"/>
        </w:rPr>
        <w:t>36</w:t>
      </w:r>
      <w:r w:rsidRPr="00DA31AC">
        <w:rPr>
          <w:sz w:val="24"/>
          <w:szCs w:val="24"/>
        </w:rPr>
        <w:t xml:space="preserve">(1), 1–10. </w:t>
      </w:r>
      <w:hyperlink r:id="rId22" w:history="1">
        <w:r w:rsidRPr="00DA31AC">
          <w:rPr>
            <w:rStyle w:val="Hyperlink"/>
            <w:sz w:val="24"/>
            <w:szCs w:val="24"/>
          </w:rPr>
          <w:t>https://doi.org/10.1016/j.jcrimjus.2007.12.001</w:t>
        </w:r>
      </w:hyperlink>
      <w:r w:rsidRPr="00DA31AC">
        <w:rPr>
          <w:sz w:val="24"/>
          <w:szCs w:val="24"/>
        </w:rPr>
        <w:t>. Accessed 01 July 2025.</w:t>
      </w:r>
    </w:p>
    <w:p w14:paraId="0EA11751" w14:textId="77777777" w:rsidR="00DA31AC" w:rsidRPr="00DA31AC" w:rsidRDefault="00DA31AC" w:rsidP="00DA31AC">
      <w:pPr>
        <w:spacing w:line="360" w:lineRule="auto"/>
        <w:jc w:val="both"/>
        <w:rPr>
          <w:sz w:val="24"/>
          <w:szCs w:val="24"/>
        </w:rPr>
      </w:pPr>
      <w:r w:rsidRPr="00DA31AC">
        <w:rPr>
          <w:sz w:val="24"/>
          <w:szCs w:val="24"/>
        </w:rPr>
        <w:t xml:space="preserve">Lindisfarne, Nancy, and Bonnie McElhinny. </w:t>
      </w:r>
      <w:r w:rsidRPr="00DA31AC">
        <w:rPr>
          <w:i/>
          <w:iCs/>
          <w:sz w:val="24"/>
          <w:szCs w:val="24"/>
        </w:rPr>
        <w:t xml:space="preserve">Dislocating Masculinity: An Economy of Affect: Objectivity, </w:t>
      </w:r>
      <w:proofErr w:type="gramStart"/>
      <w:r w:rsidRPr="00DA31AC">
        <w:rPr>
          <w:i/>
          <w:iCs/>
          <w:sz w:val="24"/>
          <w:szCs w:val="24"/>
        </w:rPr>
        <w:t>Masculinity</w:t>
      </w:r>
      <w:proofErr w:type="gramEnd"/>
      <w:r w:rsidRPr="00DA31AC">
        <w:rPr>
          <w:i/>
          <w:iCs/>
          <w:sz w:val="24"/>
          <w:szCs w:val="24"/>
        </w:rPr>
        <w:t xml:space="preserve"> and the Gendering of Police Work</w:t>
      </w:r>
      <w:r w:rsidRPr="00DA31AC">
        <w:rPr>
          <w:sz w:val="24"/>
          <w:szCs w:val="24"/>
        </w:rPr>
        <w:t xml:space="preserve">. 1994. Edited by Andrea Cornwall, 2nd ed., Routledge, 16 Dec. 2016. Accessed 27 June 2025. </w:t>
      </w:r>
    </w:p>
    <w:p w14:paraId="7C35E676" w14:textId="77777777" w:rsidR="00C437A2" w:rsidRPr="00DA31AC" w:rsidRDefault="00C437A2" w:rsidP="00DA31AC">
      <w:pPr>
        <w:jc w:val="both"/>
        <w:rPr>
          <w:sz w:val="24"/>
          <w:szCs w:val="24"/>
        </w:rPr>
      </w:pPr>
    </w:p>
    <w:sectPr w:rsidR="00C437A2" w:rsidRPr="00DA31AC">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668A06" w14:textId="77777777" w:rsidR="00823A16" w:rsidRDefault="00823A16" w:rsidP="00B82FA4">
      <w:pPr>
        <w:spacing w:after="0" w:line="240" w:lineRule="auto"/>
      </w:pPr>
      <w:r>
        <w:separator/>
      </w:r>
    </w:p>
  </w:endnote>
  <w:endnote w:type="continuationSeparator" w:id="0">
    <w:p w14:paraId="7D94DB22" w14:textId="77777777" w:rsidR="00823A16" w:rsidRDefault="00823A16" w:rsidP="00B82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4739787"/>
      <w:docPartObj>
        <w:docPartGallery w:val="Page Numbers (Bottom of Page)"/>
        <w:docPartUnique/>
      </w:docPartObj>
    </w:sdtPr>
    <w:sdtEndPr>
      <w:rPr>
        <w:noProof/>
      </w:rPr>
    </w:sdtEndPr>
    <w:sdtContent>
      <w:p w14:paraId="7B200164" w14:textId="21CBDC3A" w:rsidR="00B82FA4" w:rsidRDefault="00B82F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0BB4FA" w14:textId="77777777" w:rsidR="00B82FA4" w:rsidRDefault="00B82F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5C080A" w14:textId="77777777" w:rsidR="00823A16" w:rsidRDefault="00823A16" w:rsidP="00B82FA4">
      <w:pPr>
        <w:spacing w:after="0" w:line="240" w:lineRule="auto"/>
      </w:pPr>
      <w:r>
        <w:separator/>
      </w:r>
    </w:p>
  </w:footnote>
  <w:footnote w:type="continuationSeparator" w:id="0">
    <w:p w14:paraId="4C7478AA" w14:textId="77777777" w:rsidR="00823A16" w:rsidRDefault="00823A16" w:rsidP="00B82F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EDA0D7" w14:textId="1E927E7D" w:rsidR="00B82FA4" w:rsidRPr="00B82FA4" w:rsidRDefault="00B82FA4" w:rsidP="00B82FA4">
    <w:pPr>
      <w:pStyle w:val="Header"/>
      <w:jc w:val="center"/>
      <w:rPr>
        <w:i/>
        <w:iCs/>
        <w:sz w:val="18"/>
        <w:szCs w:val="18"/>
      </w:rPr>
    </w:pPr>
    <w:r w:rsidRPr="00B82FA4">
      <w:rPr>
        <w:i/>
        <w:iCs/>
        <w:sz w:val="18"/>
        <w:szCs w:val="18"/>
      </w:rPr>
      <w:t>Do women police differently? An examination of gendered approaches to policing and public perception</w:t>
    </w:r>
  </w:p>
  <w:p w14:paraId="4B34EBE9" w14:textId="36453D62" w:rsidR="00B82FA4" w:rsidRPr="00B82FA4" w:rsidRDefault="00B82FA4" w:rsidP="00B82FA4">
    <w:pPr>
      <w:pStyle w:val="Header"/>
      <w:jc w:val="center"/>
      <w:rPr>
        <w:sz w:val="18"/>
        <w:szCs w:val="18"/>
      </w:rPr>
    </w:pPr>
    <w:r w:rsidRPr="00B82FA4">
      <w:rPr>
        <w:i/>
        <w:iCs/>
        <w:sz w:val="18"/>
        <w:szCs w:val="18"/>
      </w:rPr>
      <w:t>Literature Review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F0021B"/>
    <w:multiLevelType w:val="hybridMultilevel"/>
    <w:tmpl w:val="5D3E9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3669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D28"/>
    <w:rsid w:val="0005127B"/>
    <w:rsid w:val="00061D99"/>
    <w:rsid w:val="00061F48"/>
    <w:rsid w:val="00081D20"/>
    <w:rsid w:val="000A1CE7"/>
    <w:rsid w:val="000F11A2"/>
    <w:rsid w:val="000F1B4E"/>
    <w:rsid w:val="00132893"/>
    <w:rsid w:val="001355D6"/>
    <w:rsid w:val="001E24D2"/>
    <w:rsid w:val="001E517E"/>
    <w:rsid w:val="001F4BB6"/>
    <w:rsid w:val="0020227F"/>
    <w:rsid w:val="0021248E"/>
    <w:rsid w:val="00216446"/>
    <w:rsid w:val="00216C3F"/>
    <w:rsid w:val="00251E04"/>
    <w:rsid w:val="00275970"/>
    <w:rsid w:val="002964C6"/>
    <w:rsid w:val="002A5485"/>
    <w:rsid w:val="002E6F07"/>
    <w:rsid w:val="002F3D28"/>
    <w:rsid w:val="00303FB8"/>
    <w:rsid w:val="00326781"/>
    <w:rsid w:val="0035226E"/>
    <w:rsid w:val="00353BDE"/>
    <w:rsid w:val="00365AC9"/>
    <w:rsid w:val="00370796"/>
    <w:rsid w:val="003B15AF"/>
    <w:rsid w:val="003F2546"/>
    <w:rsid w:val="00490F23"/>
    <w:rsid w:val="00496D3C"/>
    <w:rsid w:val="004B0A01"/>
    <w:rsid w:val="004E2517"/>
    <w:rsid w:val="005165D9"/>
    <w:rsid w:val="00537DE4"/>
    <w:rsid w:val="00552AB8"/>
    <w:rsid w:val="00573AB5"/>
    <w:rsid w:val="0058731C"/>
    <w:rsid w:val="00661CE5"/>
    <w:rsid w:val="006825A5"/>
    <w:rsid w:val="006E0D2E"/>
    <w:rsid w:val="00700D3F"/>
    <w:rsid w:val="00726CC7"/>
    <w:rsid w:val="00775AF8"/>
    <w:rsid w:val="007A0321"/>
    <w:rsid w:val="007F6D7B"/>
    <w:rsid w:val="0081511F"/>
    <w:rsid w:val="008157D3"/>
    <w:rsid w:val="00815F75"/>
    <w:rsid w:val="00823A16"/>
    <w:rsid w:val="0085758F"/>
    <w:rsid w:val="008802BA"/>
    <w:rsid w:val="008816BB"/>
    <w:rsid w:val="008C04CF"/>
    <w:rsid w:val="008F1E3A"/>
    <w:rsid w:val="009B4B98"/>
    <w:rsid w:val="009D7A85"/>
    <w:rsid w:val="00A04302"/>
    <w:rsid w:val="00A0605D"/>
    <w:rsid w:val="00A609AB"/>
    <w:rsid w:val="00A64C5E"/>
    <w:rsid w:val="00A76437"/>
    <w:rsid w:val="00A86C37"/>
    <w:rsid w:val="00A94180"/>
    <w:rsid w:val="00AB6899"/>
    <w:rsid w:val="00AC6C13"/>
    <w:rsid w:val="00B53EDA"/>
    <w:rsid w:val="00B82FA4"/>
    <w:rsid w:val="00B9129D"/>
    <w:rsid w:val="00BB3E65"/>
    <w:rsid w:val="00BB4200"/>
    <w:rsid w:val="00C236A9"/>
    <w:rsid w:val="00C40A6F"/>
    <w:rsid w:val="00C437A2"/>
    <w:rsid w:val="00C67E0C"/>
    <w:rsid w:val="00C85D46"/>
    <w:rsid w:val="00C94E5F"/>
    <w:rsid w:val="00CF7F67"/>
    <w:rsid w:val="00D15F48"/>
    <w:rsid w:val="00D231D7"/>
    <w:rsid w:val="00D51D68"/>
    <w:rsid w:val="00D73DAC"/>
    <w:rsid w:val="00D956D6"/>
    <w:rsid w:val="00DA31AC"/>
    <w:rsid w:val="00DC0272"/>
    <w:rsid w:val="00E144E4"/>
    <w:rsid w:val="00E601A5"/>
    <w:rsid w:val="00E658D7"/>
    <w:rsid w:val="00E869E6"/>
    <w:rsid w:val="00EA4A84"/>
    <w:rsid w:val="00EC0EAE"/>
    <w:rsid w:val="00EC7E88"/>
    <w:rsid w:val="00F243A4"/>
    <w:rsid w:val="00F30340"/>
    <w:rsid w:val="00F76BA5"/>
    <w:rsid w:val="00FB6AB5"/>
    <w:rsid w:val="00FC41FE"/>
    <w:rsid w:val="00FD318A"/>
    <w:rsid w:val="00FE2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B420B"/>
  <w15:chartTrackingRefBased/>
  <w15:docId w15:val="{B1DE4930-2D7D-4316-A79F-C6E232855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D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3D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3D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3D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3D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3D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3D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3D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3D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D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3D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3D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3D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3D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3D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3D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3D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3D28"/>
    <w:rPr>
      <w:rFonts w:eastAsiaTheme="majorEastAsia" w:cstheme="majorBidi"/>
      <w:color w:val="272727" w:themeColor="text1" w:themeTint="D8"/>
    </w:rPr>
  </w:style>
  <w:style w:type="paragraph" w:styleId="Title">
    <w:name w:val="Title"/>
    <w:basedOn w:val="Normal"/>
    <w:next w:val="Normal"/>
    <w:link w:val="TitleChar"/>
    <w:uiPriority w:val="10"/>
    <w:qFormat/>
    <w:rsid w:val="002F3D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D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3D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D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3D28"/>
    <w:pPr>
      <w:spacing w:before="160"/>
      <w:jc w:val="center"/>
    </w:pPr>
    <w:rPr>
      <w:i/>
      <w:iCs/>
      <w:color w:val="404040" w:themeColor="text1" w:themeTint="BF"/>
    </w:rPr>
  </w:style>
  <w:style w:type="character" w:customStyle="1" w:styleId="QuoteChar">
    <w:name w:val="Quote Char"/>
    <w:basedOn w:val="DefaultParagraphFont"/>
    <w:link w:val="Quote"/>
    <w:uiPriority w:val="29"/>
    <w:rsid w:val="002F3D28"/>
    <w:rPr>
      <w:i/>
      <w:iCs/>
      <w:color w:val="404040" w:themeColor="text1" w:themeTint="BF"/>
    </w:rPr>
  </w:style>
  <w:style w:type="paragraph" w:styleId="ListParagraph">
    <w:name w:val="List Paragraph"/>
    <w:basedOn w:val="Normal"/>
    <w:uiPriority w:val="34"/>
    <w:qFormat/>
    <w:rsid w:val="002F3D28"/>
    <w:pPr>
      <w:ind w:left="720"/>
      <w:contextualSpacing/>
    </w:pPr>
  </w:style>
  <w:style w:type="character" w:styleId="IntenseEmphasis">
    <w:name w:val="Intense Emphasis"/>
    <w:basedOn w:val="DefaultParagraphFont"/>
    <w:uiPriority w:val="21"/>
    <w:qFormat/>
    <w:rsid w:val="002F3D28"/>
    <w:rPr>
      <w:i/>
      <w:iCs/>
      <w:color w:val="0F4761" w:themeColor="accent1" w:themeShade="BF"/>
    </w:rPr>
  </w:style>
  <w:style w:type="paragraph" w:styleId="IntenseQuote">
    <w:name w:val="Intense Quote"/>
    <w:basedOn w:val="Normal"/>
    <w:next w:val="Normal"/>
    <w:link w:val="IntenseQuoteChar"/>
    <w:uiPriority w:val="30"/>
    <w:qFormat/>
    <w:rsid w:val="002F3D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3D28"/>
    <w:rPr>
      <w:i/>
      <w:iCs/>
      <w:color w:val="0F4761" w:themeColor="accent1" w:themeShade="BF"/>
    </w:rPr>
  </w:style>
  <w:style w:type="character" w:styleId="IntenseReference">
    <w:name w:val="Intense Reference"/>
    <w:basedOn w:val="DefaultParagraphFont"/>
    <w:uiPriority w:val="32"/>
    <w:qFormat/>
    <w:rsid w:val="002F3D28"/>
    <w:rPr>
      <w:b/>
      <w:bCs/>
      <w:smallCaps/>
      <w:color w:val="0F4761" w:themeColor="accent1" w:themeShade="BF"/>
      <w:spacing w:val="5"/>
    </w:rPr>
  </w:style>
  <w:style w:type="paragraph" w:styleId="TOCHeading">
    <w:name w:val="TOC Heading"/>
    <w:basedOn w:val="Heading1"/>
    <w:next w:val="Normal"/>
    <w:uiPriority w:val="39"/>
    <w:unhideWhenUsed/>
    <w:qFormat/>
    <w:rsid w:val="002F3D2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B6AB5"/>
    <w:pPr>
      <w:spacing w:after="100"/>
    </w:pPr>
  </w:style>
  <w:style w:type="character" w:styleId="Hyperlink">
    <w:name w:val="Hyperlink"/>
    <w:basedOn w:val="DefaultParagraphFont"/>
    <w:uiPriority w:val="99"/>
    <w:unhideWhenUsed/>
    <w:rsid w:val="00FB6AB5"/>
    <w:rPr>
      <w:color w:val="467886" w:themeColor="hyperlink"/>
      <w:u w:val="single"/>
    </w:rPr>
  </w:style>
  <w:style w:type="character" w:styleId="UnresolvedMention">
    <w:name w:val="Unresolved Mention"/>
    <w:basedOn w:val="DefaultParagraphFont"/>
    <w:uiPriority w:val="99"/>
    <w:semiHidden/>
    <w:unhideWhenUsed/>
    <w:rsid w:val="006E0D2E"/>
    <w:rPr>
      <w:color w:val="605E5C"/>
      <w:shd w:val="clear" w:color="auto" w:fill="E1DFDD"/>
    </w:rPr>
  </w:style>
  <w:style w:type="paragraph" w:styleId="FootnoteText">
    <w:name w:val="footnote text"/>
    <w:basedOn w:val="Normal"/>
    <w:link w:val="FootnoteTextChar"/>
    <w:uiPriority w:val="99"/>
    <w:semiHidden/>
    <w:unhideWhenUsed/>
    <w:rsid w:val="00B82FA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2FA4"/>
    <w:rPr>
      <w:sz w:val="20"/>
      <w:szCs w:val="20"/>
    </w:rPr>
  </w:style>
  <w:style w:type="character" w:styleId="FootnoteReference">
    <w:name w:val="footnote reference"/>
    <w:basedOn w:val="DefaultParagraphFont"/>
    <w:uiPriority w:val="99"/>
    <w:semiHidden/>
    <w:unhideWhenUsed/>
    <w:rsid w:val="00B82FA4"/>
    <w:rPr>
      <w:vertAlign w:val="superscript"/>
    </w:rPr>
  </w:style>
  <w:style w:type="paragraph" w:styleId="EndnoteText">
    <w:name w:val="endnote text"/>
    <w:basedOn w:val="Normal"/>
    <w:link w:val="EndnoteTextChar"/>
    <w:uiPriority w:val="99"/>
    <w:semiHidden/>
    <w:unhideWhenUsed/>
    <w:rsid w:val="00B82FA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82FA4"/>
    <w:rPr>
      <w:sz w:val="20"/>
      <w:szCs w:val="20"/>
    </w:rPr>
  </w:style>
  <w:style w:type="character" w:styleId="EndnoteReference">
    <w:name w:val="endnote reference"/>
    <w:basedOn w:val="DefaultParagraphFont"/>
    <w:uiPriority w:val="99"/>
    <w:semiHidden/>
    <w:unhideWhenUsed/>
    <w:rsid w:val="00B82FA4"/>
    <w:rPr>
      <w:vertAlign w:val="superscript"/>
    </w:rPr>
  </w:style>
  <w:style w:type="paragraph" w:styleId="Header">
    <w:name w:val="header"/>
    <w:basedOn w:val="Normal"/>
    <w:link w:val="HeaderChar"/>
    <w:uiPriority w:val="99"/>
    <w:unhideWhenUsed/>
    <w:rsid w:val="00B82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FA4"/>
  </w:style>
  <w:style w:type="paragraph" w:styleId="Footer">
    <w:name w:val="footer"/>
    <w:basedOn w:val="Normal"/>
    <w:link w:val="FooterChar"/>
    <w:uiPriority w:val="99"/>
    <w:unhideWhenUsed/>
    <w:rsid w:val="00B82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F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699">
      <w:bodyDiv w:val="1"/>
      <w:marLeft w:val="0"/>
      <w:marRight w:val="0"/>
      <w:marTop w:val="0"/>
      <w:marBottom w:val="0"/>
      <w:divBdr>
        <w:top w:val="none" w:sz="0" w:space="0" w:color="auto"/>
        <w:left w:val="none" w:sz="0" w:space="0" w:color="auto"/>
        <w:bottom w:val="none" w:sz="0" w:space="0" w:color="auto"/>
        <w:right w:val="none" w:sz="0" w:space="0" w:color="auto"/>
      </w:divBdr>
      <w:divsChild>
        <w:div w:id="2060352584">
          <w:marLeft w:val="-720"/>
          <w:marRight w:val="0"/>
          <w:marTop w:val="0"/>
          <w:marBottom w:val="0"/>
          <w:divBdr>
            <w:top w:val="none" w:sz="0" w:space="0" w:color="auto"/>
            <w:left w:val="none" w:sz="0" w:space="0" w:color="auto"/>
            <w:bottom w:val="none" w:sz="0" w:space="0" w:color="auto"/>
            <w:right w:val="none" w:sz="0" w:space="0" w:color="auto"/>
          </w:divBdr>
        </w:div>
      </w:divsChild>
    </w:div>
    <w:div w:id="327247964">
      <w:bodyDiv w:val="1"/>
      <w:marLeft w:val="0"/>
      <w:marRight w:val="0"/>
      <w:marTop w:val="0"/>
      <w:marBottom w:val="0"/>
      <w:divBdr>
        <w:top w:val="none" w:sz="0" w:space="0" w:color="auto"/>
        <w:left w:val="none" w:sz="0" w:space="0" w:color="auto"/>
        <w:bottom w:val="none" w:sz="0" w:space="0" w:color="auto"/>
        <w:right w:val="none" w:sz="0" w:space="0" w:color="auto"/>
      </w:divBdr>
      <w:divsChild>
        <w:div w:id="1862082389">
          <w:marLeft w:val="-720"/>
          <w:marRight w:val="0"/>
          <w:marTop w:val="0"/>
          <w:marBottom w:val="0"/>
          <w:divBdr>
            <w:top w:val="none" w:sz="0" w:space="0" w:color="auto"/>
            <w:left w:val="none" w:sz="0" w:space="0" w:color="auto"/>
            <w:bottom w:val="none" w:sz="0" w:space="0" w:color="auto"/>
            <w:right w:val="none" w:sz="0" w:space="0" w:color="auto"/>
          </w:divBdr>
        </w:div>
      </w:divsChild>
    </w:div>
    <w:div w:id="474445966">
      <w:bodyDiv w:val="1"/>
      <w:marLeft w:val="0"/>
      <w:marRight w:val="0"/>
      <w:marTop w:val="0"/>
      <w:marBottom w:val="0"/>
      <w:divBdr>
        <w:top w:val="none" w:sz="0" w:space="0" w:color="auto"/>
        <w:left w:val="none" w:sz="0" w:space="0" w:color="auto"/>
        <w:bottom w:val="none" w:sz="0" w:space="0" w:color="auto"/>
        <w:right w:val="none" w:sz="0" w:space="0" w:color="auto"/>
      </w:divBdr>
      <w:divsChild>
        <w:div w:id="1532835941">
          <w:marLeft w:val="0"/>
          <w:marRight w:val="0"/>
          <w:marTop w:val="0"/>
          <w:marBottom w:val="0"/>
          <w:divBdr>
            <w:top w:val="none" w:sz="0" w:space="0" w:color="auto"/>
            <w:left w:val="none" w:sz="0" w:space="0" w:color="auto"/>
            <w:bottom w:val="none" w:sz="0" w:space="0" w:color="auto"/>
            <w:right w:val="none" w:sz="0" w:space="0" w:color="auto"/>
          </w:divBdr>
          <w:divsChild>
            <w:div w:id="38267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233962">
      <w:bodyDiv w:val="1"/>
      <w:marLeft w:val="0"/>
      <w:marRight w:val="0"/>
      <w:marTop w:val="0"/>
      <w:marBottom w:val="0"/>
      <w:divBdr>
        <w:top w:val="none" w:sz="0" w:space="0" w:color="auto"/>
        <w:left w:val="none" w:sz="0" w:space="0" w:color="auto"/>
        <w:bottom w:val="none" w:sz="0" w:space="0" w:color="auto"/>
        <w:right w:val="none" w:sz="0" w:space="0" w:color="auto"/>
      </w:divBdr>
      <w:divsChild>
        <w:div w:id="628318499">
          <w:marLeft w:val="-720"/>
          <w:marRight w:val="0"/>
          <w:marTop w:val="0"/>
          <w:marBottom w:val="0"/>
          <w:divBdr>
            <w:top w:val="none" w:sz="0" w:space="0" w:color="auto"/>
            <w:left w:val="none" w:sz="0" w:space="0" w:color="auto"/>
            <w:bottom w:val="none" w:sz="0" w:space="0" w:color="auto"/>
            <w:right w:val="none" w:sz="0" w:space="0" w:color="auto"/>
          </w:divBdr>
        </w:div>
      </w:divsChild>
    </w:div>
    <w:div w:id="594746457">
      <w:bodyDiv w:val="1"/>
      <w:marLeft w:val="0"/>
      <w:marRight w:val="0"/>
      <w:marTop w:val="0"/>
      <w:marBottom w:val="0"/>
      <w:divBdr>
        <w:top w:val="none" w:sz="0" w:space="0" w:color="auto"/>
        <w:left w:val="none" w:sz="0" w:space="0" w:color="auto"/>
        <w:bottom w:val="none" w:sz="0" w:space="0" w:color="auto"/>
        <w:right w:val="none" w:sz="0" w:space="0" w:color="auto"/>
      </w:divBdr>
      <w:divsChild>
        <w:div w:id="168256617">
          <w:marLeft w:val="-720"/>
          <w:marRight w:val="0"/>
          <w:marTop w:val="0"/>
          <w:marBottom w:val="0"/>
          <w:divBdr>
            <w:top w:val="none" w:sz="0" w:space="0" w:color="auto"/>
            <w:left w:val="none" w:sz="0" w:space="0" w:color="auto"/>
            <w:bottom w:val="none" w:sz="0" w:space="0" w:color="auto"/>
            <w:right w:val="none" w:sz="0" w:space="0" w:color="auto"/>
          </w:divBdr>
        </w:div>
      </w:divsChild>
    </w:div>
    <w:div w:id="665134271">
      <w:bodyDiv w:val="1"/>
      <w:marLeft w:val="0"/>
      <w:marRight w:val="0"/>
      <w:marTop w:val="0"/>
      <w:marBottom w:val="0"/>
      <w:divBdr>
        <w:top w:val="none" w:sz="0" w:space="0" w:color="auto"/>
        <w:left w:val="none" w:sz="0" w:space="0" w:color="auto"/>
        <w:bottom w:val="none" w:sz="0" w:space="0" w:color="auto"/>
        <w:right w:val="none" w:sz="0" w:space="0" w:color="auto"/>
      </w:divBdr>
      <w:divsChild>
        <w:div w:id="1908495096">
          <w:marLeft w:val="-720"/>
          <w:marRight w:val="0"/>
          <w:marTop w:val="0"/>
          <w:marBottom w:val="0"/>
          <w:divBdr>
            <w:top w:val="none" w:sz="0" w:space="0" w:color="auto"/>
            <w:left w:val="none" w:sz="0" w:space="0" w:color="auto"/>
            <w:bottom w:val="none" w:sz="0" w:space="0" w:color="auto"/>
            <w:right w:val="none" w:sz="0" w:space="0" w:color="auto"/>
          </w:divBdr>
        </w:div>
      </w:divsChild>
    </w:div>
    <w:div w:id="1499464618">
      <w:bodyDiv w:val="1"/>
      <w:marLeft w:val="0"/>
      <w:marRight w:val="0"/>
      <w:marTop w:val="0"/>
      <w:marBottom w:val="0"/>
      <w:divBdr>
        <w:top w:val="none" w:sz="0" w:space="0" w:color="auto"/>
        <w:left w:val="none" w:sz="0" w:space="0" w:color="auto"/>
        <w:bottom w:val="none" w:sz="0" w:space="0" w:color="auto"/>
        <w:right w:val="none" w:sz="0" w:space="0" w:color="auto"/>
      </w:divBdr>
      <w:divsChild>
        <w:div w:id="2002930112">
          <w:marLeft w:val="-720"/>
          <w:marRight w:val="0"/>
          <w:marTop w:val="0"/>
          <w:marBottom w:val="0"/>
          <w:divBdr>
            <w:top w:val="none" w:sz="0" w:space="0" w:color="auto"/>
            <w:left w:val="none" w:sz="0" w:space="0" w:color="auto"/>
            <w:bottom w:val="none" w:sz="0" w:space="0" w:color="auto"/>
            <w:right w:val="none" w:sz="0" w:space="0" w:color="auto"/>
          </w:divBdr>
        </w:div>
      </w:divsChild>
    </w:div>
    <w:div w:id="1617758413">
      <w:bodyDiv w:val="1"/>
      <w:marLeft w:val="0"/>
      <w:marRight w:val="0"/>
      <w:marTop w:val="0"/>
      <w:marBottom w:val="0"/>
      <w:divBdr>
        <w:top w:val="none" w:sz="0" w:space="0" w:color="auto"/>
        <w:left w:val="none" w:sz="0" w:space="0" w:color="auto"/>
        <w:bottom w:val="none" w:sz="0" w:space="0" w:color="auto"/>
        <w:right w:val="none" w:sz="0" w:space="0" w:color="auto"/>
      </w:divBdr>
      <w:divsChild>
        <w:div w:id="496966567">
          <w:marLeft w:val="-720"/>
          <w:marRight w:val="0"/>
          <w:marTop w:val="0"/>
          <w:marBottom w:val="0"/>
          <w:divBdr>
            <w:top w:val="none" w:sz="0" w:space="0" w:color="auto"/>
            <w:left w:val="none" w:sz="0" w:space="0" w:color="auto"/>
            <w:bottom w:val="none" w:sz="0" w:space="0" w:color="auto"/>
            <w:right w:val="none" w:sz="0" w:space="0" w:color="auto"/>
          </w:divBdr>
        </w:div>
      </w:divsChild>
    </w:div>
    <w:div w:id="1881741566">
      <w:bodyDiv w:val="1"/>
      <w:marLeft w:val="0"/>
      <w:marRight w:val="0"/>
      <w:marTop w:val="0"/>
      <w:marBottom w:val="0"/>
      <w:divBdr>
        <w:top w:val="none" w:sz="0" w:space="0" w:color="auto"/>
        <w:left w:val="none" w:sz="0" w:space="0" w:color="auto"/>
        <w:bottom w:val="none" w:sz="0" w:space="0" w:color="auto"/>
        <w:right w:val="none" w:sz="0" w:space="0" w:color="auto"/>
      </w:divBdr>
      <w:divsChild>
        <w:div w:id="891622508">
          <w:marLeft w:val="0"/>
          <w:marRight w:val="0"/>
          <w:marTop w:val="0"/>
          <w:marBottom w:val="0"/>
          <w:divBdr>
            <w:top w:val="none" w:sz="0" w:space="0" w:color="auto"/>
            <w:left w:val="none" w:sz="0" w:space="0" w:color="auto"/>
            <w:bottom w:val="none" w:sz="0" w:space="0" w:color="auto"/>
            <w:right w:val="none" w:sz="0" w:space="0" w:color="auto"/>
          </w:divBdr>
          <w:divsChild>
            <w:div w:id="75471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6219346">
      <w:bodyDiv w:val="1"/>
      <w:marLeft w:val="0"/>
      <w:marRight w:val="0"/>
      <w:marTop w:val="0"/>
      <w:marBottom w:val="0"/>
      <w:divBdr>
        <w:top w:val="none" w:sz="0" w:space="0" w:color="auto"/>
        <w:left w:val="none" w:sz="0" w:space="0" w:color="auto"/>
        <w:bottom w:val="none" w:sz="0" w:space="0" w:color="auto"/>
        <w:right w:val="none" w:sz="0" w:space="0" w:color="auto"/>
      </w:divBdr>
      <w:divsChild>
        <w:div w:id="2236745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439463.2016.1120415" TargetMode="External"/><Relationship Id="rId13" Type="http://schemas.openxmlformats.org/officeDocument/2006/relationships/hyperlink" Target="https://doi.org/10.1017/S0003055420000684" TargetMode="External"/><Relationship Id="rId18" Type="http://schemas.openxmlformats.org/officeDocument/2006/relationships/hyperlink" Target="https://doi.org/10.1300/J012v16n04_05"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80/07418820200095401" TargetMode="External"/><Relationship Id="rId7" Type="http://schemas.openxmlformats.org/officeDocument/2006/relationships/endnotes" Target="endnotes.xml"/><Relationship Id="rId12" Type="http://schemas.openxmlformats.org/officeDocument/2006/relationships/hyperlink" Target="https://doi.org/10.1093/oxfordjournals.bjc.a014227" TargetMode="External"/><Relationship Id="rId17" Type="http://schemas.openxmlformats.org/officeDocument/2006/relationships/hyperlink" Target="https://doi.org/10.1177/14613557241269477"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08/13639510810878712" TargetMode="External"/><Relationship Id="rId20" Type="http://schemas.openxmlformats.org/officeDocument/2006/relationships/hyperlink" Target="https://doi.org/10.1350/ijps.2013.15.1.3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00/J012v16n03_01"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16/j.jcrimjus.2008.07.001" TargetMode="External"/><Relationship Id="rId23" Type="http://schemas.openxmlformats.org/officeDocument/2006/relationships/header" Target="header1.xml"/><Relationship Id="rId10" Type="http://schemas.openxmlformats.org/officeDocument/2006/relationships/hyperlink" Target="https://doi.org/10.1037/0033-295X.109.3.573" TargetMode="External"/><Relationship Id="rId19" Type="http://schemas.openxmlformats.org/officeDocument/2006/relationships/hyperlink" Target="https://doi.org/10.1111/ajps.12618" TargetMode="External"/><Relationship Id="rId4" Type="http://schemas.openxmlformats.org/officeDocument/2006/relationships/settings" Target="settings.xml"/><Relationship Id="rId9" Type="http://schemas.openxmlformats.org/officeDocument/2006/relationships/hyperlink" Target="https://doi.org/10.1016/j.jcrimjus.2022.101976" TargetMode="External"/><Relationship Id="rId14" Type="http://schemas.openxmlformats.org/officeDocument/2006/relationships/hyperlink" Target="https://doi.org/10.1080/14786010902796481" TargetMode="External"/><Relationship Id="rId22" Type="http://schemas.openxmlformats.org/officeDocument/2006/relationships/hyperlink" Target="https://doi.org/10.1016/j.jcrimjus.2007.12.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606B99-0813-4EFF-B8AE-E51D46818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1721</TotalTime>
  <Pages>18</Pages>
  <Words>4098</Words>
  <Characters>23360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Poulton-Friend, Harriet</dc:creator>
  <cp:keywords/>
  <dc:description/>
  <cp:lastModifiedBy>Poulton-Friend, Harriet</cp:lastModifiedBy>
  <cp:revision>12</cp:revision>
  <dcterms:created xsi:type="dcterms:W3CDTF">2025-07-14T15:11:00Z</dcterms:created>
  <dcterms:modified xsi:type="dcterms:W3CDTF">2025-07-23T20:06:00Z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2025-07-14T20:52:32Z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c38cb7e1-361e-47f3-98d8-6848b64c5f6c</vt:lpwstr>
  </property>
  <property fmtid="{D5CDD505-2E9C-101B-9397-08002B2CF9AE}" pid="8" name="MSIP_Label_f2acd28b-79a3-4a0f-b0ff-4b75658b1549_ContentBits">
    <vt:lpwstr>0</vt:lpwstr>
  </property>
</Properties>
</file>