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Assignment Title:  The law in relation to non-fatal offences against the person is no longer fit for purpose and is in need of </w:t>
      </w:r>
      <w:r w:rsidR="008C2351">
        <w:rPr>
          <w:sz w:val="24"/>
          <w:szCs w:val="24"/>
        </w:rPr>
        <w:t>reform. Discuss</w:t>
      </w:r>
      <w:r>
        <w:rPr>
          <w:sz w:val="24"/>
          <w:szCs w:val="24"/>
        </w:rPr>
        <w:br/>
      </w:r>
      <w:r>
        <w:rPr>
          <w:sz w:val="24"/>
          <w:szCs w:val="24"/>
        </w:rPr>
        <w:br/>
      </w: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A6434E">
      <w:pPr>
        <w:pStyle w:val="normal0"/>
        <w:jc w:val="center"/>
        <w:rPr>
          <w:sz w:val="24"/>
          <w:szCs w:val="24"/>
        </w:rPr>
      </w:pPr>
      <w:r w:rsidRPr="00A517C6">
        <w:rPr>
          <w:b/>
          <w:sz w:val="24"/>
          <w:szCs w:val="24"/>
        </w:rPr>
        <w:t xml:space="preserve">Student Name: Mohammad Ali </w:t>
      </w:r>
      <w:r w:rsidRPr="00A517C6">
        <w:rPr>
          <w:b/>
          <w:sz w:val="24"/>
          <w:szCs w:val="24"/>
        </w:rPr>
        <w:br/>
      </w:r>
      <w:r>
        <w:rPr>
          <w:sz w:val="24"/>
          <w:szCs w:val="24"/>
        </w:rPr>
        <w:t>Student Id: 2015805</w:t>
      </w:r>
      <w:r>
        <w:rPr>
          <w:sz w:val="24"/>
          <w:szCs w:val="24"/>
        </w:rPr>
        <w:br/>
      </w:r>
      <w:r w:rsidR="008C2351">
        <w:rPr>
          <w:sz w:val="24"/>
          <w:szCs w:val="24"/>
        </w:rPr>
        <w:t>Module: Criminal</w:t>
      </w:r>
      <w:r>
        <w:rPr>
          <w:sz w:val="24"/>
          <w:szCs w:val="24"/>
        </w:rPr>
        <w:t xml:space="preserve"> LAW</w:t>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A6434E">
      <w:pPr>
        <w:pStyle w:val="normal0"/>
        <w:jc w:val="both"/>
        <w:rPr>
          <w:b/>
          <w:sz w:val="24"/>
          <w:szCs w:val="24"/>
        </w:rPr>
      </w:pPr>
      <w:r>
        <w:rPr>
          <w:sz w:val="24"/>
          <w:szCs w:val="24"/>
        </w:rPr>
        <w:lastRenderedPageBreak/>
        <w:t>Introduction</w:t>
      </w:r>
      <w:proofErr w:type="gramStart"/>
      <w:r>
        <w:rPr>
          <w:sz w:val="24"/>
          <w:szCs w:val="24"/>
        </w:rPr>
        <w:t>:</w:t>
      </w:r>
      <w:proofErr w:type="gramEnd"/>
      <w:r>
        <w:rPr>
          <w:sz w:val="24"/>
          <w:szCs w:val="24"/>
        </w:rPr>
        <w:br/>
      </w:r>
      <w:r>
        <w:rPr>
          <w:sz w:val="24"/>
          <w:szCs w:val="24"/>
        </w:rPr>
        <w:br/>
      </w:r>
      <w:r>
        <w:rPr>
          <w:b/>
          <w:sz w:val="24"/>
          <w:szCs w:val="24"/>
        </w:rPr>
        <w:t>Non Fatal Offences/Criminal Law</w:t>
      </w:r>
    </w:p>
    <w:p w:rsidR="00D76619" w:rsidRDefault="00D76619">
      <w:pPr>
        <w:pStyle w:val="normal0"/>
        <w:jc w:val="both"/>
        <w:rPr>
          <w:sz w:val="24"/>
          <w:szCs w:val="24"/>
        </w:rPr>
      </w:pPr>
    </w:p>
    <w:p w:rsidR="00D76619" w:rsidRDefault="00A6434E">
      <w:pPr>
        <w:pStyle w:val="normal0"/>
        <w:jc w:val="both"/>
        <w:rPr>
          <w:b/>
          <w:sz w:val="24"/>
          <w:szCs w:val="24"/>
        </w:rPr>
      </w:pPr>
      <w:r>
        <w:rPr>
          <w:sz w:val="24"/>
          <w:szCs w:val="24"/>
        </w:rPr>
        <w:t xml:space="preserve">Criminal Law is one of the fundamental </w:t>
      </w:r>
      <w:r w:rsidR="008C2351">
        <w:rPr>
          <w:sz w:val="24"/>
          <w:szCs w:val="24"/>
        </w:rPr>
        <w:t>centre</w:t>
      </w:r>
      <w:r>
        <w:rPr>
          <w:sz w:val="24"/>
          <w:szCs w:val="24"/>
        </w:rPr>
        <w:t xml:space="preserve"> branches of knowledge needed for a passing law degree. Crime is a typical piece of regular daily existence. Crime is around us in numerous structures and it is an</w:t>
      </w:r>
      <w:r>
        <w:rPr>
          <w:sz w:val="24"/>
          <w:szCs w:val="24"/>
        </w:rPr>
        <w:t xml:space="preserve"> element of regular news. Consequently, most understudies will be comfortable with what every offense is. Notwithstanding, comprehend that spotlight should be put on legitimate standards got from sections and case law, as normal originations of crime can b</w:t>
      </w:r>
      <w:r>
        <w:rPr>
          <w:sz w:val="24"/>
          <w:szCs w:val="24"/>
        </w:rPr>
        <w:t>e altogether different to its real components.</w:t>
      </w:r>
      <w:r>
        <w:rPr>
          <w:sz w:val="24"/>
          <w:szCs w:val="24"/>
        </w:rPr>
        <w:br/>
      </w:r>
      <w:r>
        <w:rPr>
          <w:sz w:val="24"/>
          <w:szCs w:val="24"/>
        </w:rPr>
        <w:br/>
      </w:r>
      <w:r>
        <w:rPr>
          <w:b/>
          <w:sz w:val="24"/>
          <w:szCs w:val="24"/>
        </w:rPr>
        <w:t>Assault, Battery and ABH</w:t>
      </w:r>
    </w:p>
    <w:p w:rsidR="00D76619" w:rsidRDefault="00A6434E">
      <w:pPr>
        <w:pStyle w:val="normal0"/>
        <w:jc w:val="both"/>
        <w:rPr>
          <w:sz w:val="24"/>
          <w:szCs w:val="24"/>
        </w:rPr>
      </w:pPr>
      <w:r>
        <w:rPr>
          <w:sz w:val="24"/>
          <w:szCs w:val="24"/>
        </w:rPr>
        <w:br/>
        <w:t>An assault happens where somebody purposefully or recklessly makes someone else capture (or fear) prompt unlawful violence. A battery happens where an individual deliberately or care</w:t>
      </w:r>
      <w:r>
        <w:rPr>
          <w:sz w:val="24"/>
          <w:szCs w:val="24"/>
        </w:rPr>
        <w:t xml:space="preserve">lessly applies unlawful power. In lawful terms, crime will frequently include a component of both assault battery and the two are charged all together. Assault Occasioning Actual Bodily Harm (ABH) happens where an individual submits any hurt determined to </w:t>
      </w:r>
      <w:r>
        <w:rPr>
          <w:sz w:val="24"/>
          <w:szCs w:val="24"/>
        </w:rPr>
        <w:t xml:space="preserve">meddle with the heath or comfort of the person in question; such hurt need not be </w:t>
      </w:r>
      <w:r w:rsidR="00A517C6">
        <w:rPr>
          <w:sz w:val="24"/>
          <w:szCs w:val="24"/>
        </w:rPr>
        <w:t>perpetual</w:t>
      </w:r>
      <w:r>
        <w:rPr>
          <w:sz w:val="24"/>
          <w:szCs w:val="24"/>
        </w:rPr>
        <w:t xml:space="preserve"> however should be more than transient and piddling. These offenses are charged under section 39 Criminal Justice Act 1988 (common assault), and section 47 offenses</w:t>
      </w:r>
      <w:r>
        <w:rPr>
          <w:sz w:val="24"/>
          <w:szCs w:val="24"/>
        </w:rPr>
        <w:t xml:space="preserve"> against the Person Act 1861 (ABH).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Section 39 of the Criminal Justice Act 1988 gives that wrongdoers sentenced for assault or battery may look as long as a half year in jail and additionally face a fine. Section 39 doesn't characterize the actual offen</w:t>
      </w:r>
      <w:r>
        <w:rPr>
          <w:sz w:val="24"/>
          <w:szCs w:val="24"/>
        </w:rPr>
        <w:t xml:space="preserve">se. Lord Goff characterized the offense in Collins v </w:t>
      </w:r>
      <w:proofErr w:type="spellStart"/>
      <w:r>
        <w:rPr>
          <w:sz w:val="24"/>
          <w:szCs w:val="24"/>
        </w:rPr>
        <w:t>Wilcock</w:t>
      </w:r>
      <w:proofErr w:type="spellEnd"/>
      <w:r>
        <w:rPr>
          <w:sz w:val="24"/>
          <w:szCs w:val="24"/>
        </w:rPr>
        <w:t xml:space="preserve"> 1984, albeit the offense's set of experiences extends back a lot farther than 1984. He characterized it as causing the apprehension (expectation) for immediate unlawful power. Blackstone said tha</w:t>
      </w:r>
      <w:r>
        <w:rPr>
          <w:sz w:val="24"/>
          <w:szCs w:val="24"/>
        </w:rPr>
        <w:t>t an assault could be seen as a danger</w:t>
      </w:r>
      <w:r>
        <w:rPr>
          <w:sz w:val="24"/>
          <w:szCs w:val="24"/>
        </w:rPr>
        <w:t xml:space="preserve"> or an </w:t>
      </w:r>
      <w:r w:rsidR="008C2351">
        <w:rPr>
          <w:sz w:val="24"/>
          <w:szCs w:val="24"/>
        </w:rPr>
        <w:t>endeavoured</w:t>
      </w:r>
      <w:r>
        <w:rPr>
          <w:sz w:val="24"/>
          <w:szCs w:val="24"/>
        </w:rPr>
        <w:t xml:space="preserve"> battery where the respondent misses.</w:t>
      </w:r>
    </w:p>
    <w:p w:rsidR="00D76619" w:rsidRDefault="00A6434E">
      <w:pPr>
        <w:pStyle w:val="normal0"/>
        <w:jc w:val="both"/>
        <w:rPr>
          <w:sz w:val="24"/>
          <w:szCs w:val="24"/>
        </w:rPr>
      </w:pPr>
      <w:r>
        <w:rPr>
          <w:sz w:val="24"/>
          <w:szCs w:val="24"/>
        </w:rPr>
        <w:t>The offense was reached out in R v Ireland 1998, where the House of Lords recommended that it very well may be conceivable to convict a respondent of assault from</w:t>
      </w:r>
      <w:r>
        <w:rPr>
          <w:sz w:val="24"/>
          <w:szCs w:val="24"/>
        </w:rPr>
        <w:t xml:space="preserve"> quiet calls, likewise perceiving that mental mischief comes surprisingly close to unlawful power in Lord Goff's meaning of assault, if the casualty dreaded the chance of quick close to personal viciousness.</w:t>
      </w:r>
    </w:p>
    <w:p w:rsidR="00D76619" w:rsidRDefault="00D76619">
      <w:pPr>
        <w:pStyle w:val="normal0"/>
        <w:jc w:val="both"/>
        <w:rPr>
          <w:sz w:val="24"/>
          <w:szCs w:val="24"/>
        </w:rPr>
      </w:pPr>
    </w:p>
    <w:p w:rsidR="00D76619" w:rsidRDefault="00A6434E">
      <w:pPr>
        <w:pStyle w:val="normal0"/>
        <w:jc w:val="both"/>
        <w:rPr>
          <w:sz w:val="24"/>
          <w:szCs w:val="24"/>
        </w:rPr>
      </w:pPr>
      <w:r>
        <w:rPr>
          <w:b/>
          <w:sz w:val="24"/>
          <w:szCs w:val="24"/>
        </w:rPr>
        <w:t>Battery</w:t>
      </w:r>
      <w:r>
        <w:rPr>
          <w:sz w:val="24"/>
          <w:szCs w:val="24"/>
        </w:rPr>
        <w:br/>
      </w:r>
      <w:r>
        <w:rPr>
          <w:sz w:val="24"/>
          <w:szCs w:val="24"/>
        </w:rPr>
        <w:br/>
        <w:t xml:space="preserve">Whether or not a </w:t>
      </w:r>
      <w:r w:rsidR="00A517C6">
        <w:rPr>
          <w:sz w:val="24"/>
          <w:szCs w:val="24"/>
        </w:rPr>
        <w:t>defendant is</w:t>
      </w:r>
      <w:r>
        <w:rPr>
          <w:sz w:val="24"/>
          <w:szCs w:val="24"/>
        </w:rPr>
        <w:t xml:space="preserve"> captur</w:t>
      </w:r>
      <w:r>
        <w:rPr>
          <w:sz w:val="24"/>
          <w:szCs w:val="24"/>
        </w:rPr>
        <w:t xml:space="preserve">ed for assault or battery, they will be charged under section 39 of the Criminal Justice Act 1988.Collins v </w:t>
      </w:r>
      <w:proofErr w:type="spellStart"/>
      <w:r>
        <w:rPr>
          <w:sz w:val="24"/>
          <w:szCs w:val="24"/>
        </w:rPr>
        <w:t>Wincock</w:t>
      </w:r>
      <w:proofErr w:type="spellEnd"/>
      <w:r>
        <w:rPr>
          <w:sz w:val="24"/>
          <w:szCs w:val="24"/>
        </w:rPr>
        <w:t xml:space="preserve"> 1984 indeed characterized the offense as where physical force is applied by the respondent to the casualty without their assent. There is no</w:t>
      </w:r>
      <w:r>
        <w:rPr>
          <w:sz w:val="24"/>
          <w:szCs w:val="24"/>
        </w:rPr>
        <w:t xml:space="preserve"> base force necessity for battery, yet on the </w:t>
      </w:r>
      <w:r>
        <w:rPr>
          <w:sz w:val="24"/>
          <w:szCs w:val="24"/>
        </w:rPr>
        <w:lastRenderedPageBreak/>
        <w:t xml:space="preserve">off chance that the power is adequate in regular day to day existence, it is agreed to. Also, the CPS characterizes battery as any injury in their charging </w:t>
      </w:r>
      <w:r w:rsidR="00A517C6">
        <w:rPr>
          <w:sz w:val="24"/>
          <w:szCs w:val="24"/>
        </w:rPr>
        <w:t>guidelines’</w:t>
      </w:r>
      <w:r>
        <w:rPr>
          <w:sz w:val="24"/>
          <w:szCs w:val="24"/>
        </w:rPr>
        <w:t xml:space="preserve"> v Ireland 1998 affirmed that some actual </w:t>
      </w:r>
      <w:r>
        <w:rPr>
          <w:sz w:val="24"/>
          <w:szCs w:val="24"/>
        </w:rPr>
        <w:t xml:space="preserve">power is needed to be applied to the person in question, nonetheless.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Battery need not be immediate. In </w:t>
      </w:r>
      <w:proofErr w:type="spellStart"/>
      <w:r>
        <w:rPr>
          <w:sz w:val="24"/>
          <w:szCs w:val="24"/>
        </w:rPr>
        <w:t>Hayested</w:t>
      </w:r>
      <w:proofErr w:type="spellEnd"/>
      <w:r>
        <w:rPr>
          <w:sz w:val="24"/>
          <w:szCs w:val="24"/>
        </w:rPr>
        <w:t xml:space="preserve"> DPP 2000, a punch which made a mother drop her child comprised a battery to the infant, and in DPP v K 2000, putting hydrochloric acid in a h</w:t>
      </w:r>
      <w:r>
        <w:rPr>
          <w:sz w:val="24"/>
          <w:szCs w:val="24"/>
        </w:rPr>
        <w:t xml:space="preserve">and dryer, consuming its next client, was additionally classed as a battery. At last, in Santa-Bermudez v DPP [2004], The R v Miller 1983 principle was utilized to clarify a battery brought about by omission.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The </w:t>
      </w:r>
      <w:proofErr w:type="spellStart"/>
      <w:r w:rsidR="00665AE1">
        <w:rPr>
          <w:sz w:val="24"/>
          <w:szCs w:val="24"/>
        </w:rPr>
        <w:t>mens</w:t>
      </w:r>
      <w:proofErr w:type="spellEnd"/>
      <w:r w:rsidR="00665AE1">
        <w:rPr>
          <w:sz w:val="24"/>
          <w:szCs w:val="24"/>
        </w:rPr>
        <w:t xml:space="preserve"> </w:t>
      </w:r>
      <w:proofErr w:type="spellStart"/>
      <w:r w:rsidR="00665AE1">
        <w:rPr>
          <w:sz w:val="24"/>
          <w:szCs w:val="24"/>
        </w:rPr>
        <w:t>r</w:t>
      </w:r>
      <w:r>
        <w:rPr>
          <w:sz w:val="24"/>
          <w:szCs w:val="24"/>
        </w:rPr>
        <w:t>ea</w:t>
      </w:r>
      <w:proofErr w:type="spellEnd"/>
      <w:r>
        <w:rPr>
          <w:sz w:val="24"/>
          <w:szCs w:val="24"/>
        </w:rPr>
        <w:t xml:space="preserve"> for battery is either abstract wildness as to injury, or purpose to harm. This was said in R v </w:t>
      </w:r>
      <w:r w:rsidR="00D2479E">
        <w:rPr>
          <w:sz w:val="24"/>
          <w:szCs w:val="24"/>
        </w:rPr>
        <w:t>Venn</w:t>
      </w:r>
      <w:r>
        <w:rPr>
          <w:sz w:val="24"/>
          <w:szCs w:val="24"/>
        </w:rPr>
        <w:t xml:space="preserve"> 1975. Carelessness requires an enthusiasm for the danger of injury, as indicated by its present expert in R v G 2004.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On the off chance that</w:t>
      </w:r>
      <w:r>
        <w:rPr>
          <w:sz w:val="24"/>
          <w:szCs w:val="24"/>
        </w:rPr>
        <w:t xml:space="preserve"> the casualty has not really been contacted, however just compromised with physical </w:t>
      </w:r>
      <w:r w:rsidR="00D2479E">
        <w:rPr>
          <w:sz w:val="24"/>
          <w:szCs w:val="24"/>
        </w:rPr>
        <w:t>harm,</w:t>
      </w:r>
      <w:r>
        <w:rPr>
          <w:sz w:val="24"/>
          <w:szCs w:val="24"/>
        </w:rPr>
        <w:t xml:space="preserve"> at that point the crime is assault. In the event that the casualty has been contacted in a painful, harmful, violent, or offensive way by the individual carrying out</w:t>
      </w:r>
      <w:r>
        <w:rPr>
          <w:sz w:val="24"/>
          <w:szCs w:val="24"/>
        </w:rPr>
        <w:t xml:space="preserve"> the crime, this may be battery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Battery is a type of assault. Of the various sorts, it is by and large thought to be the most un-genuine and offenses get generally low-level sentences. The more genuine types of assault are common assault, ABH and GBH.</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B</w:t>
      </w:r>
      <w:r>
        <w:rPr>
          <w:sz w:val="24"/>
          <w:szCs w:val="24"/>
        </w:rPr>
        <w:t>attery is a particular precedent-based law wrongdoing, albeit the term is utilized all the more by and large to allude to any unlawful hostile actual contact with someone else, and might be a misdeed or a crime, contingent upon the conditions.</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br/>
      </w:r>
      <w:r>
        <w:rPr>
          <w:sz w:val="24"/>
          <w:szCs w:val="24"/>
        </w:rPr>
        <w:br/>
      </w:r>
      <w:r>
        <w:rPr>
          <w:sz w:val="24"/>
          <w:szCs w:val="24"/>
        </w:rPr>
        <w:br/>
      </w:r>
      <w:r>
        <w:rPr>
          <w:b/>
          <w:sz w:val="24"/>
          <w:szCs w:val="24"/>
        </w:rPr>
        <w:t>Grievous</w:t>
      </w:r>
      <w:r>
        <w:rPr>
          <w:b/>
          <w:sz w:val="24"/>
          <w:szCs w:val="24"/>
        </w:rPr>
        <w:t xml:space="preserve"> Bodily Harm</w:t>
      </w:r>
      <w:r>
        <w:rPr>
          <w:sz w:val="24"/>
          <w:szCs w:val="24"/>
        </w:rPr>
        <w:br/>
      </w:r>
      <w:r>
        <w:rPr>
          <w:sz w:val="24"/>
          <w:szCs w:val="24"/>
        </w:rPr>
        <w:br/>
        <w:t>Incurring grievous bodily harm  (GBH), as indicated by section 20 OAPA 1861, conveys a greatest long term jail sentence and includes the unlawful and vindictive injuring or punishment of GBH on someone else, with or without a weapon. An injur</w:t>
      </w:r>
      <w:r>
        <w:rPr>
          <w:sz w:val="24"/>
          <w:szCs w:val="24"/>
        </w:rPr>
        <w:t>y suggested that blood is spilled and GBH is characterized as a truly genuine injury in DPP v Smith [1961]. Truly genuine injury can again incorporate genuine mental injury as per R v Ireland [1998]. Ireland additionally turned around past expert in holdin</w:t>
      </w:r>
      <w:r>
        <w:rPr>
          <w:sz w:val="24"/>
          <w:szCs w:val="24"/>
        </w:rPr>
        <w:t xml:space="preserve">g that the words 'exact' and 'cause' might be utilized conversely. Truly genuine mischief, as indicated by the CPS, will incorporate lasting handicaps, broken bones, deformation, </w:t>
      </w:r>
      <w:r w:rsidR="00D2479E">
        <w:rPr>
          <w:sz w:val="24"/>
          <w:szCs w:val="24"/>
        </w:rPr>
        <w:t>and generous</w:t>
      </w:r>
      <w:r>
        <w:rPr>
          <w:sz w:val="24"/>
          <w:szCs w:val="24"/>
        </w:rPr>
        <w:t xml:space="preserve"> misfortunes of blood or genuine mental injury. R v </w:t>
      </w:r>
      <w:r w:rsidR="00D2479E">
        <w:rPr>
          <w:sz w:val="24"/>
          <w:szCs w:val="24"/>
        </w:rPr>
        <w:t>Dice</w:t>
      </w:r>
      <w:r>
        <w:rPr>
          <w:sz w:val="24"/>
          <w:szCs w:val="24"/>
        </w:rPr>
        <w:t xml:space="preserve"> [2004] addit</w:t>
      </w:r>
      <w:r>
        <w:rPr>
          <w:sz w:val="24"/>
          <w:szCs w:val="24"/>
        </w:rPr>
        <w:t xml:space="preserve">ionally incorporates the wild transmission of explicitly sent infections inside the significance of curse.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R v Savage [1992] is the main expert on the </w:t>
      </w:r>
      <w:r w:rsidR="00D2479E">
        <w:rPr>
          <w:sz w:val="24"/>
          <w:szCs w:val="24"/>
        </w:rPr>
        <w:t>men’s</w:t>
      </w:r>
      <w:r>
        <w:rPr>
          <w:sz w:val="24"/>
          <w:szCs w:val="24"/>
        </w:rPr>
        <w:t xml:space="preserve"> </w:t>
      </w:r>
      <w:proofErr w:type="spellStart"/>
      <w:r>
        <w:rPr>
          <w:sz w:val="24"/>
          <w:szCs w:val="24"/>
        </w:rPr>
        <w:t>rea</w:t>
      </w:r>
      <w:proofErr w:type="spellEnd"/>
      <w:r>
        <w:rPr>
          <w:sz w:val="24"/>
          <w:szCs w:val="24"/>
        </w:rPr>
        <w:t xml:space="preserve"> of perpetrating GBH; it requires only an expectation to cause some mischief, which need not be</w:t>
      </w:r>
      <w:r>
        <w:rPr>
          <w:sz w:val="24"/>
          <w:szCs w:val="24"/>
        </w:rPr>
        <w:t xml:space="preserve"> not kidding, affirming R v </w:t>
      </w:r>
      <w:proofErr w:type="spellStart"/>
      <w:r>
        <w:rPr>
          <w:sz w:val="24"/>
          <w:szCs w:val="24"/>
        </w:rPr>
        <w:t>Mowatt</w:t>
      </w:r>
      <w:proofErr w:type="spellEnd"/>
      <w:r>
        <w:rPr>
          <w:sz w:val="24"/>
          <w:szCs w:val="24"/>
        </w:rPr>
        <w:t xml:space="preserve"> [1968]. Emotional (R v Cunningham [1957]) foolishness regarding some damage is likewise enough.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Shocking real damage (frequently shortened to GBH) is a term utilized in English criminal law to portray the severest types</w:t>
      </w:r>
      <w:r>
        <w:rPr>
          <w:sz w:val="24"/>
          <w:szCs w:val="24"/>
        </w:rPr>
        <w:t xml:space="preserve"> of battery. It alludes to two offenses that are individually made by segments 18 and 20 of the Offenses against the Person Act 1861.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Grievous bodily </w:t>
      </w:r>
      <w:r w:rsidR="00D2479E">
        <w:rPr>
          <w:sz w:val="24"/>
          <w:szCs w:val="24"/>
        </w:rPr>
        <w:t>harm (</w:t>
      </w:r>
      <w:r>
        <w:rPr>
          <w:sz w:val="24"/>
          <w:szCs w:val="24"/>
        </w:rPr>
        <w:t xml:space="preserve">GBH) is a criminal offense under Sections 18 and 20 of the Offenses against the Person Act 1861. </w:t>
      </w:r>
      <w:r>
        <w:rPr>
          <w:sz w:val="24"/>
          <w:szCs w:val="24"/>
        </w:rPr>
        <w:t xml:space="preserve">It is a more genuine crime than ABH, as perpetrating GBH implies causing truly genuine wounds which seriously influence the strength of the person in question, like broken bones or perpetual deformation.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Inflicting grievous bodily harm with expectation c</w:t>
      </w:r>
      <w:r>
        <w:rPr>
          <w:sz w:val="24"/>
          <w:szCs w:val="24"/>
        </w:rPr>
        <w:t xml:space="preserve">onveys a greatest punishment of 25 years detainment in the District Court. </w:t>
      </w:r>
      <w:r w:rsidR="002C441C">
        <w:rPr>
          <w:sz w:val="24"/>
          <w:szCs w:val="24"/>
        </w:rPr>
        <w:t>Inflicting</w:t>
      </w:r>
      <w:r>
        <w:rPr>
          <w:sz w:val="24"/>
          <w:szCs w:val="24"/>
        </w:rPr>
        <w:t xml:space="preserve"> grievous bodily harm with purpose is an amazingly genuine criminal offense. In the event that you are accused of this offense you should contact our office right away.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ABH conveys a most extreme sentence of five years or potentially a fine (contingent upon the earnestness of the offense). For a first offense, a fine and additionally local area request might be forced. In the event that the guilty party has past feelings</w:t>
      </w:r>
      <w:r>
        <w:rPr>
          <w:sz w:val="24"/>
          <w:szCs w:val="24"/>
        </w:rPr>
        <w:t xml:space="preserve"> or if there are irritating variables, a jail sentence is almost certain.</w:t>
      </w:r>
    </w:p>
    <w:p w:rsidR="00D76619" w:rsidRDefault="00A6434E">
      <w:pPr>
        <w:pStyle w:val="normal0"/>
        <w:jc w:val="both"/>
        <w:rPr>
          <w:sz w:val="24"/>
          <w:szCs w:val="24"/>
        </w:rPr>
      </w:pPr>
      <w:r>
        <w:rPr>
          <w:sz w:val="24"/>
          <w:szCs w:val="24"/>
        </w:rPr>
        <w:br/>
      </w:r>
      <w:r>
        <w:rPr>
          <w:b/>
          <w:sz w:val="24"/>
          <w:szCs w:val="24"/>
        </w:rPr>
        <w:br/>
      </w:r>
      <w:r>
        <w:rPr>
          <w:b/>
          <w:sz w:val="24"/>
          <w:szCs w:val="24"/>
        </w:rPr>
        <w:br/>
        <w:t>Non Fatal Cases</w:t>
      </w:r>
      <w:proofErr w:type="gramStart"/>
      <w:r>
        <w:rPr>
          <w:b/>
          <w:sz w:val="24"/>
          <w:szCs w:val="24"/>
        </w:rPr>
        <w:t>:</w:t>
      </w:r>
      <w:proofErr w:type="gramEnd"/>
      <w:r>
        <w:rPr>
          <w:sz w:val="24"/>
          <w:szCs w:val="24"/>
        </w:rPr>
        <w:br/>
      </w:r>
      <w:r>
        <w:rPr>
          <w:sz w:val="24"/>
          <w:szCs w:val="24"/>
        </w:rPr>
        <w:br/>
      </w:r>
      <w:proofErr w:type="spellStart"/>
      <w:r>
        <w:rPr>
          <w:sz w:val="24"/>
          <w:szCs w:val="24"/>
        </w:rPr>
        <w:t>Logdon</w:t>
      </w:r>
      <w:proofErr w:type="spellEnd"/>
      <w:r>
        <w:rPr>
          <w:sz w:val="24"/>
          <w:szCs w:val="24"/>
        </w:rPr>
        <w:t xml:space="preserve"> v DPP [1976] </w:t>
      </w:r>
      <w:r w:rsidR="002C441C">
        <w:rPr>
          <w:sz w:val="24"/>
          <w:szCs w:val="24"/>
        </w:rPr>
        <w:t>Crime</w:t>
      </w:r>
      <w:r>
        <w:rPr>
          <w:sz w:val="24"/>
          <w:szCs w:val="24"/>
        </w:rPr>
        <w:t xml:space="preserve"> LR 121.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The respondent, as a joke, pointed a weapon at the casualty who was panicked until she was informed that it was indeed a copy.</w:t>
      </w:r>
      <w:r>
        <w:rPr>
          <w:sz w:val="24"/>
          <w:szCs w:val="24"/>
        </w:rPr>
        <w:t xml:space="preserve"> The court held that the casualty </w:t>
      </w:r>
      <w:r w:rsidR="002C441C">
        <w:rPr>
          <w:sz w:val="24"/>
          <w:szCs w:val="24"/>
        </w:rPr>
        <w:t>had captured</w:t>
      </w:r>
      <w:r>
        <w:rPr>
          <w:sz w:val="24"/>
          <w:szCs w:val="24"/>
        </w:rPr>
        <w:t xml:space="preserve"> prompt actual viciousness, and the respondent had been in any </w:t>
      </w:r>
      <w:r w:rsidR="002C441C">
        <w:rPr>
          <w:sz w:val="24"/>
          <w:szCs w:val="24"/>
        </w:rPr>
        <w:t>event foolish</w:t>
      </w:r>
      <w:r>
        <w:rPr>
          <w:sz w:val="24"/>
          <w:szCs w:val="24"/>
        </w:rPr>
        <w:t xml:space="preserve"> concerning whether this would happen. </w:t>
      </w:r>
    </w:p>
    <w:p w:rsidR="00D76619" w:rsidRDefault="00D76619">
      <w:pPr>
        <w:pStyle w:val="normal0"/>
        <w:jc w:val="both"/>
        <w:rPr>
          <w:sz w:val="24"/>
          <w:szCs w:val="24"/>
        </w:rPr>
      </w:pP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Smith v Superintendent of Woking police headquarters [1983] </w:t>
      </w:r>
      <w:r w:rsidR="002C441C">
        <w:rPr>
          <w:sz w:val="24"/>
          <w:szCs w:val="24"/>
        </w:rPr>
        <w:t>Crime</w:t>
      </w:r>
      <w:r>
        <w:rPr>
          <w:sz w:val="24"/>
          <w:szCs w:val="24"/>
        </w:rPr>
        <w:t xml:space="preserve"> LR 323.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The litigant ha</w:t>
      </w:r>
      <w:r>
        <w:rPr>
          <w:sz w:val="24"/>
          <w:szCs w:val="24"/>
        </w:rPr>
        <w:t xml:space="preserve">d unnerved a lady involving a ground floor level by </w:t>
      </w:r>
      <w:r w:rsidR="002C441C">
        <w:rPr>
          <w:sz w:val="24"/>
          <w:szCs w:val="24"/>
        </w:rPr>
        <w:t>gazing in</w:t>
      </w:r>
      <w:r>
        <w:rPr>
          <w:sz w:val="24"/>
          <w:szCs w:val="24"/>
        </w:rPr>
        <w:t xml:space="preserve"> through the windows at her. The Divisional Court was </w:t>
      </w:r>
      <w:r w:rsidR="002C441C">
        <w:rPr>
          <w:sz w:val="24"/>
          <w:szCs w:val="24"/>
        </w:rPr>
        <w:t>fulfilled</w:t>
      </w:r>
      <w:r>
        <w:rPr>
          <w:sz w:val="24"/>
          <w:szCs w:val="24"/>
        </w:rPr>
        <w:t xml:space="preserve"> that </w:t>
      </w:r>
      <w:r w:rsidR="002C441C">
        <w:rPr>
          <w:sz w:val="24"/>
          <w:szCs w:val="24"/>
        </w:rPr>
        <w:t>even despite</w:t>
      </w:r>
      <w:r>
        <w:rPr>
          <w:sz w:val="24"/>
          <w:szCs w:val="24"/>
        </w:rPr>
        <w:t xml:space="preserve"> the fact that the litigant was outside the structure there was proof to recommend </w:t>
      </w:r>
      <w:r w:rsidR="002C441C">
        <w:rPr>
          <w:sz w:val="24"/>
          <w:szCs w:val="24"/>
        </w:rPr>
        <w:t>that the</w:t>
      </w:r>
      <w:r>
        <w:rPr>
          <w:sz w:val="24"/>
          <w:szCs w:val="24"/>
        </w:rPr>
        <w:t xml:space="preserve"> casualty </w:t>
      </w:r>
      <w:r>
        <w:rPr>
          <w:sz w:val="24"/>
          <w:szCs w:val="24"/>
        </w:rPr>
        <w:lastRenderedPageBreak/>
        <w:t>was unnerve</w:t>
      </w:r>
      <w:r>
        <w:rPr>
          <w:sz w:val="24"/>
          <w:szCs w:val="24"/>
        </w:rPr>
        <w:t xml:space="preserve">d by the possibility of some quick brutality. It was most certainly </w:t>
      </w:r>
      <w:r w:rsidR="002C441C">
        <w:rPr>
          <w:sz w:val="24"/>
          <w:szCs w:val="24"/>
        </w:rPr>
        <w:t>not vital</w:t>
      </w:r>
      <w:r>
        <w:rPr>
          <w:sz w:val="24"/>
          <w:szCs w:val="24"/>
        </w:rPr>
        <w:t xml:space="preserve"> for the arraignment to set up unequivocally what the casualty dreaded </w:t>
      </w:r>
    </w:p>
    <w:p w:rsidR="00D76619" w:rsidRDefault="00A6434E">
      <w:pPr>
        <w:pStyle w:val="normal0"/>
        <w:jc w:val="both"/>
        <w:rPr>
          <w:sz w:val="24"/>
          <w:szCs w:val="24"/>
        </w:rPr>
      </w:pPr>
      <w:r>
        <w:rPr>
          <w:sz w:val="24"/>
          <w:szCs w:val="24"/>
        </w:rPr>
        <w:t xml:space="preserve"> Would</w:t>
      </w:r>
      <w:r>
        <w:rPr>
          <w:sz w:val="24"/>
          <w:szCs w:val="24"/>
        </w:rPr>
        <w:t xml:space="preserve"> occur; an overall fear of brutality was adequate. </w:t>
      </w:r>
    </w:p>
    <w:p w:rsidR="00D76619" w:rsidRDefault="00D76619">
      <w:pPr>
        <w:pStyle w:val="normal0"/>
        <w:jc w:val="both"/>
        <w:rPr>
          <w:sz w:val="24"/>
          <w:szCs w:val="24"/>
        </w:rPr>
      </w:pPr>
    </w:p>
    <w:p w:rsidR="00D76619" w:rsidRDefault="00D76619">
      <w:pPr>
        <w:pStyle w:val="normal0"/>
        <w:jc w:val="both"/>
        <w:rPr>
          <w:sz w:val="24"/>
          <w:szCs w:val="24"/>
        </w:rPr>
      </w:pPr>
    </w:p>
    <w:p w:rsidR="00D76619" w:rsidRDefault="00A6434E">
      <w:pPr>
        <w:pStyle w:val="normal0"/>
        <w:jc w:val="both"/>
        <w:rPr>
          <w:sz w:val="24"/>
          <w:szCs w:val="24"/>
        </w:rPr>
      </w:pPr>
      <w:proofErr w:type="gramStart"/>
      <w:r>
        <w:rPr>
          <w:sz w:val="24"/>
          <w:szCs w:val="24"/>
        </w:rPr>
        <w:t>R v Martin (1881) 8 QBD 54.</w:t>
      </w:r>
      <w:proofErr w:type="gramEnd"/>
      <w:r>
        <w:rPr>
          <w:sz w:val="24"/>
          <w:szCs w:val="24"/>
        </w:rPr>
        <w:t xml:space="preserve">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The litigant hindered the leave entryways of a </w:t>
      </w:r>
      <w:r w:rsidR="00E80028">
        <w:rPr>
          <w:sz w:val="24"/>
          <w:szCs w:val="24"/>
        </w:rPr>
        <w:t>theatre</w:t>
      </w:r>
      <w:r>
        <w:rPr>
          <w:sz w:val="24"/>
          <w:szCs w:val="24"/>
        </w:rPr>
        <w:t xml:space="preserve">, put out the lights in </w:t>
      </w:r>
      <w:r w:rsidR="00E80028">
        <w:rPr>
          <w:sz w:val="24"/>
          <w:szCs w:val="24"/>
        </w:rPr>
        <w:t>a way</w:t>
      </w:r>
      <w:r>
        <w:rPr>
          <w:sz w:val="24"/>
          <w:szCs w:val="24"/>
        </w:rPr>
        <w:t xml:space="preserve">, and yelled 'Fire!' as the </w:t>
      </w:r>
      <w:r w:rsidR="00E80028">
        <w:rPr>
          <w:sz w:val="24"/>
          <w:szCs w:val="24"/>
        </w:rPr>
        <w:t>theatre</w:t>
      </w:r>
      <w:r>
        <w:rPr>
          <w:sz w:val="24"/>
          <w:szCs w:val="24"/>
        </w:rPr>
        <w:t>-participants were leaving the execution</w:t>
      </w:r>
      <w:r>
        <w:rPr>
          <w:sz w:val="24"/>
          <w:szCs w:val="24"/>
        </w:rPr>
        <w:t xml:space="preserve">. In the resulting alarm, many were seriously harmed by being </w:t>
      </w:r>
      <w:r w:rsidR="00E80028">
        <w:rPr>
          <w:sz w:val="24"/>
          <w:szCs w:val="24"/>
        </w:rPr>
        <w:t>squashed against</w:t>
      </w:r>
      <w:r>
        <w:rPr>
          <w:sz w:val="24"/>
          <w:szCs w:val="24"/>
        </w:rPr>
        <w:t xml:space="preserve"> the bolted entry</w:t>
      </w:r>
      <w:r>
        <w:rPr>
          <w:sz w:val="24"/>
          <w:szCs w:val="24"/>
        </w:rPr>
        <w:t xml:space="preserve">ways. The respondent was indicted under s20 and advanced.  His conviction was affirmed and it is understood in the choice that </w:t>
      </w:r>
      <w:r w:rsidR="00E80028">
        <w:rPr>
          <w:sz w:val="24"/>
          <w:szCs w:val="24"/>
        </w:rPr>
        <w:t>the backhanded</w:t>
      </w:r>
      <w:r>
        <w:rPr>
          <w:sz w:val="24"/>
          <w:szCs w:val="24"/>
        </w:rPr>
        <w:t xml:space="preserve"> nature of the manner by which the respondent's demonstrations had caused the </w:t>
      </w:r>
      <w:r w:rsidR="00E80028">
        <w:rPr>
          <w:sz w:val="24"/>
          <w:szCs w:val="24"/>
        </w:rPr>
        <w:t>damage introduced</w:t>
      </w:r>
      <w:r>
        <w:rPr>
          <w:sz w:val="24"/>
          <w:szCs w:val="24"/>
        </w:rPr>
        <w:t xml:space="preserve"> no bar to risk.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R v </w:t>
      </w:r>
      <w:proofErr w:type="spellStart"/>
      <w:r>
        <w:rPr>
          <w:sz w:val="24"/>
          <w:szCs w:val="24"/>
        </w:rPr>
        <w:t>Constanza</w:t>
      </w:r>
      <w:proofErr w:type="spellEnd"/>
      <w:r>
        <w:rPr>
          <w:sz w:val="24"/>
          <w:szCs w:val="24"/>
        </w:rPr>
        <w:t xml:space="preserve"> [1997] </w:t>
      </w:r>
      <w:r w:rsidR="00E80028">
        <w:rPr>
          <w:sz w:val="24"/>
          <w:szCs w:val="24"/>
        </w:rPr>
        <w:t>Crime</w:t>
      </w:r>
      <w:r>
        <w:rPr>
          <w:sz w:val="24"/>
          <w:szCs w:val="24"/>
        </w:rPr>
        <w:t xml:space="preserve"> LR 576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The respondent was indicted for occasioning genuine real mischief. The casualty </w:t>
      </w:r>
      <w:r w:rsidR="00E80028">
        <w:rPr>
          <w:sz w:val="24"/>
          <w:szCs w:val="24"/>
        </w:rPr>
        <w:t>was a</w:t>
      </w:r>
      <w:r>
        <w:rPr>
          <w:sz w:val="24"/>
          <w:szCs w:val="24"/>
        </w:rPr>
        <w:t xml:space="preserve"> female ex-partner. Between October 1993 and June 1995 he followed her </w:t>
      </w:r>
      <w:r w:rsidR="00E80028">
        <w:rPr>
          <w:sz w:val="24"/>
          <w:szCs w:val="24"/>
        </w:rPr>
        <w:t>home from</w:t>
      </w:r>
      <w:r>
        <w:rPr>
          <w:sz w:val="24"/>
          <w:szCs w:val="24"/>
        </w:rPr>
        <w:t xml:space="preserve"> work, settled on various quiet phone decisions, sent</w:t>
      </w:r>
      <w:r>
        <w:rPr>
          <w:sz w:val="24"/>
          <w:szCs w:val="24"/>
        </w:rPr>
        <w:t xml:space="preserve"> more than 800 letters</w:t>
      </w:r>
      <w:r w:rsidR="00E80028">
        <w:rPr>
          <w:sz w:val="24"/>
          <w:szCs w:val="24"/>
        </w:rPr>
        <w:t>, more</w:t>
      </w:r>
      <w:r>
        <w:rPr>
          <w:sz w:val="24"/>
          <w:szCs w:val="24"/>
        </w:rPr>
        <w:t xml:space="preserve"> than once drove past her home, visited her against her communicated wishes, and </w:t>
      </w:r>
      <w:r w:rsidR="00E80028">
        <w:rPr>
          <w:sz w:val="24"/>
          <w:szCs w:val="24"/>
        </w:rPr>
        <w:t>on three</w:t>
      </w:r>
      <w:r>
        <w:rPr>
          <w:sz w:val="24"/>
          <w:szCs w:val="24"/>
        </w:rPr>
        <w:t xml:space="preserve"> events composed hostile words on her front entryway. In June 1995 the person in </w:t>
      </w:r>
      <w:r w:rsidR="00E80028">
        <w:rPr>
          <w:sz w:val="24"/>
          <w:szCs w:val="24"/>
        </w:rPr>
        <w:t>question gotten</w:t>
      </w:r>
      <w:r>
        <w:rPr>
          <w:sz w:val="24"/>
          <w:szCs w:val="24"/>
        </w:rPr>
        <w:t xml:space="preserve"> two further letters which she deciphere</w:t>
      </w:r>
      <w:r>
        <w:rPr>
          <w:sz w:val="24"/>
          <w:szCs w:val="24"/>
        </w:rPr>
        <w:t xml:space="preserve">d as clear dangers. </w:t>
      </w:r>
      <w:r w:rsidR="00E80028">
        <w:rPr>
          <w:sz w:val="24"/>
          <w:szCs w:val="24"/>
        </w:rPr>
        <w:t>She accepted</w:t>
      </w:r>
      <w:r>
        <w:rPr>
          <w:sz w:val="24"/>
          <w:szCs w:val="24"/>
        </w:rPr>
        <w:t xml:space="preserve"> that he had "flipped" and that he may plan something for </w:t>
      </w:r>
      <w:r w:rsidR="00E80028">
        <w:rPr>
          <w:sz w:val="24"/>
          <w:szCs w:val="24"/>
        </w:rPr>
        <w:t>her whenever</w:t>
      </w:r>
      <w:r>
        <w:rPr>
          <w:sz w:val="24"/>
          <w:szCs w:val="24"/>
        </w:rPr>
        <w:t xml:space="preserve">. In July she was analyzed as experiencing clinical gloom </w:t>
      </w:r>
      <w:r w:rsidR="00E80028">
        <w:rPr>
          <w:sz w:val="24"/>
          <w:szCs w:val="24"/>
        </w:rPr>
        <w:t>and tension</w:t>
      </w:r>
      <w:r>
        <w:rPr>
          <w:sz w:val="24"/>
          <w:szCs w:val="24"/>
        </w:rPr>
        <w:t xml:space="preserve">. It was the specialist's view that the litigant's activities had caused </w:t>
      </w:r>
      <w:r w:rsidR="00E80028">
        <w:rPr>
          <w:sz w:val="24"/>
          <w:szCs w:val="24"/>
        </w:rPr>
        <w:t>this hurt</w:t>
      </w:r>
      <w:r>
        <w:rPr>
          <w:sz w:val="24"/>
          <w:szCs w:val="24"/>
        </w:rPr>
        <w:t xml:space="preserve">. </w:t>
      </w: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The Court of Appeal held that the issue under the watchful eye of the Court was whether it </w:t>
      </w:r>
      <w:r w:rsidR="00C26508">
        <w:rPr>
          <w:sz w:val="24"/>
          <w:szCs w:val="24"/>
        </w:rPr>
        <w:t>was enough</w:t>
      </w:r>
      <w:r>
        <w:rPr>
          <w:sz w:val="24"/>
          <w:szCs w:val="24"/>
        </w:rPr>
        <w:t xml:space="preserve"> if the Crown had demonstrated a dread of savagery, eventually not </w:t>
      </w:r>
      <w:r w:rsidR="00E80028">
        <w:rPr>
          <w:sz w:val="24"/>
          <w:szCs w:val="24"/>
        </w:rPr>
        <w:t>barring the</w:t>
      </w:r>
      <w:r>
        <w:rPr>
          <w:sz w:val="24"/>
          <w:szCs w:val="24"/>
        </w:rPr>
        <w:t xml:space="preserve"> short term. In the Court's view it was. It was a significant </w:t>
      </w:r>
      <w:r w:rsidR="00C26508">
        <w:rPr>
          <w:sz w:val="24"/>
          <w:szCs w:val="24"/>
        </w:rPr>
        <w:t>factor that</w:t>
      </w:r>
      <w:r>
        <w:rPr>
          <w:sz w:val="24"/>
          <w:szCs w:val="24"/>
        </w:rPr>
        <w:t xml:space="preserve"> the respondent lived close to the person in question and she believed that something </w:t>
      </w:r>
      <w:r w:rsidR="00C26508">
        <w:rPr>
          <w:sz w:val="24"/>
          <w:szCs w:val="24"/>
        </w:rPr>
        <w:t>could occur</w:t>
      </w:r>
      <w:r>
        <w:rPr>
          <w:sz w:val="24"/>
          <w:szCs w:val="24"/>
        </w:rPr>
        <w:t xml:space="preserve"> whenever. The appointed authority was qualified to leave to the jury the </w:t>
      </w:r>
      <w:r w:rsidR="00C26508">
        <w:rPr>
          <w:sz w:val="24"/>
          <w:szCs w:val="24"/>
        </w:rPr>
        <w:t>inquiry regardless</w:t>
      </w:r>
      <w:r>
        <w:rPr>
          <w:sz w:val="24"/>
          <w:szCs w:val="24"/>
        </w:rPr>
        <w:t xml:space="preserve"> of whether she had a dread of prompt brutality, and the ju</w:t>
      </w:r>
      <w:r>
        <w:rPr>
          <w:sz w:val="24"/>
          <w:szCs w:val="24"/>
        </w:rPr>
        <w:t xml:space="preserve">ry were </w:t>
      </w:r>
      <w:r w:rsidR="00C26508">
        <w:rPr>
          <w:sz w:val="24"/>
          <w:szCs w:val="24"/>
        </w:rPr>
        <w:t>entitled to</w:t>
      </w:r>
      <w:r>
        <w:rPr>
          <w:sz w:val="24"/>
          <w:szCs w:val="24"/>
        </w:rPr>
        <w:t xml:space="preserve"> find that she did. The Court dismissed the safeguard accommodation that an </w:t>
      </w:r>
      <w:r w:rsidR="00C26508">
        <w:rPr>
          <w:sz w:val="24"/>
          <w:szCs w:val="24"/>
        </w:rPr>
        <w:t>individual can’t</w:t>
      </w:r>
      <w:r>
        <w:rPr>
          <w:sz w:val="24"/>
          <w:szCs w:val="24"/>
        </w:rPr>
        <w:t xml:space="preserve"> have a dread of prompt savagery except if they can see the </w:t>
      </w:r>
      <w:r w:rsidR="00C26508">
        <w:rPr>
          <w:sz w:val="24"/>
          <w:szCs w:val="24"/>
        </w:rPr>
        <w:t>potential culprit</w:t>
      </w:r>
      <w:r>
        <w:rPr>
          <w:sz w:val="24"/>
          <w:szCs w:val="24"/>
        </w:rPr>
        <w:t xml:space="preserve">. It dismissed a further accommodation that an attack couldn't </w:t>
      </w:r>
      <w:r w:rsidR="00C26508">
        <w:rPr>
          <w:sz w:val="24"/>
          <w:szCs w:val="24"/>
        </w:rPr>
        <w:t>be submitted</w:t>
      </w:r>
      <w:r>
        <w:rPr>
          <w:sz w:val="24"/>
          <w:szCs w:val="24"/>
        </w:rPr>
        <w:t xml:space="preserve"> by words alone without an actual activity. The arrangement made it </w:t>
      </w:r>
      <w:r w:rsidR="00C26508">
        <w:rPr>
          <w:sz w:val="24"/>
          <w:szCs w:val="24"/>
        </w:rPr>
        <w:t>understood that</w:t>
      </w:r>
      <w:r>
        <w:rPr>
          <w:sz w:val="24"/>
          <w:szCs w:val="24"/>
        </w:rPr>
        <w:t xml:space="preserve"> the attack depended on was composed by the last letter.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Broad analysis of the legislation administering the non-deadly offenses prompted the Criminal Law Revi</w:t>
      </w:r>
      <w:r>
        <w:rPr>
          <w:sz w:val="24"/>
          <w:szCs w:val="24"/>
        </w:rPr>
        <w:t xml:space="preserve">sion Committee distributing proposition for change in 1981. These </w:t>
      </w:r>
      <w:r>
        <w:rPr>
          <w:sz w:val="24"/>
          <w:szCs w:val="24"/>
        </w:rPr>
        <w:lastRenderedPageBreak/>
        <w:t xml:space="preserve">recommendations framed the premise of the Law Commission Report 1993 and a joined draft Bill that was never put into Parliament. The new </w:t>
      </w:r>
      <w:r w:rsidR="00C26508">
        <w:rPr>
          <w:sz w:val="24"/>
          <w:szCs w:val="24"/>
        </w:rPr>
        <w:t>Labour</w:t>
      </w:r>
      <w:r>
        <w:rPr>
          <w:sz w:val="24"/>
          <w:szCs w:val="24"/>
        </w:rPr>
        <w:t xml:space="preserve"> government created a draft Bill in 1998 basical</w:t>
      </w:r>
      <w:r>
        <w:rPr>
          <w:sz w:val="24"/>
          <w:szCs w:val="24"/>
        </w:rPr>
        <w:t xml:space="preserve">ly in a similar structure as the Law Commission Bill. The 1998 draft Bill incorporates the accompanying recommendations: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1. Legal definitions are accommodated threatening </w:t>
      </w:r>
      <w:r w:rsidR="00C26508">
        <w:rPr>
          <w:sz w:val="24"/>
          <w:szCs w:val="24"/>
        </w:rPr>
        <w:t>behaviour</w:t>
      </w:r>
      <w:r>
        <w:rPr>
          <w:sz w:val="24"/>
          <w:szCs w:val="24"/>
        </w:rPr>
        <w:t xml:space="preserve">. </w:t>
      </w:r>
    </w:p>
    <w:p w:rsidR="00D76619" w:rsidRDefault="00D76619">
      <w:pPr>
        <w:pStyle w:val="normal0"/>
        <w:jc w:val="both"/>
        <w:rPr>
          <w:sz w:val="24"/>
          <w:szCs w:val="24"/>
        </w:rPr>
      </w:pPr>
    </w:p>
    <w:p w:rsidR="00D76619" w:rsidRDefault="00C26508">
      <w:pPr>
        <w:pStyle w:val="normal0"/>
        <w:jc w:val="both"/>
        <w:rPr>
          <w:sz w:val="24"/>
          <w:szCs w:val="24"/>
        </w:rPr>
      </w:pPr>
      <w:r>
        <w:rPr>
          <w:sz w:val="24"/>
          <w:szCs w:val="24"/>
        </w:rPr>
        <w:t>2. Section</w:t>
      </w:r>
      <w:r w:rsidR="00A6434E">
        <w:rPr>
          <w:sz w:val="24"/>
          <w:szCs w:val="24"/>
        </w:rPr>
        <w:t xml:space="preserve"> 47 is supplanted by the offense of purposefully or wildly mak</w:t>
      </w:r>
      <w:r w:rsidR="00A6434E">
        <w:rPr>
          <w:sz w:val="24"/>
          <w:szCs w:val="24"/>
        </w:rPr>
        <w:t>ing injury to someone else with a most extreme jail sentence of five years. Indictment will presently don't have to demonstrate that the injury was brought about by an attack or battery. 'Injury' is characterized to signify 'actual injury' which incorporat</w:t>
      </w:r>
      <w:r w:rsidR="00A6434E">
        <w:rPr>
          <w:sz w:val="24"/>
          <w:szCs w:val="24"/>
        </w:rPr>
        <w:t xml:space="preserve">es agony, obviousness and any disability of an individual's state of being and furthermore 'mental injury', which incorporates any hindrance of an individual's emotional well-being.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3. Section 20 and 18 are supplanted by the different offenses of foolish</w:t>
      </w:r>
      <w:r>
        <w:rPr>
          <w:sz w:val="24"/>
          <w:szCs w:val="24"/>
        </w:rPr>
        <w:t xml:space="preserve">ly making a genuine physical issue another and purposefully making a genuine physical </w:t>
      </w:r>
      <w:r w:rsidR="00C26508">
        <w:rPr>
          <w:sz w:val="24"/>
          <w:szCs w:val="24"/>
        </w:rPr>
        <w:t>issues</w:t>
      </w:r>
      <w:r>
        <w:rPr>
          <w:sz w:val="24"/>
          <w:szCs w:val="24"/>
        </w:rPr>
        <w:t xml:space="preserve"> another. The most extreme jail sentences are seven years and life detainment individually. There could be not, at this point any reference to injuring so the issue </w:t>
      </w:r>
      <w:r>
        <w:rPr>
          <w:sz w:val="24"/>
          <w:szCs w:val="24"/>
        </w:rPr>
        <w:t xml:space="preserve">that a minor injury can be charged under </w:t>
      </w:r>
      <w:r w:rsidR="00C26508">
        <w:rPr>
          <w:sz w:val="24"/>
          <w:szCs w:val="24"/>
        </w:rPr>
        <w:t>these sections</w:t>
      </w:r>
      <w:r>
        <w:rPr>
          <w:sz w:val="24"/>
          <w:szCs w:val="24"/>
        </w:rPr>
        <w:t xml:space="preserve"> is taken out. The problematic word 'exact' is taken out and all references are to 'caused'.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 xml:space="preserve">4. The mischief proposed or predicted should relate to the offense submitted in opposition to the </w:t>
      </w:r>
      <w:proofErr w:type="spellStart"/>
      <w:r>
        <w:rPr>
          <w:sz w:val="24"/>
          <w:szCs w:val="24"/>
        </w:rPr>
        <w:t>men</w:t>
      </w:r>
      <w:r w:rsidR="00C26508">
        <w:rPr>
          <w:sz w:val="24"/>
          <w:szCs w:val="24"/>
        </w:rPr>
        <w:t>s</w:t>
      </w:r>
      <w:proofErr w:type="spellEnd"/>
      <w:r>
        <w:rPr>
          <w:sz w:val="24"/>
          <w:szCs w:val="24"/>
        </w:rPr>
        <w:t xml:space="preserve"> </w:t>
      </w:r>
      <w:proofErr w:type="spellStart"/>
      <w:r>
        <w:rPr>
          <w:sz w:val="24"/>
          <w:szCs w:val="24"/>
        </w:rPr>
        <w:t>rea</w:t>
      </w:r>
      <w:proofErr w:type="spellEnd"/>
      <w:r>
        <w:rPr>
          <w:sz w:val="24"/>
          <w:szCs w:val="24"/>
        </w:rPr>
        <w:t xml:space="preserve"> </w:t>
      </w:r>
      <w:r>
        <w:rPr>
          <w:sz w:val="24"/>
          <w:szCs w:val="24"/>
        </w:rPr>
        <w:t xml:space="preserve">standards in Roberts (1971) and </w:t>
      </w:r>
      <w:proofErr w:type="spellStart"/>
      <w:r>
        <w:rPr>
          <w:sz w:val="24"/>
          <w:szCs w:val="24"/>
        </w:rPr>
        <w:t>Mowatt</w:t>
      </w:r>
      <w:proofErr w:type="spellEnd"/>
      <w:r>
        <w:rPr>
          <w:sz w:val="24"/>
          <w:szCs w:val="24"/>
        </w:rPr>
        <w:t xml:space="preserve"> (1976). Likewise, the foolish respondent might be sentenced under the new s47 on the off chance that he has prescience of the injury instead of the battery that caused it and he should have foreknowledge of genuine in</w:t>
      </w:r>
      <w:r>
        <w:rPr>
          <w:sz w:val="24"/>
          <w:szCs w:val="24"/>
        </w:rPr>
        <w:t xml:space="preserve">jury to be indicted for unfortunate real damage. </w:t>
      </w:r>
    </w:p>
    <w:p w:rsidR="00D76619" w:rsidRDefault="00D76619">
      <w:pPr>
        <w:pStyle w:val="normal0"/>
        <w:jc w:val="both"/>
        <w:rPr>
          <w:sz w:val="24"/>
          <w:szCs w:val="24"/>
        </w:rPr>
      </w:pPr>
    </w:p>
    <w:p w:rsidR="00D76619" w:rsidRDefault="00A6434E">
      <w:pPr>
        <w:pStyle w:val="normal0"/>
        <w:jc w:val="both"/>
        <w:rPr>
          <w:sz w:val="24"/>
          <w:szCs w:val="24"/>
        </w:rPr>
      </w:pPr>
      <w:r>
        <w:rPr>
          <w:sz w:val="24"/>
          <w:szCs w:val="24"/>
        </w:rPr>
        <w:t>5.Save for the offense of deliberately causing genuine injury, 'actual injury' does exclude sickness and accordingly an individual may be at risk on the off chance that he expects to contaminate another wi</w:t>
      </w:r>
      <w:r>
        <w:rPr>
          <w:sz w:val="24"/>
          <w:szCs w:val="24"/>
        </w:rPr>
        <w:t xml:space="preserve">th a genuine sexual illness and foolish disease won't be an offense. </w:t>
      </w: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sz w:val="24"/>
          <w:szCs w:val="24"/>
        </w:rPr>
      </w:pPr>
    </w:p>
    <w:p w:rsidR="00D76619" w:rsidRDefault="00D76619">
      <w:pPr>
        <w:pStyle w:val="normal0"/>
        <w:jc w:val="both"/>
        <w:rPr>
          <w:b/>
          <w:sz w:val="24"/>
          <w:szCs w:val="24"/>
        </w:rPr>
      </w:pPr>
    </w:p>
    <w:p w:rsidR="00D76619" w:rsidRDefault="00D76619">
      <w:pPr>
        <w:pStyle w:val="normal0"/>
        <w:jc w:val="both"/>
        <w:rPr>
          <w:b/>
          <w:sz w:val="24"/>
          <w:szCs w:val="24"/>
        </w:rPr>
      </w:pPr>
    </w:p>
    <w:p w:rsidR="00D76619" w:rsidRDefault="00D76619">
      <w:pPr>
        <w:pStyle w:val="normal0"/>
        <w:jc w:val="both"/>
        <w:rPr>
          <w:b/>
          <w:sz w:val="24"/>
          <w:szCs w:val="24"/>
        </w:rPr>
      </w:pPr>
    </w:p>
    <w:p w:rsidR="00D76619" w:rsidRDefault="00A6434E">
      <w:pPr>
        <w:pStyle w:val="normal0"/>
        <w:jc w:val="both"/>
        <w:rPr>
          <w:b/>
          <w:sz w:val="24"/>
          <w:szCs w:val="24"/>
        </w:rPr>
      </w:pPr>
      <w:r>
        <w:rPr>
          <w:b/>
          <w:sz w:val="24"/>
          <w:szCs w:val="24"/>
        </w:rPr>
        <w:lastRenderedPageBreak/>
        <w:t>Reference:</w:t>
      </w:r>
    </w:p>
    <w:p w:rsidR="00D76619" w:rsidRDefault="00D76619">
      <w:pPr>
        <w:pStyle w:val="normal0"/>
        <w:jc w:val="both"/>
        <w:rPr>
          <w:b/>
          <w:sz w:val="24"/>
          <w:szCs w:val="24"/>
        </w:rPr>
      </w:pPr>
    </w:p>
    <w:p w:rsidR="00D76619" w:rsidRDefault="00D76619">
      <w:pPr>
        <w:pStyle w:val="normal0"/>
        <w:jc w:val="both"/>
        <w:rPr>
          <w:b/>
          <w:sz w:val="24"/>
          <w:szCs w:val="24"/>
        </w:rPr>
      </w:pPr>
    </w:p>
    <w:p w:rsidR="00D76619" w:rsidRDefault="00D76619">
      <w:pPr>
        <w:pStyle w:val="normal0"/>
        <w:numPr>
          <w:ilvl w:val="0"/>
          <w:numId w:val="1"/>
        </w:numPr>
        <w:jc w:val="both"/>
        <w:rPr>
          <w:sz w:val="19"/>
          <w:szCs w:val="19"/>
          <w:highlight w:val="white"/>
        </w:rPr>
      </w:pPr>
      <w:hyperlink r:id="rId6">
        <w:r w:rsidR="00A6434E">
          <w:rPr>
            <w:sz w:val="19"/>
            <w:szCs w:val="19"/>
            <w:highlight w:val="white"/>
          </w:rPr>
          <w:t xml:space="preserve">Offences </w:t>
        </w:r>
        <w:r w:rsidR="008C2351">
          <w:rPr>
            <w:sz w:val="19"/>
            <w:szCs w:val="19"/>
            <w:highlight w:val="white"/>
          </w:rPr>
          <w:t>against</w:t>
        </w:r>
        <w:r w:rsidR="00A6434E">
          <w:rPr>
            <w:sz w:val="19"/>
            <w:szCs w:val="19"/>
            <w:highlight w:val="white"/>
          </w:rPr>
          <w:t xml:space="preserve"> </w:t>
        </w:r>
        <w:proofErr w:type="gramStart"/>
        <w:r w:rsidR="00A6434E">
          <w:rPr>
            <w:sz w:val="19"/>
            <w:szCs w:val="19"/>
            <w:highlight w:val="white"/>
          </w:rPr>
          <w:t>The</w:t>
        </w:r>
        <w:proofErr w:type="gramEnd"/>
        <w:r w:rsidR="00A6434E">
          <w:rPr>
            <w:sz w:val="19"/>
            <w:szCs w:val="19"/>
            <w:highlight w:val="white"/>
          </w:rPr>
          <w:t xml:space="preserve"> Person"</w:t>
        </w:r>
      </w:hyperlink>
      <w:r w:rsidR="00A6434E">
        <w:rPr>
          <w:sz w:val="19"/>
          <w:szCs w:val="19"/>
          <w:highlight w:val="white"/>
        </w:rPr>
        <w:t>. Crown Prosecution Service. Retrieved 5 July 2013.</w:t>
      </w:r>
    </w:p>
    <w:p w:rsidR="00D76619" w:rsidRDefault="00A6434E">
      <w:pPr>
        <w:pStyle w:val="normal0"/>
        <w:numPr>
          <w:ilvl w:val="0"/>
          <w:numId w:val="1"/>
        </w:numPr>
        <w:jc w:val="both"/>
        <w:rPr>
          <w:sz w:val="19"/>
          <w:szCs w:val="19"/>
          <w:highlight w:val="white"/>
        </w:rPr>
      </w:pPr>
      <w:r>
        <w:rPr>
          <w:sz w:val="19"/>
          <w:szCs w:val="19"/>
          <w:highlight w:val="white"/>
        </w:rPr>
        <w:t>Smith (2002). p. 412.</w:t>
      </w:r>
    </w:p>
    <w:p w:rsidR="00D76619" w:rsidRDefault="008C2351">
      <w:pPr>
        <w:pStyle w:val="normal0"/>
        <w:numPr>
          <w:ilvl w:val="0"/>
          <w:numId w:val="1"/>
        </w:numPr>
        <w:jc w:val="both"/>
        <w:rPr>
          <w:sz w:val="19"/>
          <w:szCs w:val="19"/>
          <w:highlight w:val="white"/>
        </w:rPr>
      </w:pPr>
      <w:r>
        <w:rPr>
          <w:sz w:val="19"/>
          <w:szCs w:val="19"/>
          <w:highlight w:val="white"/>
        </w:rPr>
        <w:t>Semester</w:t>
      </w:r>
      <w:r w:rsidR="00A6434E">
        <w:rPr>
          <w:sz w:val="19"/>
          <w:szCs w:val="19"/>
          <w:highlight w:val="white"/>
        </w:rPr>
        <w:t xml:space="preserve"> et al. (2010). pp. 426–427</w:t>
      </w:r>
    </w:p>
    <w:p w:rsidR="00D76619" w:rsidRDefault="00A6434E">
      <w:pPr>
        <w:pStyle w:val="normal0"/>
        <w:numPr>
          <w:ilvl w:val="0"/>
          <w:numId w:val="1"/>
        </w:numPr>
        <w:shd w:val="clear" w:color="auto" w:fill="FFFFFF"/>
        <w:jc w:val="both"/>
        <w:rPr>
          <w:sz w:val="19"/>
          <w:szCs w:val="19"/>
        </w:rPr>
      </w:pPr>
      <w:r>
        <w:rPr>
          <w:sz w:val="19"/>
          <w:szCs w:val="19"/>
          <w:highlight w:val="white"/>
        </w:rPr>
        <w:t>Smith (2002). p. 413.</w:t>
      </w:r>
    </w:p>
    <w:p w:rsidR="00D76619" w:rsidRDefault="008C2351">
      <w:pPr>
        <w:pStyle w:val="normal0"/>
        <w:numPr>
          <w:ilvl w:val="0"/>
          <w:numId w:val="1"/>
        </w:numPr>
        <w:shd w:val="clear" w:color="auto" w:fill="FFFFFF"/>
        <w:jc w:val="both"/>
        <w:rPr>
          <w:sz w:val="19"/>
          <w:szCs w:val="19"/>
        </w:rPr>
      </w:pPr>
      <w:r>
        <w:rPr>
          <w:sz w:val="19"/>
          <w:szCs w:val="19"/>
          <w:highlight w:val="white"/>
        </w:rPr>
        <w:t>Semester</w:t>
      </w:r>
      <w:r w:rsidR="00A6434E">
        <w:rPr>
          <w:sz w:val="19"/>
          <w:szCs w:val="19"/>
          <w:highlight w:val="white"/>
        </w:rPr>
        <w:t xml:space="preserve"> et al. (2010). p. 428.</w:t>
      </w:r>
    </w:p>
    <w:p w:rsidR="00D76619" w:rsidRDefault="00D76619">
      <w:pPr>
        <w:pStyle w:val="normal0"/>
        <w:numPr>
          <w:ilvl w:val="0"/>
          <w:numId w:val="1"/>
        </w:numPr>
        <w:shd w:val="clear" w:color="auto" w:fill="FFFFFF"/>
        <w:jc w:val="both"/>
        <w:rPr>
          <w:sz w:val="19"/>
          <w:szCs w:val="19"/>
          <w:highlight w:val="white"/>
        </w:rPr>
      </w:pPr>
      <w:hyperlink r:id="rId7" w:anchor="P92_3540">
        <w:r w:rsidR="00A6434E">
          <w:rPr>
            <w:sz w:val="19"/>
            <w:szCs w:val="19"/>
            <w:highlight w:val="white"/>
          </w:rPr>
          <w:t>"Offences against the Person, incorporating the C</w:t>
        </w:r>
        <w:r w:rsidR="00A6434E">
          <w:rPr>
            <w:sz w:val="19"/>
            <w:szCs w:val="19"/>
            <w:highlight w:val="white"/>
          </w:rPr>
          <w:t>harging Standard"</w:t>
        </w:r>
      </w:hyperlink>
      <w:r w:rsidR="00A6434E">
        <w:rPr>
          <w:sz w:val="19"/>
          <w:szCs w:val="19"/>
          <w:highlight w:val="white"/>
        </w:rPr>
        <w:t xml:space="preserve">. </w:t>
      </w:r>
      <w:hyperlink r:id="rId8">
        <w:r w:rsidR="00A6434E">
          <w:rPr>
            <w:sz w:val="19"/>
            <w:szCs w:val="19"/>
            <w:highlight w:val="white"/>
          </w:rPr>
          <w:t>Crown Prosecution Service</w:t>
        </w:r>
      </w:hyperlink>
      <w:r w:rsidR="00A6434E">
        <w:rPr>
          <w:sz w:val="19"/>
          <w:szCs w:val="19"/>
          <w:highlight w:val="white"/>
        </w:rPr>
        <w:t>. 2009. Retrieved 16 November 2011.</w:t>
      </w:r>
    </w:p>
    <w:p w:rsidR="00D76619" w:rsidRDefault="00D76619">
      <w:pPr>
        <w:pStyle w:val="normal0"/>
        <w:numPr>
          <w:ilvl w:val="0"/>
          <w:numId w:val="1"/>
        </w:numPr>
        <w:shd w:val="clear" w:color="auto" w:fill="FFFFFF"/>
        <w:jc w:val="both"/>
        <w:rPr>
          <w:sz w:val="19"/>
          <w:szCs w:val="19"/>
          <w:highlight w:val="white"/>
        </w:rPr>
      </w:pPr>
      <w:hyperlink r:id="rId9">
        <w:r w:rsidR="00A6434E">
          <w:rPr>
            <w:sz w:val="19"/>
            <w:szCs w:val="19"/>
            <w:highlight w:val="white"/>
          </w:rPr>
          <w:t xml:space="preserve">Offences </w:t>
        </w:r>
        <w:r w:rsidR="008C2351">
          <w:rPr>
            <w:sz w:val="19"/>
            <w:szCs w:val="19"/>
            <w:highlight w:val="white"/>
          </w:rPr>
          <w:t>against</w:t>
        </w:r>
        <w:r w:rsidR="00A6434E">
          <w:rPr>
            <w:sz w:val="19"/>
            <w:szCs w:val="19"/>
            <w:highlight w:val="white"/>
          </w:rPr>
          <w:t xml:space="preserve"> the Per</w:t>
        </w:r>
        <w:r w:rsidR="00A6434E">
          <w:rPr>
            <w:sz w:val="19"/>
            <w:szCs w:val="19"/>
            <w:highlight w:val="white"/>
          </w:rPr>
          <w:t>son Act 1861: Section 47"</w:t>
        </w:r>
      </w:hyperlink>
      <w:r w:rsidR="00A6434E">
        <w:rPr>
          <w:sz w:val="19"/>
          <w:szCs w:val="19"/>
          <w:highlight w:val="white"/>
        </w:rPr>
        <w:t xml:space="preserve">. </w:t>
      </w:r>
      <w:proofErr w:type="gramStart"/>
      <w:r w:rsidR="00A6434E">
        <w:rPr>
          <w:i/>
          <w:sz w:val="19"/>
          <w:szCs w:val="19"/>
          <w:highlight w:val="white"/>
        </w:rPr>
        <w:t>legislation.gov.uk</w:t>
      </w:r>
      <w:proofErr w:type="gramEnd"/>
      <w:r w:rsidR="00A6434E">
        <w:rPr>
          <w:sz w:val="19"/>
          <w:szCs w:val="19"/>
          <w:highlight w:val="white"/>
        </w:rPr>
        <w:t>. Retrieved 13 November 2011.</w:t>
      </w:r>
    </w:p>
    <w:p w:rsidR="00D76619" w:rsidRDefault="00D76619">
      <w:pPr>
        <w:pStyle w:val="normal0"/>
        <w:numPr>
          <w:ilvl w:val="0"/>
          <w:numId w:val="1"/>
        </w:numPr>
        <w:shd w:val="clear" w:color="auto" w:fill="FFFFFF"/>
        <w:spacing w:after="20"/>
        <w:jc w:val="both"/>
        <w:rPr>
          <w:sz w:val="19"/>
          <w:szCs w:val="19"/>
          <w:highlight w:val="white"/>
        </w:rPr>
      </w:pPr>
      <w:hyperlink r:id="rId10">
        <w:r w:rsidR="00A6434E">
          <w:rPr>
            <w:sz w:val="19"/>
            <w:szCs w:val="19"/>
            <w:highlight w:val="white"/>
          </w:rPr>
          <w:t>https://uk.news.yahoo.com/non-fatal-strangulation-carry-five-070017247.html</w:t>
        </w:r>
      </w:hyperlink>
    </w:p>
    <w:p w:rsidR="00D76619" w:rsidRDefault="00D76619">
      <w:pPr>
        <w:pStyle w:val="normal0"/>
        <w:shd w:val="clear" w:color="auto" w:fill="FFFFFF"/>
        <w:spacing w:after="20"/>
        <w:ind w:left="720"/>
        <w:jc w:val="both"/>
        <w:rPr>
          <w:sz w:val="19"/>
          <w:szCs w:val="19"/>
          <w:highlight w:val="white"/>
        </w:rPr>
      </w:pPr>
    </w:p>
    <w:p w:rsidR="00D76619" w:rsidRDefault="00D76619">
      <w:pPr>
        <w:pStyle w:val="normal0"/>
        <w:numPr>
          <w:ilvl w:val="0"/>
          <w:numId w:val="1"/>
        </w:numPr>
        <w:shd w:val="clear" w:color="auto" w:fill="FFFFFF"/>
        <w:jc w:val="both"/>
        <w:rPr>
          <w:sz w:val="19"/>
          <w:szCs w:val="19"/>
          <w:highlight w:val="white"/>
        </w:rPr>
      </w:pPr>
      <w:hyperlink r:id="rId11">
        <w:r w:rsidR="00A6434E">
          <w:rPr>
            <w:sz w:val="19"/>
            <w:szCs w:val="19"/>
            <w:highlight w:val="white"/>
          </w:rPr>
          <w:t xml:space="preserve">Offences </w:t>
        </w:r>
        <w:r w:rsidR="008C2351">
          <w:rPr>
            <w:sz w:val="19"/>
            <w:szCs w:val="19"/>
            <w:highlight w:val="white"/>
          </w:rPr>
          <w:t>against</w:t>
        </w:r>
        <w:r w:rsidR="00A6434E">
          <w:rPr>
            <w:sz w:val="19"/>
            <w:szCs w:val="19"/>
            <w:highlight w:val="white"/>
          </w:rPr>
          <w:t xml:space="preserve"> the Person Act 1861: Section 20"</w:t>
        </w:r>
      </w:hyperlink>
      <w:r w:rsidR="00A6434E">
        <w:rPr>
          <w:sz w:val="19"/>
          <w:szCs w:val="19"/>
          <w:highlight w:val="white"/>
        </w:rPr>
        <w:t xml:space="preserve">. </w:t>
      </w:r>
      <w:proofErr w:type="gramStart"/>
      <w:r w:rsidR="00A6434E">
        <w:rPr>
          <w:i/>
          <w:sz w:val="19"/>
          <w:szCs w:val="19"/>
          <w:highlight w:val="white"/>
        </w:rPr>
        <w:t>legislation.gov.uk</w:t>
      </w:r>
      <w:proofErr w:type="gramEnd"/>
      <w:r w:rsidR="00A6434E">
        <w:rPr>
          <w:sz w:val="19"/>
          <w:szCs w:val="19"/>
          <w:highlight w:val="white"/>
        </w:rPr>
        <w:t>. Retrieved 13 November 2011.</w:t>
      </w:r>
    </w:p>
    <w:p w:rsidR="00D76619" w:rsidRDefault="00D76619">
      <w:pPr>
        <w:pStyle w:val="normal0"/>
        <w:numPr>
          <w:ilvl w:val="0"/>
          <w:numId w:val="1"/>
        </w:numPr>
        <w:shd w:val="clear" w:color="auto" w:fill="FFFFFF"/>
        <w:jc w:val="both"/>
        <w:rPr>
          <w:sz w:val="19"/>
          <w:szCs w:val="19"/>
          <w:highlight w:val="white"/>
        </w:rPr>
      </w:pPr>
      <w:hyperlink r:id="rId12">
        <w:r w:rsidR="00A6434E">
          <w:rPr>
            <w:sz w:val="19"/>
            <w:szCs w:val="19"/>
            <w:highlight w:val="white"/>
          </w:rPr>
          <w:t xml:space="preserve">Offences </w:t>
        </w:r>
        <w:r w:rsidR="008C2351">
          <w:rPr>
            <w:sz w:val="19"/>
            <w:szCs w:val="19"/>
            <w:highlight w:val="white"/>
          </w:rPr>
          <w:t>against</w:t>
        </w:r>
        <w:r w:rsidR="00A6434E">
          <w:rPr>
            <w:sz w:val="19"/>
            <w:szCs w:val="19"/>
            <w:highlight w:val="white"/>
          </w:rPr>
          <w:t xml:space="preserve"> the Person Act 1861: Section 18"</w:t>
        </w:r>
      </w:hyperlink>
      <w:r w:rsidR="00A6434E">
        <w:rPr>
          <w:sz w:val="19"/>
          <w:szCs w:val="19"/>
          <w:highlight w:val="white"/>
        </w:rPr>
        <w:t xml:space="preserve">. </w:t>
      </w:r>
      <w:proofErr w:type="gramStart"/>
      <w:r w:rsidR="00A6434E">
        <w:rPr>
          <w:i/>
          <w:sz w:val="19"/>
          <w:szCs w:val="19"/>
          <w:highlight w:val="white"/>
        </w:rPr>
        <w:t>legislation.gov.uk</w:t>
      </w:r>
      <w:proofErr w:type="gramEnd"/>
      <w:r w:rsidR="00A6434E">
        <w:rPr>
          <w:sz w:val="19"/>
          <w:szCs w:val="19"/>
          <w:highlight w:val="white"/>
        </w:rPr>
        <w:t>. Retrieved 14 November 2011.</w:t>
      </w:r>
    </w:p>
    <w:p w:rsidR="00D76619" w:rsidRDefault="00A6434E">
      <w:pPr>
        <w:pStyle w:val="normal0"/>
        <w:numPr>
          <w:ilvl w:val="0"/>
          <w:numId w:val="1"/>
        </w:numPr>
        <w:shd w:val="clear" w:color="auto" w:fill="FFFFFF"/>
        <w:jc w:val="both"/>
        <w:rPr>
          <w:sz w:val="21"/>
          <w:szCs w:val="21"/>
        </w:rPr>
      </w:pPr>
      <w:r>
        <w:rPr>
          <w:sz w:val="21"/>
          <w:szCs w:val="21"/>
          <w:highlight w:val="white"/>
        </w:rPr>
        <w:t xml:space="preserve">Elliott, Catherine; Quinn, Frances (2006). </w:t>
      </w:r>
      <w:hyperlink r:id="rId13">
        <w:r>
          <w:rPr>
            <w:i/>
            <w:sz w:val="21"/>
            <w:szCs w:val="21"/>
            <w:highlight w:val="white"/>
          </w:rPr>
          <w:t>Criminal law</w:t>
        </w:r>
      </w:hyperlink>
      <w:r>
        <w:rPr>
          <w:sz w:val="21"/>
          <w:szCs w:val="21"/>
          <w:highlight w:val="white"/>
        </w:rPr>
        <w:t xml:space="preserve">. Pearson/Longman. </w:t>
      </w:r>
      <w:hyperlink r:id="rId14">
        <w:r>
          <w:rPr>
            <w:sz w:val="21"/>
            <w:szCs w:val="21"/>
            <w:highlight w:val="white"/>
          </w:rPr>
          <w:t>ISBN</w:t>
        </w:r>
      </w:hyperlink>
      <w:r>
        <w:rPr>
          <w:sz w:val="21"/>
          <w:szCs w:val="21"/>
          <w:highlight w:val="white"/>
        </w:rPr>
        <w:t xml:space="preserve"> </w:t>
      </w:r>
      <w:hyperlink r:id="rId15">
        <w:r>
          <w:rPr>
            <w:sz w:val="21"/>
            <w:szCs w:val="21"/>
            <w:highlight w:val="white"/>
          </w:rPr>
          <w:t>978-1-4058-3528-2</w:t>
        </w:r>
      </w:hyperlink>
      <w:r>
        <w:rPr>
          <w:sz w:val="21"/>
          <w:szCs w:val="21"/>
          <w:highlight w:val="white"/>
        </w:rPr>
        <w:t>.</w:t>
      </w:r>
    </w:p>
    <w:p w:rsidR="00D76619" w:rsidRDefault="00C26508">
      <w:pPr>
        <w:pStyle w:val="normal0"/>
        <w:numPr>
          <w:ilvl w:val="0"/>
          <w:numId w:val="1"/>
        </w:numPr>
        <w:shd w:val="clear" w:color="auto" w:fill="FFFFFF"/>
        <w:jc w:val="both"/>
        <w:rPr>
          <w:sz w:val="21"/>
          <w:szCs w:val="21"/>
        </w:rPr>
      </w:pPr>
      <w:r>
        <w:rPr>
          <w:sz w:val="21"/>
          <w:szCs w:val="21"/>
          <w:highlight w:val="white"/>
        </w:rPr>
        <w:t>Semester</w:t>
      </w:r>
      <w:r w:rsidR="00A6434E">
        <w:rPr>
          <w:sz w:val="21"/>
          <w:szCs w:val="21"/>
          <w:highlight w:val="white"/>
        </w:rPr>
        <w:t xml:space="preserve">, A. P.; Sullivan, G. R.; Spencer, J. R.; Virgo, G. (2010). </w:t>
      </w:r>
      <w:proofErr w:type="spellStart"/>
      <w:r w:rsidR="00A6434E">
        <w:rPr>
          <w:i/>
          <w:sz w:val="21"/>
          <w:szCs w:val="21"/>
          <w:highlight w:val="white"/>
        </w:rPr>
        <w:t>Simester</w:t>
      </w:r>
      <w:proofErr w:type="spellEnd"/>
      <w:r w:rsidR="00A6434E">
        <w:rPr>
          <w:i/>
          <w:sz w:val="21"/>
          <w:szCs w:val="21"/>
          <w:highlight w:val="white"/>
        </w:rPr>
        <w:t xml:space="preserve"> and Sullivan's Criminal Law: Theory and Doctrine</w:t>
      </w:r>
      <w:r w:rsidR="00A6434E">
        <w:rPr>
          <w:sz w:val="21"/>
          <w:szCs w:val="21"/>
          <w:highlight w:val="white"/>
        </w:rPr>
        <w:t xml:space="preserve"> (4 </w:t>
      </w:r>
      <w:proofErr w:type="gramStart"/>
      <w:r w:rsidR="00A6434E">
        <w:rPr>
          <w:sz w:val="21"/>
          <w:szCs w:val="21"/>
          <w:highlight w:val="white"/>
        </w:rPr>
        <w:t>ed</w:t>
      </w:r>
      <w:proofErr w:type="gramEnd"/>
      <w:r w:rsidR="00A6434E">
        <w:rPr>
          <w:sz w:val="21"/>
          <w:szCs w:val="21"/>
          <w:highlight w:val="white"/>
        </w:rPr>
        <w:t xml:space="preserve">.). Oxford: Hart Publishing. </w:t>
      </w:r>
      <w:hyperlink r:id="rId16">
        <w:r w:rsidR="00A6434E">
          <w:rPr>
            <w:sz w:val="21"/>
            <w:szCs w:val="21"/>
            <w:highlight w:val="white"/>
          </w:rPr>
          <w:t>ISBN</w:t>
        </w:r>
      </w:hyperlink>
      <w:r w:rsidR="00A6434E">
        <w:rPr>
          <w:sz w:val="21"/>
          <w:szCs w:val="21"/>
          <w:highlight w:val="white"/>
        </w:rPr>
        <w:t xml:space="preserve"> </w:t>
      </w:r>
      <w:hyperlink r:id="rId17">
        <w:r w:rsidR="00A6434E">
          <w:rPr>
            <w:sz w:val="21"/>
            <w:szCs w:val="21"/>
            <w:highlight w:val="white"/>
          </w:rPr>
          <w:t>978-1-84113-922-7</w:t>
        </w:r>
      </w:hyperlink>
      <w:r w:rsidR="00A6434E">
        <w:rPr>
          <w:sz w:val="21"/>
          <w:szCs w:val="21"/>
          <w:highlight w:val="white"/>
        </w:rPr>
        <w:t>.</w:t>
      </w:r>
    </w:p>
    <w:p w:rsidR="00D76619" w:rsidRDefault="00D76619">
      <w:pPr>
        <w:pStyle w:val="normal0"/>
        <w:numPr>
          <w:ilvl w:val="0"/>
          <w:numId w:val="1"/>
        </w:numPr>
        <w:shd w:val="clear" w:color="auto" w:fill="FFFFFF"/>
        <w:jc w:val="both"/>
        <w:rPr>
          <w:sz w:val="21"/>
          <w:szCs w:val="21"/>
        </w:rPr>
      </w:pPr>
      <w:hyperlink r:id="rId18">
        <w:r w:rsidR="00A6434E">
          <w:rPr>
            <w:sz w:val="21"/>
            <w:szCs w:val="21"/>
            <w:highlight w:val="white"/>
          </w:rPr>
          <w:t>Smith, J. C.</w:t>
        </w:r>
      </w:hyperlink>
      <w:r w:rsidR="00A6434E">
        <w:rPr>
          <w:sz w:val="21"/>
          <w:szCs w:val="21"/>
          <w:highlight w:val="white"/>
        </w:rPr>
        <w:t xml:space="preserve"> (2002). </w:t>
      </w:r>
      <w:r w:rsidR="00A6434E">
        <w:rPr>
          <w:i/>
          <w:sz w:val="21"/>
          <w:szCs w:val="21"/>
          <w:highlight w:val="white"/>
        </w:rPr>
        <w:t>Smith &amp; Hogan: Criminal Law</w:t>
      </w:r>
      <w:r w:rsidR="00A6434E">
        <w:rPr>
          <w:sz w:val="21"/>
          <w:szCs w:val="21"/>
          <w:highlight w:val="white"/>
        </w:rPr>
        <w:t xml:space="preserve"> (10 </w:t>
      </w:r>
      <w:proofErr w:type="gramStart"/>
      <w:r w:rsidR="00A6434E">
        <w:rPr>
          <w:sz w:val="21"/>
          <w:szCs w:val="21"/>
          <w:highlight w:val="white"/>
        </w:rPr>
        <w:t>ed</w:t>
      </w:r>
      <w:proofErr w:type="gramEnd"/>
      <w:r w:rsidR="00A6434E">
        <w:rPr>
          <w:sz w:val="21"/>
          <w:szCs w:val="21"/>
          <w:highlight w:val="white"/>
        </w:rPr>
        <w:t xml:space="preserve">.). London: </w:t>
      </w:r>
      <w:proofErr w:type="spellStart"/>
      <w:r w:rsidR="00A6434E">
        <w:rPr>
          <w:sz w:val="21"/>
          <w:szCs w:val="21"/>
          <w:highlight w:val="white"/>
        </w:rPr>
        <w:t>Butterworths</w:t>
      </w:r>
      <w:proofErr w:type="spellEnd"/>
      <w:r w:rsidR="00A6434E">
        <w:rPr>
          <w:sz w:val="21"/>
          <w:szCs w:val="21"/>
          <w:highlight w:val="white"/>
        </w:rPr>
        <w:t xml:space="preserve">. </w:t>
      </w:r>
      <w:hyperlink r:id="rId19">
        <w:r w:rsidR="00A6434E">
          <w:rPr>
            <w:sz w:val="21"/>
            <w:szCs w:val="21"/>
            <w:highlight w:val="white"/>
          </w:rPr>
          <w:t>ISBN</w:t>
        </w:r>
      </w:hyperlink>
      <w:r w:rsidR="00A6434E">
        <w:rPr>
          <w:sz w:val="21"/>
          <w:szCs w:val="21"/>
          <w:highlight w:val="white"/>
        </w:rPr>
        <w:t xml:space="preserve"> </w:t>
      </w:r>
      <w:hyperlink r:id="rId20">
        <w:r w:rsidR="00A6434E">
          <w:rPr>
            <w:sz w:val="21"/>
            <w:szCs w:val="21"/>
            <w:highlight w:val="white"/>
          </w:rPr>
          <w:t>0-406-94801-1</w:t>
        </w:r>
      </w:hyperlink>
      <w:r w:rsidR="00A6434E">
        <w:rPr>
          <w:sz w:val="21"/>
          <w:szCs w:val="21"/>
          <w:highlight w:val="white"/>
        </w:rPr>
        <w:t>.</w:t>
      </w:r>
    </w:p>
    <w:p w:rsidR="00D76619" w:rsidRDefault="00A6434E">
      <w:pPr>
        <w:pStyle w:val="normal0"/>
        <w:numPr>
          <w:ilvl w:val="0"/>
          <w:numId w:val="1"/>
        </w:numPr>
        <w:shd w:val="clear" w:color="auto" w:fill="FFFFFF"/>
        <w:spacing w:after="20"/>
        <w:jc w:val="both"/>
        <w:rPr>
          <w:sz w:val="21"/>
          <w:szCs w:val="21"/>
          <w:highlight w:val="white"/>
        </w:rPr>
      </w:pPr>
      <w:r>
        <w:rPr>
          <w:sz w:val="21"/>
          <w:szCs w:val="21"/>
          <w:highlight w:val="white"/>
        </w:rPr>
        <w:t>https://www.walesonline.co.uk/news/uk-news/new-offence-could-see-domestic-19936220</w:t>
      </w:r>
    </w:p>
    <w:p w:rsidR="00D76619" w:rsidRDefault="00D76619">
      <w:pPr>
        <w:pStyle w:val="normal0"/>
        <w:shd w:val="clear" w:color="auto" w:fill="FFFFFF"/>
        <w:spacing w:before="120" w:after="20"/>
        <w:ind w:left="720"/>
        <w:jc w:val="both"/>
        <w:rPr>
          <w:sz w:val="21"/>
          <w:szCs w:val="21"/>
          <w:highlight w:val="white"/>
        </w:rPr>
      </w:pPr>
    </w:p>
    <w:p w:rsidR="00D76619" w:rsidRDefault="00A6434E">
      <w:pPr>
        <w:pStyle w:val="normal0"/>
        <w:numPr>
          <w:ilvl w:val="0"/>
          <w:numId w:val="1"/>
        </w:numPr>
        <w:shd w:val="clear" w:color="auto" w:fill="FFFFFF"/>
        <w:spacing w:before="120"/>
        <w:jc w:val="both"/>
        <w:rPr>
          <w:sz w:val="21"/>
          <w:szCs w:val="21"/>
          <w:highlight w:val="white"/>
        </w:rPr>
      </w:pPr>
      <w:r>
        <w:rPr>
          <w:sz w:val="19"/>
          <w:szCs w:val="19"/>
          <w:highlight w:val="white"/>
        </w:rPr>
        <w:t xml:space="preserve"> Clark, William Lawrence; Association, American Bar (1909), </w:t>
      </w:r>
      <w:hyperlink r:id="rId21">
        <w:r>
          <w:rPr>
            <w:i/>
            <w:sz w:val="19"/>
            <w:szCs w:val="19"/>
            <w:highlight w:val="white"/>
          </w:rPr>
          <w:t>Elementary Law</w:t>
        </w:r>
      </w:hyperlink>
      <w:r>
        <w:rPr>
          <w:sz w:val="19"/>
          <w:szCs w:val="19"/>
          <w:highlight w:val="white"/>
        </w:rPr>
        <w:t>, pp. 117–18, retrieved 2009-08-0</w:t>
      </w:r>
    </w:p>
    <w:p w:rsidR="00D76619" w:rsidRDefault="00D76619">
      <w:pPr>
        <w:pStyle w:val="normal0"/>
        <w:numPr>
          <w:ilvl w:val="0"/>
          <w:numId w:val="1"/>
        </w:numPr>
        <w:shd w:val="clear" w:color="auto" w:fill="FFFFFF"/>
        <w:jc w:val="both"/>
        <w:rPr>
          <w:sz w:val="19"/>
          <w:szCs w:val="19"/>
          <w:highlight w:val="white"/>
        </w:rPr>
      </w:pPr>
      <w:hyperlink r:id="rId22">
        <w:r w:rsidR="00A6434E">
          <w:rPr>
            <w:sz w:val="19"/>
            <w:szCs w:val="19"/>
            <w:highlight w:val="white"/>
          </w:rPr>
          <w:t>Overarching Principles: Dom</w:t>
        </w:r>
        <w:r w:rsidR="00A6434E">
          <w:rPr>
            <w:sz w:val="19"/>
            <w:szCs w:val="19"/>
            <w:highlight w:val="white"/>
          </w:rPr>
          <w:t>estic Abuse"</w:t>
        </w:r>
      </w:hyperlink>
      <w:r w:rsidR="00A6434E">
        <w:rPr>
          <w:sz w:val="19"/>
          <w:szCs w:val="19"/>
          <w:highlight w:val="white"/>
        </w:rPr>
        <w:t xml:space="preserve"> </w:t>
      </w:r>
      <w:r w:rsidR="00A6434E">
        <w:rPr>
          <w:sz w:val="18"/>
          <w:szCs w:val="18"/>
          <w:highlight w:val="white"/>
        </w:rPr>
        <w:t>(PDF)</w:t>
      </w:r>
      <w:r w:rsidR="00A6434E">
        <w:rPr>
          <w:sz w:val="19"/>
          <w:szCs w:val="19"/>
          <w:highlight w:val="white"/>
        </w:rPr>
        <w:t xml:space="preserve">. </w:t>
      </w:r>
      <w:r w:rsidR="00A6434E">
        <w:rPr>
          <w:i/>
          <w:sz w:val="19"/>
          <w:szCs w:val="19"/>
          <w:highlight w:val="white"/>
        </w:rPr>
        <w:t>Sentencing Council</w:t>
      </w:r>
      <w:r w:rsidR="00A6434E">
        <w:rPr>
          <w:sz w:val="19"/>
          <w:szCs w:val="19"/>
          <w:highlight w:val="white"/>
        </w:rPr>
        <w:t xml:space="preserve">. Sentencing Council. Archived from </w:t>
      </w:r>
      <w:hyperlink r:id="rId23">
        <w:r w:rsidR="00A6434E">
          <w:rPr>
            <w:sz w:val="19"/>
            <w:szCs w:val="19"/>
            <w:highlight w:val="white"/>
          </w:rPr>
          <w:t>the original</w:t>
        </w:r>
      </w:hyperlink>
      <w:r w:rsidR="00A6434E">
        <w:rPr>
          <w:sz w:val="19"/>
          <w:szCs w:val="19"/>
          <w:highlight w:val="white"/>
        </w:rPr>
        <w:t xml:space="preserve"> </w:t>
      </w:r>
      <w:r w:rsidR="00A6434E">
        <w:rPr>
          <w:sz w:val="18"/>
          <w:szCs w:val="18"/>
          <w:highlight w:val="white"/>
        </w:rPr>
        <w:t>(PDF</w:t>
      </w:r>
      <w:proofErr w:type="gramStart"/>
      <w:r w:rsidR="00A6434E">
        <w:rPr>
          <w:sz w:val="18"/>
          <w:szCs w:val="18"/>
          <w:highlight w:val="white"/>
        </w:rPr>
        <w:t>)</w:t>
      </w:r>
      <w:r w:rsidR="00A6434E">
        <w:rPr>
          <w:sz w:val="19"/>
          <w:szCs w:val="19"/>
          <w:highlight w:val="white"/>
        </w:rPr>
        <w:t>on</w:t>
      </w:r>
      <w:proofErr w:type="gramEnd"/>
      <w:r w:rsidR="00A6434E">
        <w:rPr>
          <w:sz w:val="19"/>
          <w:szCs w:val="19"/>
          <w:highlight w:val="white"/>
        </w:rPr>
        <w:t xml:space="preserve"> October 9, 2018.</w:t>
      </w:r>
    </w:p>
    <w:p w:rsidR="00D76619" w:rsidRDefault="00A6434E">
      <w:pPr>
        <w:pStyle w:val="normal0"/>
        <w:numPr>
          <w:ilvl w:val="0"/>
          <w:numId w:val="1"/>
        </w:numPr>
        <w:shd w:val="clear" w:color="auto" w:fill="FFFFFF"/>
        <w:jc w:val="both"/>
        <w:rPr>
          <w:sz w:val="19"/>
          <w:szCs w:val="19"/>
        </w:rPr>
      </w:pPr>
      <w:r>
        <w:rPr>
          <w:sz w:val="19"/>
          <w:szCs w:val="19"/>
          <w:highlight w:val="white"/>
        </w:rPr>
        <w:t xml:space="preserve"> </w:t>
      </w:r>
      <w:r>
        <w:rPr>
          <w:i/>
          <w:sz w:val="19"/>
          <w:szCs w:val="19"/>
          <w:highlight w:val="white"/>
        </w:rPr>
        <w:t>DPP v Taylor, DPP v Little</w:t>
      </w:r>
      <w:r>
        <w:rPr>
          <w:sz w:val="19"/>
          <w:szCs w:val="19"/>
          <w:highlight w:val="white"/>
        </w:rPr>
        <w:t xml:space="preserve"> [199</w:t>
      </w:r>
      <w:r>
        <w:rPr>
          <w:sz w:val="19"/>
          <w:szCs w:val="19"/>
          <w:highlight w:val="white"/>
        </w:rPr>
        <w:t>2] 1 QB 645, 95 Cr App R 28</w:t>
      </w:r>
    </w:p>
    <w:p w:rsidR="00D76619" w:rsidRDefault="00A6434E">
      <w:pPr>
        <w:pStyle w:val="normal0"/>
        <w:numPr>
          <w:ilvl w:val="0"/>
          <w:numId w:val="1"/>
        </w:numPr>
        <w:shd w:val="clear" w:color="auto" w:fill="FFFFFF"/>
        <w:jc w:val="both"/>
        <w:rPr>
          <w:sz w:val="19"/>
          <w:szCs w:val="19"/>
          <w:highlight w:val="white"/>
        </w:rPr>
      </w:pPr>
      <w:r>
        <w:rPr>
          <w:i/>
          <w:sz w:val="19"/>
          <w:szCs w:val="19"/>
          <w:highlight w:val="white"/>
        </w:rPr>
        <w:t>Haystead v Chief Constable of Derbyshire</w:t>
      </w:r>
      <w:r>
        <w:rPr>
          <w:sz w:val="19"/>
          <w:szCs w:val="19"/>
          <w:highlight w:val="white"/>
        </w:rPr>
        <w:t xml:space="preserve"> </w:t>
      </w:r>
      <w:hyperlink r:id="rId24">
        <w:r>
          <w:rPr>
            <w:sz w:val="19"/>
            <w:szCs w:val="19"/>
            <w:highlight w:val="white"/>
          </w:rPr>
          <w:t>[2000] EWHC 181 (QB)</w:t>
        </w:r>
      </w:hyperlink>
      <w:r>
        <w:rPr>
          <w:sz w:val="19"/>
          <w:szCs w:val="19"/>
          <w:highlight w:val="white"/>
        </w:rPr>
        <w:t xml:space="preserve"> (12 May 2000), </w:t>
      </w:r>
      <w:hyperlink r:id="rId25">
        <w:r>
          <w:rPr>
            <w:sz w:val="19"/>
            <w:szCs w:val="19"/>
            <w:highlight w:val="white"/>
          </w:rPr>
          <w:t>High Court</w:t>
        </w:r>
      </w:hyperlink>
      <w:r>
        <w:rPr>
          <w:sz w:val="19"/>
          <w:szCs w:val="19"/>
          <w:highlight w:val="white"/>
        </w:rPr>
        <w:t xml:space="preserve"> </w:t>
      </w:r>
      <w:r>
        <w:rPr>
          <w:sz w:val="19"/>
          <w:szCs w:val="19"/>
          <w:highlight w:val="white"/>
        </w:rPr>
        <w:t>(England and Wales)</w:t>
      </w:r>
    </w:p>
    <w:p w:rsidR="00D76619" w:rsidRDefault="00A6434E">
      <w:pPr>
        <w:pStyle w:val="normal0"/>
        <w:numPr>
          <w:ilvl w:val="0"/>
          <w:numId w:val="1"/>
        </w:numPr>
        <w:shd w:val="clear" w:color="auto" w:fill="FFFFFF"/>
        <w:jc w:val="both"/>
        <w:rPr>
          <w:sz w:val="19"/>
          <w:szCs w:val="19"/>
          <w:highlight w:val="white"/>
        </w:rPr>
      </w:pPr>
      <w:r>
        <w:rPr>
          <w:sz w:val="19"/>
          <w:szCs w:val="19"/>
          <w:highlight w:val="white"/>
        </w:rPr>
        <w:t xml:space="preserve">Smith &amp; Hogan (2008). </w:t>
      </w:r>
      <w:r>
        <w:rPr>
          <w:i/>
          <w:sz w:val="19"/>
          <w:szCs w:val="19"/>
          <w:highlight w:val="white"/>
        </w:rPr>
        <w:t>Criminal Law</w:t>
      </w:r>
      <w:r>
        <w:rPr>
          <w:sz w:val="19"/>
          <w:szCs w:val="19"/>
          <w:highlight w:val="white"/>
        </w:rPr>
        <w:t>. OUP. p. 584.</w:t>
      </w:r>
    </w:p>
    <w:p w:rsidR="00D76619" w:rsidRDefault="00A6434E">
      <w:pPr>
        <w:pStyle w:val="normal0"/>
        <w:numPr>
          <w:ilvl w:val="0"/>
          <w:numId w:val="1"/>
        </w:numPr>
        <w:shd w:val="clear" w:color="auto" w:fill="FFFFFF"/>
        <w:jc w:val="both"/>
        <w:rPr>
          <w:sz w:val="19"/>
          <w:szCs w:val="19"/>
          <w:highlight w:val="white"/>
        </w:rPr>
      </w:pPr>
      <w:r>
        <w:rPr>
          <w:sz w:val="19"/>
          <w:szCs w:val="19"/>
          <w:highlight w:val="white"/>
        </w:rPr>
        <w:t xml:space="preserve">Larson, Aaron (12 February 2018). </w:t>
      </w:r>
      <w:hyperlink r:id="rId26">
        <w:r>
          <w:rPr>
            <w:sz w:val="19"/>
            <w:szCs w:val="19"/>
            <w:highlight w:val="white"/>
          </w:rPr>
          <w:t>"What are the Crimes of Assault and Battery"</w:t>
        </w:r>
      </w:hyperlink>
      <w:proofErr w:type="gramStart"/>
      <w:r>
        <w:rPr>
          <w:sz w:val="19"/>
          <w:szCs w:val="19"/>
          <w:highlight w:val="white"/>
        </w:rPr>
        <w:t>.</w:t>
      </w:r>
      <w:proofErr w:type="gramEnd"/>
      <w:r>
        <w:rPr>
          <w:sz w:val="19"/>
          <w:szCs w:val="19"/>
          <w:highlight w:val="white"/>
        </w:rPr>
        <w:t xml:space="preserve"> </w:t>
      </w:r>
      <w:proofErr w:type="spellStart"/>
      <w:r>
        <w:rPr>
          <w:i/>
          <w:sz w:val="19"/>
          <w:szCs w:val="19"/>
          <w:highlight w:val="white"/>
        </w:rPr>
        <w:t>ExpertLaw</w:t>
      </w:r>
      <w:proofErr w:type="spellEnd"/>
      <w:r>
        <w:rPr>
          <w:sz w:val="19"/>
          <w:szCs w:val="19"/>
          <w:highlight w:val="white"/>
        </w:rPr>
        <w:t>. Retrieved 15 March 2018.</w:t>
      </w:r>
    </w:p>
    <w:p w:rsidR="00D76619" w:rsidRDefault="00D76619">
      <w:pPr>
        <w:pStyle w:val="normal0"/>
        <w:numPr>
          <w:ilvl w:val="0"/>
          <w:numId w:val="1"/>
        </w:numPr>
        <w:shd w:val="clear" w:color="auto" w:fill="FFFFFF"/>
        <w:jc w:val="both"/>
        <w:rPr>
          <w:sz w:val="19"/>
          <w:szCs w:val="19"/>
          <w:highlight w:val="white"/>
        </w:rPr>
      </w:pPr>
      <w:hyperlink r:id="rId27">
        <w:r w:rsidR="00A6434E">
          <w:rPr>
            <w:sz w:val="19"/>
            <w:szCs w:val="19"/>
            <w:highlight w:val="white"/>
          </w:rPr>
          <w:t>SUBPART B. ASSAULT AND BATTERY (WITH RELATED OFFENSES)"</w:t>
        </w:r>
      </w:hyperlink>
      <w:r w:rsidR="00A6434E">
        <w:rPr>
          <w:sz w:val="19"/>
          <w:szCs w:val="19"/>
          <w:highlight w:val="white"/>
        </w:rPr>
        <w:t xml:space="preserve">. </w:t>
      </w:r>
      <w:r w:rsidR="00A6434E">
        <w:rPr>
          <w:i/>
          <w:sz w:val="19"/>
          <w:szCs w:val="19"/>
          <w:highlight w:val="white"/>
        </w:rPr>
        <w:t>legis.la.gov/</w:t>
      </w:r>
      <w:r w:rsidR="00A6434E">
        <w:rPr>
          <w:sz w:val="19"/>
          <w:szCs w:val="19"/>
          <w:highlight w:val="white"/>
        </w:rPr>
        <w:t>. Louisiana State Legislature. Retrieved 4 March 2015.</w:t>
      </w:r>
    </w:p>
    <w:p w:rsidR="00D76619" w:rsidRDefault="00A6434E">
      <w:pPr>
        <w:pStyle w:val="normal0"/>
        <w:numPr>
          <w:ilvl w:val="0"/>
          <w:numId w:val="1"/>
        </w:numPr>
        <w:shd w:val="clear" w:color="auto" w:fill="FFFFFF"/>
        <w:spacing w:after="20"/>
        <w:jc w:val="both"/>
        <w:rPr>
          <w:sz w:val="19"/>
          <w:szCs w:val="19"/>
          <w:highlight w:val="white"/>
        </w:rPr>
      </w:pPr>
      <w:r>
        <w:rPr>
          <w:sz w:val="19"/>
          <w:szCs w:val="19"/>
          <w:highlight w:val="white"/>
        </w:rPr>
        <w:t>https://www.aol.co.uk/entertainment/law-makes-illegal-threaten-release-134</w:t>
      </w:r>
      <w:r>
        <w:rPr>
          <w:sz w:val="19"/>
          <w:szCs w:val="19"/>
          <w:highlight w:val="white"/>
        </w:rPr>
        <w:t>300564.html?guccounter=1&amp;guce_referrer=aHR0cHM6Ly91ay5zZWFyY2gueWFob28uY29tLw&amp;guce_referrer_sig=AQAAAJ8bn1JIBcemZ3LSNNz6nDM-ZHJYkaQsnJcPAoFdpFaU86zsCa_RpSShN9H1ZMTtkMIO03QwG1TFUkj7D9KxKrbCLsMoX3MG0DdemIikZYDXOBRGl_-L00FGNoCeSr-GTtscSIHCYwNzGoTcZuB7wk2cjU2C</w:t>
      </w:r>
      <w:r>
        <w:rPr>
          <w:sz w:val="19"/>
          <w:szCs w:val="19"/>
          <w:highlight w:val="white"/>
        </w:rPr>
        <w:t>VNxeBTn2udEEsU8b</w:t>
      </w:r>
    </w:p>
    <w:p w:rsidR="00D76619" w:rsidRDefault="00D76619">
      <w:pPr>
        <w:pStyle w:val="normal0"/>
        <w:shd w:val="clear" w:color="auto" w:fill="FFFFFF"/>
        <w:spacing w:after="20"/>
        <w:jc w:val="both"/>
        <w:rPr>
          <w:sz w:val="19"/>
          <w:szCs w:val="19"/>
          <w:highlight w:val="white"/>
        </w:rPr>
      </w:pPr>
    </w:p>
    <w:p w:rsidR="00D76619" w:rsidRDefault="00D76619">
      <w:pPr>
        <w:pStyle w:val="normal0"/>
        <w:jc w:val="both"/>
        <w:rPr>
          <w:b/>
          <w:color w:val="202122"/>
          <w:sz w:val="19"/>
          <w:szCs w:val="19"/>
          <w:highlight w:val="white"/>
        </w:rPr>
      </w:pPr>
    </w:p>
    <w:p w:rsidR="00D76619" w:rsidRDefault="00D76619">
      <w:pPr>
        <w:pStyle w:val="normal0"/>
        <w:jc w:val="both"/>
        <w:rPr>
          <w:b/>
          <w:color w:val="202122"/>
          <w:sz w:val="19"/>
          <w:szCs w:val="19"/>
          <w:highlight w:val="white"/>
        </w:rPr>
      </w:pPr>
    </w:p>
    <w:p w:rsidR="00D76619" w:rsidRDefault="00A6434E">
      <w:pPr>
        <w:pStyle w:val="normal0"/>
        <w:jc w:val="both"/>
        <w:rPr>
          <w:sz w:val="24"/>
          <w:szCs w:val="24"/>
        </w:rPr>
      </w:pPr>
      <w:r>
        <w:rPr>
          <w:sz w:val="24"/>
          <w:szCs w:val="24"/>
        </w:rPr>
        <w:br/>
      </w:r>
    </w:p>
    <w:sectPr w:rsidR="00D76619" w:rsidSect="00D76619">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6D2A94"/>
    <w:multiLevelType w:val="multilevel"/>
    <w:tmpl w:val="27FC4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76619"/>
    <w:rsid w:val="002C441C"/>
    <w:rsid w:val="00665AE1"/>
    <w:rsid w:val="008C2351"/>
    <w:rsid w:val="00A517C6"/>
    <w:rsid w:val="00A6434E"/>
    <w:rsid w:val="00C26508"/>
    <w:rsid w:val="00D2479E"/>
    <w:rsid w:val="00D76619"/>
    <w:rsid w:val="00E8002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D76619"/>
    <w:pPr>
      <w:keepNext/>
      <w:keepLines/>
      <w:spacing w:before="400" w:after="120"/>
      <w:outlineLvl w:val="0"/>
    </w:pPr>
    <w:rPr>
      <w:sz w:val="40"/>
      <w:szCs w:val="40"/>
    </w:rPr>
  </w:style>
  <w:style w:type="paragraph" w:styleId="Heading2">
    <w:name w:val="heading 2"/>
    <w:basedOn w:val="normal0"/>
    <w:next w:val="normal0"/>
    <w:rsid w:val="00D76619"/>
    <w:pPr>
      <w:keepNext/>
      <w:keepLines/>
      <w:spacing w:before="360" w:after="120"/>
      <w:outlineLvl w:val="1"/>
    </w:pPr>
    <w:rPr>
      <w:sz w:val="32"/>
      <w:szCs w:val="32"/>
    </w:rPr>
  </w:style>
  <w:style w:type="paragraph" w:styleId="Heading3">
    <w:name w:val="heading 3"/>
    <w:basedOn w:val="normal0"/>
    <w:next w:val="normal0"/>
    <w:rsid w:val="00D76619"/>
    <w:pPr>
      <w:keepNext/>
      <w:keepLines/>
      <w:spacing w:before="320" w:after="80"/>
      <w:outlineLvl w:val="2"/>
    </w:pPr>
    <w:rPr>
      <w:color w:val="434343"/>
      <w:sz w:val="28"/>
      <w:szCs w:val="28"/>
    </w:rPr>
  </w:style>
  <w:style w:type="paragraph" w:styleId="Heading4">
    <w:name w:val="heading 4"/>
    <w:basedOn w:val="normal0"/>
    <w:next w:val="normal0"/>
    <w:rsid w:val="00D76619"/>
    <w:pPr>
      <w:keepNext/>
      <w:keepLines/>
      <w:spacing w:before="280" w:after="80"/>
      <w:outlineLvl w:val="3"/>
    </w:pPr>
    <w:rPr>
      <w:color w:val="666666"/>
      <w:sz w:val="24"/>
      <w:szCs w:val="24"/>
    </w:rPr>
  </w:style>
  <w:style w:type="paragraph" w:styleId="Heading5">
    <w:name w:val="heading 5"/>
    <w:basedOn w:val="normal0"/>
    <w:next w:val="normal0"/>
    <w:rsid w:val="00D76619"/>
    <w:pPr>
      <w:keepNext/>
      <w:keepLines/>
      <w:spacing w:before="240" w:after="80"/>
      <w:outlineLvl w:val="4"/>
    </w:pPr>
    <w:rPr>
      <w:color w:val="666666"/>
    </w:rPr>
  </w:style>
  <w:style w:type="paragraph" w:styleId="Heading6">
    <w:name w:val="heading 6"/>
    <w:basedOn w:val="normal0"/>
    <w:next w:val="normal0"/>
    <w:rsid w:val="00D7661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rsid w:val="00D76619"/>
  </w:style>
  <w:style w:type="paragraph" w:styleId="Title">
    <w:name w:val="Title"/>
    <w:basedOn w:val="normal0"/>
    <w:next w:val="normal0"/>
    <w:rsid w:val="00D76619"/>
    <w:pPr>
      <w:keepNext/>
      <w:keepLines/>
      <w:spacing w:after="60"/>
    </w:pPr>
    <w:rPr>
      <w:sz w:val="52"/>
      <w:szCs w:val="52"/>
    </w:rPr>
  </w:style>
  <w:style w:type="paragraph" w:customStyle="1" w:styleId="normal0">
    <w:name w:val="normal"/>
    <w:rsid w:val="00D76619"/>
  </w:style>
  <w:style w:type="paragraph" w:styleId="Subtitle">
    <w:name w:val="Subtitle"/>
    <w:basedOn w:val="normal0"/>
    <w:next w:val="normal0"/>
    <w:rsid w:val="00D76619"/>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en.wikipedia.org/wiki/Crown_Prosecution_Service" TargetMode="External"/><Relationship Id="rId13" Type="http://schemas.openxmlformats.org/officeDocument/2006/relationships/hyperlink" Target="https://books.google.com/books?id=YZjPGvrGlFsC" TargetMode="External"/><Relationship Id="rId18" Type="http://schemas.openxmlformats.org/officeDocument/2006/relationships/hyperlink" Target="https://en.wikipedia.org/wiki/John_Cyril_Smith" TargetMode="External"/><Relationship Id="rId26" Type="http://schemas.openxmlformats.org/officeDocument/2006/relationships/hyperlink" Target="https://www.expertlaw.com/assault-and-battery" TargetMode="External"/><Relationship Id="rId3" Type="http://schemas.openxmlformats.org/officeDocument/2006/relationships/styles" Target="styles.xml"/><Relationship Id="rId21" Type="http://schemas.openxmlformats.org/officeDocument/2006/relationships/hyperlink" Target="https://books.google.com/books?id=ZmoaAAAAYAAJ" TargetMode="External"/><Relationship Id="rId7" Type="http://schemas.openxmlformats.org/officeDocument/2006/relationships/hyperlink" Target="http://www.cps.gov.uk/legal/l_to_o/offences_against_the_person/" TargetMode="External"/><Relationship Id="rId12" Type="http://schemas.openxmlformats.org/officeDocument/2006/relationships/hyperlink" Target="http://www.legislation.gov.uk/ukpga/Vict/24-25/100/section/18" TargetMode="External"/><Relationship Id="rId17" Type="http://schemas.openxmlformats.org/officeDocument/2006/relationships/hyperlink" Target="https://en.wikipedia.org/wiki/Special:BookSources/978-1-84113-922-7" TargetMode="External"/><Relationship Id="rId25" Type="http://schemas.openxmlformats.org/officeDocument/2006/relationships/hyperlink" Target="https://en.wikipedia.org/wiki/High_Court_of_Justice" TargetMode="External"/><Relationship Id="rId2" Type="http://schemas.openxmlformats.org/officeDocument/2006/relationships/numbering" Target="numbering.xml"/><Relationship Id="rId16" Type="http://schemas.openxmlformats.org/officeDocument/2006/relationships/hyperlink" Target="https://en.wikipedia.org/wiki/ISBN_(identifier)" TargetMode="External"/><Relationship Id="rId20" Type="http://schemas.openxmlformats.org/officeDocument/2006/relationships/hyperlink" Target="https://en.wikipedia.org/wiki/Special:BookSources/0-406-94801-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cps.gov.uk/legal/l_to_o/offences_against_the_person/" TargetMode="External"/><Relationship Id="rId11" Type="http://schemas.openxmlformats.org/officeDocument/2006/relationships/hyperlink" Target="http://www.legislation.gov.uk/ukpga/Vict/24-25/100/section/20" TargetMode="External"/><Relationship Id="rId24" Type="http://schemas.openxmlformats.org/officeDocument/2006/relationships/hyperlink" Target="https://www.bailii.org/ew/cases/EWHC/QB/2000/181.html" TargetMode="External"/><Relationship Id="rId5" Type="http://schemas.openxmlformats.org/officeDocument/2006/relationships/webSettings" Target="webSettings.xml"/><Relationship Id="rId15" Type="http://schemas.openxmlformats.org/officeDocument/2006/relationships/hyperlink" Target="https://en.wikipedia.org/wiki/Special:BookSources/978-1-4058-3528-2" TargetMode="External"/><Relationship Id="rId23" Type="http://schemas.openxmlformats.org/officeDocument/2006/relationships/hyperlink" Target="https://www.sentencingcouncil.org.uk/wp-content/uploads/6.4143_SC_Domestic_Abuse_Paper_WEB.pdf" TargetMode="External"/><Relationship Id="rId28" Type="http://schemas.openxmlformats.org/officeDocument/2006/relationships/fontTable" Target="fontTable.xml"/><Relationship Id="rId10" Type="http://schemas.openxmlformats.org/officeDocument/2006/relationships/hyperlink" Target="https://uk.news.yahoo.com/non-fatal-strangulation-carry-five-070017247.html" TargetMode="External"/><Relationship Id="rId19" Type="http://schemas.openxmlformats.org/officeDocument/2006/relationships/hyperlink" Target="https://en.wikipedia.org/wiki/ISBN_(identifier)" TargetMode="External"/><Relationship Id="rId4" Type="http://schemas.openxmlformats.org/officeDocument/2006/relationships/settings" Target="settings.xml"/><Relationship Id="rId9" Type="http://schemas.openxmlformats.org/officeDocument/2006/relationships/hyperlink" Target="http://www.legislation.gov.uk/ukpga/Vict/24-25/100/section/47" TargetMode="External"/><Relationship Id="rId14" Type="http://schemas.openxmlformats.org/officeDocument/2006/relationships/hyperlink" Target="https://en.wikipedia.org/wiki/ISBN_(identifier)" TargetMode="External"/><Relationship Id="rId22" Type="http://schemas.openxmlformats.org/officeDocument/2006/relationships/hyperlink" Target="https://web.archive.org/web/20181009053051/https://www.sentencingcouncil.org.uk/wp-content/uploads/6.4143_SC_Domestic_Abuse_Paper_WEB.pdf" TargetMode="External"/><Relationship Id="rId27" Type="http://schemas.openxmlformats.org/officeDocument/2006/relationships/hyperlink" Target="http://legis.la.gov/lss/lss.asp?doc=784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NTNyhCtGeH4H2CgPzabr367/iQ==">AMUW2mU3ZgNg5R3qtB2Nbh95P/14biS8i9Ck/YY/poCeHnuoIeNf/bNq/FQ2QHAHUQ3NzCNYGzDwA9IOE7MoIkAnS25mrVS05ITHWHR4TKS+PHGbd7A1bog=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2425</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9</cp:revision>
  <dcterms:created xsi:type="dcterms:W3CDTF">2021-03-08T15:01:00Z</dcterms:created>
  <dcterms:modified xsi:type="dcterms:W3CDTF">2021-03-08T15:14:00Z</dcterms:modified>
</cp:coreProperties>
</file>