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478435" w14:textId="26BDEFA9" w:rsidR="00ED1049" w:rsidRPr="00ED1049" w:rsidRDefault="00ED1049" w:rsidP="00ED1049">
      <w:pPr>
        <w:ind w:left="426"/>
        <w:rPr>
          <w:rFonts w:ascii="Arial" w:hAnsi="Arial" w:cs="Arial"/>
        </w:rPr>
      </w:pP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0EC7E367" w14:textId="77777777" w:rsidR="005B334E" w:rsidRPr="005B334E" w:rsidRDefault="005B334E" w:rsidP="005B334E">
      <w:pPr>
        <w:spacing w:after="120" w:line="360" w:lineRule="auto"/>
        <w:jc w:val="both"/>
        <w:rPr>
          <w:rFonts w:asciiTheme="minorBidi" w:hAnsiTheme="minorBidi"/>
          <w:sz w:val="24"/>
        </w:rPr>
      </w:pPr>
      <w:r w:rsidRPr="005B334E">
        <w:rPr>
          <w:rFonts w:asciiTheme="minorBidi" w:hAnsiTheme="minorBidi"/>
          <w:noProof/>
          <w:sz w:val="24"/>
        </w:rPr>
        <w:drawing>
          <wp:anchor distT="0" distB="0" distL="114300" distR="114300" simplePos="0" relativeHeight="251664384" behindDoc="1" locked="0" layoutInCell="1" allowOverlap="1" wp14:anchorId="42D39086" wp14:editId="495C3022">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6"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56BAEE0" w14:textId="77777777" w:rsidR="005B334E" w:rsidRPr="005B334E" w:rsidRDefault="005B334E" w:rsidP="005B334E">
      <w:pPr>
        <w:spacing w:after="120" w:line="360" w:lineRule="auto"/>
        <w:jc w:val="both"/>
        <w:rPr>
          <w:rFonts w:asciiTheme="minorBidi" w:hAnsiTheme="minorBidi"/>
          <w:sz w:val="24"/>
        </w:rPr>
      </w:pPr>
    </w:p>
    <w:p w14:paraId="2F2093A7" w14:textId="77777777" w:rsidR="005B334E" w:rsidRPr="005B334E" w:rsidRDefault="005B334E" w:rsidP="005B334E">
      <w:pPr>
        <w:spacing w:after="120" w:line="360" w:lineRule="auto"/>
        <w:jc w:val="both"/>
        <w:rPr>
          <w:rFonts w:asciiTheme="minorBidi" w:hAnsiTheme="minorBidi"/>
          <w:sz w:val="24"/>
        </w:rPr>
      </w:pPr>
    </w:p>
    <w:p w14:paraId="0FCD4410" w14:textId="77777777" w:rsidR="005B334E" w:rsidRPr="005B334E" w:rsidRDefault="005B334E" w:rsidP="005B334E">
      <w:pPr>
        <w:spacing w:after="120" w:line="360" w:lineRule="auto"/>
        <w:jc w:val="both"/>
        <w:rPr>
          <w:rFonts w:asciiTheme="minorBidi" w:hAnsiTheme="minorBidi"/>
          <w:sz w:val="24"/>
        </w:rPr>
      </w:pPr>
    </w:p>
    <w:p w14:paraId="50B8DDD9" w14:textId="77777777" w:rsidR="005B334E" w:rsidRPr="005B334E" w:rsidRDefault="005B334E" w:rsidP="005B334E">
      <w:pPr>
        <w:spacing w:after="120" w:line="360" w:lineRule="auto"/>
        <w:jc w:val="center"/>
        <w:rPr>
          <w:rFonts w:asciiTheme="minorBidi" w:hAnsiTheme="minorBidi"/>
          <w:sz w:val="24"/>
        </w:rPr>
      </w:pPr>
    </w:p>
    <w:p w14:paraId="5F23A4F9" w14:textId="77777777" w:rsidR="005B334E" w:rsidRPr="005B334E" w:rsidRDefault="005B334E" w:rsidP="005B334E">
      <w:pPr>
        <w:spacing w:after="120" w:line="360" w:lineRule="auto"/>
        <w:jc w:val="center"/>
        <w:rPr>
          <w:rFonts w:asciiTheme="minorBidi" w:hAnsiTheme="minorBidi"/>
          <w:sz w:val="60"/>
          <w:szCs w:val="60"/>
        </w:rPr>
      </w:pPr>
      <w:r w:rsidRPr="005B334E">
        <w:rPr>
          <w:rFonts w:asciiTheme="minorBidi" w:hAnsiTheme="minorBidi"/>
          <w:sz w:val="60"/>
          <w:szCs w:val="60"/>
        </w:rPr>
        <w:t>Institute of Inner-City Learning Birmingham Campus</w:t>
      </w:r>
    </w:p>
    <w:p w14:paraId="757CC7CF" w14:textId="77777777" w:rsidR="005B334E" w:rsidRPr="005B334E" w:rsidRDefault="005B334E" w:rsidP="005B334E">
      <w:pPr>
        <w:widowControl w:val="0"/>
        <w:autoSpaceDE w:val="0"/>
        <w:autoSpaceDN w:val="0"/>
        <w:spacing w:after="0"/>
        <w:jc w:val="center"/>
        <w:rPr>
          <w:rFonts w:asciiTheme="minorBidi" w:eastAsia="Calibri Light" w:hAnsiTheme="minorBidi"/>
          <w:sz w:val="20"/>
          <w:lang w:val="en-GB" w:eastAsia="en-GB" w:bidi="en-GB"/>
        </w:rPr>
      </w:pPr>
    </w:p>
    <w:p w14:paraId="4F0A4ADB" w14:textId="77777777" w:rsidR="005B334E" w:rsidRPr="005B334E" w:rsidRDefault="005B334E" w:rsidP="005B334E">
      <w:pPr>
        <w:spacing w:after="120" w:line="360" w:lineRule="auto"/>
        <w:ind w:left="426"/>
        <w:jc w:val="center"/>
        <w:rPr>
          <w:rFonts w:asciiTheme="minorBidi" w:hAnsiTheme="minorBidi"/>
          <w:sz w:val="24"/>
          <w:szCs w:val="24"/>
        </w:rPr>
      </w:pPr>
      <w:r w:rsidRPr="005B334E">
        <w:rPr>
          <w:rFonts w:asciiTheme="minorBidi" w:hAnsiTheme="minorBidi"/>
          <w:sz w:val="60"/>
          <w:szCs w:val="60"/>
        </w:rPr>
        <w:t>BSc (Hons) Health and Social Care</w:t>
      </w:r>
    </w:p>
    <w:p w14:paraId="58E69ABC" w14:textId="77777777" w:rsidR="005B334E" w:rsidRPr="005B334E" w:rsidRDefault="005B334E" w:rsidP="005B334E">
      <w:pPr>
        <w:spacing w:after="120" w:line="360" w:lineRule="auto"/>
        <w:ind w:left="426"/>
        <w:jc w:val="both"/>
        <w:rPr>
          <w:rFonts w:asciiTheme="minorBidi" w:hAnsiTheme="minorBidi"/>
          <w:sz w:val="24"/>
          <w:szCs w:val="24"/>
        </w:rPr>
      </w:pPr>
    </w:p>
    <w:p w14:paraId="21CAFCB5" w14:textId="77777777" w:rsidR="005B334E" w:rsidRPr="005B334E" w:rsidRDefault="005B334E" w:rsidP="005B334E">
      <w:pPr>
        <w:spacing w:after="120" w:line="360" w:lineRule="auto"/>
        <w:jc w:val="center"/>
        <w:rPr>
          <w:rFonts w:asciiTheme="minorBidi" w:hAnsiTheme="minorBidi"/>
          <w:b/>
          <w:bCs/>
          <w:sz w:val="36"/>
          <w:szCs w:val="36"/>
        </w:rPr>
      </w:pPr>
      <w:r w:rsidRPr="005B334E">
        <w:rPr>
          <w:rFonts w:asciiTheme="minorBidi" w:hAnsiTheme="minorBidi"/>
          <w:b/>
          <w:bCs/>
          <w:sz w:val="36"/>
          <w:szCs w:val="36"/>
        </w:rPr>
        <w:t xml:space="preserve">Methods and Search Strategy Academic Poster </w:t>
      </w:r>
    </w:p>
    <w:p w14:paraId="034D8080" w14:textId="77777777" w:rsidR="005B334E" w:rsidRPr="005B334E" w:rsidRDefault="005B334E" w:rsidP="005B334E">
      <w:pPr>
        <w:spacing w:after="120" w:line="360" w:lineRule="auto"/>
        <w:jc w:val="center"/>
        <w:rPr>
          <w:rFonts w:asciiTheme="minorBidi" w:hAnsiTheme="minorBidi"/>
          <w:b/>
          <w:bCs/>
          <w:sz w:val="36"/>
          <w:szCs w:val="36"/>
        </w:rPr>
      </w:pPr>
    </w:p>
    <w:p w14:paraId="4F4772AF" w14:textId="77777777" w:rsidR="005B334E" w:rsidRPr="005B334E" w:rsidRDefault="005B334E" w:rsidP="005B334E">
      <w:pPr>
        <w:spacing w:after="120" w:line="360" w:lineRule="auto"/>
        <w:jc w:val="center"/>
        <w:rPr>
          <w:rFonts w:asciiTheme="minorBidi" w:hAnsiTheme="minorBidi"/>
          <w:b/>
          <w:bCs/>
          <w:sz w:val="36"/>
          <w:szCs w:val="36"/>
        </w:rPr>
      </w:pPr>
    </w:p>
    <w:p w14:paraId="030788A9" w14:textId="77777777" w:rsidR="005B334E" w:rsidRPr="005B334E" w:rsidRDefault="005B334E" w:rsidP="005B334E">
      <w:pPr>
        <w:tabs>
          <w:tab w:val="left" w:pos="6540"/>
        </w:tabs>
        <w:spacing w:after="120" w:line="360" w:lineRule="auto"/>
        <w:ind w:left="426"/>
        <w:jc w:val="center"/>
        <w:rPr>
          <w:rFonts w:asciiTheme="minorBidi" w:hAnsiTheme="minorBidi"/>
          <w:sz w:val="28"/>
          <w:szCs w:val="28"/>
          <w:lang w:val="nl-NL"/>
        </w:rPr>
      </w:pPr>
      <w:r w:rsidRPr="005B334E">
        <w:rPr>
          <w:rFonts w:asciiTheme="minorBidi" w:hAnsiTheme="minorBidi"/>
          <w:b/>
          <w:bCs/>
          <w:sz w:val="28"/>
          <w:szCs w:val="28"/>
          <w:lang w:val="nl-NL"/>
        </w:rPr>
        <w:t>Student name</w:t>
      </w:r>
      <w:r w:rsidRPr="005B334E">
        <w:rPr>
          <w:rFonts w:asciiTheme="minorBidi" w:hAnsiTheme="minorBidi"/>
          <w:sz w:val="28"/>
          <w:szCs w:val="28"/>
          <w:lang w:val="nl-NL"/>
        </w:rPr>
        <w:t xml:space="preserve">: Sameena Iqbal </w:t>
      </w:r>
    </w:p>
    <w:p w14:paraId="531260C8" w14:textId="77777777" w:rsidR="005B334E" w:rsidRPr="005B334E" w:rsidRDefault="005B334E" w:rsidP="005B334E">
      <w:pPr>
        <w:tabs>
          <w:tab w:val="left" w:pos="6540"/>
        </w:tabs>
        <w:spacing w:after="120" w:line="360" w:lineRule="auto"/>
        <w:ind w:left="426"/>
        <w:jc w:val="center"/>
        <w:rPr>
          <w:rFonts w:asciiTheme="minorBidi" w:hAnsiTheme="minorBidi"/>
          <w:sz w:val="28"/>
          <w:szCs w:val="28"/>
          <w:lang w:val="nl-NL"/>
        </w:rPr>
      </w:pPr>
      <w:r w:rsidRPr="005B334E">
        <w:rPr>
          <w:rFonts w:asciiTheme="minorBidi" w:hAnsiTheme="minorBidi"/>
          <w:b/>
          <w:bCs/>
          <w:sz w:val="28"/>
          <w:szCs w:val="28"/>
          <w:lang w:val="nl-NL"/>
        </w:rPr>
        <w:t>Student ID</w:t>
      </w:r>
      <w:r w:rsidRPr="005B334E">
        <w:rPr>
          <w:rFonts w:asciiTheme="minorBidi" w:hAnsiTheme="minorBidi"/>
          <w:sz w:val="28"/>
          <w:szCs w:val="28"/>
          <w:lang w:val="nl-NL"/>
        </w:rPr>
        <w:t>: 2315950</w:t>
      </w:r>
    </w:p>
    <w:p w14:paraId="0317CB01" w14:textId="77777777" w:rsidR="005B334E" w:rsidRPr="005B334E" w:rsidRDefault="005B334E" w:rsidP="005B334E">
      <w:pPr>
        <w:tabs>
          <w:tab w:val="left" w:pos="6540"/>
        </w:tabs>
        <w:spacing w:after="120" w:line="360" w:lineRule="auto"/>
        <w:ind w:left="426"/>
        <w:jc w:val="center"/>
        <w:rPr>
          <w:rFonts w:asciiTheme="minorBidi" w:hAnsiTheme="minorBidi"/>
          <w:sz w:val="28"/>
          <w:szCs w:val="28"/>
          <w:lang w:val="nl-NL"/>
        </w:rPr>
      </w:pPr>
    </w:p>
    <w:p w14:paraId="216E92B4" w14:textId="6BAAB3FD" w:rsidR="00C31D85" w:rsidRDefault="00C31D85" w:rsidP="00C31D85">
      <w:pPr>
        <w:jc w:val="center"/>
        <w:rPr>
          <w:rFonts w:ascii="Aptos" w:hAnsi="Aptos"/>
          <w:b/>
          <w:bCs/>
          <w:sz w:val="36"/>
          <w:szCs w:val="36"/>
        </w:rPr>
      </w:pPr>
    </w:p>
    <w:p w14:paraId="42A6E8AA" w14:textId="562897B2" w:rsidR="00C31D85" w:rsidRPr="0079071A" w:rsidRDefault="00C31D85" w:rsidP="0079071A">
      <w:pPr>
        <w:tabs>
          <w:tab w:val="left" w:pos="6540"/>
        </w:tabs>
        <w:spacing w:line="360" w:lineRule="auto"/>
        <w:ind w:left="426"/>
        <w:jc w:val="center"/>
        <w:rPr>
          <w:rFonts w:ascii="Aptos" w:hAnsi="Aptos" w:cs="Arial"/>
          <w:sz w:val="28"/>
          <w:szCs w:val="28"/>
          <w:lang w:val="nl-NL"/>
        </w:rPr>
      </w:pP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00802FF1" w:rsidRPr="00C31D85" w14:paraId="2F1EE6C0" w14:textId="77777777" w:rsidTr="00A0123B">
        <w:trPr>
          <w:trHeight w:val="597"/>
        </w:trPr>
        <w:tc>
          <w:tcPr>
            <w:tcW w:w="14616" w:type="dxa"/>
            <w:gridSpan w:val="2"/>
            <w:shd w:val="clear" w:color="auto" w:fill="FFC000" w:themeFill="accent4"/>
            <w:vAlign w:val="center"/>
          </w:tcPr>
          <w:p w14:paraId="080E7EB0" w14:textId="2D775021" w:rsidR="00802FF1" w:rsidRPr="00594029" w:rsidRDefault="007965E5" w:rsidP="00594029">
            <w:pPr>
              <w:jc w:val="center"/>
              <w:rPr>
                <w:rFonts w:ascii="Aptos" w:hAnsi="Aptos"/>
                <w:b/>
                <w:bCs/>
                <w:sz w:val="36"/>
                <w:szCs w:val="36"/>
              </w:rPr>
            </w:pPr>
            <w:r w:rsidRPr="007965E5">
              <w:rPr>
                <w:rFonts w:ascii="Aptos" w:hAnsi="Aptos"/>
                <w:b/>
                <w:bCs/>
                <w:sz w:val="36"/>
                <w:szCs w:val="36"/>
              </w:rPr>
              <w:lastRenderedPageBreak/>
              <w:t>Behind the Mask: Exploring Social Camouflaging in Autistic Adults and its Psychological Impact.</w:t>
            </w:r>
          </w:p>
        </w:tc>
      </w:tr>
      <w:tr w:rsidR="00C31D85" w:rsidRPr="00C31D85" w14:paraId="51100EC3" w14:textId="77777777" w:rsidTr="00A0123B">
        <w:trPr>
          <w:trHeight w:val="1856"/>
        </w:trPr>
        <w:tc>
          <w:tcPr>
            <w:tcW w:w="7225" w:type="dxa"/>
            <w:shd w:val="clear" w:color="auto" w:fill="B4C6E7" w:themeFill="accent1" w:themeFillTint="66"/>
          </w:tcPr>
          <w:p w14:paraId="7D5ABB49" w14:textId="1C3E0D63" w:rsidR="00C31D85" w:rsidRPr="005F7D75" w:rsidRDefault="003E51BC" w:rsidP="00C46111">
            <w:pPr>
              <w:rPr>
                <w:rFonts w:ascii="Aptos" w:hAnsi="Aptos"/>
                <w:b/>
                <w:bCs/>
              </w:rPr>
            </w:pPr>
            <w:r w:rsidRPr="00AB5409">
              <w:rPr>
                <w:rFonts w:ascii="Aptos" w:hAnsi="Aptos"/>
                <w:b/>
                <w:bCs/>
                <w:sz w:val="40"/>
                <w:szCs w:val="40"/>
              </w:rPr>
              <w:t>01</w:t>
            </w:r>
            <w:r>
              <w:rPr>
                <w:rFonts w:ascii="Aptos" w:hAnsi="Aptos"/>
              </w:rPr>
              <w:t xml:space="preserve"> </w:t>
            </w:r>
            <w:r w:rsidRPr="00A0123B">
              <w:rPr>
                <w:rFonts w:ascii="Aptos" w:hAnsi="Aptos"/>
                <w:b/>
              </w:rPr>
              <w:t>Introduction</w:t>
            </w:r>
            <w:r w:rsidR="001A2DAB" w:rsidRPr="005F7D75">
              <w:rPr>
                <w:rFonts w:ascii="Aptos" w:hAnsi="Aptos"/>
                <w:b/>
                <w:bCs/>
              </w:rPr>
              <w:t xml:space="preserve"> and </w:t>
            </w:r>
            <w:r w:rsidR="00AB5409" w:rsidRPr="005F7D75">
              <w:rPr>
                <w:rFonts w:ascii="Aptos" w:hAnsi="Aptos"/>
                <w:b/>
                <w:bCs/>
              </w:rPr>
              <w:t xml:space="preserve">Research </w:t>
            </w:r>
            <w:r w:rsidR="001A2DAB" w:rsidRPr="005F7D75">
              <w:rPr>
                <w:rFonts w:ascii="Aptos" w:hAnsi="Aptos"/>
                <w:b/>
                <w:bCs/>
              </w:rPr>
              <w:t xml:space="preserve">Aim </w:t>
            </w:r>
          </w:p>
          <w:p w14:paraId="1EC609C3" w14:textId="3B394D55" w:rsidR="00594029" w:rsidRPr="00594029" w:rsidRDefault="00594029" w:rsidP="00594029">
            <w:pPr>
              <w:spacing w:line="360" w:lineRule="auto"/>
              <w:jc w:val="both"/>
              <w:rPr>
                <w:rFonts w:ascii="Aptos" w:hAnsi="Aptos"/>
              </w:rPr>
            </w:pPr>
            <w:r w:rsidRPr="00594029">
              <w:rPr>
                <w:rFonts w:ascii="Aptos" w:hAnsi="Aptos"/>
              </w:rPr>
              <w:t xml:space="preserve">The methods chapter of the dissertation presents a systematic literature review which investigates social camouflaging through the mask of autistic adults. </w:t>
            </w:r>
            <w:r>
              <w:rPr>
                <w:rFonts w:ascii="Aptos" w:hAnsi="Aptos"/>
              </w:rPr>
              <w:t xml:space="preserve">It </w:t>
            </w:r>
            <w:r w:rsidRPr="00594029">
              <w:rPr>
                <w:rFonts w:ascii="Aptos" w:hAnsi="Aptos"/>
              </w:rPr>
              <w:t>is a structured secondary research method that synthesises existing evidence to identify patterns, gaps, and implications (Cheong et al., 2023).</w:t>
            </w:r>
          </w:p>
          <w:p w14:paraId="6AC7E31C" w14:textId="2E713FB4" w:rsidR="00594029" w:rsidRDefault="00594029" w:rsidP="00594029">
            <w:pPr>
              <w:spacing w:line="360" w:lineRule="auto"/>
              <w:jc w:val="both"/>
              <w:rPr>
                <w:rFonts w:ascii="Aptos" w:hAnsi="Aptos"/>
              </w:rPr>
            </w:pPr>
            <w:r w:rsidRPr="00594029">
              <w:rPr>
                <w:rFonts w:ascii="Aptos" w:hAnsi="Aptos"/>
                <w:b/>
              </w:rPr>
              <w:t>Research Aim:</w:t>
            </w:r>
            <w:r w:rsidRPr="00594029">
              <w:rPr>
                <w:rFonts w:ascii="Aptos" w:hAnsi="Aptos"/>
              </w:rPr>
              <w:t xml:space="preserve"> This study aims to critically examine social camouflaging in autistic adults, focusing on its psychological impact on mental health, identity development, and well-being, while analysing the psychological and social factors that contribute to sustained masking behaviours.</w:t>
            </w:r>
          </w:p>
          <w:p w14:paraId="4F873229" w14:textId="3DC4E121" w:rsidR="000E56ED" w:rsidRPr="005F7D75" w:rsidRDefault="000E56ED" w:rsidP="005F7D75">
            <w:pPr>
              <w:spacing w:line="360" w:lineRule="auto"/>
              <w:jc w:val="both"/>
              <w:rPr>
                <w:rFonts w:ascii="Aptos" w:hAnsi="Aptos"/>
              </w:rPr>
            </w:pPr>
          </w:p>
        </w:tc>
        <w:tc>
          <w:tcPr>
            <w:tcW w:w="7391" w:type="dxa"/>
            <w:shd w:val="clear" w:color="auto" w:fill="F4B083" w:themeFill="accent2" w:themeFillTint="99"/>
          </w:tcPr>
          <w:p w14:paraId="512F9F0B" w14:textId="77777777" w:rsidR="00C31D85" w:rsidRDefault="00C31D85" w:rsidP="00C46111">
            <w:pPr>
              <w:rPr>
                <w:rFonts w:ascii="Aptos" w:hAnsi="Aptos"/>
              </w:rPr>
            </w:pPr>
            <w:r w:rsidRPr="00AB5409">
              <w:rPr>
                <w:rFonts w:ascii="Aptos" w:hAnsi="Aptos"/>
                <w:b/>
                <w:bCs/>
                <w:sz w:val="40"/>
                <w:szCs w:val="40"/>
              </w:rPr>
              <w:t>02</w:t>
            </w:r>
            <w:r w:rsidR="00AB5409">
              <w:rPr>
                <w:rFonts w:ascii="Aptos" w:hAnsi="Aptos"/>
                <w:b/>
                <w:bCs/>
                <w:sz w:val="40"/>
                <w:szCs w:val="40"/>
              </w:rPr>
              <w:t xml:space="preserve"> </w:t>
            </w:r>
            <w:r w:rsidR="00AB5409" w:rsidRPr="005F7D75">
              <w:rPr>
                <w:rFonts w:ascii="Aptos" w:hAnsi="Aptos"/>
                <w:b/>
                <w:bCs/>
              </w:rPr>
              <w:t>Search Strategy</w:t>
            </w:r>
            <w:r w:rsidR="00AB5409">
              <w:rPr>
                <w:rFonts w:ascii="Aptos" w:hAnsi="Aptos"/>
              </w:rPr>
              <w:t xml:space="preserve"> </w:t>
            </w:r>
          </w:p>
          <w:p w14:paraId="4C1437FB" w14:textId="75DFD9BF" w:rsidR="00594029" w:rsidRPr="00594029" w:rsidRDefault="00594029" w:rsidP="00594029">
            <w:pPr>
              <w:spacing w:line="360" w:lineRule="auto"/>
              <w:jc w:val="both"/>
              <w:rPr>
                <w:rFonts w:ascii="Aptos" w:hAnsi="Aptos"/>
                <w:lang w:val="en-GB"/>
              </w:rPr>
            </w:pPr>
            <w:r w:rsidRPr="00594029">
              <w:rPr>
                <w:rFonts w:ascii="Aptos" w:hAnsi="Aptos"/>
                <w:lang w:val="en-GB"/>
              </w:rPr>
              <w:t>The secondary research process requires researchers to establish a search strategy which combines particular keywords with Boolean operators and database selection and research limits in order to conduct complete literature searches while minimi</w:t>
            </w:r>
            <w:r w:rsidR="00A0123B">
              <w:rPr>
                <w:rFonts w:ascii="Aptos" w:hAnsi="Aptos"/>
                <w:lang w:val="en-GB"/>
              </w:rPr>
              <w:t>s</w:t>
            </w:r>
            <w:r w:rsidRPr="00594029">
              <w:rPr>
                <w:rFonts w:ascii="Aptos" w:hAnsi="Aptos"/>
                <w:lang w:val="en-GB"/>
              </w:rPr>
              <w:t>ing research bias (Nussbaumer-Streit et al., 2020).</w:t>
            </w:r>
          </w:p>
          <w:p w14:paraId="109C23A4" w14:textId="5AA08859" w:rsidR="0029329C" w:rsidRPr="005F7D75" w:rsidRDefault="00594029" w:rsidP="005F7D75">
            <w:pPr>
              <w:spacing w:line="360" w:lineRule="auto"/>
              <w:jc w:val="both"/>
              <w:rPr>
                <w:rFonts w:ascii="Aptos" w:hAnsi="Aptos"/>
                <w:lang w:val="en-GB"/>
              </w:rPr>
            </w:pPr>
            <w:r w:rsidRPr="00594029">
              <w:rPr>
                <w:rFonts w:ascii="Aptos" w:hAnsi="Aptos"/>
                <w:lang w:val="en-GB"/>
              </w:rPr>
              <w:t xml:space="preserve">The research team conducted their study by implementing a structured search framework which explored Google Scholar and PubMed through multiple search combinations between "autism AND camouflaging" and "autistic masking AND mental health" and "autism AND identity AND masking" and "autistic burnout AND camouflaging". </w:t>
            </w:r>
            <w:r w:rsidR="006A5253" w:rsidRPr="006A5253">
              <w:rPr>
                <w:rFonts w:ascii="Aptos" w:hAnsi="Aptos"/>
                <w:lang w:val="en-GB"/>
              </w:rPr>
              <w:t>The focus is on peer-reviewed articles available since 2015 and published in English.</w:t>
            </w:r>
          </w:p>
        </w:tc>
      </w:tr>
      <w:tr w:rsidR="00C31D85" w:rsidRPr="00C31D85" w14:paraId="56FBFF17" w14:textId="77777777" w:rsidTr="00A0123B">
        <w:trPr>
          <w:trHeight w:val="1856"/>
        </w:trPr>
        <w:tc>
          <w:tcPr>
            <w:tcW w:w="7225" w:type="dxa"/>
            <w:shd w:val="clear" w:color="auto" w:fill="FFD966" w:themeFill="accent4" w:themeFillTint="99"/>
          </w:tcPr>
          <w:p w14:paraId="30AEBD55" w14:textId="77777777" w:rsidR="00C31D85" w:rsidRDefault="00C31D85" w:rsidP="00C46111">
            <w:pPr>
              <w:rPr>
                <w:rFonts w:ascii="Aptos" w:hAnsi="Aptos"/>
              </w:rPr>
            </w:pPr>
            <w:r w:rsidRPr="00AB5409">
              <w:rPr>
                <w:rFonts w:ascii="Aptos" w:hAnsi="Aptos"/>
                <w:b/>
                <w:bCs/>
                <w:sz w:val="40"/>
                <w:szCs w:val="40"/>
              </w:rPr>
              <w:lastRenderedPageBreak/>
              <w:t>03</w:t>
            </w:r>
            <w:r w:rsidR="00AB5409">
              <w:rPr>
                <w:rFonts w:ascii="Aptos" w:hAnsi="Aptos"/>
              </w:rPr>
              <w:t xml:space="preserve"> </w:t>
            </w:r>
            <w:r w:rsidR="00AB5409" w:rsidRPr="005F7D75">
              <w:rPr>
                <w:rFonts w:ascii="Aptos" w:hAnsi="Aptos"/>
                <w:b/>
                <w:bCs/>
              </w:rPr>
              <w:t>Searching for Information</w:t>
            </w:r>
            <w:r w:rsidR="00AB5409">
              <w:rPr>
                <w:rFonts w:ascii="Aptos" w:hAnsi="Aptos"/>
              </w:rPr>
              <w:t xml:space="preserve"> </w:t>
            </w:r>
          </w:p>
          <w:p w14:paraId="1E2D85F7" w14:textId="4961F201" w:rsidR="00C07553" w:rsidRPr="00C07553" w:rsidRDefault="00C07553" w:rsidP="00C07553">
            <w:pPr>
              <w:spacing w:line="360" w:lineRule="auto"/>
              <w:jc w:val="both"/>
              <w:rPr>
                <w:rFonts w:ascii="Aptos" w:hAnsi="Aptos"/>
                <w:lang w:val="en-GB"/>
              </w:rPr>
            </w:pPr>
            <w:r w:rsidRPr="00C07553">
              <w:rPr>
                <w:rFonts w:ascii="Aptos" w:hAnsi="Aptos"/>
                <w:lang w:val="en-GB"/>
              </w:rPr>
              <w:t xml:space="preserve">The search process followed a clear staged approach: keyword searching, title screening, abstract screening, and full-text review which used PRISMA guidelines. </w:t>
            </w:r>
            <w:r w:rsidR="006A5253" w:rsidRPr="006A5253">
              <w:rPr>
                <w:rFonts w:ascii="Aptos" w:hAnsi="Aptos"/>
                <w:lang w:val="en-GB"/>
              </w:rPr>
              <w:t>The research process examined studies which fulfilled the necessary quality standards for research synthesis, while focusing on autism spectrum studies that investigated camouflaging behavior (Petrolini et al., 2023</w:t>
            </w:r>
            <w:r w:rsidR="006A5253">
              <w:rPr>
                <w:rFonts w:ascii="Aptos" w:hAnsi="Aptos"/>
                <w:lang w:val="en-GB"/>
              </w:rPr>
              <w:t xml:space="preserve">; </w:t>
            </w:r>
            <w:r w:rsidR="006A5253" w:rsidRPr="006A5253">
              <w:rPr>
                <w:rFonts w:ascii="Aptos" w:hAnsi="Aptos"/>
                <w:lang w:val="en-GB"/>
              </w:rPr>
              <w:t>Zhuang et al., 2023).</w:t>
            </w:r>
          </w:p>
          <w:p w14:paraId="701333EA" w14:textId="64E94EAD" w:rsidR="0029329C" w:rsidRPr="005F7D75" w:rsidRDefault="0029329C" w:rsidP="00C07553">
            <w:pPr>
              <w:spacing w:line="360" w:lineRule="auto"/>
              <w:jc w:val="both"/>
              <w:rPr>
                <w:rFonts w:ascii="Aptos" w:hAnsi="Aptos"/>
                <w:lang w:val="en-GB"/>
              </w:rPr>
            </w:pPr>
          </w:p>
        </w:tc>
        <w:tc>
          <w:tcPr>
            <w:tcW w:w="7391" w:type="dxa"/>
            <w:shd w:val="clear" w:color="auto" w:fill="A8D08D" w:themeFill="accent6" w:themeFillTint="99"/>
          </w:tcPr>
          <w:p w14:paraId="54995ADA" w14:textId="23E1BDC2" w:rsidR="00C31D85" w:rsidRDefault="007965E5" w:rsidP="00C46111">
            <w:pPr>
              <w:rPr>
                <w:rFonts w:ascii="Aptos" w:hAnsi="Aptos"/>
              </w:rPr>
            </w:pPr>
            <w:r w:rsidRPr="00CB2D3D">
              <w:rPr>
                <w:rFonts w:eastAsiaTheme="majorEastAsia" w:cstheme="majorBidi"/>
                <w:noProof/>
                <w:color w:val="000000" w:themeColor="text1"/>
                <w:szCs w:val="32"/>
              </w:rPr>
              <w:drawing>
                <wp:anchor distT="0" distB="0" distL="114300" distR="114300" simplePos="0" relativeHeight="251662336" behindDoc="1" locked="0" layoutInCell="1" allowOverlap="1" wp14:anchorId="5E6C6718" wp14:editId="0700A2F9">
                  <wp:simplePos x="0" y="0"/>
                  <wp:positionH relativeFrom="column">
                    <wp:posOffset>519250</wp:posOffset>
                  </wp:positionH>
                  <wp:positionV relativeFrom="paragraph">
                    <wp:posOffset>400335</wp:posOffset>
                  </wp:positionV>
                  <wp:extent cx="3575685" cy="2124710"/>
                  <wp:effectExtent l="76200" t="76200" r="139065" b="142240"/>
                  <wp:wrapTight wrapText="bothSides">
                    <wp:wrapPolygon edited="0">
                      <wp:start x="-230" y="-775"/>
                      <wp:lineTo x="-460" y="-581"/>
                      <wp:lineTo x="-460" y="22078"/>
                      <wp:lineTo x="-230" y="22852"/>
                      <wp:lineTo x="22095" y="22852"/>
                      <wp:lineTo x="22325" y="21303"/>
                      <wp:lineTo x="22325" y="2518"/>
                      <wp:lineTo x="22095" y="-387"/>
                      <wp:lineTo x="22095" y="-775"/>
                      <wp:lineTo x="-230" y="-77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75685" cy="21247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C31D85" w:rsidRPr="00AB5409">
              <w:rPr>
                <w:rFonts w:ascii="Aptos" w:hAnsi="Aptos"/>
                <w:b/>
                <w:bCs/>
                <w:sz w:val="40"/>
                <w:szCs w:val="40"/>
              </w:rPr>
              <w:t>04</w:t>
            </w:r>
            <w:r w:rsidR="00AB5409">
              <w:rPr>
                <w:rFonts w:ascii="Aptos" w:hAnsi="Aptos"/>
              </w:rPr>
              <w:t xml:space="preserve"> </w:t>
            </w:r>
            <w:r w:rsidRPr="00A0123B">
              <w:rPr>
                <w:rFonts w:ascii="Aptos" w:hAnsi="Aptos"/>
                <w:b/>
              </w:rPr>
              <w:t>Prisma Flow Diagram</w:t>
            </w:r>
          </w:p>
          <w:p w14:paraId="2BBB997C" w14:textId="7084A7D9" w:rsidR="005F7D75" w:rsidRPr="00C31D85" w:rsidRDefault="005F7D75" w:rsidP="007965E5">
            <w:pPr>
              <w:spacing w:line="360" w:lineRule="auto"/>
              <w:jc w:val="both"/>
              <w:rPr>
                <w:rFonts w:ascii="Aptos" w:hAnsi="Aptos"/>
              </w:rPr>
            </w:pPr>
          </w:p>
        </w:tc>
      </w:tr>
      <w:tr w:rsidR="00C31D85" w:rsidRPr="00C31D85" w14:paraId="71279A0E" w14:textId="77777777" w:rsidTr="00A0123B">
        <w:trPr>
          <w:trHeight w:val="983"/>
        </w:trPr>
        <w:tc>
          <w:tcPr>
            <w:tcW w:w="14616" w:type="dxa"/>
            <w:gridSpan w:val="2"/>
            <w:shd w:val="clear" w:color="auto" w:fill="C9C9C9" w:themeFill="accent3" w:themeFillTint="99"/>
          </w:tcPr>
          <w:p w14:paraId="559B5E23" w14:textId="77777777" w:rsidR="00C31D85" w:rsidRDefault="00C31D85" w:rsidP="00AB5409">
            <w:pPr>
              <w:jc w:val="center"/>
              <w:rPr>
                <w:rFonts w:ascii="Aptos" w:hAnsi="Aptos"/>
                <w:b/>
                <w:bCs/>
              </w:rPr>
            </w:pPr>
            <w:r w:rsidRPr="00AB5409">
              <w:rPr>
                <w:rFonts w:ascii="Aptos" w:hAnsi="Aptos"/>
                <w:b/>
                <w:bCs/>
                <w:sz w:val="40"/>
                <w:szCs w:val="40"/>
              </w:rPr>
              <w:t>05</w:t>
            </w:r>
            <w:r w:rsidR="00AB5409">
              <w:rPr>
                <w:rFonts w:ascii="Aptos" w:hAnsi="Aptos"/>
              </w:rPr>
              <w:t xml:space="preserve"> </w:t>
            </w:r>
            <w:r w:rsidR="00AB5409" w:rsidRPr="005F7D75">
              <w:rPr>
                <w:rFonts w:ascii="Aptos" w:hAnsi="Aptos"/>
                <w:b/>
                <w:bCs/>
              </w:rPr>
              <w:t>Research Validation and Analysis</w:t>
            </w:r>
          </w:p>
          <w:p w14:paraId="7454B819" w14:textId="49E31B3E" w:rsidR="003E51BC" w:rsidRPr="00516CC0" w:rsidRDefault="003E51BC" w:rsidP="00516CC0">
            <w:pPr>
              <w:spacing w:line="360" w:lineRule="auto"/>
              <w:jc w:val="both"/>
              <w:rPr>
                <w:rFonts w:ascii="Aptos" w:hAnsi="Aptos"/>
                <w:lang w:val="en-GB"/>
              </w:rPr>
            </w:pPr>
            <w:r w:rsidRPr="003E51BC">
              <w:rPr>
                <w:rFonts w:ascii="Aptos" w:hAnsi="Aptos"/>
                <w:lang w:val="en-GB"/>
              </w:rPr>
              <w:t>The process of validating secondary research needs assessment of source credibility and source relevance and source reliability according to CRAAP criteria which includes Currency</w:t>
            </w:r>
            <w:r w:rsidR="00C07553">
              <w:rPr>
                <w:rFonts w:ascii="Aptos" w:hAnsi="Aptos"/>
                <w:lang w:val="en-GB"/>
              </w:rPr>
              <w:t xml:space="preserve">, </w:t>
            </w:r>
            <w:r w:rsidRPr="003E51BC">
              <w:rPr>
                <w:rFonts w:ascii="Aptos" w:hAnsi="Aptos"/>
                <w:lang w:val="en-GB"/>
              </w:rPr>
              <w:t>Relevance</w:t>
            </w:r>
            <w:r w:rsidR="00C07553">
              <w:rPr>
                <w:rFonts w:ascii="Aptos" w:hAnsi="Aptos"/>
                <w:lang w:val="en-GB"/>
              </w:rPr>
              <w:t xml:space="preserve">, </w:t>
            </w:r>
            <w:r w:rsidRPr="003E51BC">
              <w:rPr>
                <w:rFonts w:ascii="Aptos" w:hAnsi="Aptos"/>
                <w:lang w:val="en-GB"/>
              </w:rPr>
              <w:t>Authority</w:t>
            </w:r>
            <w:r w:rsidR="00C07553">
              <w:rPr>
                <w:rFonts w:ascii="Aptos" w:hAnsi="Aptos"/>
                <w:lang w:val="en-GB"/>
              </w:rPr>
              <w:t xml:space="preserve">, </w:t>
            </w:r>
            <w:r w:rsidRPr="003E51BC">
              <w:rPr>
                <w:rFonts w:ascii="Aptos" w:hAnsi="Aptos"/>
                <w:lang w:val="en-GB"/>
              </w:rPr>
              <w:t>Accuracy a</w:t>
            </w:r>
            <w:r w:rsidR="00C07553">
              <w:rPr>
                <w:rFonts w:ascii="Aptos" w:hAnsi="Aptos"/>
                <w:lang w:val="en-GB"/>
              </w:rPr>
              <w:t xml:space="preserve">nd </w:t>
            </w:r>
            <w:r w:rsidRPr="003E51BC">
              <w:rPr>
                <w:rFonts w:ascii="Aptos" w:hAnsi="Aptos"/>
                <w:lang w:val="en-GB"/>
              </w:rPr>
              <w:t>Purpose</w:t>
            </w:r>
            <w:r w:rsidR="00C07553">
              <w:rPr>
                <w:rFonts w:ascii="Aptos" w:hAnsi="Aptos"/>
                <w:lang w:val="en-GB"/>
              </w:rPr>
              <w:t xml:space="preserve"> </w:t>
            </w:r>
            <w:r w:rsidR="00C07553" w:rsidRPr="00C07553">
              <w:rPr>
                <w:rFonts w:ascii="Aptos" w:hAnsi="Aptos"/>
                <w:lang w:val="en-GB"/>
              </w:rPr>
              <w:t>(Arnold et al., 2026)</w:t>
            </w:r>
            <w:r w:rsidRPr="003E51BC">
              <w:rPr>
                <w:rFonts w:ascii="Aptos" w:hAnsi="Aptos"/>
                <w:lang w:val="en-GB"/>
              </w:rPr>
              <w:t xml:space="preserve">. The researchers restricted their sources to peer-reviewed materials because they wanted to maintain academic standards. Thematic analysis served as the primary method which the researchers used to examine their secondary research data (McLeod, 2024). </w:t>
            </w:r>
            <w:r w:rsidR="00BC09AC" w:rsidRPr="00BC09AC">
              <w:rPr>
                <w:rFonts w:ascii="Aptos" w:hAnsi="Aptos"/>
                <w:lang w:val="en-GB"/>
              </w:rPr>
              <w:t xml:space="preserve">The researchers extracted data from the included studies and organised it into structured tables which they used to develop three main themes which included psychological burden together with anxiety and depression and burnout and the theme of identity and self-concept and the theme of social navigation pressures. The findings indicate that camouflaging is linked to increased levels of anxiety and depression </w:t>
            </w:r>
            <w:r w:rsidR="006A5253">
              <w:rPr>
                <w:rFonts w:ascii="Aptos" w:hAnsi="Aptos"/>
                <w:lang w:val="en-GB"/>
              </w:rPr>
              <w:t>(</w:t>
            </w:r>
            <w:r w:rsidR="00BC09AC" w:rsidRPr="00BC09AC">
              <w:rPr>
                <w:rFonts w:ascii="Aptos" w:hAnsi="Aptos"/>
                <w:lang w:val="en-GB"/>
              </w:rPr>
              <w:t>Hull et al. 2021</w:t>
            </w:r>
            <w:r w:rsidR="006A5253">
              <w:rPr>
                <w:rFonts w:ascii="Aptos" w:hAnsi="Aptos"/>
                <w:lang w:val="en-GB"/>
              </w:rPr>
              <w:t xml:space="preserve">; </w:t>
            </w:r>
            <w:r w:rsidR="006A5253" w:rsidRPr="00BC09AC">
              <w:rPr>
                <w:rFonts w:ascii="Aptos" w:hAnsi="Aptos"/>
                <w:lang w:val="en-GB"/>
              </w:rPr>
              <w:t>Oshima et al. 2024</w:t>
            </w:r>
            <w:r w:rsidR="006A5253">
              <w:rPr>
                <w:rFonts w:ascii="Aptos" w:hAnsi="Aptos"/>
                <w:lang w:val="en-GB"/>
              </w:rPr>
              <w:t xml:space="preserve">). According to </w:t>
            </w:r>
            <w:r w:rsidR="006A5253" w:rsidRPr="00BC09AC">
              <w:rPr>
                <w:rFonts w:ascii="Aptos" w:hAnsi="Aptos"/>
                <w:lang w:val="en-GB"/>
              </w:rPr>
              <w:t xml:space="preserve">Pritchard-Rowe et al. </w:t>
            </w:r>
            <w:r w:rsidR="006A5253">
              <w:rPr>
                <w:rFonts w:ascii="Aptos" w:hAnsi="Aptos"/>
                <w:lang w:val="en-GB"/>
              </w:rPr>
              <w:t>(</w:t>
            </w:r>
            <w:r w:rsidR="006A5253" w:rsidRPr="00BC09AC">
              <w:rPr>
                <w:rFonts w:ascii="Aptos" w:hAnsi="Aptos"/>
                <w:lang w:val="en-GB"/>
              </w:rPr>
              <w:t>2024</w:t>
            </w:r>
            <w:r w:rsidR="006A5253">
              <w:rPr>
                <w:rFonts w:ascii="Aptos" w:hAnsi="Aptos"/>
                <w:lang w:val="en-GB"/>
              </w:rPr>
              <w:t>),</w:t>
            </w:r>
            <w:r w:rsidR="00BC09AC" w:rsidRPr="00BC09AC">
              <w:rPr>
                <w:rFonts w:ascii="Aptos" w:hAnsi="Aptos"/>
                <w:lang w:val="en-GB"/>
              </w:rPr>
              <w:t xml:space="preserve"> it may affect diagnostic accuracy and it is affected by cross-cultural variations in mental health results</w:t>
            </w:r>
            <w:r w:rsidR="006A5253">
              <w:rPr>
                <w:rFonts w:ascii="Aptos" w:hAnsi="Aptos"/>
                <w:lang w:val="en-GB"/>
              </w:rPr>
              <w:t>.</w:t>
            </w:r>
            <w:r w:rsidR="00BC09AC" w:rsidRPr="00BC09AC">
              <w:rPr>
                <w:rFonts w:ascii="Aptos" w:hAnsi="Aptos"/>
                <w:lang w:val="en-GB"/>
              </w:rPr>
              <w:t xml:space="preserve"> </w:t>
            </w:r>
          </w:p>
        </w:tc>
      </w:tr>
      <w:tr w:rsidR="00AB5409" w:rsidRPr="00C31D85" w14:paraId="1159AF67" w14:textId="77777777" w:rsidTr="00A0123B">
        <w:trPr>
          <w:trHeight w:val="1856"/>
        </w:trPr>
        <w:tc>
          <w:tcPr>
            <w:tcW w:w="7225" w:type="dxa"/>
            <w:shd w:val="clear" w:color="auto" w:fill="FFE599" w:themeFill="accent4" w:themeFillTint="66"/>
          </w:tcPr>
          <w:p w14:paraId="398EE9B0" w14:textId="77777777" w:rsidR="00AB5409" w:rsidRDefault="00AB5409" w:rsidP="00C4611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7945106C" w14:textId="6E57C884" w:rsidR="007965E5" w:rsidRPr="00CD6130" w:rsidRDefault="00CD6130" w:rsidP="00CD6130">
            <w:pPr>
              <w:spacing w:line="360" w:lineRule="auto"/>
              <w:jc w:val="both"/>
              <w:rPr>
                <w:rFonts w:ascii="Aptos" w:hAnsi="Aptos"/>
              </w:rPr>
            </w:pPr>
            <w:r w:rsidRPr="00CD6130">
              <w:rPr>
                <w:rFonts w:ascii="Aptos" w:hAnsi="Aptos"/>
              </w:rPr>
              <w:t>The review examined English-language peer-reviewed studies</w:t>
            </w:r>
            <w:r>
              <w:rPr>
                <w:rFonts w:ascii="Aptos" w:hAnsi="Aptos"/>
              </w:rPr>
              <w:t xml:space="preserve"> </w:t>
            </w:r>
            <w:r w:rsidRPr="00CD6130">
              <w:rPr>
                <w:rFonts w:ascii="Aptos" w:hAnsi="Aptos"/>
              </w:rPr>
              <w:t xml:space="preserve">(from 2015 onwards) which focused on autistic adults who were 18 years and older and studied social camouflaging or masking together with its effects on mental </w:t>
            </w:r>
            <w:r w:rsidRPr="00CD6130">
              <w:rPr>
                <w:rFonts w:ascii="Aptos" w:hAnsi="Aptos"/>
              </w:rPr>
              <w:lastRenderedPageBreak/>
              <w:t>health and well-being including both empirical studies and systematic reviews.</w:t>
            </w:r>
          </w:p>
        </w:tc>
        <w:tc>
          <w:tcPr>
            <w:tcW w:w="7391" w:type="dxa"/>
            <w:shd w:val="clear" w:color="auto" w:fill="F4B083" w:themeFill="accent2" w:themeFillTint="99"/>
          </w:tcPr>
          <w:p w14:paraId="51867809" w14:textId="77777777" w:rsidR="00AB5409" w:rsidRDefault="00AB5409" w:rsidP="00C46111">
            <w:pPr>
              <w:rPr>
                <w:rFonts w:ascii="Aptos" w:hAnsi="Aptos"/>
              </w:rPr>
            </w:pPr>
            <w:r w:rsidRPr="00AB5409">
              <w:rPr>
                <w:rFonts w:ascii="Aptos" w:hAnsi="Aptos"/>
                <w:b/>
                <w:bCs/>
                <w:sz w:val="40"/>
                <w:szCs w:val="40"/>
              </w:rPr>
              <w:lastRenderedPageBreak/>
              <w:t>07</w:t>
            </w:r>
            <w:r>
              <w:rPr>
                <w:rFonts w:ascii="Aptos" w:hAnsi="Aptos"/>
              </w:rPr>
              <w:t xml:space="preserve"> </w:t>
            </w:r>
            <w:r w:rsidRPr="005F7D75">
              <w:rPr>
                <w:rFonts w:ascii="Aptos" w:hAnsi="Aptos"/>
                <w:b/>
                <w:bCs/>
              </w:rPr>
              <w:t>Exclusion Criteria</w:t>
            </w:r>
            <w:r>
              <w:rPr>
                <w:rFonts w:ascii="Aptos" w:hAnsi="Aptos"/>
              </w:rPr>
              <w:t xml:space="preserve"> </w:t>
            </w:r>
          </w:p>
          <w:p w14:paraId="253F8839" w14:textId="6642522C" w:rsidR="00516CC0" w:rsidRPr="009E57C4" w:rsidRDefault="009E57C4" w:rsidP="009E57C4">
            <w:pPr>
              <w:spacing w:line="360" w:lineRule="auto"/>
              <w:jc w:val="both"/>
              <w:rPr>
                <w:rFonts w:ascii="Aptos" w:hAnsi="Aptos"/>
              </w:rPr>
            </w:pPr>
            <w:r w:rsidRPr="009E57C4">
              <w:rPr>
                <w:rFonts w:ascii="Aptos" w:hAnsi="Aptos"/>
              </w:rPr>
              <w:t>The study excluded participants younger than 18 who did not show camouflaging or masking behaviors and whose research did not investigate psychological or identity-related results and who published their work through non-peer-reviewed or inaccessible opinion-based content.</w:t>
            </w:r>
            <w:r w:rsidR="00516CC0" w:rsidRPr="009E57C4">
              <w:rPr>
                <w:rFonts w:ascii="Aptos" w:hAnsi="Aptos"/>
              </w:rPr>
              <w:t xml:space="preserve"> </w:t>
            </w:r>
          </w:p>
        </w:tc>
      </w:tr>
      <w:tr w:rsidR="00C31D85" w:rsidRPr="00C31D85" w14:paraId="583C9C87" w14:textId="77777777" w:rsidTr="00A0123B">
        <w:trPr>
          <w:trHeight w:val="1798"/>
        </w:trPr>
        <w:tc>
          <w:tcPr>
            <w:tcW w:w="14616" w:type="dxa"/>
            <w:gridSpan w:val="2"/>
            <w:shd w:val="clear" w:color="auto" w:fill="A8D08D" w:themeFill="accent6" w:themeFillTint="99"/>
          </w:tcPr>
          <w:p w14:paraId="68877F30" w14:textId="312741E9" w:rsidR="00C31D85" w:rsidRPr="007965E5" w:rsidRDefault="00C31D85" w:rsidP="007965E5">
            <w:pPr>
              <w:jc w:val="center"/>
              <w:rPr>
                <w:rFonts w:ascii="Aptos" w:hAnsi="Aptos"/>
                <w:b/>
                <w:bCs/>
              </w:rPr>
            </w:pPr>
            <w:r w:rsidRPr="00AB5409">
              <w:rPr>
                <w:rFonts w:ascii="Aptos" w:hAnsi="Aptos"/>
                <w:b/>
                <w:bCs/>
                <w:sz w:val="40"/>
                <w:szCs w:val="40"/>
              </w:rPr>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p w14:paraId="28D04039" w14:textId="401D99A3" w:rsidR="00F52F83" w:rsidRPr="007965E5" w:rsidRDefault="007965E5" w:rsidP="00F52F83">
            <w:pPr>
              <w:numPr>
                <w:ilvl w:val="0"/>
                <w:numId w:val="12"/>
              </w:numPr>
              <w:rPr>
                <w:rFonts w:ascii="Aptos" w:hAnsi="Aptos"/>
                <w:lang w:val="en-GB"/>
              </w:rPr>
            </w:pPr>
            <w:r w:rsidRPr="00F52F83">
              <w:rPr>
                <w:rFonts w:ascii="Aptos" w:hAnsi="Aptos"/>
                <w:noProof/>
              </w:rPr>
              <w:drawing>
                <wp:anchor distT="0" distB="0" distL="114300" distR="114300" simplePos="0" relativeHeight="251661312" behindDoc="1" locked="0" layoutInCell="1" allowOverlap="1" wp14:anchorId="208D47B1" wp14:editId="5E2284C5">
                  <wp:simplePos x="0" y="0"/>
                  <wp:positionH relativeFrom="column">
                    <wp:posOffset>125739</wp:posOffset>
                  </wp:positionH>
                  <wp:positionV relativeFrom="paragraph">
                    <wp:posOffset>397017</wp:posOffset>
                  </wp:positionV>
                  <wp:extent cx="8886825" cy="1782445"/>
                  <wp:effectExtent l="12700" t="0" r="15875" b="0"/>
                  <wp:wrapTight wrapText="bothSides">
                    <wp:wrapPolygon edited="0">
                      <wp:start x="-31" y="2770"/>
                      <wp:lineTo x="-31" y="18930"/>
                      <wp:lineTo x="21608" y="18930"/>
                      <wp:lineTo x="21608" y="2770"/>
                      <wp:lineTo x="-31" y="2770"/>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V relativeFrom="margin">
                    <wp14:pctHeight>0</wp14:pctHeight>
                  </wp14:sizeRelV>
                </wp:anchor>
              </w:drawing>
            </w:r>
            <w:r w:rsidR="009E57C4" w:rsidRPr="009E57C4">
              <w:rPr>
                <w:rFonts w:ascii="Aptos" w:hAnsi="Aptos"/>
                <w:lang w:val="en-GB"/>
              </w:rPr>
              <w:t>The ethical guidelines for secondary research establish standards for researchers to use existing literature with integrity by properly attributing all sources and maintaining the scientific honesty of the original studies and their sensitive research subjects (Sony et al., 2025).</w:t>
            </w: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C31D85" w:rsidRDefault="00ED1049" w:rsidP="00C31D85">
      <w:r w:rsidRPr="00ED1049">
        <w:rPr>
          <w:rFonts w:ascii="Arial" w:hAnsi="Arial" w:cs="Arial"/>
          <w:b/>
          <w:bCs/>
          <w:sz w:val="28"/>
          <w:szCs w:val="28"/>
        </w:rPr>
        <w:lastRenderedPageBreak/>
        <w:t>References</w:t>
      </w:r>
    </w:p>
    <w:p w14:paraId="463C63EF" w14:textId="77777777" w:rsidR="00A0123B" w:rsidRPr="00B32307" w:rsidRDefault="00A0123B" w:rsidP="00A0123B">
      <w:pPr>
        <w:ind w:left="720" w:hanging="720"/>
        <w:jc w:val="both"/>
        <w:rPr>
          <w:rFonts w:cs="Times New Roman"/>
          <w:lang w:val="en-GB"/>
        </w:rPr>
      </w:pPr>
      <w:r w:rsidRPr="00B32307">
        <w:rPr>
          <w:rFonts w:cs="Times New Roman"/>
          <w:lang w:val="en-GB"/>
        </w:rPr>
        <w:t xml:space="preserve">Arnold, W.M., Bitsika, V. and Sharpley, C.F. (2026). Camouflaging and autism: Conceptualisation and methodological issues. </w:t>
      </w:r>
      <w:r w:rsidRPr="00B32307">
        <w:rPr>
          <w:rFonts w:cs="Times New Roman"/>
          <w:i/>
          <w:iCs/>
          <w:lang w:val="en-GB"/>
        </w:rPr>
        <w:t>Autism</w:t>
      </w:r>
      <w:r w:rsidRPr="00B32307">
        <w:rPr>
          <w:rFonts w:cs="Times New Roman"/>
          <w:lang w:val="en-GB"/>
        </w:rPr>
        <w:t xml:space="preserve">. </w:t>
      </w:r>
      <w:hyperlink r:id="rId20" w:history="1">
        <w:r w:rsidRPr="00B32307">
          <w:rPr>
            <w:rStyle w:val="Hyperlink"/>
            <w:rFonts w:cs="Times New Roman"/>
            <w:lang w:val="en-GB"/>
          </w:rPr>
          <w:t>https://doi.org/10.1177/13623613261420085</w:t>
        </w:r>
      </w:hyperlink>
      <w:r w:rsidRPr="00B32307">
        <w:rPr>
          <w:rFonts w:cs="Times New Roman"/>
          <w:lang w:val="en-GB"/>
        </w:rPr>
        <w:t xml:space="preserve"> </w:t>
      </w:r>
    </w:p>
    <w:p w14:paraId="15D2B393" w14:textId="77777777" w:rsidR="00A0123B" w:rsidRDefault="00A0123B" w:rsidP="00A0123B">
      <w:pPr>
        <w:ind w:left="720" w:hanging="720"/>
        <w:jc w:val="both"/>
        <w:rPr>
          <w:rFonts w:cs="Times New Roman"/>
        </w:rPr>
      </w:pPr>
      <w:r w:rsidRPr="00BC6AE2">
        <w:rPr>
          <w:rFonts w:cs="Times New Roman"/>
        </w:rPr>
        <w:t xml:space="preserve">Cheong, H., Lyons, A., Houghton, R. and Majumdar, A. (2023). Secondary Qualitative Research Methodology Using Online Data within the Context of Social Sciences. </w:t>
      </w:r>
      <w:r w:rsidRPr="00BC6AE2">
        <w:rPr>
          <w:rFonts w:cs="Times New Roman"/>
          <w:i/>
          <w:iCs/>
        </w:rPr>
        <w:t>International Journal of Qualitative Methods</w:t>
      </w:r>
      <w:r w:rsidRPr="00BC6AE2">
        <w:rPr>
          <w:rFonts w:cs="Times New Roman"/>
        </w:rPr>
        <w:t>, 22(1), pp.1–19.</w:t>
      </w:r>
    </w:p>
    <w:p w14:paraId="4F3FC985" w14:textId="77777777" w:rsidR="00A0123B" w:rsidRPr="00B32307" w:rsidRDefault="00A0123B" w:rsidP="00A0123B">
      <w:pPr>
        <w:ind w:left="720" w:hanging="720"/>
        <w:jc w:val="both"/>
        <w:rPr>
          <w:rFonts w:cs="Times New Roman"/>
          <w:lang w:val="en-GB"/>
        </w:rPr>
      </w:pPr>
      <w:r w:rsidRPr="00B32307">
        <w:rPr>
          <w:rFonts w:cs="Times New Roman"/>
          <w:lang w:val="en-GB"/>
        </w:rPr>
        <w:t xml:space="preserve">Frost, D.M. and Meyer, I.H. (2023). Minority stress theory: Application, critique, and continued relevance. </w:t>
      </w:r>
      <w:r w:rsidRPr="00B32307">
        <w:rPr>
          <w:rFonts w:cs="Times New Roman"/>
          <w:i/>
          <w:iCs/>
          <w:lang w:val="en-GB"/>
        </w:rPr>
        <w:t>Current Opinion in Psychology</w:t>
      </w:r>
      <w:r w:rsidRPr="00B32307">
        <w:rPr>
          <w:rFonts w:cs="Times New Roman"/>
          <w:lang w:val="en-GB"/>
        </w:rPr>
        <w:t xml:space="preserve">, [online] 51, p.101579. </w:t>
      </w:r>
      <w:hyperlink r:id="rId21" w:history="1">
        <w:r w:rsidRPr="00B32307">
          <w:rPr>
            <w:rStyle w:val="Hyperlink"/>
            <w:rFonts w:cs="Times New Roman"/>
            <w:lang w:val="en-GB"/>
          </w:rPr>
          <w:t>https://doi.org/10.1016/j.copsyc.2023.101579</w:t>
        </w:r>
      </w:hyperlink>
      <w:r w:rsidRPr="00B32307">
        <w:rPr>
          <w:rFonts w:cs="Times New Roman"/>
          <w:lang w:val="en-GB"/>
        </w:rPr>
        <w:t xml:space="preserve"> </w:t>
      </w:r>
    </w:p>
    <w:p w14:paraId="5D22D938" w14:textId="77777777" w:rsidR="00A0123B" w:rsidRPr="00B32307" w:rsidRDefault="00A0123B" w:rsidP="00A0123B">
      <w:pPr>
        <w:ind w:left="720" w:hanging="720"/>
        <w:jc w:val="both"/>
        <w:rPr>
          <w:rFonts w:cs="Times New Roman"/>
          <w:lang w:val="en-GB"/>
        </w:rPr>
      </w:pPr>
      <w:r w:rsidRPr="00B32307">
        <w:rPr>
          <w:rFonts w:cs="Times New Roman"/>
          <w:lang w:val="en-GB"/>
        </w:rPr>
        <w:t xml:space="preserve">Hull, L., Levy, L., Lai, M.-C., Petrides, K.V., Baron-Cohen, S., Allison, C., Smith, P. and Mandy, W. (2021). Is social camouflaging associated with anxiety and depression in autistic adults? </w:t>
      </w:r>
      <w:r w:rsidRPr="00B32307">
        <w:rPr>
          <w:rFonts w:cs="Times New Roman"/>
          <w:i/>
          <w:iCs/>
          <w:lang w:val="en-GB"/>
        </w:rPr>
        <w:t>Molecular Autism</w:t>
      </w:r>
      <w:r w:rsidRPr="00B32307">
        <w:rPr>
          <w:rFonts w:cs="Times New Roman"/>
          <w:lang w:val="en-GB"/>
        </w:rPr>
        <w:t xml:space="preserve">, [online] 12(1). </w:t>
      </w:r>
      <w:hyperlink r:id="rId22" w:history="1">
        <w:r w:rsidRPr="00B32307">
          <w:rPr>
            <w:rStyle w:val="Hyperlink"/>
            <w:rFonts w:cs="Times New Roman"/>
            <w:lang w:val="en-GB"/>
          </w:rPr>
          <w:t>https://doi.org/10.1186/s13229-021-00421-1</w:t>
        </w:r>
      </w:hyperlink>
      <w:r w:rsidRPr="00B32307">
        <w:rPr>
          <w:rFonts w:cs="Times New Roman"/>
          <w:lang w:val="en-GB"/>
        </w:rPr>
        <w:t xml:space="preserve"> </w:t>
      </w:r>
    </w:p>
    <w:p w14:paraId="1CF41462" w14:textId="77777777" w:rsidR="00A0123B" w:rsidRPr="00BC6AE2" w:rsidRDefault="00A0123B" w:rsidP="00A0123B">
      <w:pPr>
        <w:ind w:left="720" w:hanging="720"/>
        <w:jc w:val="both"/>
        <w:rPr>
          <w:rFonts w:cs="Times New Roman"/>
        </w:rPr>
      </w:pPr>
      <w:r w:rsidRPr="00BC6AE2">
        <w:rPr>
          <w:rFonts w:cs="Times New Roman"/>
        </w:rPr>
        <w:t xml:space="preserve">McLeod, S. (2024). Thematic Analysis: A Step by Step Guide. </w:t>
      </w:r>
      <w:r w:rsidRPr="00BC6AE2">
        <w:rPr>
          <w:rFonts w:cs="Times New Roman"/>
          <w:i/>
          <w:iCs/>
        </w:rPr>
        <w:t>ResearchGate</w:t>
      </w:r>
      <w:r w:rsidRPr="00BC6AE2">
        <w:rPr>
          <w:rFonts w:cs="Times New Roman"/>
        </w:rPr>
        <w:t xml:space="preserve">. [online] </w:t>
      </w:r>
      <w:hyperlink r:id="rId23" w:history="1">
        <w:r w:rsidRPr="00785096">
          <w:rPr>
            <w:rStyle w:val="Hyperlink"/>
            <w:rFonts w:cs="Times New Roman"/>
          </w:rPr>
          <w:t>https://doi.org/10.13140/RG.2.2.13084.71048</w:t>
        </w:r>
      </w:hyperlink>
      <w:r>
        <w:rPr>
          <w:rFonts w:cs="Times New Roman"/>
        </w:rPr>
        <w:t xml:space="preserve"> </w:t>
      </w:r>
    </w:p>
    <w:p w14:paraId="5ABEC1AD" w14:textId="77777777" w:rsidR="00A0123B" w:rsidRPr="00BC6AE2" w:rsidRDefault="00A0123B" w:rsidP="00A0123B">
      <w:pPr>
        <w:ind w:left="720" w:hanging="720"/>
        <w:jc w:val="both"/>
        <w:rPr>
          <w:rFonts w:cs="Times New Roman"/>
        </w:rPr>
      </w:pPr>
      <w:r w:rsidRPr="00BC6AE2">
        <w:rPr>
          <w:rFonts w:cs="Times New Roman"/>
        </w:rPr>
        <w:t xml:space="preserve">Nussbaumer-Streit, B., Klerings, I., Dobrescu, A.I., Persad, E., Stevens, A., Garritty, C., Kamel, C., Affengruber, L., King, V.J. and Gartlehner, G. (2020). Excluding non-English publications from evidence-syntheses did not change conclusions: a meta-epidemiological study. </w:t>
      </w:r>
      <w:r w:rsidRPr="00BC6AE2">
        <w:rPr>
          <w:rFonts w:cs="Times New Roman"/>
          <w:i/>
          <w:iCs/>
        </w:rPr>
        <w:t>Journal of Clinical Epidemiology</w:t>
      </w:r>
      <w:r w:rsidRPr="00BC6AE2">
        <w:rPr>
          <w:rFonts w:cs="Times New Roman"/>
        </w:rPr>
        <w:t xml:space="preserve">, [online] 118, pp.42–54. </w:t>
      </w:r>
      <w:hyperlink r:id="rId24" w:history="1">
        <w:r w:rsidRPr="00785096">
          <w:rPr>
            <w:rStyle w:val="Hyperlink"/>
            <w:rFonts w:cs="Times New Roman"/>
          </w:rPr>
          <w:t>https://doi.org/10.1016/j.jclinepi.2019.10.011</w:t>
        </w:r>
      </w:hyperlink>
      <w:r>
        <w:rPr>
          <w:rFonts w:cs="Times New Roman"/>
        </w:rPr>
        <w:t xml:space="preserve"> </w:t>
      </w:r>
    </w:p>
    <w:p w14:paraId="6318EE06" w14:textId="77777777" w:rsidR="00A0123B" w:rsidRPr="00B32307" w:rsidRDefault="00A0123B" w:rsidP="00A0123B">
      <w:pPr>
        <w:ind w:left="720" w:hanging="720"/>
        <w:jc w:val="both"/>
        <w:rPr>
          <w:rFonts w:cs="Times New Roman"/>
          <w:lang w:val="en-GB"/>
        </w:rPr>
      </w:pPr>
      <w:r w:rsidRPr="00B32307">
        <w:rPr>
          <w:rFonts w:cs="Times New Roman"/>
          <w:lang w:val="en-GB"/>
        </w:rPr>
        <w:t xml:space="preserve">Oshima, F., Takahashi, T., Tamura, M., Guan, S., Seto, M., Hull, L., Mandy, W., Tsuchiya, K. and Shimizu, E. (2024). The association between social camouflage and mental health among autistic people in Japan and the UK: a cross-cultural study. </w:t>
      </w:r>
      <w:r w:rsidRPr="00B32307">
        <w:rPr>
          <w:rFonts w:cs="Times New Roman"/>
          <w:i/>
          <w:iCs/>
          <w:lang w:val="en-GB"/>
        </w:rPr>
        <w:t>Molecular Autism</w:t>
      </w:r>
      <w:r w:rsidRPr="00B32307">
        <w:rPr>
          <w:rFonts w:cs="Times New Roman"/>
          <w:lang w:val="en-GB"/>
        </w:rPr>
        <w:t xml:space="preserve">, [online] 15(1). </w:t>
      </w:r>
      <w:hyperlink r:id="rId25" w:history="1">
        <w:r w:rsidRPr="00B32307">
          <w:rPr>
            <w:rStyle w:val="Hyperlink"/>
            <w:rFonts w:cs="Times New Roman"/>
            <w:lang w:val="en-GB"/>
          </w:rPr>
          <w:t>https://doi.org/10.1186/s13229-023-00579-w</w:t>
        </w:r>
      </w:hyperlink>
      <w:r w:rsidRPr="00B32307">
        <w:rPr>
          <w:rFonts w:cs="Times New Roman"/>
          <w:lang w:val="en-GB"/>
        </w:rPr>
        <w:t xml:space="preserve"> </w:t>
      </w:r>
    </w:p>
    <w:p w14:paraId="4E7056C3" w14:textId="77777777" w:rsidR="00A0123B" w:rsidRPr="00B32307" w:rsidRDefault="00A0123B" w:rsidP="00A0123B">
      <w:pPr>
        <w:ind w:left="720" w:hanging="720"/>
        <w:jc w:val="both"/>
        <w:rPr>
          <w:rFonts w:cs="Times New Roman"/>
          <w:lang w:val="en-GB"/>
        </w:rPr>
      </w:pPr>
      <w:r w:rsidRPr="00B32307">
        <w:rPr>
          <w:rFonts w:cs="Times New Roman"/>
          <w:lang w:val="en-GB"/>
        </w:rPr>
        <w:t xml:space="preserve">Petrolini, V., Rodríguez-Armendariz, E. and Vicente, A. (2023). Autistic camouflaging across the spectrum. </w:t>
      </w:r>
      <w:r w:rsidRPr="00B32307">
        <w:rPr>
          <w:rFonts w:cs="Times New Roman"/>
          <w:i/>
          <w:iCs/>
          <w:lang w:val="en-GB"/>
        </w:rPr>
        <w:t>New Ideas in Psychology</w:t>
      </w:r>
      <w:r w:rsidRPr="00B32307">
        <w:rPr>
          <w:rFonts w:cs="Times New Roman"/>
          <w:lang w:val="en-GB"/>
        </w:rPr>
        <w:t xml:space="preserve">, [online] 68, p.100992. </w:t>
      </w:r>
      <w:hyperlink r:id="rId26" w:history="1">
        <w:r w:rsidRPr="00B32307">
          <w:rPr>
            <w:rStyle w:val="Hyperlink"/>
            <w:rFonts w:cs="Times New Roman"/>
            <w:lang w:val="en-GB"/>
          </w:rPr>
          <w:t>https://doi.org/10.1016/j.newideapsych.2022.100992</w:t>
        </w:r>
      </w:hyperlink>
      <w:r w:rsidRPr="00B32307">
        <w:rPr>
          <w:rFonts w:cs="Times New Roman"/>
          <w:lang w:val="en-GB"/>
        </w:rPr>
        <w:t xml:space="preserve"> </w:t>
      </w:r>
    </w:p>
    <w:p w14:paraId="46BD56F9" w14:textId="77777777" w:rsidR="00A0123B" w:rsidRPr="00B32307" w:rsidRDefault="00A0123B" w:rsidP="00A0123B">
      <w:pPr>
        <w:ind w:left="720" w:hanging="720"/>
        <w:jc w:val="both"/>
        <w:rPr>
          <w:rFonts w:cs="Times New Roman"/>
          <w:lang w:val="en-GB"/>
        </w:rPr>
      </w:pPr>
      <w:r w:rsidRPr="00B32307">
        <w:rPr>
          <w:rFonts w:cs="Times New Roman"/>
          <w:lang w:val="en-GB"/>
        </w:rPr>
        <w:t xml:space="preserve">Pritchard-Rowe, E., de Lemos, C., Howard, K. and Gibson, J. (2024). Autistic adults’ perspectives and experiences of diagnostic assessments that include play across the lifespan. </w:t>
      </w:r>
      <w:r w:rsidRPr="00B32307">
        <w:rPr>
          <w:rFonts w:cs="Times New Roman"/>
          <w:i/>
          <w:iCs/>
          <w:lang w:val="en-GB"/>
        </w:rPr>
        <w:t>Autism</w:t>
      </w:r>
      <w:r w:rsidRPr="00B32307">
        <w:rPr>
          <w:rFonts w:cs="Times New Roman"/>
          <w:lang w:val="en-GB"/>
        </w:rPr>
        <w:t xml:space="preserve">, [online] 29(1), pp.64–75. </w:t>
      </w:r>
      <w:hyperlink r:id="rId27" w:history="1">
        <w:r w:rsidRPr="00B32307">
          <w:rPr>
            <w:rStyle w:val="Hyperlink"/>
            <w:rFonts w:cs="Times New Roman"/>
            <w:lang w:val="en-GB"/>
          </w:rPr>
          <w:t>https://doi.org/10.1177/13623613241257601</w:t>
        </w:r>
      </w:hyperlink>
      <w:r w:rsidRPr="00B32307">
        <w:rPr>
          <w:rFonts w:cs="Times New Roman"/>
          <w:lang w:val="en-GB"/>
        </w:rPr>
        <w:t xml:space="preserve"> </w:t>
      </w:r>
    </w:p>
    <w:p w14:paraId="68BE6A04" w14:textId="77777777" w:rsidR="00A0123B" w:rsidRPr="00BC6AE2" w:rsidRDefault="00A0123B" w:rsidP="00A0123B">
      <w:pPr>
        <w:ind w:left="720" w:hanging="720"/>
        <w:jc w:val="both"/>
        <w:rPr>
          <w:rFonts w:cs="Times New Roman"/>
        </w:rPr>
      </w:pPr>
      <w:r w:rsidRPr="00BC6AE2">
        <w:rPr>
          <w:rFonts w:cs="Times New Roman"/>
        </w:rPr>
        <w:t xml:space="preserve">Sony, E., Ali, E., Engr Cletus and Okeke, G.N. (2025). Ethical Standards in Research: A Professional Imperative. </w:t>
      </w:r>
      <w:r w:rsidRPr="00BC6AE2">
        <w:rPr>
          <w:rFonts w:cs="Times New Roman"/>
          <w:i/>
          <w:iCs/>
        </w:rPr>
        <w:t>ResearchGate</w:t>
      </w:r>
      <w:r w:rsidRPr="00BC6AE2">
        <w:rPr>
          <w:rFonts w:cs="Times New Roman"/>
        </w:rPr>
        <w:t xml:space="preserve">, [online] pp.94–104. </w:t>
      </w:r>
      <w:hyperlink r:id="rId28" w:history="1">
        <w:r w:rsidRPr="00785096">
          <w:rPr>
            <w:rStyle w:val="Hyperlink"/>
            <w:rFonts w:cs="Times New Roman"/>
          </w:rPr>
          <w:t>https://doi.org/10.5281/zenodo.14875237</w:t>
        </w:r>
      </w:hyperlink>
      <w:r>
        <w:rPr>
          <w:rFonts w:cs="Times New Roman"/>
        </w:rPr>
        <w:t xml:space="preserve"> </w:t>
      </w:r>
    </w:p>
    <w:p w14:paraId="6BF61A4E" w14:textId="77777777" w:rsidR="00A0123B" w:rsidRPr="00B32307" w:rsidRDefault="00A0123B" w:rsidP="00A0123B">
      <w:pPr>
        <w:ind w:left="720" w:hanging="720"/>
        <w:jc w:val="both"/>
        <w:rPr>
          <w:rFonts w:cs="Times New Roman"/>
          <w:lang w:val="en-GB"/>
        </w:rPr>
      </w:pPr>
      <w:r w:rsidRPr="00B32307">
        <w:rPr>
          <w:rFonts w:cs="Times New Roman"/>
          <w:lang w:val="en-GB"/>
        </w:rPr>
        <w:t xml:space="preserve">Zhuang, S., Diana Weiting Tan, Reddrop, S., Dean, L., Maybery, M.T. and Magiati, I. (2023). Psychosocial factors associated with camouflaging in autistic people and their relationship with mental health and well-being: A mixed methods systematic review. </w:t>
      </w:r>
      <w:r w:rsidRPr="00B32307">
        <w:rPr>
          <w:rFonts w:cs="Times New Roman"/>
          <w:i/>
          <w:iCs/>
          <w:lang w:val="en-GB"/>
        </w:rPr>
        <w:t>Clinical Psychology Review</w:t>
      </w:r>
      <w:r w:rsidRPr="00B32307">
        <w:rPr>
          <w:rFonts w:cs="Times New Roman"/>
          <w:lang w:val="en-GB"/>
        </w:rPr>
        <w:t xml:space="preserve">, 105, pp.102335–102335. </w:t>
      </w:r>
      <w:hyperlink r:id="rId29" w:history="1">
        <w:r w:rsidRPr="00B32307">
          <w:rPr>
            <w:rStyle w:val="Hyperlink"/>
            <w:rFonts w:cs="Times New Roman"/>
            <w:lang w:val="en-GB"/>
          </w:rPr>
          <w:t>https://doi.org/10.1016/j.cpr.2023.102335</w:t>
        </w:r>
      </w:hyperlink>
      <w:r w:rsidRPr="00B32307">
        <w:rPr>
          <w:rFonts w:cs="Times New Roman"/>
          <w:lang w:val="en-GB"/>
        </w:rPr>
        <w:t xml:space="preserve"> </w:t>
      </w:r>
    </w:p>
    <w:p w14:paraId="4D369134" w14:textId="77777777" w:rsidR="007965E5" w:rsidRPr="00BC6AE2" w:rsidRDefault="007965E5" w:rsidP="007965E5">
      <w:pPr>
        <w:ind w:left="720" w:hanging="720"/>
        <w:rPr>
          <w:rFonts w:cs="Times New Roman"/>
        </w:rPr>
      </w:pPr>
    </w:p>
    <w:p w14:paraId="364E780A" w14:textId="39940913" w:rsidR="00EB6F36" w:rsidRDefault="00EB6F36" w:rsidP="00C46111">
      <w:pPr>
        <w:rPr>
          <w:rFonts w:ascii="Arial" w:hAnsi="Arial" w:cs="Arial"/>
          <w:sz w:val="24"/>
          <w:szCs w:val="24"/>
        </w:rPr>
      </w:pP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26540F31" w14:textId="77777777" w:rsidR="005F7D75" w:rsidRDefault="005F7D75" w:rsidP="00C46111">
      <w:pPr>
        <w:rPr>
          <w:noProof/>
        </w:rPr>
      </w:pPr>
    </w:p>
    <w:p w14:paraId="03F0D60E" w14:textId="09E1D8B5" w:rsidR="00582081" w:rsidRPr="003E51BC" w:rsidRDefault="00582081" w:rsidP="003E51BC">
      <w:pPr>
        <w:spacing w:line="360" w:lineRule="auto"/>
        <w:rPr>
          <w:rFonts w:ascii="Aptos" w:hAnsi="Aptos" w:cs="Arial"/>
          <w:sz w:val="28"/>
          <w:szCs w:val="28"/>
        </w:rPr>
      </w:pPr>
    </w:p>
    <w:sectPr w:rsidR="00582081" w:rsidRPr="003E51BC"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DF1D95" w14:textId="77777777" w:rsidR="00561788" w:rsidRDefault="00561788" w:rsidP="00D210FA">
      <w:pPr>
        <w:spacing w:after="0"/>
      </w:pPr>
      <w:r>
        <w:separator/>
      </w:r>
    </w:p>
  </w:endnote>
  <w:endnote w:type="continuationSeparator" w:id="0">
    <w:p w14:paraId="41574A90" w14:textId="77777777" w:rsidR="00561788" w:rsidRDefault="00561788"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CA780E4" w14:textId="77777777" w:rsidR="00561788" w:rsidRDefault="00561788" w:rsidP="00D210FA">
      <w:pPr>
        <w:spacing w:after="0"/>
      </w:pPr>
      <w:r>
        <w:separator/>
      </w:r>
    </w:p>
  </w:footnote>
  <w:footnote w:type="continuationSeparator" w:id="0">
    <w:p w14:paraId="74D4A8C8" w14:textId="77777777" w:rsidR="00561788" w:rsidRDefault="00561788"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D32D9A"/>
    <w:multiLevelType w:val="hybridMultilevel"/>
    <w:tmpl w:val="610EB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50B5976"/>
    <w:multiLevelType w:val="hybridMultilevel"/>
    <w:tmpl w:val="F2EA9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8791405"/>
    <w:multiLevelType w:val="hybridMultilevel"/>
    <w:tmpl w:val="62804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8382925">
    <w:abstractNumId w:val="5"/>
  </w:num>
  <w:num w:numId="2" w16cid:durableId="2067946206">
    <w:abstractNumId w:val="4"/>
  </w:num>
  <w:num w:numId="3" w16cid:durableId="1333727835">
    <w:abstractNumId w:val="14"/>
  </w:num>
  <w:num w:numId="4" w16cid:durableId="2094276723">
    <w:abstractNumId w:val="15"/>
  </w:num>
  <w:num w:numId="5" w16cid:durableId="1602420945">
    <w:abstractNumId w:val="8"/>
  </w:num>
  <w:num w:numId="6" w16cid:durableId="1398212566">
    <w:abstractNumId w:val="7"/>
  </w:num>
  <w:num w:numId="7" w16cid:durableId="1533495023">
    <w:abstractNumId w:val="11"/>
  </w:num>
  <w:num w:numId="8" w16cid:durableId="2000961969">
    <w:abstractNumId w:val="9"/>
  </w:num>
  <w:num w:numId="9" w16cid:durableId="395321258">
    <w:abstractNumId w:val="2"/>
  </w:num>
  <w:num w:numId="10" w16cid:durableId="648634788">
    <w:abstractNumId w:val="0"/>
  </w:num>
  <w:num w:numId="11" w16cid:durableId="1975481496">
    <w:abstractNumId w:val="6"/>
  </w:num>
  <w:num w:numId="12" w16cid:durableId="1656568462">
    <w:abstractNumId w:val="1"/>
  </w:num>
  <w:num w:numId="13" w16cid:durableId="1123117965">
    <w:abstractNumId w:val="13"/>
  </w:num>
  <w:num w:numId="14" w16cid:durableId="1368142483">
    <w:abstractNumId w:val="12"/>
  </w:num>
  <w:num w:numId="15" w16cid:durableId="91241999">
    <w:abstractNumId w:val="10"/>
  </w:num>
  <w:num w:numId="16" w16cid:durableId="1857033785">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A065A"/>
    <w:rsid w:val="000E56ED"/>
    <w:rsid w:val="00106FC5"/>
    <w:rsid w:val="00120DEC"/>
    <w:rsid w:val="00123C19"/>
    <w:rsid w:val="001A2DAB"/>
    <w:rsid w:val="001C55B6"/>
    <w:rsid w:val="001D6CC4"/>
    <w:rsid w:val="00206405"/>
    <w:rsid w:val="002341AD"/>
    <w:rsid w:val="00253267"/>
    <w:rsid w:val="00265387"/>
    <w:rsid w:val="002823CD"/>
    <w:rsid w:val="00287787"/>
    <w:rsid w:val="00291685"/>
    <w:rsid w:val="0029329C"/>
    <w:rsid w:val="002B0A3D"/>
    <w:rsid w:val="002F26AB"/>
    <w:rsid w:val="003007A7"/>
    <w:rsid w:val="003257E1"/>
    <w:rsid w:val="00325DEC"/>
    <w:rsid w:val="00346FFA"/>
    <w:rsid w:val="00385494"/>
    <w:rsid w:val="003A3069"/>
    <w:rsid w:val="003C20B5"/>
    <w:rsid w:val="003E51BC"/>
    <w:rsid w:val="003E545F"/>
    <w:rsid w:val="003F03D2"/>
    <w:rsid w:val="003F1E1A"/>
    <w:rsid w:val="004045E5"/>
    <w:rsid w:val="00421496"/>
    <w:rsid w:val="00422C27"/>
    <w:rsid w:val="0044367C"/>
    <w:rsid w:val="0044412C"/>
    <w:rsid w:val="004642F0"/>
    <w:rsid w:val="00497AC5"/>
    <w:rsid w:val="00500564"/>
    <w:rsid w:val="0051102B"/>
    <w:rsid w:val="00516CC0"/>
    <w:rsid w:val="005475F0"/>
    <w:rsid w:val="00561788"/>
    <w:rsid w:val="00582081"/>
    <w:rsid w:val="005837CD"/>
    <w:rsid w:val="005838BC"/>
    <w:rsid w:val="00594029"/>
    <w:rsid w:val="005B334E"/>
    <w:rsid w:val="005B57E1"/>
    <w:rsid w:val="005E61E0"/>
    <w:rsid w:val="005F0F31"/>
    <w:rsid w:val="005F5D24"/>
    <w:rsid w:val="005F7D75"/>
    <w:rsid w:val="006024ED"/>
    <w:rsid w:val="0061793F"/>
    <w:rsid w:val="0062123A"/>
    <w:rsid w:val="006605F8"/>
    <w:rsid w:val="006676A1"/>
    <w:rsid w:val="006833BD"/>
    <w:rsid w:val="006A5253"/>
    <w:rsid w:val="006D2642"/>
    <w:rsid w:val="006E2D42"/>
    <w:rsid w:val="00720FEE"/>
    <w:rsid w:val="00753B99"/>
    <w:rsid w:val="00764B6F"/>
    <w:rsid w:val="0079071A"/>
    <w:rsid w:val="007965E5"/>
    <w:rsid w:val="007C7319"/>
    <w:rsid w:val="007D43B3"/>
    <w:rsid w:val="007F20B4"/>
    <w:rsid w:val="007F4132"/>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4702A"/>
    <w:rsid w:val="00967DAB"/>
    <w:rsid w:val="00990E76"/>
    <w:rsid w:val="00991A53"/>
    <w:rsid w:val="00996F4E"/>
    <w:rsid w:val="009E57C4"/>
    <w:rsid w:val="009F422C"/>
    <w:rsid w:val="009F71FE"/>
    <w:rsid w:val="00A0123B"/>
    <w:rsid w:val="00A27D8D"/>
    <w:rsid w:val="00A31F33"/>
    <w:rsid w:val="00A70A62"/>
    <w:rsid w:val="00A71DA8"/>
    <w:rsid w:val="00A90A7A"/>
    <w:rsid w:val="00A90AD0"/>
    <w:rsid w:val="00AB1210"/>
    <w:rsid w:val="00AB5409"/>
    <w:rsid w:val="00AB770D"/>
    <w:rsid w:val="00AF2088"/>
    <w:rsid w:val="00AF5FB0"/>
    <w:rsid w:val="00B0080A"/>
    <w:rsid w:val="00B0538C"/>
    <w:rsid w:val="00B376E4"/>
    <w:rsid w:val="00B37AB8"/>
    <w:rsid w:val="00B418DE"/>
    <w:rsid w:val="00B47FE7"/>
    <w:rsid w:val="00B67824"/>
    <w:rsid w:val="00BC09AC"/>
    <w:rsid w:val="00BE15BA"/>
    <w:rsid w:val="00C07553"/>
    <w:rsid w:val="00C15768"/>
    <w:rsid w:val="00C20ED0"/>
    <w:rsid w:val="00C31D85"/>
    <w:rsid w:val="00C348A8"/>
    <w:rsid w:val="00C34FA0"/>
    <w:rsid w:val="00C46111"/>
    <w:rsid w:val="00C47DCC"/>
    <w:rsid w:val="00C6596B"/>
    <w:rsid w:val="00C83332"/>
    <w:rsid w:val="00C95E04"/>
    <w:rsid w:val="00CC0A8F"/>
    <w:rsid w:val="00CC24B6"/>
    <w:rsid w:val="00CD3A64"/>
    <w:rsid w:val="00CD6130"/>
    <w:rsid w:val="00CE08CD"/>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B6F36"/>
    <w:rsid w:val="00ED1049"/>
    <w:rsid w:val="00EE19D9"/>
    <w:rsid w:val="00EE25CC"/>
    <w:rsid w:val="00EE29EC"/>
    <w:rsid w:val="00EF26FC"/>
    <w:rsid w:val="00F37523"/>
    <w:rsid w:val="00F50168"/>
    <w:rsid w:val="00F50D34"/>
    <w:rsid w:val="00F52F83"/>
    <w:rsid w:val="00F61360"/>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7965E5"/>
    <w:rPr>
      <w:color w:val="0563C1" w:themeColor="hyperlink"/>
      <w:u w:val="single"/>
    </w:rPr>
  </w:style>
  <w:style w:type="paragraph" w:styleId="BodyText">
    <w:name w:val="Body Text"/>
    <w:basedOn w:val="Normal"/>
    <w:link w:val="BodyTextChar"/>
    <w:uiPriority w:val="1"/>
    <w:unhideWhenUsed/>
    <w:qFormat/>
    <w:rsid w:val="005B334E"/>
    <w:pPr>
      <w:widowControl w:val="0"/>
      <w:autoSpaceDE w:val="0"/>
      <w:autoSpaceDN w:val="0"/>
      <w:spacing w:after="0"/>
    </w:pPr>
    <w:rPr>
      <w:rFonts w:ascii="Arial" w:eastAsia="Calibri Light" w:hAnsi="Arial" w:cs="Calibri Light"/>
      <w:lang w:val="en-GB" w:eastAsia="en-GB" w:bidi="en-GB"/>
    </w:rPr>
  </w:style>
  <w:style w:type="character" w:customStyle="1" w:styleId="BodyTextChar">
    <w:name w:val="Body Text Char"/>
    <w:basedOn w:val="DefaultParagraphFont"/>
    <w:link w:val="BodyText"/>
    <w:uiPriority w:val="1"/>
    <w:rsid w:val="005B334E"/>
    <w:rPr>
      <w:rFonts w:ascii="Arial" w:eastAsia="Calibri Light" w:hAnsi="Arial" w:cs="Calibri Light"/>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375593557">
      <w:bodyDiv w:val="1"/>
      <w:marLeft w:val="0"/>
      <w:marRight w:val="0"/>
      <w:marTop w:val="0"/>
      <w:marBottom w:val="0"/>
      <w:divBdr>
        <w:top w:val="none" w:sz="0" w:space="0" w:color="auto"/>
        <w:left w:val="none" w:sz="0" w:space="0" w:color="auto"/>
        <w:bottom w:val="none" w:sz="0" w:space="0" w:color="auto"/>
        <w:right w:val="none" w:sz="0" w:space="0" w:color="auto"/>
      </w:divBdr>
    </w:div>
    <w:div w:id="683745634">
      <w:bodyDiv w:val="1"/>
      <w:marLeft w:val="0"/>
      <w:marRight w:val="0"/>
      <w:marTop w:val="0"/>
      <w:marBottom w:val="0"/>
      <w:divBdr>
        <w:top w:val="none" w:sz="0" w:space="0" w:color="auto"/>
        <w:left w:val="none" w:sz="0" w:space="0" w:color="auto"/>
        <w:bottom w:val="none" w:sz="0" w:space="0" w:color="auto"/>
        <w:right w:val="none" w:sz="0" w:space="0" w:color="auto"/>
      </w:divBdr>
      <w:divsChild>
        <w:div w:id="974718577">
          <w:marLeft w:val="0"/>
          <w:marRight w:val="0"/>
          <w:marTop w:val="0"/>
          <w:marBottom w:val="0"/>
          <w:divBdr>
            <w:top w:val="none" w:sz="0" w:space="0" w:color="auto"/>
            <w:left w:val="none" w:sz="0" w:space="0" w:color="auto"/>
            <w:bottom w:val="single" w:sz="6" w:space="15" w:color="E0E0E0"/>
            <w:right w:val="none" w:sz="0" w:space="0" w:color="auto"/>
          </w:divBdr>
        </w:div>
      </w:divsChild>
    </w:div>
    <w:div w:id="710304002">
      <w:bodyDiv w:val="1"/>
      <w:marLeft w:val="0"/>
      <w:marRight w:val="0"/>
      <w:marTop w:val="0"/>
      <w:marBottom w:val="0"/>
      <w:divBdr>
        <w:top w:val="none" w:sz="0" w:space="0" w:color="auto"/>
        <w:left w:val="none" w:sz="0" w:space="0" w:color="auto"/>
        <w:bottom w:val="none" w:sz="0" w:space="0" w:color="auto"/>
        <w:right w:val="none" w:sz="0" w:space="0" w:color="auto"/>
      </w:divBdr>
      <w:divsChild>
        <w:div w:id="644359972">
          <w:marLeft w:val="0"/>
          <w:marRight w:val="0"/>
          <w:marTop w:val="0"/>
          <w:marBottom w:val="0"/>
          <w:divBdr>
            <w:top w:val="none" w:sz="0" w:space="0" w:color="auto"/>
            <w:left w:val="none" w:sz="0" w:space="0" w:color="auto"/>
            <w:bottom w:val="single" w:sz="6" w:space="15" w:color="E0E0E0"/>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057508128">
      <w:bodyDiv w:val="1"/>
      <w:marLeft w:val="0"/>
      <w:marRight w:val="0"/>
      <w:marTop w:val="0"/>
      <w:marBottom w:val="0"/>
      <w:divBdr>
        <w:top w:val="none" w:sz="0" w:space="0" w:color="auto"/>
        <w:left w:val="none" w:sz="0" w:space="0" w:color="auto"/>
        <w:bottom w:val="none" w:sz="0" w:space="0" w:color="auto"/>
        <w:right w:val="none" w:sz="0" w:space="0" w:color="auto"/>
      </w:divBdr>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1346904518">
      <w:bodyDiv w:val="1"/>
      <w:marLeft w:val="0"/>
      <w:marRight w:val="0"/>
      <w:marTop w:val="0"/>
      <w:marBottom w:val="0"/>
      <w:divBdr>
        <w:top w:val="none" w:sz="0" w:space="0" w:color="auto"/>
        <w:left w:val="none" w:sz="0" w:space="0" w:color="auto"/>
        <w:bottom w:val="none" w:sz="0" w:space="0" w:color="auto"/>
        <w:right w:val="none" w:sz="0" w:space="0" w:color="auto"/>
      </w:divBdr>
    </w:div>
    <w:div w:id="1391921270">
      <w:bodyDiv w:val="1"/>
      <w:marLeft w:val="0"/>
      <w:marRight w:val="0"/>
      <w:marTop w:val="0"/>
      <w:marBottom w:val="0"/>
      <w:divBdr>
        <w:top w:val="none" w:sz="0" w:space="0" w:color="auto"/>
        <w:left w:val="none" w:sz="0" w:space="0" w:color="auto"/>
        <w:bottom w:val="none" w:sz="0" w:space="0" w:color="auto"/>
        <w:right w:val="none" w:sz="0" w:space="0" w:color="auto"/>
      </w:divBdr>
    </w:div>
    <w:div w:id="1541355391">
      <w:bodyDiv w:val="1"/>
      <w:marLeft w:val="0"/>
      <w:marRight w:val="0"/>
      <w:marTop w:val="0"/>
      <w:marBottom w:val="0"/>
      <w:divBdr>
        <w:top w:val="none" w:sz="0" w:space="0" w:color="auto"/>
        <w:left w:val="none" w:sz="0" w:space="0" w:color="auto"/>
        <w:bottom w:val="none" w:sz="0" w:space="0" w:color="auto"/>
        <w:right w:val="none" w:sz="0" w:space="0" w:color="auto"/>
      </w:divBdr>
    </w:div>
    <w:div w:id="1644967042">
      <w:bodyDiv w:val="1"/>
      <w:marLeft w:val="0"/>
      <w:marRight w:val="0"/>
      <w:marTop w:val="0"/>
      <w:marBottom w:val="0"/>
      <w:divBdr>
        <w:top w:val="none" w:sz="0" w:space="0" w:color="auto"/>
        <w:left w:val="none" w:sz="0" w:space="0" w:color="auto"/>
        <w:bottom w:val="none" w:sz="0" w:space="0" w:color="auto"/>
        <w:right w:val="none" w:sz="0" w:space="0" w:color="auto"/>
      </w:divBdr>
    </w:div>
    <w:div w:id="1674338313">
      <w:bodyDiv w:val="1"/>
      <w:marLeft w:val="0"/>
      <w:marRight w:val="0"/>
      <w:marTop w:val="0"/>
      <w:marBottom w:val="0"/>
      <w:divBdr>
        <w:top w:val="none" w:sz="0" w:space="0" w:color="auto"/>
        <w:left w:val="none" w:sz="0" w:space="0" w:color="auto"/>
        <w:bottom w:val="none" w:sz="0" w:space="0" w:color="auto"/>
        <w:right w:val="none" w:sz="0" w:space="0" w:color="auto"/>
      </w:divBdr>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Colors" Target="diagrams/colors1.xml"/><Relationship Id="rId26" Type="http://schemas.openxmlformats.org/officeDocument/2006/relationships/hyperlink" Target="https://doi.org/10.1016/j.newideapsych.2022.100992" TargetMode="External"/><Relationship Id="rId3" Type="http://schemas.openxmlformats.org/officeDocument/2006/relationships/customXml" Target="../customXml/item3.xml"/><Relationship Id="rId21" Type="http://schemas.openxmlformats.org/officeDocument/2006/relationships/hyperlink" Target="https://doi.org/10.1016/j.copsyc.2023.101579"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QuickStyle" Target="diagrams/quickStyle1.xml"/><Relationship Id="rId25" Type="http://schemas.openxmlformats.org/officeDocument/2006/relationships/hyperlink" Target="https://doi.org/10.1186/s13229-023-00579-w"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doi.org/10.1177/13623613261420085" TargetMode="External"/><Relationship Id="rId29" Type="http://schemas.openxmlformats.org/officeDocument/2006/relationships/hyperlink" Target="https://doi.org/10.1016/j.cpr.2023.10233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jclinepi.2019.10.011" TargetMode="Externa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hyperlink" Target="https://doi.org/10.13140/RG.2.2.13084.71048" TargetMode="External"/><Relationship Id="rId28" Type="http://schemas.openxmlformats.org/officeDocument/2006/relationships/hyperlink" Target="https://doi.org/10.5281/zenodo.14875237" TargetMode="External"/><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doi.org/10.1186/s13229-021-00421-1" TargetMode="External"/><Relationship Id="rId27" Type="http://schemas.openxmlformats.org/officeDocument/2006/relationships/hyperlink" Target="https://doi.org/10.1177/13623613241257601"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US" dirty="0">
              <a:latin typeface="Aptos" panose="020B0004020202020204" pitchFamily="34" charset="0"/>
            </a:rPr>
            <a:t>All sources were properly cited using the UWTSD Harvard Referencing style.
No plagiarism occurred as ideas and findings from previous authors were accurately acknowledged and paraphrased where appropriate.</a:t>
          </a:r>
          <a:endParaRPr lang="en-GB" dirty="0">
            <a:latin typeface="Aptos" panose="020B00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US">
              <a:latin typeface="Aptos" panose="020B0004020202020204" pitchFamily="34" charset="0"/>
            </a:rPr>
            <a:t>Not directly applicable as no primary data was collected; sensitive topics (mental health, autistic burnout, anxiety, depression, and suicidality) were reported respectfully without misrepresentation.</a:t>
          </a:r>
          <a:endParaRPr lang="en-GB">
            <a:latin typeface="Aptos" panose="020B00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US">
              <a:latin typeface="Aptos" panose="020B0004020202020204" pitchFamily="34" charset="0"/>
            </a:rPr>
            <a:t>Only peer-reviewed, credible academic sources were included.
Each study was evaluated for quality, relevance, and methodological rigour before inclusion in the synthesis.
Findings were presented accurately without distortion or selective reporting.</a:t>
          </a:r>
          <a:endParaRPr lang="en-GB">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US">
              <a:latin typeface="Aptos" panose="020B0004020202020204" pitchFamily="34" charset="0"/>
            </a:rPr>
            <a:t>The study fully complied with academic integrity regulations of the university.
No personal or identifiable data was handled, so GDPR considerations for primary research were not applicable.</a:t>
          </a: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US"/>
            <a:t>Not applicable in this secondary research design, as no new data was gathered from participants.</a:t>
          </a:r>
          <a:endParaRPr lang="en-GB">
            <a:latin typeface="Aptos" panose="020B00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81E8ED4A-9C61-4261-A97E-A8FB2B721822}" srcId="{7634D104-7D93-4DC9-AA78-CFDC22EB2B7D}" destId="{DED7677A-A811-4E99-A359-AF267F66CB3B}" srcOrd="3" destOrd="0" parTransId="{F38EF5EE-50CB-434C-B7C2-9D5B46BCDA7A}" sibTransId="{9F4A521B-0AB9-4C49-8D3E-A4522CDAC745}"/>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399E6863-0942-4C7F-888F-D5A856FD2535}" type="presOf" srcId="{D2F35989-0D76-4707-8851-E95507DAC780}" destId="{0F07604D-46A6-4ADA-B996-B9E43A897BA8}"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BE8BA2AF-7358-466A-818A-8E689518B231}" type="presOf" srcId="{DED7677A-A811-4E99-A359-AF267F66CB3B}" destId="{4B0BA49E-53FB-4A48-8A53-1DCC68267D3A}" srcOrd="0" destOrd="0" presId="urn:microsoft.com/office/officeart/2005/8/layout/hList1"/>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249914"/>
          <a:ext cx="1596851" cy="18736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ptos" panose="020B0004020202020204" pitchFamily="34" charset="0"/>
            </a:rPr>
            <a:t>Respect for Intellectual Property:</a:t>
          </a:r>
          <a:endParaRPr lang="en-GB" sz="600" kern="1200">
            <a:latin typeface="Aptos" panose="020B0004020202020204" pitchFamily="34" charset="0"/>
          </a:endParaRPr>
        </a:p>
      </dsp:txBody>
      <dsp:txXfrm>
        <a:off x="4165" y="249914"/>
        <a:ext cx="1596851" cy="187360"/>
      </dsp:txXfrm>
    </dsp:sp>
    <dsp:sp modelId="{0916EB88-9427-4C81-A0D0-B1BC4D25BFB9}">
      <dsp:nvSpPr>
        <dsp:cNvPr id="0" name=""/>
        <dsp:cNvSpPr/>
      </dsp:nvSpPr>
      <dsp:spPr>
        <a:xfrm>
          <a:off x="4165" y="437275"/>
          <a:ext cx="1596851" cy="10952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dirty="0">
              <a:latin typeface="Aptos" panose="020B0004020202020204" pitchFamily="34" charset="0"/>
            </a:rPr>
            <a:t>All sources were properly cited using the UWTSD Harvard Referencing style.
No plagiarism occurred as ideas and findings from previous authors were accurately acknowledged and paraphrased where appropriate.</a:t>
          </a:r>
          <a:endParaRPr lang="en-GB" sz="600" kern="1200" dirty="0">
            <a:latin typeface="Aptos" panose="020B0004020202020204" pitchFamily="34" charset="0"/>
          </a:endParaRPr>
        </a:p>
      </dsp:txBody>
      <dsp:txXfrm>
        <a:off x="4165" y="437275"/>
        <a:ext cx="1596851" cy="1095255"/>
      </dsp:txXfrm>
    </dsp:sp>
    <dsp:sp modelId="{0F07604D-46A6-4ADA-B996-B9E43A897BA8}">
      <dsp:nvSpPr>
        <dsp:cNvPr id="0" name=""/>
        <dsp:cNvSpPr/>
      </dsp:nvSpPr>
      <dsp:spPr>
        <a:xfrm>
          <a:off x="1824576" y="249914"/>
          <a:ext cx="1596851" cy="18736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ptos" panose="020B0004020202020204" pitchFamily="34" charset="0"/>
            </a:rPr>
            <a:t>Privacy and Confidentiality:</a:t>
          </a:r>
          <a:endParaRPr lang="en-GB" sz="600" kern="1200">
            <a:latin typeface="Aptos" panose="020B0004020202020204" pitchFamily="34" charset="0"/>
          </a:endParaRPr>
        </a:p>
      </dsp:txBody>
      <dsp:txXfrm>
        <a:off x="1824576" y="249914"/>
        <a:ext cx="1596851" cy="187360"/>
      </dsp:txXfrm>
    </dsp:sp>
    <dsp:sp modelId="{D9C43641-36D4-43D5-A2FD-0F9F6D2C43BC}">
      <dsp:nvSpPr>
        <dsp:cNvPr id="0" name=""/>
        <dsp:cNvSpPr/>
      </dsp:nvSpPr>
      <dsp:spPr>
        <a:xfrm>
          <a:off x="1824576" y="437275"/>
          <a:ext cx="1596851" cy="10952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latin typeface="Aptos" panose="020B0004020202020204" pitchFamily="34" charset="0"/>
            </a:rPr>
            <a:t>Not directly applicable as no primary data was collected; sensitive topics (mental health, autistic burnout, anxiety, depression, and suicidality) were reported respectfully without misrepresentation.</a:t>
          </a:r>
          <a:endParaRPr lang="en-GB" sz="600" kern="1200">
            <a:latin typeface="Aptos" panose="020B0004020202020204" pitchFamily="34" charset="0"/>
          </a:endParaRPr>
        </a:p>
      </dsp:txBody>
      <dsp:txXfrm>
        <a:off x="1824576" y="437275"/>
        <a:ext cx="1596851" cy="1095255"/>
      </dsp:txXfrm>
    </dsp:sp>
    <dsp:sp modelId="{594F44BC-596E-4978-9BF4-2F7DCCF10A7F}">
      <dsp:nvSpPr>
        <dsp:cNvPr id="0" name=""/>
        <dsp:cNvSpPr/>
      </dsp:nvSpPr>
      <dsp:spPr>
        <a:xfrm>
          <a:off x="3644986" y="249914"/>
          <a:ext cx="1596851" cy="18736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ptos" panose="020B0004020202020204" pitchFamily="34" charset="0"/>
            </a:rPr>
            <a:t>Data Integrity and Reliability:</a:t>
          </a:r>
          <a:r>
            <a:rPr lang="en-GB" sz="600" kern="1200">
              <a:latin typeface="Aptos" panose="020B0004020202020204" pitchFamily="34" charset="0"/>
            </a:rPr>
            <a:t> </a:t>
          </a:r>
        </a:p>
      </dsp:txBody>
      <dsp:txXfrm>
        <a:off x="3644986" y="249914"/>
        <a:ext cx="1596851" cy="187360"/>
      </dsp:txXfrm>
    </dsp:sp>
    <dsp:sp modelId="{B4F89DDA-DC7D-4C4E-967D-E22B07A05DB1}">
      <dsp:nvSpPr>
        <dsp:cNvPr id="0" name=""/>
        <dsp:cNvSpPr/>
      </dsp:nvSpPr>
      <dsp:spPr>
        <a:xfrm>
          <a:off x="3644986" y="437275"/>
          <a:ext cx="1596851" cy="10952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latin typeface="Aptos" panose="020B0004020202020204" pitchFamily="34" charset="0"/>
            </a:rPr>
            <a:t>Only peer-reviewed, credible academic sources were included.
Each study was evaluated for quality, relevance, and methodological rigour before inclusion in the synthesis.
Findings were presented accurately without distortion or selective reporting.</a:t>
          </a:r>
          <a:endParaRPr lang="en-GB" sz="600" kern="1200">
            <a:latin typeface="Aptos" panose="020B0004020202020204" pitchFamily="34" charset="0"/>
          </a:endParaRPr>
        </a:p>
      </dsp:txBody>
      <dsp:txXfrm>
        <a:off x="3644986" y="437275"/>
        <a:ext cx="1596851" cy="1095255"/>
      </dsp:txXfrm>
    </dsp:sp>
    <dsp:sp modelId="{4B0BA49E-53FB-4A48-8A53-1DCC68267D3A}">
      <dsp:nvSpPr>
        <dsp:cNvPr id="0" name=""/>
        <dsp:cNvSpPr/>
      </dsp:nvSpPr>
      <dsp:spPr>
        <a:xfrm>
          <a:off x="5465397" y="249914"/>
          <a:ext cx="1596851" cy="18736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dirty="0">
              <a:latin typeface="Aptos" panose="020B0004020202020204" pitchFamily="34" charset="0"/>
            </a:rPr>
            <a:t>Compliance with Laws and Regulations:</a:t>
          </a:r>
          <a:endParaRPr lang="en-GB" sz="600" kern="1200" dirty="0">
            <a:latin typeface="Aptos" panose="020B0004020202020204" pitchFamily="34" charset="0"/>
          </a:endParaRPr>
        </a:p>
      </dsp:txBody>
      <dsp:txXfrm>
        <a:off x="5465397" y="249914"/>
        <a:ext cx="1596851" cy="187360"/>
      </dsp:txXfrm>
    </dsp:sp>
    <dsp:sp modelId="{0426731F-8A3C-42F1-804E-8F6D7BF28D02}">
      <dsp:nvSpPr>
        <dsp:cNvPr id="0" name=""/>
        <dsp:cNvSpPr/>
      </dsp:nvSpPr>
      <dsp:spPr>
        <a:xfrm>
          <a:off x="5465397" y="437275"/>
          <a:ext cx="1596851" cy="10952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latin typeface="Aptos" panose="020B0004020202020204" pitchFamily="34" charset="0"/>
            </a:rPr>
            <a:t>The study fully complied with academic integrity regulations of the university.
No personal or identifiable data was handled, so GDPR considerations for primary research were not applicable.</a:t>
          </a:r>
          <a:endParaRPr lang="en-GB" sz="600" kern="1200">
            <a:latin typeface="Aptos" panose="020B0004020202020204" pitchFamily="34" charset="0"/>
          </a:endParaRPr>
        </a:p>
      </dsp:txBody>
      <dsp:txXfrm>
        <a:off x="5465397" y="437275"/>
        <a:ext cx="1596851" cy="1095255"/>
      </dsp:txXfrm>
    </dsp:sp>
    <dsp:sp modelId="{527B8B4B-D6E7-4EB7-86F6-6A7D2579D756}">
      <dsp:nvSpPr>
        <dsp:cNvPr id="0" name=""/>
        <dsp:cNvSpPr/>
      </dsp:nvSpPr>
      <dsp:spPr>
        <a:xfrm>
          <a:off x="7285807" y="249914"/>
          <a:ext cx="1596851" cy="18736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dirty="0">
              <a:latin typeface="Aptos" panose="020B0004020202020204" pitchFamily="34" charset="0"/>
            </a:rPr>
            <a:t>Informed Consent</a:t>
          </a:r>
          <a:endParaRPr lang="en-GB" sz="600" kern="1200" dirty="0">
            <a:latin typeface="Aptos" panose="020B0004020202020204" pitchFamily="34" charset="0"/>
          </a:endParaRPr>
        </a:p>
      </dsp:txBody>
      <dsp:txXfrm>
        <a:off x="7285807" y="249914"/>
        <a:ext cx="1596851" cy="187360"/>
      </dsp:txXfrm>
    </dsp:sp>
    <dsp:sp modelId="{3FAC58C7-563C-4DE2-B8E2-03C2F5DF4A75}">
      <dsp:nvSpPr>
        <dsp:cNvPr id="0" name=""/>
        <dsp:cNvSpPr/>
      </dsp:nvSpPr>
      <dsp:spPr>
        <a:xfrm>
          <a:off x="7285807" y="437275"/>
          <a:ext cx="1596851" cy="10952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t>Not applicable in this secondary research design, as no new data was gathered from participants.</a:t>
          </a:r>
          <a:endParaRPr lang="en-GB" sz="600" kern="1200">
            <a:latin typeface="Aptos" panose="020B0004020202020204" pitchFamily="34" charset="0"/>
          </a:endParaRPr>
        </a:p>
      </dsp:txBody>
      <dsp:txXfrm>
        <a:off x="7285807" y="437275"/>
        <a:ext cx="1596851" cy="109525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www.w3.org/2000/xmlns/"/>
    <ds:schemaRef ds:uri="71af3243-3dd4-4a8d-8c0d-dd76da1f02a5"/>
    <ds:schemaRef ds:uri="http://www.w3.org/2001/XMLSchema-instance"/>
  </ds:schemaRefs>
</ds:datastoreItem>
</file>

<file path=customXml/itemProps4.xml><?xml version="1.0" encoding="utf-8"?>
<ds:datastoreItem xmlns:ds="http://schemas.openxmlformats.org/officeDocument/2006/customXml" ds:itemID="{EBFC1806-8CFD-47B3-91A9-81447C1E97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Education%20brochure.dotx</Template>
  <TotalTime>0</TotalTime>
  <Pages>7</Pages>
  <Words>1117</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2026-04-07T15:58:00Z</dcterms:created>
  <dcterms:modified xsi:type="dcterms:W3CDTF">2026-07-22T08:12:00Z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