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C919B5" w14:textId="42D4FE7D" w:rsidR="007851D3" w:rsidRPr="003576F6" w:rsidRDefault="003576F6" w:rsidP="003576F6">
      <w:pPr>
        <w:jc w:val="center"/>
        <w:rPr>
          <w:b/>
          <w:bCs/>
          <w:sz w:val="36"/>
          <w:szCs w:val="36"/>
        </w:rPr>
      </w:pPr>
      <w:r w:rsidRPr="007851D3">
        <w:rPr>
          <w:b/>
          <w:bCs/>
          <w:sz w:val="36"/>
          <w:szCs w:val="36"/>
        </w:rPr>
        <w:t>Advisory Report for a Multinational Client</w:t>
      </w:r>
      <w:r w:rsidRPr="003576F6">
        <w:rPr>
          <w:b/>
          <w:bCs/>
          <w:sz w:val="36"/>
          <w:szCs w:val="36"/>
        </w:rPr>
        <w:t xml:space="preserve"> </w:t>
      </w:r>
      <w:r w:rsidRPr="007851D3">
        <w:rPr>
          <w:b/>
          <w:bCs/>
          <w:sz w:val="36"/>
          <w:szCs w:val="36"/>
        </w:rPr>
        <w:t>Unilever PLC</w:t>
      </w:r>
    </w:p>
    <w:p w14:paraId="4049D94F" w14:textId="77777777" w:rsidR="007851D3" w:rsidRDefault="007851D3" w:rsidP="003576F6">
      <w:pPr>
        <w:jc w:val="center"/>
      </w:pPr>
    </w:p>
    <w:p w14:paraId="04B18211" w14:textId="77777777" w:rsidR="007851D3" w:rsidRDefault="007851D3" w:rsidP="003576F6">
      <w:pPr>
        <w:jc w:val="center"/>
      </w:pPr>
    </w:p>
    <w:p w14:paraId="194B690A" w14:textId="77777777" w:rsidR="007851D3" w:rsidRPr="007851D3" w:rsidRDefault="007851D3" w:rsidP="003576F6">
      <w:pPr>
        <w:jc w:val="center"/>
        <w:rPr>
          <w:b/>
          <w:bCs/>
        </w:rPr>
      </w:pPr>
    </w:p>
    <w:p w14:paraId="6B3553F4" w14:textId="7A6DD777" w:rsidR="007851D3" w:rsidRPr="007851D3" w:rsidRDefault="007851D3" w:rsidP="003576F6">
      <w:pPr>
        <w:jc w:val="center"/>
        <w:rPr>
          <w:b/>
          <w:bCs/>
        </w:rPr>
      </w:pPr>
      <w:r w:rsidRPr="007851D3">
        <w:rPr>
          <w:b/>
          <w:bCs/>
        </w:rPr>
        <w:t>Artificial Intelligence and Risk Management:</w:t>
      </w:r>
      <w:r w:rsidR="003576F6">
        <w:rPr>
          <w:b/>
          <w:bCs/>
        </w:rPr>
        <w:t xml:space="preserve">  </w:t>
      </w:r>
      <w:r w:rsidRPr="007851D3">
        <w:rPr>
          <w:b/>
          <w:bCs/>
        </w:rPr>
        <w:t>Navigating Data Governance, Ethical AI, Regulatory</w:t>
      </w:r>
    </w:p>
    <w:p w14:paraId="77E2A243" w14:textId="77777777" w:rsidR="007851D3" w:rsidRPr="007851D3" w:rsidRDefault="007851D3" w:rsidP="003576F6">
      <w:pPr>
        <w:jc w:val="center"/>
        <w:rPr>
          <w:b/>
          <w:bCs/>
        </w:rPr>
      </w:pPr>
      <w:r w:rsidRPr="007851D3">
        <w:rPr>
          <w:b/>
          <w:bCs/>
        </w:rPr>
        <w:t>Compliance and Customer Trust</w:t>
      </w:r>
    </w:p>
    <w:p w14:paraId="4C77D076" w14:textId="77777777" w:rsidR="007851D3" w:rsidRPr="007851D3" w:rsidRDefault="007851D3" w:rsidP="003576F6">
      <w:pPr>
        <w:jc w:val="center"/>
        <w:rPr>
          <w:b/>
          <w:bCs/>
        </w:rPr>
      </w:pPr>
    </w:p>
    <w:p w14:paraId="7ED3731D" w14:textId="77777777" w:rsidR="006A3BB1" w:rsidRDefault="006A3BB1" w:rsidP="003576F6">
      <w:pPr>
        <w:jc w:val="center"/>
        <w:rPr>
          <w:rFonts w:ascii="Times New Roman" w:hAnsi="Times New Roman" w:cs="Times New Roman"/>
          <w:b/>
          <w:bCs/>
          <w:sz w:val="24"/>
          <w:szCs w:val="24"/>
        </w:rPr>
      </w:pPr>
    </w:p>
    <w:p w14:paraId="00DCC28D" w14:textId="77777777" w:rsidR="006A3BB1" w:rsidRDefault="006A3BB1" w:rsidP="003576F6">
      <w:pPr>
        <w:jc w:val="center"/>
        <w:rPr>
          <w:rFonts w:ascii="Times New Roman" w:hAnsi="Times New Roman" w:cs="Times New Roman"/>
          <w:b/>
          <w:bCs/>
          <w:sz w:val="24"/>
          <w:szCs w:val="24"/>
        </w:rPr>
      </w:pPr>
    </w:p>
    <w:p w14:paraId="628C19CB" w14:textId="77777777" w:rsidR="006A3BB1" w:rsidRDefault="006A3BB1" w:rsidP="003576F6">
      <w:pPr>
        <w:jc w:val="center"/>
        <w:rPr>
          <w:rFonts w:ascii="Times New Roman" w:hAnsi="Times New Roman" w:cs="Times New Roman"/>
          <w:b/>
          <w:bCs/>
          <w:sz w:val="24"/>
          <w:szCs w:val="24"/>
        </w:rPr>
      </w:pPr>
    </w:p>
    <w:p w14:paraId="5EA30AA0" w14:textId="77777777" w:rsidR="006A3BB1" w:rsidRDefault="006A3BB1" w:rsidP="003576F6">
      <w:pPr>
        <w:jc w:val="center"/>
        <w:rPr>
          <w:rFonts w:ascii="Times New Roman" w:hAnsi="Times New Roman" w:cs="Times New Roman"/>
          <w:b/>
          <w:bCs/>
          <w:sz w:val="24"/>
          <w:szCs w:val="24"/>
        </w:rPr>
      </w:pPr>
    </w:p>
    <w:p w14:paraId="598BA57D" w14:textId="33C66F27" w:rsidR="003576F6" w:rsidRPr="00821663" w:rsidRDefault="003576F6" w:rsidP="003576F6">
      <w:pPr>
        <w:jc w:val="center"/>
        <w:rPr>
          <w:rFonts w:ascii="Times New Roman" w:hAnsi="Times New Roman" w:cs="Times New Roman"/>
          <w:b/>
          <w:bCs/>
          <w:sz w:val="24"/>
          <w:szCs w:val="24"/>
        </w:rPr>
      </w:pPr>
      <w:r w:rsidRPr="00821663">
        <w:rPr>
          <w:rFonts w:ascii="Times New Roman" w:hAnsi="Times New Roman" w:cs="Times New Roman"/>
          <w:b/>
          <w:bCs/>
          <w:sz w:val="24"/>
          <w:szCs w:val="24"/>
        </w:rPr>
        <w:t>UNIVERSITY OF WALES TRINITY SAINT DAVID</w:t>
      </w:r>
    </w:p>
    <w:p w14:paraId="5D588499" w14:textId="77777777" w:rsidR="003576F6" w:rsidRPr="007851D3" w:rsidRDefault="003576F6" w:rsidP="003576F6">
      <w:pPr>
        <w:jc w:val="center"/>
        <w:rPr>
          <w:rFonts w:ascii="Times New Roman" w:hAnsi="Times New Roman" w:cs="Times New Roman"/>
          <w:b/>
          <w:bCs/>
          <w:sz w:val="24"/>
          <w:szCs w:val="24"/>
        </w:rPr>
      </w:pPr>
      <w:r w:rsidRPr="007851D3">
        <w:rPr>
          <w:rFonts w:ascii="Times New Roman" w:hAnsi="Times New Roman" w:cs="Times New Roman"/>
          <w:b/>
          <w:bCs/>
          <w:sz w:val="24"/>
          <w:szCs w:val="24"/>
        </w:rPr>
        <w:t>BMMB7006</w:t>
      </w:r>
      <w:r w:rsidRPr="00821663">
        <w:rPr>
          <w:rFonts w:ascii="Times New Roman" w:hAnsi="Times New Roman" w:cs="Times New Roman"/>
          <w:b/>
          <w:bCs/>
          <w:sz w:val="24"/>
          <w:szCs w:val="24"/>
        </w:rPr>
        <w:t xml:space="preserve"> – </w:t>
      </w:r>
      <w:r w:rsidRPr="007851D3">
        <w:rPr>
          <w:rFonts w:ascii="Times New Roman" w:hAnsi="Times New Roman" w:cs="Times New Roman"/>
          <w:b/>
          <w:bCs/>
          <w:sz w:val="24"/>
          <w:szCs w:val="24"/>
        </w:rPr>
        <w:t>Global Business Challenges</w:t>
      </w:r>
    </w:p>
    <w:p w14:paraId="27E3D9C5" w14:textId="77777777" w:rsidR="003576F6" w:rsidRPr="00821663" w:rsidRDefault="003576F6" w:rsidP="003576F6">
      <w:pPr>
        <w:jc w:val="center"/>
        <w:rPr>
          <w:rFonts w:ascii="Times New Roman" w:hAnsi="Times New Roman" w:cs="Times New Roman"/>
          <w:b/>
          <w:bCs/>
          <w:sz w:val="24"/>
          <w:szCs w:val="24"/>
        </w:rPr>
      </w:pPr>
      <w:r w:rsidRPr="00821663">
        <w:rPr>
          <w:rFonts w:ascii="Times New Roman" w:hAnsi="Times New Roman" w:cs="Times New Roman"/>
          <w:b/>
          <w:bCs/>
          <w:sz w:val="24"/>
          <w:szCs w:val="24"/>
        </w:rPr>
        <w:t>Student Name:</w:t>
      </w:r>
      <w:r w:rsidRPr="003F7A01">
        <w:rPr>
          <w:rFonts w:ascii="Times New Roman" w:hAnsi="Times New Roman" w:cs="Times New Roman"/>
          <w:b/>
          <w:bCs/>
          <w:sz w:val="24"/>
          <w:szCs w:val="24"/>
        </w:rPr>
        <w:t xml:space="preserve"> Aditya Mohod</w:t>
      </w:r>
    </w:p>
    <w:p w14:paraId="6B261B87" w14:textId="77777777" w:rsidR="003576F6" w:rsidRPr="00821663" w:rsidRDefault="003576F6" w:rsidP="003576F6">
      <w:pPr>
        <w:jc w:val="center"/>
        <w:rPr>
          <w:rFonts w:ascii="Times New Roman" w:hAnsi="Times New Roman" w:cs="Times New Roman"/>
          <w:b/>
          <w:bCs/>
          <w:sz w:val="24"/>
          <w:szCs w:val="24"/>
        </w:rPr>
      </w:pPr>
      <w:r w:rsidRPr="00821663">
        <w:rPr>
          <w:rFonts w:ascii="Times New Roman" w:hAnsi="Times New Roman" w:cs="Times New Roman"/>
          <w:b/>
          <w:bCs/>
          <w:sz w:val="24"/>
          <w:szCs w:val="24"/>
        </w:rPr>
        <w:t>Student ID:</w:t>
      </w:r>
      <w:r w:rsidRPr="003F7A01">
        <w:rPr>
          <w:rFonts w:ascii="Times New Roman" w:hAnsi="Times New Roman" w:cs="Times New Roman"/>
          <w:b/>
          <w:bCs/>
          <w:sz w:val="24"/>
          <w:szCs w:val="24"/>
        </w:rPr>
        <w:t xml:space="preserve"> 2503557</w:t>
      </w:r>
    </w:p>
    <w:p w14:paraId="1FA90192" w14:textId="77777777" w:rsidR="007851D3" w:rsidRPr="007851D3" w:rsidRDefault="007851D3" w:rsidP="003576F6">
      <w:pPr>
        <w:jc w:val="center"/>
        <w:rPr>
          <w:b/>
          <w:bCs/>
        </w:rPr>
      </w:pPr>
      <w:r w:rsidRPr="007851D3">
        <w:rPr>
          <w:b/>
          <w:bCs/>
        </w:rPr>
        <w:br w:type="page"/>
      </w:r>
    </w:p>
    <w:sdt>
      <w:sdtPr>
        <w:id w:val="-514077592"/>
        <w:docPartObj>
          <w:docPartGallery w:val="Table of Contents"/>
          <w:docPartUnique/>
        </w:docPartObj>
      </w:sdtPr>
      <w:sdtContent>
        <w:p w14:paraId="31AE04B3" w14:textId="77777777" w:rsidR="007851D3" w:rsidRPr="007851D3" w:rsidRDefault="007851D3" w:rsidP="007851D3">
          <w:pPr>
            <w:rPr>
              <w:b/>
              <w:bCs/>
              <w:lang w:val="en-US"/>
            </w:rPr>
          </w:pPr>
          <w:r w:rsidRPr="007851D3">
            <w:rPr>
              <w:b/>
              <w:bCs/>
              <w:lang w:val="en-US"/>
            </w:rPr>
            <w:t>Table of Contents</w:t>
          </w:r>
        </w:p>
        <w:p w14:paraId="156BB61F" w14:textId="4EB432A4" w:rsidR="00D350DA" w:rsidRDefault="007851D3">
          <w:pPr>
            <w:pStyle w:val="TOC1"/>
            <w:tabs>
              <w:tab w:val="right" w:leader="dot" w:pos="9016"/>
            </w:tabs>
            <w:rPr>
              <w:rFonts w:eastAsiaTheme="minorEastAsia"/>
              <w:noProof/>
              <w:sz w:val="24"/>
              <w:szCs w:val="24"/>
              <w:lang w:val="en-IN" w:eastAsia="en-IN"/>
            </w:rPr>
          </w:pPr>
          <w:r w:rsidRPr="007851D3">
            <w:rPr>
              <w:i/>
              <w:iCs/>
            </w:rPr>
            <w:fldChar w:fldCharType="begin"/>
          </w:r>
          <w:r w:rsidRPr="007851D3">
            <w:rPr>
              <w:b/>
              <w:bCs/>
              <w:i/>
              <w:iCs/>
            </w:rPr>
            <w:instrText xml:space="preserve"> TOC \o "1-3" \h \z \u </w:instrText>
          </w:r>
          <w:r w:rsidRPr="007851D3">
            <w:rPr>
              <w:i/>
              <w:iCs/>
            </w:rPr>
            <w:fldChar w:fldCharType="separate"/>
          </w:r>
          <w:hyperlink w:anchor="_Toc228135284" w:history="1">
            <w:r w:rsidR="00D350DA" w:rsidRPr="009C1E8D">
              <w:rPr>
                <w:rStyle w:val="Hyperlink"/>
                <w:noProof/>
              </w:rPr>
              <w:t>Executive Summary</w:t>
            </w:r>
            <w:r w:rsidR="00D350DA">
              <w:rPr>
                <w:noProof/>
                <w:webHidden/>
              </w:rPr>
              <w:tab/>
            </w:r>
            <w:r w:rsidR="00D350DA">
              <w:rPr>
                <w:noProof/>
                <w:webHidden/>
              </w:rPr>
              <w:fldChar w:fldCharType="begin"/>
            </w:r>
            <w:r w:rsidR="00D350DA">
              <w:rPr>
                <w:noProof/>
                <w:webHidden/>
              </w:rPr>
              <w:instrText xml:space="preserve"> PAGEREF _Toc228135284 \h </w:instrText>
            </w:r>
            <w:r w:rsidR="00D350DA">
              <w:rPr>
                <w:noProof/>
                <w:webHidden/>
              </w:rPr>
            </w:r>
            <w:r w:rsidR="00D350DA">
              <w:rPr>
                <w:noProof/>
                <w:webHidden/>
              </w:rPr>
              <w:fldChar w:fldCharType="separate"/>
            </w:r>
            <w:r w:rsidR="00D350DA">
              <w:rPr>
                <w:noProof/>
                <w:webHidden/>
              </w:rPr>
              <w:t>3</w:t>
            </w:r>
            <w:r w:rsidR="00D350DA">
              <w:rPr>
                <w:noProof/>
                <w:webHidden/>
              </w:rPr>
              <w:fldChar w:fldCharType="end"/>
            </w:r>
          </w:hyperlink>
        </w:p>
        <w:p w14:paraId="60367084" w14:textId="2928EB75" w:rsidR="00D350DA" w:rsidRDefault="00D350DA">
          <w:pPr>
            <w:pStyle w:val="TOC1"/>
            <w:tabs>
              <w:tab w:val="right" w:leader="dot" w:pos="9016"/>
            </w:tabs>
            <w:rPr>
              <w:rFonts w:eastAsiaTheme="minorEastAsia"/>
              <w:noProof/>
              <w:sz w:val="24"/>
              <w:szCs w:val="24"/>
              <w:lang w:val="en-IN" w:eastAsia="en-IN"/>
            </w:rPr>
          </w:pPr>
          <w:hyperlink w:anchor="_Toc228135285" w:history="1">
            <w:r w:rsidRPr="009C1E8D">
              <w:rPr>
                <w:rStyle w:val="Hyperlink"/>
                <w:noProof/>
              </w:rPr>
              <w:t>1. Introduction</w:t>
            </w:r>
            <w:r>
              <w:rPr>
                <w:noProof/>
                <w:webHidden/>
              </w:rPr>
              <w:tab/>
            </w:r>
            <w:r>
              <w:rPr>
                <w:noProof/>
                <w:webHidden/>
              </w:rPr>
              <w:fldChar w:fldCharType="begin"/>
            </w:r>
            <w:r>
              <w:rPr>
                <w:noProof/>
                <w:webHidden/>
              </w:rPr>
              <w:instrText xml:space="preserve"> PAGEREF _Toc228135285 \h </w:instrText>
            </w:r>
            <w:r>
              <w:rPr>
                <w:noProof/>
                <w:webHidden/>
              </w:rPr>
            </w:r>
            <w:r>
              <w:rPr>
                <w:noProof/>
                <w:webHidden/>
              </w:rPr>
              <w:fldChar w:fldCharType="separate"/>
            </w:r>
            <w:r>
              <w:rPr>
                <w:noProof/>
                <w:webHidden/>
              </w:rPr>
              <w:t>3</w:t>
            </w:r>
            <w:r>
              <w:rPr>
                <w:noProof/>
                <w:webHidden/>
              </w:rPr>
              <w:fldChar w:fldCharType="end"/>
            </w:r>
          </w:hyperlink>
        </w:p>
        <w:p w14:paraId="23876D11" w14:textId="51103881" w:rsidR="00D350DA" w:rsidRDefault="00D350DA">
          <w:pPr>
            <w:pStyle w:val="TOC1"/>
            <w:tabs>
              <w:tab w:val="right" w:leader="dot" w:pos="9016"/>
            </w:tabs>
            <w:rPr>
              <w:rFonts w:eastAsiaTheme="minorEastAsia"/>
              <w:noProof/>
              <w:sz w:val="24"/>
              <w:szCs w:val="24"/>
              <w:lang w:val="en-IN" w:eastAsia="en-IN"/>
            </w:rPr>
          </w:pPr>
          <w:hyperlink w:anchor="_Toc228135286" w:history="1">
            <w:r w:rsidRPr="009C1E8D">
              <w:rPr>
                <w:rStyle w:val="Hyperlink"/>
                <w:noProof/>
              </w:rPr>
              <w:t>2. Main Findings</w:t>
            </w:r>
            <w:r>
              <w:rPr>
                <w:noProof/>
                <w:webHidden/>
              </w:rPr>
              <w:tab/>
            </w:r>
            <w:r>
              <w:rPr>
                <w:noProof/>
                <w:webHidden/>
              </w:rPr>
              <w:fldChar w:fldCharType="begin"/>
            </w:r>
            <w:r>
              <w:rPr>
                <w:noProof/>
                <w:webHidden/>
              </w:rPr>
              <w:instrText xml:space="preserve"> PAGEREF _Toc228135286 \h </w:instrText>
            </w:r>
            <w:r>
              <w:rPr>
                <w:noProof/>
                <w:webHidden/>
              </w:rPr>
            </w:r>
            <w:r>
              <w:rPr>
                <w:noProof/>
                <w:webHidden/>
              </w:rPr>
              <w:fldChar w:fldCharType="separate"/>
            </w:r>
            <w:r>
              <w:rPr>
                <w:noProof/>
                <w:webHidden/>
              </w:rPr>
              <w:t>4</w:t>
            </w:r>
            <w:r>
              <w:rPr>
                <w:noProof/>
                <w:webHidden/>
              </w:rPr>
              <w:fldChar w:fldCharType="end"/>
            </w:r>
          </w:hyperlink>
        </w:p>
        <w:p w14:paraId="1D6FFB59" w14:textId="267819C4" w:rsidR="00D350DA" w:rsidRDefault="00D350DA">
          <w:pPr>
            <w:pStyle w:val="TOC2"/>
            <w:tabs>
              <w:tab w:val="right" w:leader="dot" w:pos="9016"/>
            </w:tabs>
            <w:rPr>
              <w:rFonts w:eastAsiaTheme="minorEastAsia"/>
              <w:noProof/>
              <w:sz w:val="24"/>
              <w:szCs w:val="24"/>
              <w:lang w:val="en-IN" w:eastAsia="en-IN"/>
            </w:rPr>
          </w:pPr>
          <w:hyperlink w:anchor="_Toc228135287" w:history="1">
            <w:r w:rsidRPr="009C1E8D">
              <w:rPr>
                <w:rStyle w:val="Hyperlink"/>
                <w:noProof/>
              </w:rPr>
              <w:t>2.1 PESTLE Analysis: AI in the Global Business Environment</w:t>
            </w:r>
            <w:r>
              <w:rPr>
                <w:noProof/>
                <w:webHidden/>
              </w:rPr>
              <w:tab/>
            </w:r>
            <w:r>
              <w:rPr>
                <w:noProof/>
                <w:webHidden/>
              </w:rPr>
              <w:fldChar w:fldCharType="begin"/>
            </w:r>
            <w:r>
              <w:rPr>
                <w:noProof/>
                <w:webHidden/>
              </w:rPr>
              <w:instrText xml:space="preserve"> PAGEREF _Toc228135287 \h </w:instrText>
            </w:r>
            <w:r>
              <w:rPr>
                <w:noProof/>
                <w:webHidden/>
              </w:rPr>
            </w:r>
            <w:r>
              <w:rPr>
                <w:noProof/>
                <w:webHidden/>
              </w:rPr>
              <w:fldChar w:fldCharType="separate"/>
            </w:r>
            <w:r>
              <w:rPr>
                <w:noProof/>
                <w:webHidden/>
              </w:rPr>
              <w:t>4</w:t>
            </w:r>
            <w:r>
              <w:rPr>
                <w:noProof/>
                <w:webHidden/>
              </w:rPr>
              <w:fldChar w:fldCharType="end"/>
            </w:r>
          </w:hyperlink>
        </w:p>
        <w:p w14:paraId="6C0A3476" w14:textId="43904E2F" w:rsidR="00D350DA" w:rsidRDefault="00D350DA">
          <w:pPr>
            <w:pStyle w:val="TOC2"/>
            <w:tabs>
              <w:tab w:val="right" w:leader="dot" w:pos="9016"/>
            </w:tabs>
            <w:rPr>
              <w:rFonts w:eastAsiaTheme="minorEastAsia"/>
              <w:noProof/>
              <w:sz w:val="24"/>
              <w:szCs w:val="24"/>
              <w:lang w:val="en-IN" w:eastAsia="en-IN"/>
            </w:rPr>
          </w:pPr>
          <w:hyperlink w:anchor="_Toc228135288" w:history="1">
            <w:r w:rsidRPr="009C1E8D">
              <w:rPr>
                <w:rStyle w:val="Hyperlink"/>
                <w:noProof/>
              </w:rPr>
              <w:t>2.2 AI Risk Landscape for Multinational Corporations</w:t>
            </w:r>
            <w:r>
              <w:rPr>
                <w:noProof/>
                <w:webHidden/>
              </w:rPr>
              <w:tab/>
            </w:r>
            <w:r>
              <w:rPr>
                <w:noProof/>
                <w:webHidden/>
              </w:rPr>
              <w:fldChar w:fldCharType="begin"/>
            </w:r>
            <w:r>
              <w:rPr>
                <w:noProof/>
                <w:webHidden/>
              </w:rPr>
              <w:instrText xml:space="preserve"> PAGEREF _Toc228135288 \h </w:instrText>
            </w:r>
            <w:r>
              <w:rPr>
                <w:noProof/>
                <w:webHidden/>
              </w:rPr>
            </w:r>
            <w:r>
              <w:rPr>
                <w:noProof/>
                <w:webHidden/>
              </w:rPr>
              <w:fldChar w:fldCharType="separate"/>
            </w:r>
            <w:r>
              <w:rPr>
                <w:noProof/>
                <w:webHidden/>
              </w:rPr>
              <w:t>5</w:t>
            </w:r>
            <w:r>
              <w:rPr>
                <w:noProof/>
                <w:webHidden/>
              </w:rPr>
              <w:fldChar w:fldCharType="end"/>
            </w:r>
          </w:hyperlink>
        </w:p>
        <w:p w14:paraId="5E8B765F" w14:textId="2F8C1901" w:rsidR="00D350DA" w:rsidRDefault="00D350DA">
          <w:pPr>
            <w:pStyle w:val="TOC2"/>
            <w:tabs>
              <w:tab w:val="right" w:leader="dot" w:pos="9016"/>
            </w:tabs>
            <w:rPr>
              <w:rFonts w:eastAsiaTheme="minorEastAsia"/>
              <w:noProof/>
              <w:sz w:val="24"/>
              <w:szCs w:val="24"/>
              <w:lang w:val="en-IN" w:eastAsia="en-IN"/>
            </w:rPr>
          </w:pPr>
          <w:hyperlink w:anchor="_Toc228135289" w:history="1">
            <w:r w:rsidRPr="009C1E8D">
              <w:rPr>
                <w:rStyle w:val="Hyperlink"/>
                <w:noProof/>
              </w:rPr>
              <w:t>2.3 Data Governance and Regulatory Compliance: UK and EU Frameworks</w:t>
            </w:r>
            <w:r>
              <w:rPr>
                <w:noProof/>
                <w:webHidden/>
              </w:rPr>
              <w:tab/>
            </w:r>
            <w:r>
              <w:rPr>
                <w:noProof/>
                <w:webHidden/>
              </w:rPr>
              <w:fldChar w:fldCharType="begin"/>
            </w:r>
            <w:r>
              <w:rPr>
                <w:noProof/>
                <w:webHidden/>
              </w:rPr>
              <w:instrText xml:space="preserve"> PAGEREF _Toc228135289 \h </w:instrText>
            </w:r>
            <w:r>
              <w:rPr>
                <w:noProof/>
                <w:webHidden/>
              </w:rPr>
            </w:r>
            <w:r>
              <w:rPr>
                <w:noProof/>
                <w:webHidden/>
              </w:rPr>
              <w:fldChar w:fldCharType="separate"/>
            </w:r>
            <w:r>
              <w:rPr>
                <w:noProof/>
                <w:webHidden/>
              </w:rPr>
              <w:t>6</w:t>
            </w:r>
            <w:r>
              <w:rPr>
                <w:noProof/>
                <w:webHidden/>
              </w:rPr>
              <w:fldChar w:fldCharType="end"/>
            </w:r>
          </w:hyperlink>
        </w:p>
        <w:p w14:paraId="2748FCBF" w14:textId="47423D90" w:rsidR="00D350DA" w:rsidRDefault="00D350DA">
          <w:pPr>
            <w:pStyle w:val="TOC2"/>
            <w:tabs>
              <w:tab w:val="right" w:leader="dot" w:pos="9016"/>
            </w:tabs>
            <w:rPr>
              <w:rFonts w:eastAsiaTheme="minorEastAsia"/>
              <w:noProof/>
              <w:sz w:val="24"/>
              <w:szCs w:val="24"/>
              <w:lang w:val="en-IN" w:eastAsia="en-IN"/>
            </w:rPr>
          </w:pPr>
          <w:hyperlink w:anchor="_Toc228135290" w:history="1">
            <w:r w:rsidRPr="009C1E8D">
              <w:rPr>
                <w:rStyle w:val="Hyperlink"/>
                <w:noProof/>
              </w:rPr>
              <w:t>2.4 Ethical AI Use and Algorithmic Accountability</w:t>
            </w:r>
            <w:r>
              <w:rPr>
                <w:noProof/>
                <w:webHidden/>
              </w:rPr>
              <w:tab/>
            </w:r>
            <w:r>
              <w:rPr>
                <w:noProof/>
                <w:webHidden/>
              </w:rPr>
              <w:fldChar w:fldCharType="begin"/>
            </w:r>
            <w:r>
              <w:rPr>
                <w:noProof/>
                <w:webHidden/>
              </w:rPr>
              <w:instrText xml:space="preserve"> PAGEREF _Toc228135290 \h </w:instrText>
            </w:r>
            <w:r>
              <w:rPr>
                <w:noProof/>
                <w:webHidden/>
              </w:rPr>
            </w:r>
            <w:r>
              <w:rPr>
                <w:noProof/>
                <w:webHidden/>
              </w:rPr>
              <w:fldChar w:fldCharType="separate"/>
            </w:r>
            <w:r>
              <w:rPr>
                <w:noProof/>
                <w:webHidden/>
              </w:rPr>
              <w:t>8</w:t>
            </w:r>
            <w:r>
              <w:rPr>
                <w:noProof/>
                <w:webHidden/>
              </w:rPr>
              <w:fldChar w:fldCharType="end"/>
            </w:r>
          </w:hyperlink>
        </w:p>
        <w:p w14:paraId="3614E3E2" w14:textId="6FE2459D" w:rsidR="00D350DA" w:rsidRDefault="00D350DA">
          <w:pPr>
            <w:pStyle w:val="TOC2"/>
            <w:tabs>
              <w:tab w:val="right" w:leader="dot" w:pos="9016"/>
            </w:tabs>
            <w:rPr>
              <w:rFonts w:eastAsiaTheme="minorEastAsia"/>
              <w:noProof/>
              <w:sz w:val="24"/>
              <w:szCs w:val="24"/>
              <w:lang w:val="en-IN" w:eastAsia="en-IN"/>
            </w:rPr>
          </w:pPr>
          <w:hyperlink w:anchor="_Toc228135291" w:history="1">
            <w:r w:rsidRPr="009C1E8D">
              <w:rPr>
                <w:rStyle w:val="Hyperlink"/>
                <w:noProof/>
              </w:rPr>
              <w:t>2.5 Sustaining Customer Confidence in an AI-Driven Organization</w:t>
            </w:r>
            <w:r>
              <w:rPr>
                <w:noProof/>
                <w:webHidden/>
              </w:rPr>
              <w:tab/>
            </w:r>
            <w:r>
              <w:rPr>
                <w:noProof/>
                <w:webHidden/>
              </w:rPr>
              <w:fldChar w:fldCharType="begin"/>
            </w:r>
            <w:r>
              <w:rPr>
                <w:noProof/>
                <w:webHidden/>
              </w:rPr>
              <w:instrText xml:space="preserve"> PAGEREF _Toc228135291 \h </w:instrText>
            </w:r>
            <w:r>
              <w:rPr>
                <w:noProof/>
                <w:webHidden/>
              </w:rPr>
            </w:r>
            <w:r>
              <w:rPr>
                <w:noProof/>
                <w:webHidden/>
              </w:rPr>
              <w:fldChar w:fldCharType="separate"/>
            </w:r>
            <w:r>
              <w:rPr>
                <w:noProof/>
                <w:webHidden/>
              </w:rPr>
              <w:t>9</w:t>
            </w:r>
            <w:r>
              <w:rPr>
                <w:noProof/>
                <w:webHidden/>
              </w:rPr>
              <w:fldChar w:fldCharType="end"/>
            </w:r>
          </w:hyperlink>
        </w:p>
        <w:p w14:paraId="5A772D4A" w14:textId="41E1C638" w:rsidR="00D350DA" w:rsidRDefault="00D350DA">
          <w:pPr>
            <w:pStyle w:val="TOC2"/>
            <w:tabs>
              <w:tab w:val="right" w:leader="dot" w:pos="9016"/>
            </w:tabs>
            <w:rPr>
              <w:rFonts w:eastAsiaTheme="minorEastAsia"/>
              <w:noProof/>
              <w:sz w:val="24"/>
              <w:szCs w:val="24"/>
              <w:lang w:val="en-IN" w:eastAsia="en-IN"/>
            </w:rPr>
          </w:pPr>
          <w:hyperlink w:anchor="_Toc228135292" w:history="1">
            <w:r w:rsidRPr="009C1E8D">
              <w:rPr>
                <w:rStyle w:val="Hyperlink"/>
                <w:noProof/>
              </w:rPr>
              <w:t>2.6 Implementation Plan</w:t>
            </w:r>
            <w:r>
              <w:rPr>
                <w:noProof/>
                <w:webHidden/>
              </w:rPr>
              <w:tab/>
            </w:r>
            <w:r>
              <w:rPr>
                <w:noProof/>
                <w:webHidden/>
              </w:rPr>
              <w:fldChar w:fldCharType="begin"/>
            </w:r>
            <w:r>
              <w:rPr>
                <w:noProof/>
                <w:webHidden/>
              </w:rPr>
              <w:instrText xml:space="preserve"> PAGEREF _Toc228135292 \h </w:instrText>
            </w:r>
            <w:r>
              <w:rPr>
                <w:noProof/>
                <w:webHidden/>
              </w:rPr>
            </w:r>
            <w:r>
              <w:rPr>
                <w:noProof/>
                <w:webHidden/>
              </w:rPr>
              <w:fldChar w:fldCharType="separate"/>
            </w:r>
            <w:r>
              <w:rPr>
                <w:noProof/>
                <w:webHidden/>
              </w:rPr>
              <w:t>10</w:t>
            </w:r>
            <w:r>
              <w:rPr>
                <w:noProof/>
                <w:webHidden/>
              </w:rPr>
              <w:fldChar w:fldCharType="end"/>
            </w:r>
          </w:hyperlink>
        </w:p>
        <w:p w14:paraId="29116812" w14:textId="3E8B6090" w:rsidR="00D350DA" w:rsidRDefault="00D350DA">
          <w:pPr>
            <w:pStyle w:val="TOC1"/>
            <w:tabs>
              <w:tab w:val="right" w:leader="dot" w:pos="9016"/>
            </w:tabs>
            <w:rPr>
              <w:rFonts w:eastAsiaTheme="minorEastAsia"/>
              <w:noProof/>
              <w:sz w:val="24"/>
              <w:szCs w:val="24"/>
              <w:lang w:val="en-IN" w:eastAsia="en-IN"/>
            </w:rPr>
          </w:pPr>
          <w:hyperlink w:anchor="_Toc228135293" w:history="1">
            <w:r w:rsidRPr="009C1E8D">
              <w:rPr>
                <w:rStyle w:val="Hyperlink"/>
                <w:noProof/>
              </w:rPr>
              <w:t>3. Conclusion</w:t>
            </w:r>
            <w:r>
              <w:rPr>
                <w:noProof/>
                <w:webHidden/>
              </w:rPr>
              <w:tab/>
            </w:r>
            <w:r>
              <w:rPr>
                <w:noProof/>
                <w:webHidden/>
              </w:rPr>
              <w:fldChar w:fldCharType="begin"/>
            </w:r>
            <w:r>
              <w:rPr>
                <w:noProof/>
                <w:webHidden/>
              </w:rPr>
              <w:instrText xml:space="preserve"> PAGEREF _Toc228135293 \h </w:instrText>
            </w:r>
            <w:r>
              <w:rPr>
                <w:noProof/>
                <w:webHidden/>
              </w:rPr>
            </w:r>
            <w:r>
              <w:rPr>
                <w:noProof/>
                <w:webHidden/>
              </w:rPr>
              <w:fldChar w:fldCharType="separate"/>
            </w:r>
            <w:r>
              <w:rPr>
                <w:noProof/>
                <w:webHidden/>
              </w:rPr>
              <w:t>12</w:t>
            </w:r>
            <w:r>
              <w:rPr>
                <w:noProof/>
                <w:webHidden/>
              </w:rPr>
              <w:fldChar w:fldCharType="end"/>
            </w:r>
          </w:hyperlink>
        </w:p>
        <w:p w14:paraId="1BD23B81" w14:textId="33A46670" w:rsidR="00D350DA" w:rsidRDefault="00D350DA">
          <w:pPr>
            <w:pStyle w:val="TOC1"/>
            <w:tabs>
              <w:tab w:val="right" w:leader="dot" w:pos="9016"/>
            </w:tabs>
            <w:rPr>
              <w:rFonts w:eastAsiaTheme="minorEastAsia"/>
              <w:noProof/>
              <w:sz w:val="24"/>
              <w:szCs w:val="24"/>
              <w:lang w:val="en-IN" w:eastAsia="en-IN"/>
            </w:rPr>
          </w:pPr>
          <w:hyperlink w:anchor="_Toc228135294" w:history="1">
            <w:r w:rsidRPr="009C1E8D">
              <w:rPr>
                <w:rStyle w:val="Hyperlink"/>
                <w:noProof/>
              </w:rPr>
              <w:t>4. Reflection</w:t>
            </w:r>
            <w:r>
              <w:rPr>
                <w:noProof/>
                <w:webHidden/>
              </w:rPr>
              <w:tab/>
            </w:r>
            <w:r>
              <w:rPr>
                <w:noProof/>
                <w:webHidden/>
              </w:rPr>
              <w:fldChar w:fldCharType="begin"/>
            </w:r>
            <w:r>
              <w:rPr>
                <w:noProof/>
                <w:webHidden/>
              </w:rPr>
              <w:instrText xml:space="preserve"> PAGEREF _Toc228135294 \h </w:instrText>
            </w:r>
            <w:r>
              <w:rPr>
                <w:noProof/>
                <w:webHidden/>
              </w:rPr>
            </w:r>
            <w:r>
              <w:rPr>
                <w:noProof/>
                <w:webHidden/>
              </w:rPr>
              <w:fldChar w:fldCharType="separate"/>
            </w:r>
            <w:r>
              <w:rPr>
                <w:noProof/>
                <w:webHidden/>
              </w:rPr>
              <w:t>13</w:t>
            </w:r>
            <w:r>
              <w:rPr>
                <w:noProof/>
                <w:webHidden/>
              </w:rPr>
              <w:fldChar w:fldCharType="end"/>
            </w:r>
          </w:hyperlink>
        </w:p>
        <w:p w14:paraId="6B4189D8" w14:textId="5D424005" w:rsidR="00D350DA" w:rsidRDefault="00D350DA">
          <w:pPr>
            <w:pStyle w:val="TOC1"/>
            <w:tabs>
              <w:tab w:val="right" w:leader="dot" w:pos="9016"/>
            </w:tabs>
            <w:rPr>
              <w:rFonts w:eastAsiaTheme="minorEastAsia"/>
              <w:noProof/>
              <w:sz w:val="24"/>
              <w:szCs w:val="24"/>
              <w:lang w:val="en-IN" w:eastAsia="en-IN"/>
            </w:rPr>
          </w:pPr>
          <w:hyperlink w:anchor="_Toc228135295" w:history="1">
            <w:r w:rsidRPr="009C1E8D">
              <w:rPr>
                <w:rStyle w:val="Hyperlink"/>
                <w:noProof/>
              </w:rPr>
              <w:t>5. Bibliography</w:t>
            </w:r>
            <w:r>
              <w:rPr>
                <w:noProof/>
                <w:webHidden/>
              </w:rPr>
              <w:tab/>
            </w:r>
            <w:r>
              <w:rPr>
                <w:noProof/>
                <w:webHidden/>
              </w:rPr>
              <w:fldChar w:fldCharType="begin"/>
            </w:r>
            <w:r>
              <w:rPr>
                <w:noProof/>
                <w:webHidden/>
              </w:rPr>
              <w:instrText xml:space="preserve"> PAGEREF _Toc228135295 \h </w:instrText>
            </w:r>
            <w:r>
              <w:rPr>
                <w:noProof/>
                <w:webHidden/>
              </w:rPr>
            </w:r>
            <w:r>
              <w:rPr>
                <w:noProof/>
                <w:webHidden/>
              </w:rPr>
              <w:fldChar w:fldCharType="separate"/>
            </w:r>
            <w:r>
              <w:rPr>
                <w:noProof/>
                <w:webHidden/>
              </w:rPr>
              <w:t>14</w:t>
            </w:r>
            <w:r>
              <w:rPr>
                <w:noProof/>
                <w:webHidden/>
              </w:rPr>
              <w:fldChar w:fldCharType="end"/>
            </w:r>
          </w:hyperlink>
        </w:p>
        <w:p w14:paraId="1590E1CC" w14:textId="4C521655" w:rsidR="007851D3" w:rsidRPr="007851D3" w:rsidRDefault="007851D3" w:rsidP="007851D3">
          <w:r w:rsidRPr="007851D3">
            <w:fldChar w:fldCharType="end"/>
          </w:r>
        </w:p>
      </w:sdtContent>
    </w:sdt>
    <w:p w14:paraId="72331756" w14:textId="77777777" w:rsidR="007851D3" w:rsidRPr="007851D3" w:rsidRDefault="007851D3" w:rsidP="007851D3">
      <w:pPr>
        <w:rPr>
          <w:b/>
          <w:bCs/>
        </w:rPr>
      </w:pPr>
    </w:p>
    <w:p w14:paraId="2D134258" w14:textId="77777777" w:rsidR="007851D3" w:rsidRPr="007851D3" w:rsidRDefault="007851D3" w:rsidP="007851D3">
      <w:pPr>
        <w:rPr>
          <w:b/>
          <w:bCs/>
        </w:rPr>
      </w:pPr>
      <w:r w:rsidRPr="007851D3">
        <w:rPr>
          <w:b/>
          <w:bCs/>
        </w:rPr>
        <w:br w:type="page"/>
      </w:r>
    </w:p>
    <w:p w14:paraId="56E4E66F" w14:textId="77777777" w:rsidR="007851D3" w:rsidRPr="007851D3" w:rsidRDefault="007851D3" w:rsidP="003576F6">
      <w:pPr>
        <w:pStyle w:val="Heading1"/>
      </w:pPr>
      <w:bookmarkStart w:id="0" w:name="_Toc228135284"/>
      <w:r w:rsidRPr="007851D3">
        <w:lastRenderedPageBreak/>
        <w:t>Executive Summary</w:t>
      </w:r>
      <w:bookmarkEnd w:id="0"/>
    </w:p>
    <w:p w14:paraId="26692092" w14:textId="77777777" w:rsidR="007851D3" w:rsidRPr="007851D3" w:rsidRDefault="007851D3" w:rsidP="007851D3">
      <w:r w:rsidRPr="007851D3">
        <w:t>The current research project has been undertaken with the objective of addressing the critical strategic imperative confronting multinational corporations in the context of the accelerated adoption of AI technologies. The client for this advisory project is Unilever PLC, which is a leading multinational consumer goods company with operations in over 190 countries and has a workforce of over 127,000 employees (Unilever, 2024).</w:t>
      </w:r>
    </w:p>
    <w:p w14:paraId="2A133843" w14:textId="77777777" w:rsidR="007851D3" w:rsidRPr="007851D3" w:rsidRDefault="007851D3" w:rsidP="007851D3">
      <w:r w:rsidRPr="007851D3">
        <w:t xml:space="preserve">The current report asserts that the accelerated adoption of AI technologies has the potential to yield unprecedented competitive advantages in the context of product personalization, optimization of the supply chain, and the development of consumer insights. However, it also has the potential to yield a complex and multi-layered risk environment that needs to be addressed with great discipline and strategic foresight by the organization. The current study has critically </w:t>
      </w:r>
      <w:proofErr w:type="spellStart"/>
      <w:r w:rsidRPr="007851D3">
        <w:t>analyzed</w:t>
      </w:r>
      <w:proofErr w:type="spellEnd"/>
      <w:r w:rsidRPr="007851D3">
        <w:t xml:space="preserve"> the manner in which the current and evolving political, technological, and regulatory environment is impacting the organizational risk management imperatives in the context of AI technologies, through a critical assessment of the current regulatory environment in the United Kingdom and the European Union.</w:t>
      </w:r>
    </w:p>
    <w:p w14:paraId="3E623729" w14:textId="77777777" w:rsidR="007851D3" w:rsidRPr="007851D3" w:rsidRDefault="007851D3" w:rsidP="007851D3">
      <w:r w:rsidRPr="007851D3">
        <w:t>The critical findings of the current study have demonstrated the criticality of the EU AI Act of 2024, the AI regulatory sandbox in the United Kingdom, and the current data protection environment in the United Kingdom and the European Union. The current study has also promulgated a critical implementation plan through the development of the AI Governance Architecture, Regulatory Compliance Frameworks, Ethical AI Deployment Protocols, and Customer Trust Infrastructure.</w:t>
      </w:r>
    </w:p>
    <w:p w14:paraId="58EAEB0C" w14:textId="77777777" w:rsidR="007851D3" w:rsidRPr="007851D3" w:rsidRDefault="007851D3" w:rsidP="007851D3">
      <w:r w:rsidRPr="007851D3">
        <w:t>In recognition of the accelerated evolution of AI technologies and the dual role that AI plays in the context of yielding competitive advantages and generating reputational risks and litigations, the current study has also promulgated the proposed framework with the objective of yielding future-oriented imperatives to the organizational leadership. The current study has also provided critical strategic imperatives to the organizational leadership through the development of the current study, which has also relied on academic theory, industry data, and critical analyses of the current legislation.</w:t>
      </w:r>
    </w:p>
    <w:p w14:paraId="47480C51" w14:textId="77777777" w:rsidR="007851D3" w:rsidRPr="007851D3" w:rsidRDefault="007851D3" w:rsidP="007851D3"/>
    <w:p w14:paraId="320D5AEA" w14:textId="77777777" w:rsidR="007851D3" w:rsidRPr="007851D3" w:rsidRDefault="007851D3" w:rsidP="007851D3"/>
    <w:p w14:paraId="45659488" w14:textId="77777777" w:rsidR="007851D3" w:rsidRPr="007851D3" w:rsidRDefault="007851D3" w:rsidP="003576F6">
      <w:pPr>
        <w:pStyle w:val="Heading1"/>
      </w:pPr>
      <w:bookmarkStart w:id="1" w:name="_Toc228135285"/>
      <w:r w:rsidRPr="007851D3">
        <w:t>1. Introduction</w:t>
      </w:r>
      <w:bookmarkEnd w:id="1"/>
    </w:p>
    <w:p w14:paraId="64FFF0DB" w14:textId="77777777" w:rsidR="007851D3" w:rsidRPr="007851D3" w:rsidRDefault="007851D3" w:rsidP="007851D3">
      <w:r w:rsidRPr="007851D3">
        <w:t>Artificial intelligence has evolved from being an ancillary aspect of business innovation to becoming an integral aspect of global corporate strategy for many multinational entities. According to McKinsey &amp; Company (2024), currently, about 65% of global entities use generative artificial intelligence in at least one aspect of their business functions, nearly double the number from twelve months ago. This rate of growth is unprecedented and has given rise to numerous opportunities and risks for MNCs that operate in complex and interrelated global environments.</w:t>
      </w:r>
    </w:p>
    <w:p w14:paraId="49C7FE64" w14:textId="77777777" w:rsidR="007851D3" w:rsidRPr="007851D3" w:rsidRDefault="007851D3" w:rsidP="007851D3">
      <w:r w:rsidRPr="007851D3">
        <w:t>This report examines the relevant aspects through the case study of Unilever PLC, which is a British-Dutch consumer goods MNC with an annual turnover of over £59 billion (Unilever Annual Report, 2023). Unilever is currently in an advanced phase of integrating artificial intelligence into its core business functions. As such, Unilever provides an interesting and informative case study on the opportunities and challenges that any MNC faces in its integration and use of artificial intelligence.</w:t>
      </w:r>
    </w:p>
    <w:p w14:paraId="18770D56" w14:textId="77777777" w:rsidR="007851D3" w:rsidRPr="007851D3" w:rsidRDefault="007851D3" w:rsidP="007851D3">
      <w:r w:rsidRPr="007851D3">
        <w:lastRenderedPageBreak/>
        <w:t>The structure of this report is based on the client briefing provided to RFD Global and is designed to address the organization’s needs for advice on how to manage artificial intelligence-related risks in such a manner that is compliant with regulations and ethical standards and maintains public trust with its millions of consumers worldwide. The analysis is based on a dual geography that compares and contrasts aspects of UK and European Union regulations and policies. These are two geographical areas that are strategically very important to Unilever given its history of having its headquarters in both London and the Netherlands.</w:t>
      </w:r>
    </w:p>
    <w:p w14:paraId="2A4748E7" w14:textId="77777777" w:rsidR="007851D3" w:rsidRPr="007851D3" w:rsidRDefault="007851D3" w:rsidP="007851D3">
      <w:r w:rsidRPr="007851D3">
        <w:t>The theoretical framework is based on inter-disciplinary theories including PESTLE analysis (Johnson et al., 2017), stakeholder theory (Freeman, 1984), enterprise risk management (COSO, 2017), and artificial intelligence governance (Cihon, 2019 and Dafoe, 2018). From this theoretical framework, this report provides a comprehensive and detailed set of strategic recommendations together with an implementation plan.</w:t>
      </w:r>
    </w:p>
    <w:p w14:paraId="0BC4834A" w14:textId="77777777" w:rsidR="007851D3" w:rsidRPr="007851D3" w:rsidRDefault="007851D3" w:rsidP="007851D3">
      <w:pPr>
        <w:rPr>
          <w:b/>
          <w:bCs/>
        </w:rPr>
      </w:pPr>
    </w:p>
    <w:p w14:paraId="0CED584C" w14:textId="77777777" w:rsidR="007851D3" w:rsidRPr="007851D3" w:rsidRDefault="007851D3" w:rsidP="003576F6">
      <w:pPr>
        <w:pStyle w:val="Heading1"/>
      </w:pPr>
    </w:p>
    <w:p w14:paraId="086107BF" w14:textId="77777777" w:rsidR="007851D3" w:rsidRPr="00D350DA" w:rsidRDefault="007851D3" w:rsidP="003576F6">
      <w:pPr>
        <w:pStyle w:val="Heading1"/>
      </w:pPr>
      <w:bookmarkStart w:id="2" w:name="_Toc228135286"/>
      <w:r w:rsidRPr="00D350DA">
        <w:t>2. Main Findings</w:t>
      </w:r>
      <w:bookmarkEnd w:id="2"/>
    </w:p>
    <w:p w14:paraId="0D72DD57" w14:textId="77777777" w:rsidR="007851D3" w:rsidRPr="007851D3" w:rsidRDefault="007851D3" w:rsidP="003576F6">
      <w:pPr>
        <w:pStyle w:val="Heading2"/>
      </w:pPr>
      <w:bookmarkStart w:id="3" w:name="_Toc228135287"/>
      <w:r w:rsidRPr="007851D3">
        <w:t>2.1 PESTLE Analysis: AI in the Global Business Environment</w:t>
      </w:r>
      <w:bookmarkEnd w:id="3"/>
    </w:p>
    <w:p w14:paraId="0AA219DE" w14:textId="77777777" w:rsidR="007851D3" w:rsidRPr="007851D3" w:rsidRDefault="007851D3" w:rsidP="007851D3">
      <w:r w:rsidRPr="007851D3">
        <w:t>A PESTLE approach is taken to examine the macro-environmental drivers for AI adoption and the associated risk implications for MNCs like Unilever. Each of the parameters provides a set of unique drivers and opportunities.</w:t>
      </w:r>
    </w:p>
    <w:p w14:paraId="07C7032A" w14:textId="77777777" w:rsidR="007851D3" w:rsidRPr="007851D3" w:rsidRDefault="007851D3" w:rsidP="007851D3">
      <w:pPr>
        <w:rPr>
          <w:b/>
          <w:bCs/>
        </w:rPr>
      </w:pPr>
      <w:r w:rsidRPr="007851D3">
        <w:rPr>
          <w:b/>
          <w:bCs/>
        </w:rPr>
        <w:t>Political Factors:</w:t>
      </w:r>
    </w:p>
    <w:p w14:paraId="78D1077E" w14:textId="77777777" w:rsidR="007851D3" w:rsidRPr="007851D3" w:rsidRDefault="007851D3" w:rsidP="007851D3">
      <w:r w:rsidRPr="007851D3">
        <w:t>The geopolitical rivalry for AI supremacy is escalating at the national level, with the US, China, and the EU developing unique AI strategies for their countries (OECD, 2023). The UK's newfound regulatory freedom in the Brexit era has created a unique approach to AI governance, characterized by a flexible and sector-specific approach to AI governance set out in the Government's AI Regulation White Paper (DSIT, 2023). This provides operating companies in the UK, like Unilever, with some degree of regulatory flexibility but also the risk of regulatory arbitrage. In contrast, the EU's comprehensive AI Act (2024), which came into force in August 2024, provides a harmonized and tiered approach to AI governance that requires organizations using high-risk AI to comply with strict regulations that could be applicable to Unilever's AI applications in consumer profiling and decision-making.</w:t>
      </w:r>
    </w:p>
    <w:p w14:paraId="0619778B" w14:textId="77777777" w:rsidR="007851D3" w:rsidRPr="007851D3" w:rsidRDefault="007851D3" w:rsidP="007851D3">
      <w:pPr>
        <w:rPr>
          <w:b/>
          <w:bCs/>
        </w:rPr>
      </w:pPr>
      <w:r w:rsidRPr="007851D3">
        <w:rPr>
          <w:b/>
          <w:bCs/>
        </w:rPr>
        <w:t>Economic Factors:</w:t>
      </w:r>
    </w:p>
    <w:p w14:paraId="1A0BD243" w14:textId="77777777" w:rsidR="007851D3" w:rsidRPr="007851D3" w:rsidRDefault="007851D3" w:rsidP="007851D3">
      <w:r w:rsidRPr="007851D3">
        <w:t>The economic rationale for AI adoption and investment also holds true. PwC (2023) estimates that AI could add up to $15.7 trillion to the global economy by 2030, with productivity and consumption impacts of equal magnitude. In the case of consumer goods companies like Unilever, AI adoption in the supply chain could result in cost savings of up to 15-30% (Deloitte, 2024). However, the economic argument for AI adoption is complicated by the significant costs associated with AI compliance and talent acquisition. In this regard, AI governance and compliance costs are estimated to be between 8% and 12% of total AI investment budgets by 2026 (Gartner, 2024).</w:t>
      </w:r>
    </w:p>
    <w:p w14:paraId="528E01BF" w14:textId="77777777" w:rsidR="007851D3" w:rsidRPr="007851D3" w:rsidRDefault="007851D3" w:rsidP="007851D3">
      <w:pPr>
        <w:rPr>
          <w:b/>
          <w:bCs/>
        </w:rPr>
      </w:pPr>
      <w:r w:rsidRPr="007851D3">
        <w:rPr>
          <w:b/>
          <w:bCs/>
        </w:rPr>
        <w:lastRenderedPageBreak/>
        <w:t>Social Factors:</w:t>
      </w:r>
    </w:p>
    <w:p w14:paraId="2CE5D913" w14:textId="77777777" w:rsidR="007851D3" w:rsidRPr="007851D3" w:rsidRDefault="007851D3" w:rsidP="007851D3">
      <w:r w:rsidRPr="007851D3">
        <w:t>Consumer sentiment towards AI is multifaceted and often contradictory. An Edelman Trust Barometer Survey (2024) found that only 35% of global respondents trust companies to use AI responsibly, while trust levels in other regions were 29% in the UK and 31% in major EU markets. For a brand-focused firm such as Unilever, which owns popular brands such as Dove, Persil, and Marmite, a decrease in trust among consumers due to improper use of AI is a key risk for the firm.</w:t>
      </w:r>
    </w:p>
    <w:p w14:paraId="08C57BD5" w14:textId="77777777" w:rsidR="007851D3" w:rsidRPr="007851D3" w:rsidRDefault="007851D3" w:rsidP="007851D3">
      <w:pPr>
        <w:rPr>
          <w:b/>
          <w:bCs/>
        </w:rPr>
      </w:pPr>
      <w:r w:rsidRPr="007851D3">
        <w:rPr>
          <w:b/>
          <w:bCs/>
        </w:rPr>
        <w:t>Technological Factors:</w:t>
      </w:r>
    </w:p>
    <w:p w14:paraId="1B2C4A43" w14:textId="77777777" w:rsidR="007851D3" w:rsidRPr="007851D3" w:rsidRDefault="007851D3" w:rsidP="007851D3">
      <w:r w:rsidRPr="007851D3">
        <w:t>The dynamic nature of AI development, especially in LLMs, computer vision, and predictive analytics, makes it a contributing factor to the risks and risks management for organizations. According to LeCun (2022), modern AI systems have emergent properties that are often unpredictable and uncontrollable, thereby posing systemic risks that may not be addressed by existing governance structures. For Unilever, risks related to AI include model drift, adversarial attacks, and amplification of biases in training data that may result in discriminatory outcomes for consumers.</w:t>
      </w:r>
    </w:p>
    <w:p w14:paraId="0D29A271" w14:textId="77777777" w:rsidR="007851D3" w:rsidRPr="007851D3" w:rsidRDefault="007851D3" w:rsidP="007851D3">
      <w:pPr>
        <w:rPr>
          <w:b/>
          <w:bCs/>
        </w:rPr>
      </w:pPr>
      <w:r w:rsidRPr="007851D3">
        <w:rPr>
          <w:b/>
          <w:bCs/>
        </w:rPr>
        <w:t>Legal Factors:</w:t>
      </w:r>
    </w:p>
    <w:p w14:paraId="11498213" w14:textId="77777777" w:rsidR="007851D3" w:rsidRPr="007851D3" w:rsidRDefault="007851D3" w:rsidP="007851D3">
      <w:r w:rsidRPr="007851D3">
        <w:t>The legal environment in AI is constantly changing in the UK and EU. In the UK, the Information Commissioner’s Office has updated its guidance on AI and data protection under the UK GDPR, with particular focus on data minimization, purpose limitation, and transparent automated decision-making (ICO, 2023). The EU AI Act has also categorized AI risks as unacceptable, high, limited, and minimal risk and has outlined the corresponding obligations. AI applications in biometric identification, critical infrastructure, and decision-making in employment, education, and access to services are categorized as high risk and are subject to the highest level of regulatory control (European Parliament, 2024). Unilever’s AI applications in workforce management and consumer segmentation are likely to fall under the EU AI Act.</w:t>
      </w:r>
    </w:p>
    <w:p w14:paraId="4C0FCF25" w14:textId="77777777" w:rsidR="007851D3" w:rsidRPr="007851D3" w:rsidRDefault="007851D3" w:rsidP="007851D3">
      <w:pPr>
        <w:rPr>
          <w:b/>
          <w:bCs/>
        </w:rPr>
      </w:pPr>
      <w:r w:rsidRPr="007851D3">
        <w:rPr>
          <w:b/>
          <w:bCs/>
        </w:rPr>
        <w:t>Environmental Factors:</w:t>
      </w:r>
    </w:p>
    <w:p w14:paraId="158A99C8" w14:textId="77777777" w:rsidR="007851D3" w:rsidRPr="007851D3" w:rsidRDefault="007851D3" w:rsidP="007851D3">
      <w:r w:rsidRPr="007851D3">
        <w:t>The environmental factor in AI governance has also become important in recent times. Large-scale AI models require extensive computational power and are energy-intensive. A single training session of a large AI model has the environmental impact of the lifetime energy consumption of five cars on the road in the United States (</w:t>
      </w:r>
      <w:proofErr w:type="spellStart"/>
      <w:r w:rsidRPr="007851D3">
        <w:t>Strubell</w:t>
      </w:r>
      <w:proofErr w:type="spellEnd"/>
      <w:r w:rsidRPr="007851D3">
        <w:t xml:space="preserve"> et al., 2019). Unilever has set a goal of becoming carbon neutral by 2039 (Unilever Sustainability Report, 2023). The environmental impact of AI needs to be considered in the AI governance structure of Unilever, including the selection of cloud infrastructure with strong environmental credentials and the selection of energy-efficient AI models.</w:t>
      </w:r>
    </w:p>
    <w:p w14:paraId="013A513F" w14:textId="77777777" w:rsidR="007851D3" w:rsidRPr="007851D3" w:rsidRDefault="007851D3" w:rsidP="007851D3">
      <w:pPr>
        <w:rPr>
          <w:b/>
          <w:bCs/>
        </w:rPr>
      </w:pPr>
    </w:p>
    <w:p w14:paraId="354B8B38" w14:textId="77777777" w:rsidR="007851D3" w:rsidRPr="007851D3" w:rsidRDefault="007851D3" w:rsidP="003576F6">
      <w:pPr>
        <w:pStyle w:val="Heading2"/>
      </w:pPr>
      <w:bookmarkStart w:id="4" w:name="_Toc228135288"/>
      <w:r w:rsidRPr="007851D3">
        <w:t>2.2 AI Risk Landscape for Multinational Corporations</w:t>
      </w:r>
      <w:bookmarkEnd w:id="4"/>
    </w:p>
    <w:p w14:paraId="2E28B910" w14:textId="77777777" w:rsidR="007851D3" w:rsidRPr="007851D3" w:rsidRDefault="007851D3" w:rsidP="007851D3">
      <w:r w:rsidRPr="007851D3">
        <w:t>Enterprise risk management frameworks offer an analytical framework to divide and assess AI-related risks. Using the COSO ERM Framework (2017) as a foundation and tailoring it to AI risks, this study identifies five major risk types of significant interest to Unilever PLC:</w:t>
      </w:r>
    </w:p>
    <w:tbl>
      <w:tblPr>
        <w:tblW w:w="93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842"/>
        <w:gridCol w:w="3969"/>
        <w:gridCol w:w="3544"/>
      </w:tblGrid>
      <w:tr w:rsidR="007851D3" w:rsidRPr="007851D3" w14:paraId="26C9ECD6" w14:textId="77777777">
        <w:tc>
          <w:tcPr>
            <w:tcW w:w="1842" w:type="dxa"/>
            <w:tcBorders>
              <w:top w:val="single" w:sz="2" w:space="0" w:color="CCCCCC"/>
              <w:left w:val="single" w:sz="2" w:space="0" w:color="CCCCCC"/>
              <w:bottom w:val="single" w:sz="2" w:space="0" w:color="CCCCCC"/>
              <w:right w:val="single" w:sz="2" w:space="0" w:color="CCCCCC"/>
            </w:tcBorders>
            <w:shd w:val="clear" w:color="auto" w:fill="1B4F72"/>
            <w:tcMar>
              <w:top w:w="100" w:type="dxa"/>
              <w:left w:w="150" w:type="dxa"/>
              <w:bottom w:w="100" w:type="dxa"/>
              <w:right w:w="150" w:type="dxa"/>
            </w:tcMar>
            <w:hideMark/>
          </w:tcPr>
          <w:p w14:paraId="6B50785C" w14:textId="77777777" w:rsidR="007851D3" w:rsidRPr="007851D3" w:rsidRDefault="007851D3" w:rsidP="007851D3">
            <w:r w:rsidRPr="007851D3">
              <w:rPr>
                <w:b/>
                <w:bCs/>
              </w:rPr>
              <w:t>Risk Category</w:t>
            </w:r>
          </w:p>
        </w:tc>
        <w:tc>
          <w:tcPr>
            <w:tcW w:w="3969" w:type="dxa"/>
            <w:tcBorders>
              <w:top w:val="single" w:sz="2" w:space="0" w:color="CCCCCC"/>
              <w:left w:val="single" w:sz="2" w:space="0" w:color="CCCCCC"/>
              <w:bottom w:val="single" w:sz="2" w:space="0" w:color="CCCCCC"/>
              <w:right w:val="single" w:sz="2" w:space="0" w:color="CCCCCC"/>
            </w:tcBorders>
            <w:shd w:val="clear" w:color="auto" w:fill="1B4F72"/>
            <w:tcMar>
              <w:top w:w="100" w:type="dxa"/>
              <w:left w:w="150" w:type="dxa"/>
              <w:bottom w:w="100" w:type="dxa"/>
              <w:right w:w="150" w:type="dxa"/>
            </w:tcMar>
            <w:hideMark/>
          </w:tcPr>
          <w:p w14:paraId="092645F1" w14:textId="77777777" w:rsidR="007851D3" w:rsidRPr="007851D3" w:rsidRDefault="007851D3" w:rsidP="007851D3">
            <w:r w:rsidRPr="007851D3">
              <w:rPr>
                <w:b/>
                <w:bCs/>
              </w:rPr>
              <w:t>Description</w:t>
            </w:r>
          </w:p>
        </w:tc>
        <w:tc>
          <w:tcPr>
            <w:tcW w:w="3544" w:type="dxa"/>
            <w:tcBorders>
              <w:top w:val="single" w:sz="2" w:space="0" w:color="CCCCCC"/>
              <w:left w:val="single" w:sz="2" w:space="0" w:color="CCCCCC"/>
              <w:bottom w:val="single" w:sz="2" w:space="0" w:color="CCCCCC"/>
              <w:right w:val="single" w:sz="2" w:space="0" w:color="CCCCCC"/>
            </w:tcBorders>
            <w:shd w:val="clear" w:color="auto" w:fill="1B4F72"/>
            <w:tcMar>
              <w:top w:w="100" w:type="dxa"/>
              <w:left w:w="150" w:type="dxa"/>
              <w:bottom w:w="100" w:type="dxa"/>
              <w:right w:w="150" w:type="dxa"/>
            </w:tcMar>
            <w:hideMark/>
          </w:tcPr>
          <w:p w14:paraId="1C55E89F" w14:textId="77777777" w:rsidR="007851D3" w:rsidRPr="007851D3" w:rsidRDefault="007851D3" w:rsidP="007851D3">
            <w:r w:rsidRPr="007851D3">
              <w:rPr>
                <w:b/>
                <w:bCs/>
              </w:rPr>
              <w:t>Relevance to Unilever</w:t>
            </w:r>
          </w:p>
        </w:tc>
      </w:tr>
      <w:tr w:rsidR="007851D3" w:rsidRPr="007851D3" w14:paraId="75C45940" w14:textId="77777777">
        <w:trPr>
          <w:trHeight w:val="1559"/>
        </w:trPr>
        <w:tc>
          <w:tcPr>
            <w:tcW w:w="1842" w:type="dxa"/>
            <w:tcBorders>
              <w:top w:val="single" w:sz="2" w:space="0" w:color="CCCCCC"/>
              <w:left w:val="single" w:sz="2" w:space="0" w:color="CCCCCC"/>
              <w:bottom w:val="single" w:sz="2" w:space="0" w:color="CCCCCC"/>
              <w:right w:val="single" w:sz="2" w:space="0" w:color="CCCCCC"/>
            </w:tcBorders>
            <w:tcMar>
              <w:top w:w="80" w:type="dxa"/>
              <w:left w:w="150" w:type="dxa"/>
              <w:bottom w:w="80" w:type="dxa"/>
              <w:right w:w="150" w:type="dxa"/>
            </w:tcMar>
            <w:hideMark/>
          </w:tcPr>
          <w:p w14:paraId="2B8F95C0" w14:textId="77777777" w:rsidR="007851D3" w:rsidRPr="007851D3" w:rsidRDefault="007851D3" w:rsidP="007851D3">
            <w:r w:rsidRPr="007851D3">
              <w:rPr>
                <w:b/>
                <w:bCs/>
              </w:rPr>
              <w:lastRenderedPageBreak/>
              <w:t>Strategic Risk</w:t>
            </w:r>
          </w:p>
        </w:tc>
        <w:tc>
          <w:tcPr>
            <w:tcW w:w="3969" w:type="dxa"/>
            <w:tcBorders>
              <w:top w:val="single" w:sz="2" w:space="0" w:color="CCCCCC"/>
              <w:left w:val="single" w:sz="2" w:space="0" w:color="CCCCCC"/>
              <w:bottom w:val="single" w:sz="2" w:space="0" w:color="CCCCCC"/>
              <w:right w:val="single" w:sz="2" w:space="0" w:color="CCCCCC"/>
            </w:tcBorders>
            <w:tcMar>
              <w:top w:w="80" w:type="dxa"/>
              <w:left w:w="150" w:type="dxa"/>
              <w:bottom w:w="80" w:type="dxa"/>
              <w:right w:w="150" w:type="dxa"/>
            </w:tcMar>
            <w:hideMark/>
          </w:tcPr>
          <w:p w14:paraId="3E70AF95" w14:textId="77777777" w:rsidR="007851D3" w:rsidRPr="007851D3" w:rsidRDefault="007851D3" w:rsidP="007851D3">
            <w:r w:rsidRPr="007851D3">
              <w:t>AI-related disruption of the business model; inability to adopt AI in comparison to peers</w:t>
            </w:r>
          </w:p>
        </w:tc>
        <w:tc>
          <w:tcPr>
            <w:tcW w:w="3544" w:type="dxa"/>
            <w:tcBorders>
              <w:top w:val="single" w:sz="2" w:space="0" w:color="CCCCCC"/>
              <w:left w:val="single" w:sz="2" w:space="0" w:color="CCCCCC"/>
              <w:bottom w:val="single" w:sz="2" w:space="0" w:color="CCCCCC"/>
              <w:right w:val="single" w:sz="2" w:space="0" w:color="CCCCCC"/>
            </w:tcBorders>
            <w:tcMar>
              <w:top w:w="80" w:type="dxa"/>
              <w:left w:w="150" w:type="dxa"/>
              <w:bottom w:w="80" w:type="dxa"/>
              <w:right w:w="150" w:type="dxa"/>
            </w:tcMar>
            <w:hideMark/>
          </w:tcPr>
          <w:p w14:paraId="040CAFE3" w14:textId="77777777" w:rsidR="007851D3" w:rsidRPr="007851D3" w:rsidRDefault="007851D3" w:rsidP="007851D3">
            <w:r w:rsidRPr="007851D3">
              <w:t>Risk of losing competitive advantage in digital marketing services and supply chain operations</w:t>
            </w:r>
          </w:p>
        </w:tc>
      </w:tr>
      <w:tr w:rsidR="007851D3" w:rsidRPr="007851D3" w14:paraId="0EA38DD3" w14:textId="77777777">
        <w:tc>
          <w:tcPr>
            <w:tcW w:w="1842" w:type="dxa"/>
            <w:tcBorders>
              <w:top w:val="single" w:sz="2" w:space="0" w:color="CCCCCC"/>
              <w:left w:val="single" w:sz="2" w:space="0" w:color="CCCCCC"/>
              <w:bottom w:val="single" w:sz="2" w:space="0" w:color="CCCCCC"/>
              <w:right w:val="single" w:sz="2" w:space="0" w:color="CCCCCC"/>
            </w:tcBorders>
            <w:tcMar>
              <w:top w:w="80" w:type="dxa"/>
              <w:left w:w="150" w:type="dxa"/>
              <w:bottom w:w="80" w:type="dxa"/>
              <w:right w:w="150" w:type="dxa"/>
            </w:tcMar>
            <w:hideMark/>
          </w:tcPr>
          <w:p w14:paraId="08A0D886" w14:textId="77777777" w:rsidR="007851D3" w:rsidRPr="007851D3" w:rsidRDefault="007851D3" w:rsidP="007851D3">
            <w:r w:rsidRPr="007851D3">
              <w:rPr>
                <w:b/>
                <w:bCs/>
              </w:rPr>
              <w:t>Compliance Risk</w:t>
            </w:r>
          </w:p>
        </w:tc>
        <w:tc>
          <w:tcPr>
            <w:tcW w:w="3969" w:type="dxa"/>
            <w:tcBorders>
              <w:top w:val="single" w:sz="2" w:space="0" w:color="CCCCCC"/>
              <w:left w:val="single" w:sz="2" w:space="0" w:color="CCCCCC"/>
              <w:bottom w:val="single" w:sz="2" w:space="0" w:color="CCCCCC"/>
              <w:right w:val="single" w:sz="2" w:space="0" w:color="CCCCCC"/>
            </w:tcBorders>
            <w:tcMar>
              <w:top w:w="80" w:type="dxa"/>
              <w:left w:w="150" w:type="dxa"/>
              <w:bottom w:w="80" w:type="dxa"/>
              <w:right w:w="150" w:type="dxa"/>
            </w:tcMar>
            <w:hideMark/>
          </w:tcPr>
          <w:p w14:paraId="1D9F524A" w14:textId="77777777" w:rsidR="007851D3" w:rsidRPr="007851D3" w:rsidRDefault="007851D3" w:rsidP="007851D3">
            <w:r w:rsidRPr="007851D3">
              <w:t>Non-compliance with UK GDPR, EU AI Act, and industry-specific laws</w:t>
            </w:r>
          </w:p>
        </w:tc>
        <w:tc>
          <w:tcPr>
            <w:tcW w:w="3544" w:type="dxa"/>
            <w:tcBorders>
              <w:top w:val="single" w:sz="2" w:space="0" w:color="CCCCCC"/>
              <w:left w:val="single" w:sz="2" w:space="0" w:color="CCCCCC"/>
              <w:bottom w:val="single" w:sz="2" w:space="0" w:color="CCCCCC"/>
              <w:right w:val="single" w:sz="2" w:space="0" w:color="CCCCCC"/>
            </w:tcBorders>
            <w:tcMar>
              <w:top w:w="80" w:type="dxa"/>
              <w:left w:w="150" w:type="dxa"/>
              <w:bottom w:w="80" w:type="dxa"/>
              <w:right w:w="150" w:type="dxa"/>
            </w:tcMar>
            <w:hideMark/>
          </w:tcPr>
          <w:p w14:paraId="0424B0E9" w14:textId="77777777" w:rsidR="007851D3" w:rsidRPr="007851D3" w:rsidRDefault="007851D3" w:rsidP="007851D3">
            <w:r w:rsidRPr="007851D3">
              <w:t>Risk of non-compliance in consumer information processing; AI-related consumer profiling in targeted marketing</w:t>
            </w:r>
          </w:p>
        </w:tc>
      </w:tr>
      <w:tr w:rsidR="007851D3" w:rsidRPr="007851D3" w14:paraId="02E67189" w14:textId="77777777">
        <w:tc>
          <w:tcPr>
            <w:tcW w:w="1842" w:type="dxa"/>
            <w:tcBorders>
              <w:top w:val="single" w:sz="2" w:space="0" w:color="CCCCCC"/>
              <w:left w:val="single" w:sz="2" w:space="0" w:color="CCCCCC"/>
              <w:bottom w:val="single" w:sz="2" w:space="0" w:color="CCCCCC"/>
              <w:right w:val="single" w:sz="2" w:space="0" w:color="CCCCCC"/>
            </w:tcBorders>
            <w:tcMar>
              <w:top w:w="80" w:type="dxa"/>
              <w:left w:w="150" w:type="dxa"/>
              <w:bottom w:w="80" w:type="dxa"/>
              <w:right w:w="150" w:type="dxa"/>
            </w:tcMar>
            <w:hideMark/>
          </w:tcPr>
          <w:p w14:paraId="33848D74" w14:textId="77777777" w:rsidR="007851D3" w:rsidRPr="007851D3" w:rsidRDefault="007851D3" w:rsidP="007851D3">
            <w:r w:rsidRPr="007851D3">
              <w:rPr>
                <w:b/>
                <w:bCs/>
              </w:rPr>
              <w:t>Reputational Risk</w:t>
            </w:r>
          </w:p>
        </w:tc>
        <w:tc>
          <w:tcPr>
            <w:tcW w:w="3969" w:type="dxa"/>
            <w:tcBorders>
              <w:top w:val="single" w:sz="2" w:space="0" w:color="CCCCCC"/>
              <w:left w:val="single" w:sz="2" w:space="0" w:color="CCCCCC"/>
              <w:bottom w:val="single" w:sz="2" w:space="0" w:color="CCCCCC"/>
              <w:right w:val="single" w:sz="2" w:space="0" w:color="CCCCCC"/>
            </w:tcBorders>
            <w:tcMar>
              <w:top w:w="80" w:type="dxa"/>
              <w:left w:w="150" w:type="dxa"/>
              <w:bottom w:w="80" w:type="dxa"/>
              <w:right w:w="150" w:type="dxa"/>
            </w:tcMar>
            <w:hideMark/>
          </w:tcPr>
          <w:p w14:paraId="7F335EA6" w14:textId="77777777" w:rsidR="007851D3" w:rsidRPr="007851D3" w:rsidRDefault="007851D3" w:rsidP="007851D3">
            <w:r w:rsidRPr="007851D3">
              <w:t>Backlash due to biased AI decisions, consumer information breaches, and AI-related decision-making opacity</w:t>
            </w:r>
          </w:p>
        </w:tc>
        <w:tc>
          <w:tcPr>
            <w:tcW w:w="3544" w:type="dxa"/>
            <w:tcBorders>
              <w:top w:val="single" w:sz="2" w:space="0" w:color="CCCCCC"/>
              <w:left w:val="single" w:sz="2" w:space="0" w:color="CCCCCC"/>
              <w:bottom w:val="single" w:sz="2" w:space="0" w:color="CCCCCC"/>
              <w:right w:val="single" w:sz="2" w:space="0" w:color="CCCCCC"/>
            </w:tcBorders>
            <w:tcMar>
              <w:top w:w="80" w:type="dxa"/>
              <w:left w:w="150" w:type="dxa"/>
              <w:bottom w:w="80" w:type="dxa"/>
              <w:right w:w="150" w:type="dxa"/>
            </w:tcMar>
            <w:hideMark/>
          </w:tcPr>
          <w:p w14:paraId="70C2F964" w14:textId="77777777" w:rsidR="007851D3" w:rsidRPr="007851D3" w:rsidRDefault="007851D3" w:rsidP="007851D3">
            <w:r w:rsidRPr="007851D3">
              <w:t>Risk of loss of consumer trust in 400+ brands</w:t>
            </w:r>
          </w:p>
        </w:tc>
      </w:tr>
      <w:tr w:rsidR="007851D3" w:rsidRPr="007851D3" w14:paraId="71E37F3A" w14:textId="77777777">
        <w:tc>
          <w:tcPr>
            <w:tcW w:w="1842" w:type="dxa"/>
            <w:tcBorders>
              <w:top w:val="single" w:sz="2" w:space="0" w:color="CCCCCC"/>
              <w:left w:val="single" w:sz="2" w:space="0" w:color="CCCCCC"/>
              <w:bottom w:val="single" w:sz="2" w:space="0" w:color="CCCCCC"/>
              <w:right w:val="single" w:sz="2" w:space="0" w:color="CCCCCC"/>
            </w:tcBorders>
            <w:tcMar>
              <w:top w:w="80" w:type="dxa"/>
              <w:left w:w="150" w:type="dxa"/>
              <w:bottom w:w="80" w:type="dxa"/>
              <w:right w:w="150" w:type="dxa"/>
            </w:tcMar>
            <w:hideMark/>
          </w:tcPr>
          <w:p w14:paraId="5D9E4027" w14:textId="77777777" w:rsidR="007851D3" w:rsidRPr="007851D3" w:rsidRDefault="007851D3" w:rsidP="007851D3">
            <w:r w:rsidRPr="007851D3">
              <w:rPr>
                <w:b/>
                <w:bCs/>
              </w:rPr>
              <w:t>Operational Risk</w:t>
            </w:r>
          </w:p>
        </w:tc>
        <w:tc>
          <w:tcPr>
            <w:tcW w:w="3969" w:type="dxa"/>
            <w:tcBorders>
              <w:top w:val="single" w:sz="2" w:space="0" w:color="CCCCCC"/>
              <w:left w:val="single" w:sz="2" w:space="0" w:color="CCCCCC"/>
              <w:bottom w:val="single" w:sz="2" w:space="0" w:color="CCCCCC"/>
              <w:right w:val="single" w:sz="2" w:space="0" w:color="CCCCCC"/>
            </w:tcBorders>
            <w:tcMar>
              <w:top w:w="80" w:type="dxa"/>
              <w:left w:w="150" w:type="dxa"/>
              <w:bottom w:w="80" w:type="dxa"/>
              <w:right w:w="150" w:type="dxa"/>
            </w:tcMar>
            <w:hideMark/>
          </w:tcPr>
          <w:p w14:paraId="1B0FF888" w14:textId="77777777" w:rsidR="007851D3" w:rsidRPr="007851D3" w:rsidRDefault="007851D3" w:rsidP="007851D3">
            <w:r w:rsidRPr="007851D3">
              <w:t>AI model failures, data quality issues, over-reliance on AI</w:t>
            </w:r>
          </w:p>
        </w:tc>
        <w:tc>
          <w:tcPr>
            <w:tcW w:w="3544" w:type="dxa"/>
            <w:tcBorders>
              <w:top w:val="single" w:sz="2" w:space="0" w:color="CCCCCC"/>
              <w:left w:val="single" w:sz="2" w:space="0" w:color="CCCCCC"/>
              <w:bottom w:val="single" w:sz="2" w:space="0" w:color="CCCCCC"/>
              <w:right w:val="single" w:sz="2" w:space="0" w:color="CCCCCC"/>
            </w:tcBorders>
            <w:tcMar>
              <w:top w:w="80" w:type="dxa"/>
              <w:left w:w="150" w:type="dxa"/>
              <w:bottom w:w="80" w:type="dxa"/>
              <w:right w:w="150" w:type="dxa"/>
            </w:tcMar>
            <w:hideMark/>
          </w:tcPr>
          <w:p w14:paraId="4EBE3426" w14:textId="77777777" w:rsidR="007851D3" w:rsidRPr="007851D3" w:rsidRDefault="007851D3" w:rsidP="007851D3">
            <w:r w:rsidRPr="007851D3">
              <w:t>Risk of disruptions in forecasting consumer demand; AI-related disruptions in supply chain operations</w:t>
            </w:r>
          </w:p>
        </w:tc>
      </w:tr>
      <w:tr w:rsidR="007851D3" w:rsidRPr="007851D3" w14:paraId="1B49A7F1" w14:textId="77777777">
        <w:tc>
          <w:tcPr>
            <w:tcW w:w="1842" w:type="dxa"/>
            <w:tcBorders>
              <w:top w:val="single" w:sz="2" w:space="0" w:color="CCCCCC"/>
              <w:left w:val="single" w:sz="2" w:space="0" w:color="CCCCCC"/>
              <w:bottom w:val="single" w:sz="2" w:space="0" w:color="CCCCCC"/>
              <w:right w:val="single" w:sz="2" w:space="0" w:color="CCCCCC"/>
            </w:tcBorders>
            <w:tcMar>
              <w:top w:w="80" w:type="dxa"/>
              <w:left w:w="150" w:type="dxa"/>
              <w:bottom w:w="80" w:type="dxa"/>
              <w:right w:w="150" w:type="dxa"/>
            </w:tcMar>
            <w:hideMark/>
          </w:tcPr>
          <w:p w14:paraId="3F94C3B7" w14:textId="77777777" w:rsidR="007851D3" w:rsidRPr="007851D3" w:rsidRDefault="007851D3" w:rsidP="007851D3">
            <w:r w:rsidRPr="007851D3">
              <w:rPr>
                <w:b/>
                <w:bCs/>
              </w:rPr>
              <w:t>Financial Risk</w:t>
            </w:r>
          </w:p>
        </w:tc>
        <w:tc>
          <w:tcPr>
            <w:tcW w:w="3969" w:type="dxa"/>
            <w:tcBorders>
              <w:top w:val="single" w:sz="2" w:space="0" w:color="CCCCCC"/>
              <w:left w:val="single" w:sz="2" w:space="0" w:color="CCCCCC"/>
              <w:bottom w:val="single" w:sz="2" w:space="0" w:color="CCCCCC"/>
              <w:right w:val="single" w:sz="2" w:space="0" w:color="CCCCCC"/>
            </w:tcBorders>
            <w:tcMar>
              <w:top w:w="80" w:type="dxa"/>
              <w:left w:w="150" w:type="dxa"/>
              <w:bottom w:w="80" w:type="dxa"/>
              <w:right w:w="150" w:type="dxa"/>
            </w:tcMar>
            <w:hideMark/>
          </w:tcPr>
          <w:p w14:paraId="49250FD5" w14:textId="77777777" w:rsidR="007851D3" w:rsidRPr="007851D3" w:rsidRDefault="007851D3" w:rsidP="007851D3">
            <w:r w:rsidRPr="007851D3">
              <w:t>Regulatory penalties, litigation costs, remediation expenses, loss of business due to regulatory non-compliance</w:t>
            </w:r>
          </w:p>
        </w:tc>
        <w:tc>
          <w:tcPr>
            <w:tcW w:w="3544" w:type="dxa"/>
            <w:tcBorders>
              <w:top w:val="single" w:sz="2" w:space="0" w:color="CCCCCC"/>
              <w:left w:val="single" w:sz="2" w:space="0" w:color="CCCCCC"/>
              <w:bottom w:val="single" w:sz="2" w:space="0" w:color="CCCCCC"/>
              <w:right w:val="single" w:sz="2" w:space="0" w:color="CCCCCC"/>
            </w:tcBorders>
            <w:tcMar>
              <w:top w:w="80" w:type="dxa"/>
              <w:left w:w="150" w:type="dxa"/>
              <w:bottom w:w="80" w:type="dxa"/>
              <w:right w:w="150" w:type="dxa"/>
            </w:tcMar>
            <w:hideMark/>
          </w:tcPr>
          <w:p w14:paraId="2DDD3BBE" w14:textId="77777777" w:rsidR="007851D3" w:rsidRPr="007851D3" w:rsidRDefault="007851D3" w:rsidP="007851D3">
            <w:r w:rsidRPr="007851D3">
              <w:t>GDPR-related financial risks of up to 4% of global annual turnover; EU AI Act-related financial risks</w:t>
            </w:r>
          </w:p>
        </w:tc>
      </w:tr>
    </w:tbl>
    <w:p w14:paraId="73BC79B3" w14:textId="77777777" w:rsidR="007851D3" w:rsidRPr="007851D3" w:rsidRDefault="007851D3" w:rsidP="007851D3">
      <w:r w:rsidRPr="007851D3">
        <w:t>Table 1: AI Risk Categories for Unilever PLC (Adapted from COSO ERM Framework, 2017)</w:t>
      </w:r>
    </w:p>
    <w:p w14:paraId="2095CE3A" w14:textId="77777777" w:rsidR="007851D3" w:rsidRPr="007851D3" w:rsidRDefault="007851D3" w:rsidP="007851D3">
      <w:r w:rsidRPr="007851D3">
        <w:t>One of the notable characteristics of AI-related risks is their interconnected nature. For instance, an AI-related data governance failure in operational risks can simultaneously trigger financial risks in the form of GDPR-related penalties, trigger reputational risks in terms of negative publicity in major media outlets, and trigger compliance risks in terms of regulatory action by national authorities.</w:t>
      </w:r>
    </w:p>
    <w:p w14:paraId="2E1546D6" w14:textId="77777777" w:rsidR="007851D3" w:rsidRPr="007851D3" w:rsidRDefault="007851D3" w:rsidP="003576F6">
      <w:pPr>
        <w:pStyle w:val="Heading2"/>
      </w:pPr>
      <w:bookmarkStart w:id="5" w:name="_Toc228135289"/>
      <w:r w:rsidRPr="007851D3">
        <w:t>2.3 Data Governance and Regulatory Compliance: UK and EU Frameworks</w:t>
      </w:r>
      <w:bookmarkEnd w:id="5"/>
    </w:p>
    <w:p w14:paraId="014B4953" w14:textId="77777777" w:rsidR="007851D3" w:rsidRPr="007851D3" w:rsidRDefault="007851D3" w:rsidP="007851D3">
      <w:r w:rsidRPr="007851D3">
        <w:t>Data governance is the foundation upon which the responsible use of AI must be built, and for Unilever, which handles the personal data of hundreds of millions of consumers across the globe, data governance is a critical imperative that transcends mere legal compliance to become a fundamental business imperative. The following subsection examines the unique but intertwined data governance and AI compliance frameworks applicable in the UK and EU, and the implications for Unilever’s AI strategy.</w:t>
      </w:r>
    </w:p>
    <w:p w14:paraId="4048B6DD" w14:textId="77777777" w:rsidR="007851D3" w:rsidRPr="007851D3" w:rsidRDefault="007851D3" w:rsidP="007851D3">
      <w:pPr>
        <w:rPr>
          <w:b/>
          <w:bCs/>
        </w:rPr>
      </w:pPr>
      <w:r w:rsidRPr="007851D3">
        <w:rPr>
          <w:b/>
          <w:bCs/>
        </w:rPr>
        <w:t>The United Kingdom: A Principles-Based, Pro-Innovation Orientation</w:t>
      </w:r>
    </w:p>
    <w:p w14:paraId="409C2197" w14:textId="77777777" w:rsidR="007851D3" w:rsidRPr="007851D3" w:rsidRDefault="007851D3" w:rsidP="007851D3">
      <w:r w:rsidRPr="007851D3">
        <w:t xml:space="preserve">The UK government’s policy on the regulation of AI is underpinned by a policy of avoiding prescriptive, all-encompassing legislation in </w:t>
      </w:r>
      <w:proofErr w:type="spellStart"/>
      <w:r w:rsidRPr="007851D3">
        <w:t>favor</w:t>
      </w:r>
      <w:proofErr w:type="spellEnd"/>
      <w:r w:rsidRPr="007851D3">
        <w:t xml:space="preserve"> of a more flexible, principles-based approach to the regulation of AI, which is intended to facilitate, as opposed to stifle, innovation in the sector. The White Paper on AI Regulation (DSIT, 2023), which outlines the UK government’s policy on the regulation of AI, proposes the adoption of five cross-sectoral principles to be implemented by existing sector regulators, namely: (1) safety, security, and robustness; (2) appropriate transparency </w:t>
      </w:r>
      <w:r w:rsidRPr="007851D3">
        <w:lastRenderedPageBreak/>
        <w:t>and explainability; (3) fairness; (4) accountability and governance; and (5) contestability and redress. However, the principles-based framework proposed by the White Paper is not currently legally binding, although the government has expressed a preference to “monitor carefully” whether the principles should be supported by statutory backing.</w:t>
      </w:r>
    </w:p>
    <w:p w14:paraId="40C172F9" w14:textId="77777777" w:rsidR="007851D3" w:rsidRPr="007851D3" w:rsidRDefault="007851D3" w:rsidP="007851D3">
      <w:r w:rsidRPr="007851D3">
        <w:t xml:space="preserve">Concurrently, the substantial requirements for AI systems that process personal data continue to be imposed by UK GDPR, retained and amended post-Brexit from EU GDPR. Article 22 of UK GDPR limits the decision-making capability of AI systems for legal or similarly important effects on individuals, requiring organizations to implement human oversight mechanisms. The ICO’s guidance on AI (2023) further outlines that organizations must perform Data Protection Impact Assessments (DPIAs) before implementing high-risk applications of AI. With regard to Unilever’s reliance on AI for targeted advertising, consumer </w:t>
      </w:r>
      <w:proofErr w:type="spellStart"/>
      <w:r w:rsidRPr="007851D3">
        <w:t>behavioral</w:t>
      </w:r>
      <w:proofErr w:type="spellEnd"/>
      <w:r w:rsidRPr="007851D3">
        <w:t xml:space="preserve"> analysis, and price personalization, these requirements will have a direct and substantial impact on Unilever.</w:t>
      </w:r>
    </w:p>
    <w:p w14:paraId="5864A17B" w14:textId="77777777" w:rsidR="007851D3" w:rsidRPr="007851D3" w:rsidRDefault="007851D3" w:rsidP="007851D3">
      <w:r w:rsidRPr="007851D3">
        <w:t>The UK’s Competition and Markets Authority (CMA) has also addressed AI governance in a recent report titled ‘AI Foundation Models Report’ (CMA, 2023). The report outlines risks to market concentration and consumer harm due to the dominance of a limited number of providers in the market for AI foundation models. While this legislation does not have a direct impact on Unilever, it is relevant to Unilever’s procurement and supply chain for AI systems, especially regarding Unilever’s reliance on third-party AI platforms such as Google Cloud AI and Microsoft Azure.</w:t>
      </w:r>
    </w:p>
    <w:p w14:paraId="2793E286" w14:textId="77777777" w:rsidR="007851D3" w:rsidRPr="007851D3" w:rsidRDefault="007851D3" w:rsidP="007851D3">
      <w:pPr>
        <w:rPr>
          <w:b/>
          <w:bCs/>
        </w:rPr>
      </w:pPr>
      <w:r w:rsidRPr="007851D3">
        <w:rPr>
          <w:b/>
          <w:bCs/>
        </w:rPr>
        <w:t>The European Union: A Risk-Based Comprehensive Legislative Framework</w:t>
      </w:r>
    </w:p>
    <w:p w14:paraId="6F65E54D" w14:textId="77777777" w:rsidR="007851D3" w:rsidRPr="007851D3" w:rsidRDefault="007851D3" w:rsidP="007851D3">
      <w:r w:rsidRPr="007851D3">
        <w:t xml:space="preserve">The EU AI Act, which was formally adopted by the European Parliament in March 2024 and will become operational in August 2024, is the world's first comprehensive legislative framework for AI. This risk-based legislative approach categorizes AI systems into four tiers based on the risk assessment. In addition, prohibited AI practices, including social scoring and biometric identification, are totally banned. High-risk AI systems, as defined in Annex III of the EU AI Act, cover a wide range of AI applications, including AI in employment, education, public services access, and infrastructure management. </w:t>
      </w:r>
    </w:p>
    <w:p w14:paraId="331AA4C6" w14:textId="77777777" w:rsidR="007851D3" w:rsidRPr="007851D3" w:rsidRDefault="007851D3" w:rsidP="007851D3">
      <w:r w:rsidRPr="007851D3">
        <w:t xml:space="preserve">For Unilever, the key aspects of the EU AI Act are those that relate to the use of AI in employee recruitment and workforce management, which can be classified as high-risk AI. In addition, AI in consumer profiling and recommendation can be seen as influencing access to services and products. High-risk AI systems have to comply with a comprehensive set of obligations that include mandatory human oversight, technical documentation, logging of system activities for monitoring purposes after the system has gone live, and conformity assessment before deployment. </w:t>
      </w:r>
    </w:p>
    <w:p w14:paraId="203005B1" w14:textId="77777777" w:rsidR="007851D3" w:rsidRPr="007851D3" w:rsidRDefault="007851D3" w:rsidP="007851D3">
      <w:r w:rsidRPr="007851D3">
        <w:t>The EU AI Act also has obligations for general-purpose AI (GPAI), including transparency obligations and copyright compliance and risk management for providers of powerful AI models that have the potential for systemic risk. In addition, Unilever will be developing its own foundational models and will need to comply with the EU AI Act. The consequences of non-compliance are significant and can result in fines of up to €30 million and/or 6% of global annual turnover for prohibited AI practices and up to €20 million and/or 4% of global turnover for other infringements. Unilever's global turnover for the year 2023 was approximately €59.6 billion.</w:t>
      </w:r>
    </w:p>
    <w:p w14:paraId="6D570EE5" w14:textId="77777777" w:rsidR="007851D3" w:rsidRPr="007851D3" w:rsidRDefault="007851D3" w:rsidP="007851D3">
      <w:pPr>
        <w:rPr>
          <w:b/>
          <w:bCs/>
        </w:rPr>
      </w:pPr>
      <w:r w:rsidRPr="007851D3">
        <w:rPr>
          <w:b/>
          <w:bCs/>
        </w:rPr>
        <w:t>Comparative Assessment and Strategic Implications</w:t>
      </w:r>
    </w:p>
    <w:p w14:paraId="3FE35EDA" w14:textId="77777777" w:rsidR="007851D3" w:rsidRPr="007851D3" w:rsidRDefault="007851D3" w:rsidP="007851D3">
      <w:r w:rsidRPr="007851D3">
        <w:t xml:space="preserve">The differing regulatory structures of the United Kingdom and the European Union present a nuanced divergence in the overall governing philosophy, which has strategic implications for Unilever as a whole. The pro-innovation approach of the United Kingdom, while granting the organization the </w:t>
      </w:r>
      <w:r w:rsidRPr="007851D3">
        <w:lastRenderedPageBreak/>
        <w:t>flexibility it needs to operate, also brings a level of uncertainty and potential for reputation management should the organization fail to adhere to a level of standardization, which is currently absent in the form of legally binding regulations. Conversely, the overall framework of the European Union, while bringing a level of clarity and consistency to the overall regulatory environment, also brings a level of compliance and potential constraint to the organization’s overall innovation within the realm of artificial intelligence. As Unilever maintains a level of operations and overall consumer base within the United Kingdom and the European Union, the organization is forced to navigate the differing structures of each, thereby creating a level of dual compliance that must be met within the organization.</w:t>
      </w:r>
    </w:p>
    <w:p w14:paraId="10BAAE2F" w14:textId="77777777" w:rsidR="007851D3" w:rsidRPr="007851D3" w:rsidRDefault="007851D3" w:rsidP="007851D3">
      <w:r w:rsidRPr="007851D3">
        <w:t xml:space="preserve">One of the more salient strategic implications of the differing approaches of the United Kingdom and the European Union </w:t>
      </w:r>
      <w:proofErr w:type="spellStart"/>
      <w:r w:rsidRPr="007851D3">
        <w:t>centers</w:t>
      </w:r>
      <w:proofErr w:type="spellEnd"/>
      <w:r w:rsidRPr="007851D3">
        <w:t xml:space="preserve"> on the potential for a level of “compliance cliff” wherein the organization’s artificial intelligence capabilities are compliant in one region but non-compliant in the other. As a level of remediation to this concern, the establishment of a centralized AI Governance Office, as discussed within the parameters of this paper (Section 2.6), is identified as a level of overall recommendation for the organization as a whole.</w:t>
      </w:r>
    </w:p>
    <w:p w14:paraId="64B90482" w14:textId="77777777" w:rsidR="007851D3" w:rsidRPr="007851D3" w:rsidRDefault="007851D3" w:rsidP="003576F6">
      <w:pPr>
        <w:pStyle w:val="Heading2"/>
      </w:pPr>
      <w:bookmarkStart w:id="6" w:name="_Toc228135290"/>
      <w:r w:rsidRPr="007851D3">
        <w:t>2.4 Ethical AI Use and Algorithmic Accountability</w:t>
      </w:r>
      <w:bookmarkEnd w:id="6"/>
    </w:p>
    <w:p w14:paraId="28EEDB5A" w14:textId="77777777" w:rsidR="007851D3" w:rsidRPr="007851D3" w:rsidRDefault="007851D3" w:rsidP="007851D3">
      <w:r w:rsidRPr="007851D3">
        <w:t>In addition to legal compliance, the ethical use of AI is an important, albeit emerging, risk management imperative for MNCs. Ethical AI failures, even in the absence of legal violations, can have significant reputational, regulatory, and stakeholder implications. The following section examines the key ethical issues surrounding the use of AI relevant to Unilever.</w:t>
      </w:r>
    </w:p>
    <w:p w14:paraId="6E61C34A" w14:textId="77777777" w:rsidR="007851D3" w:rsidRPr="007851D3" w:rsidRDefault="007851D3" w:rsidP="007851D3">
      <w:r w:rsidRPr="007851D3">
        <w:rPr>
          <w:b/>
          <w:bCs/>
        </w:rPr>
        <w:t>Algorithmic Bias and Fairness</w:t>
      </w:r>
      <w:r w:rsidRPr="007851D3">
        <w:t xml:space="preserve">: Algorithmic bias is arguably the most well-documented risk within the AI domain, whereby there is systematic and unfair discrimination against particular groups, which may occur through the use of AI systems (Barocas et al., 2019). Algorithmic bias may occur when an AI model is trained on data or used in an environment where such discrimination is likely to occur. For Unilever, with its publicly espoused commitment to equity, diversity, and inclusion, the risk of algorithmic bias has significant reputational implications for the company. Algorithmic bias may arise in the use of AI for recruitment and talent management, where the AI may discriminate against particular groups, or in the use of AI for marketing and advertising, where the AI may perpetuate or increase existing social exclusion. </w:t>
      </w:r>
    </w:p>
    <w:p w14:paraId="378DE58B" w14:textId="77777777" w:rsidR="007851D3" w:rsidRPr="007851D3" w:rsidRDefault="007851D3" w:rsidP="007851D3">
      <w:r w:rsidRPr="007851D3">
        <w:t>Algorithmic bias may be mitigated through the use of technical solutions, such as the routine auditing of AI for bias using fairness metrics such as demographic parity, equal opportunity, or counterfactual fairness (Barocas et al., 2019), as well as the use of diverse and multidisciplinary development teams for AI, with the ability for contestation and redress. The EU AI Act has introduced the requirement for bias testing for high-risk AI systems, with the UK’s Equality and Human Rights Commission (EHRC) also publishing specific guidance on the application of the Equality Act 2010 in the context of algorithmic decision-making (EHRC, 2023).</w:t>
      </w:r>
    </w:p>
    <w:p w14:paraId="59ABE27B" w14:textId="77777777" w:rsidR="007851D3" w:rsidRPr="007851D3" w:rsidRDefault="007851D3" w:rsidP="007851D3">
      <w:pPr>
        <w:rPr>
          <w:b/>
          <w:bCs/>
        </w:rPr>
      </w:pPr>
      <w:r w:rsidRPr="007851D3">
        <w:rPr>
          <w:b/>
          <w:bCs/>
        </w:rPr>
        <w:t xml:space="preserve">Transparency and </w:t>
      </w:r>
      <w:proofErr w:type="gramStart"/>
      <w:r w:rsidRPr="007851D3">
        <w:rPr>
          <w:b/>
          <w:bCs/>
        </w:rPr>
        <w:t>Explainability :</w:t>
      </w:r>
      <w:proofErr w:type="gramEnd"/>
    </w:p>
    <w:p w14:paraId="321C727C" w14:textId="77777777" w:rsidR="007851D3" w:rsidRPr="007851D3" w:rsidRDefault="007851D3" w:rsidP="007851D3">
      <w:r w:rsidRPr="007851D3">
        <w:t>The 'black box' nature of numerous contemporary AI systems, particularly deep learning architectures, presents substantial obstacles to transparency and accountability. The right to an explanation for automated decisions is acknowledged in Article 22 of both the UK GDPR and the EU GDPR; however, the precise scope and enforceability of this right are still the subject of academic and legal debate (Wachter et al., 2017). In the operational context of Unilever, the inability to elucidate AI-generated decisions, whether in the context of pricing, marketing, or human resources, results in legal vulnerability and erodes stakeholder confidence.</w:t>
      </w:r>
    </w:p>
    <w:p w14:paraId="0860C4CF" w14:textId="77777777" w:rsidR="007851D3" w:rsidRPr="007851D3" w:rsidRDefault="007851D3" w:rsidP="007851D3">
      <w:r w:rsidRPr="007851D3">
        <w:lastRenderedPageBreak/>
        <w:t>LIME (Local Interpretable Model-agnostic Explanations), SHAP (</w:t>
      </w:r>
      <w:proofErr w:type="spellStart"/>
      <w:r w:rsidRPr="007851D3">
        <w:t>SHapley</w:t>
      </w:r>
      <w:proofErr w:type="spellEnd"/>
      <w:r w:rsidRPr="007851D3">
        <w:t xml:space="preserve"> Additive </w:t>
      </w:r>
      <w:proofErr w:type="spellStart"/>
      <w:r w:rsidRPr="007851D3">
        <w:t>exPlanations</w:t>
      </w:r>
      <w:proofErr w:type="spellEnd"/>
      <w:r w:rsidRPr="007851D3">
        <w:t>), and attention visualisation methods for neural networks are among the explainable AI (XAI) techniques that provide partial solutions to the explainability challenge (Ribeiro et al., 2016). Nevertheless, these methods are not without their limitations, and the implementation of interpretability into AI model architectures by design is not a substitute for the reliance on post-hoc explanation tools. Unilever is advised to implement a tiered explainability framework that requires a higher degree of interpretability for AI systems that have a larger impact on individuals and stakeholders.</w:t>
      </w:r>
    </w:p>
    <w:p w14:paraId="036AF0CD" w14:textId="77777777" w:rsidR="007851D3" w:rsidRPr="007851D3" w:rsidRDefault="007851D3" w:rsidP="007851D3">
      <w:r w:rsidRPr="007851D3">
        <w:rPr>
          <w:b/>
          <w:bCs/>
        </w:rPr>
        <w:t>Human Oversight and Accountability</w:t>
      </w:r>
    </w:p>
    <w:p w14:paraId="38A49368" w14:textId="77777777" w:rsidR="007851D3" w:rsidRPr="007851D3" w:rsidRDefault="007851D3" w:rsidP="007851D3">
      <w:r w:rsidRPr="007851D3">
        <w:t>The principle of 'human in the loop' (HITL) — the requirement that human oversight be maintained over consequential AI decisions — is central to both the EU AI Act and the UK AI governance framework. For Unilever, operationalising HITL requires both technical mechanisms (such as alert systems that flag anomalous AI outputs for human review) and organisational governance structures (such as clear assignment of accountability for AI decision outcomes to named individuals). The ISO/IEC 42001:2023 standard on AI Management Systems provides a useful framework for establishing these governance structures, and Unilever is advised to seek certification against this standard as part of its AI governance programme.</w:t>
      </w:r>
    </w:p>
    <w:p w14:paraId="1CB7D9B2" w14:textId="77777777" w:rsidR="007851D3" w:rsidRPr="007851D3" w:rsidRDefault="007851D3" w:rsidP="003576F6">
      <w:pPr>
        <w:pStyle w:val="Heading2"/>
      </w:pPr>
      <w:bookmarkStart w:id="7" w:name="_Toc228135291"/>
      <w:r w:rsidRPr="007851D3">
        <w:t>2.5 Sustaining Customer Confidence in an AI-Driven Organization</w:t>
      </w:r>
      <w:bookmarkEnd w:id="7"/>
    </w:p>
    <w:p w14:paraId="54273E21" w14:textId="77777777" w:rsidR="007851D3" w:rsidRPr="007851D3" w:rsidRDefault="007851D3" w:rsidP="007851D3">
      <w:r w:rsidRPr="007851D3">
        <w:t>Customer trust is arguably the most significant and delicate asset in Unilever's AI risk portfolio. Unilever's economic success, as the proprietor of over 400 consumer brands, relies on profound and lasting trust-based connections with consumers across varied cultural and demographic landscapes. The erosion of faith in AI constitutes not only a reputational risk but also an existential threat to Unilever's brand value and market standing.</w:t>
      </w:r>
    </w:p>
    <w:p w14:paraId="0087683C" w14:textId="77777777" w:rsidR="007851D3" w:rsidRPr="007851D3" w:rsidRDefault="007851D3" w:rsidP="007851D3">
      <w:r w:rsidRPr="007851D3">
        <w:t>Academic literature on trust in AI delineates three principal dimensions: competence trust (the conviction that AI systems operate reliably and accurately), integrity trust (the conviction that AI is implemented honestly and equitably), and benevolence trust (the conviction that AI serves the consumer's best interests rather than undermining them) (McKnight et al., 2011). Unilever's AI governance approach must address all three elements, as shortcomings in just one might lead to a loss of trust.</w:t>
      </w:r>
    </w:p>
    <w:p w14:paraId="65B67D04" w14:textId="77777777" w:rsidR="007851D3" w:rsidRPr="007851D3" w:rsidRDefault="007851D3" w:rsidP="007851D3">
      <w:pPr>
        <w:rPr>
          <w:b/>
          <w:bCs/>
        </w:rPr>
      </w:pPr>
      <w:r w:rsidRPr="007851D3">
        <w:rPr>
          <w:b/>
          <w:bCs/>
        </w:rPr>
        <w:t>Transparency as a Trust-Building Mechanism</w:t>
      </w:r>
    </w:p>
    <w:p w14:paraId="24E6FDA3" w14:textId="77777777" w:rsidR="007851D3" w:rsidRPr="007851D3" w:rsidRDefault="007851D3" w:rsidP="007851D3">
      <w:r w:rsidRPr="007851D3">
        <w:t>Consumer transparency — proactive, clear, and accessible communication about how AI is used in products and services — is an increasingly important trust-building mechanism. Regulated by Article 13 of UK GDPR (privacy information at the point of data collection) and reinforced by the ICO's transparency guidance (ICO, 2023), transparency obligations require Unilever to communicate clearly about AI-mediated data processing in its consumer applications, loyalty programmes, and digital marketing activities. Best practice goes beyond compliance, however: organisations that voluntarily publish AI use policies, engage in public consultation on AI deployment decisions, and provide consumers with meaningful control over personalisation settings consistently outperform peers on consumer trust metrics (Edelman, 2024).</w:t>
      </w:r>
    </w:p>
    <w:p w14:paraId="4C9D2CD5" w14:textId="77777777" w:rsidR="007851D3" w:rsidRPr="007851D3" w:rsidRDefault="007851D3" w:rsidP="007851D3">
      <w:pPr>
        <w:rPr>
          <w:b/>
          <w:bCs/>
        </w:rPr>
      </w:pPr>
      <w:r w:rsidRPr="007851D3">
        <w:rPr>
          <w:b/>
          <w:bCs/>
        </w:rPr>
        <w:t>Data Sovereignty and Consumer Control</w:t>
      </w:r>
    </w:p>
    <w:p w14:paraId="44CDC052" w14:textId="77777777" w:rsidR="007851D3" w:rsidRPr="007851D3" w:rsidRDefault="007851D3" w:rsidP="007851D3">
      <w:r w:rsidRPr="007851D3">
        <w:t xml:space="preserve">Data sovereignty, as described by an individual’s right to control his or her personal information, is an essential component of consumer trust in an artificial intelligence world. For Unilever, this entails complying with subject access rights and the right to erasure in UK and EU GDPR legislation, as well as developing AI systems that facilitate consumer access, correction, and deletion of personal </w:t>
      </w:r>
      <w:r w:rsidRPr="007851D3">
        <w:lastRenderedPageBreak/>
        <w:t>information in an uninterrupted fashion. PETs such as federated learning, differential privacy, and homomorphic encryption offer promising technological possibilities to develop AI applications while supporting consumer data sovereignty. Unilever is encouraged to consider the application of these technologies in suitable applications.</w:t>
      </w:r>
    </w:p>
    <w:p w14:paraId="2457D492" w14:textId="77777777" w:rsidR="007851D3" w:rsidRPr="007851D3" w:rsidRDefault="007851D3" w:rsidP="007851D3">
      <w:pPr>
        <w:rPr>
          <w:b/>
          <w:bCs/>
        </w:rPr>
      </w:pPr>
      <w:r w:rsidRPr="007851D3">
        <w:rPr>
          <w:b/>
          <w:bCs/>
        </w:rPr>
        <w:t>Third-Party Auditing and Certification</w:t>
      </w:r>
    </w:p>
    <w:p w14:paraId="5882A327" w14:textId="77777777" w:rsidR="007851D3" w:rsidRPr="007851D3" w:rsidRDefault="007851D3" w:rsidP="007851D3">
      <w:r w:rsidRPr="007851D3">
        <w:t>The process of independent third-party auditing of AI systems has emerged as a best practice approach to build trustworthiness in AI systems. The European Union's proposed AI Act includes the need for conformity assessment of high-risk AI systems. In addition, the United Kingdom has established the AI Safety Institute (AISI) to assess the safety of frontier models of AI. Unilever should consider using independent third-party auditors to conduct regular and systemic audits of its AI systems, which should be disclosed as part of its annual sustainability and governance reports. This approach is consistent with the growing demands of institutional investors and ESG rating agencies that AI governance should be a material part of corporate governance.</w:t>
      </w:r>
    </w:p>
    <w:p w14:paraId="26B9FF43" w14:textId="77777777" w:rsidR="007851D3" w:rsidRPr="007851D3" w:rsidRDefault="007851D3" w:rsidP="003576F6">
      <w:pPr>
        <w:pStyle w:val="Heading2"/>
      </w:pPr>
      <w:bookmarkStart w:id="8" w:name="_Toc228135292"/>
      <w:r w:rsidRPr="007851D3">
        <w:t>2.6 Implementation Plan</w:t>
      </w:r>
      <w:bookmarkEnd w:id="8"/>
    </w:p>
    <w:p w14:paraId="48827CFD" w14:textId="77777777" w:rsidR="007851D3" w:rsidRPr="007851D3" w:rsidRDefault="007851D3" w:rsidP="007851D3">
      <w:r w:rsidRPr="007851D3">
        <w:t>The following implementation plan translates the strategic analysis and recommendations of this report into an actionable, time-bound programme of activity. The plan is structured across four strategic pillars and a three-phase timeline, reflecting the prioritisation of foundational governance before operational deployment and optimisation.</w:t>
      </w:r>
    </w:p>
    <w:p w14:paraId="5101D2F8" w14:textId="77777777" w:rsidR="007851D3" w:rsidRPr="007851D3" w:rsidRDefault="007851D3" w:rsidP="007851D3">
      <w:r w:rsidRPr="007851D3">
        <w:rPr>
          <w:b/>
          <w:bCs/>
        </w:rPr>
        <w:t>Figure 1: AI Governance Implementation Framework — Four Strategic Pillars</w:t>
      </w:r>
    </w:p>
    <w:tbl>
      <w:tblPr>
        <w:tblW w:w="94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2413"/>
        <w:gridCol w:w="2405"/>
        <w:gridCol w:w="2268"/>
        <w:gridCol w:w="2409"/>
      </w:tblGrid>
      <w:tr w:rsidR="007851D3" w:rsidRPr="007851D3" w14:paraId="4E4786BB" w14:textId="77777777">
        <w:tc>
          <w:tcPr>
            <w:tcW w:w="2413" w:type="dxa"/>
            <w:tcBorders>
              <w:top w:val="single" w:sz="2" w:space="0" w:color="CCCCCC"/>
              <w:left w:val="single" w:sz="2" w:space="0" w:color="CCCCCC"/>
              <w:bottom w:val="single" w:sz="2" w:space="0" w:color="CCCCCC"/>
              <w:right w:val="single" w:sz="2" w:space="0" w:color="CCCCCC"/>
            </w:tcBorders>
            <w:shd w:val="clear" w:color="auto" w:fill="1B4F72"/>
            <w:tcMar>
              <w:top w:w="120" w:type="dxa"/>
              <w:left w:w="150" w:type="dxa"/>
              <w:bottom w:w="120" w:type="dxa"/>
              <w:right w:w="150" w:type="dxa"/>
            </w:tcMar>
            <w:hideMark/>
          </w:tcPr>
          <w:p w14:paraId="4E0764DC" w14:textId="77777777" w:rsidR="007851D3" w:rsidRPr="007851D3" w:rsidRDefault="007851D3" w:rsidP="007851D3">
            <w:r w:rsidRPr="007851D3">
              <w:rPr>
                <w:b/>
                <w:bCs/>
              </w:rPr>
              <w:t>Pillar 1: AI Governance Architecture</w:t>
            </w:r>
          </w:p>
        </w:tc>
        <w:tc>
          <w:tcPr>
            <w:tcW w:w="2406" w:type="dxa"/>
            <w:tcBorders>
              <w:top w:val="single" w:sz="2" w:space="0" w:color="CCCCCC"/>
              <w:left w:val="single" w:sz="2" w:space="0" w:color="CCCCCC"/>
              <w:bottom w:val="single" w:sz="2" w:space="0" w:color="CCCCCC"/>
              <w:right w:val="single" w:sz="2" w:space="0" w:color="CCCCCC"/>
            </w:tcBorders>
            <w:shd w:val="clear" w:color="auto" w:fill="1F618D"/>
            <w:tcMar>
              <w:top w:w="120" w:type="dxa"/>
              <w:left w:w="150" w:type="dxa"/>
              <w:bottom w:w="120" w:type="dxa"/>
              <w:right w:w="150" w:type="dxa"/>
            </w:tcMar>
            <w:hideMark/>
          </w:tcPr>
          <w:p w14:paraId="0CB533ED" w14:textId="77777777" w:rsidR="007851D3" w:rsidRPr="007851D3" w:rsidRDefault="007851D3" w:rsidP="007851D3">
            <w:r w:rsidRPr="007851D3">
              <w:rPr>
                <w:b/>
                <w:bCs/>
              </w:rPr>
              <w:t>Pillar 2: Regulatory Compliance</w:t>
            </w:r>
          </w:p>
        </w:tc>
        <w:tc>
          <w:tcPr>
            <w:tcW w:w="2268" w:type="dxa"/>
            <w:tcBorders>
              <w:top w:val="single" w:sz="2" w:space="0" w:color="CCCCCC"/>
              <w:left w:val="single" w:sz="2" w:space="0" w:color="CCCCCC"/>
              <w:bottom w:val="single" w:sz="2" w:space="0" w:color="CCCCCC"/>
              <w:right w:val="single" w:sz="2" w:space="0" w:color="CCCCCC"/>
            </w:tcBorders>
            <w:shd w:val="clear" w:color="auto" w:fill="1A5276"/>
            <w:tcMar>
              <w:top w:w="120" w:type="dxa"/>
              <w:left w:w="150" w:type="dxa"/>
              <w:bottom w:w="120" w:type="dxa"/>
              <w:right w:w="150" w:type="dxa"/>
            </w:tcMar>
            <w:hideMark/>
          </w:tcPr>
          <w:p w14:paraId="1E95C312" w14:textId="77777777" w:rsidR="007851D3" w:rsidRPr="007851D3" w:rsidRDefault="007851D3" w:rsidP="007851D3">
            <w:r w:rsidRPr="007851D3">
              <w:rPr>
                <w:b/>
                <w:bCs/>
              </w:rPr>
              <w:t>Pillar 3: Ethical AI Protocols</w:t>
            </w:r>
          </w:p>
        </w:tc>
        <w:tc>
          <w:tcPr>
            <w:tcW w:w="2410" w:type="dxa"/>
            <w:tcBorders>
              <w:top w:val="single" w:sz="2" w:space="0" w:color="CCCCCC"/>
              <w:left w:val="single" w:sz="2" w:space="0" w:color="CCCCCC"/>
              <w:bottom w:val="single" w:sz="2" w:space="0" w:color="CCCCCC"/>
              <w:right w:val="single" w:sz="2" w:space="0" w:color="CCCCCC"/>
            </w:tcBorders>
            <w:shd w:val="clear" w:color="auto" w:fill="154360"/>
            <w:tcMar>
              <w:top w:w="120" w:type="dxa"/>
              <w:left w:w="150" w:type="dxa"/>
              <w:bottom w:w="120" w:type="dxa"/>
              <w:right w:w="150" w:type="dxa"/>
            </w:tcMar>
            <w:hideMark/>
          </w:tcPr>
          <w:p w14:paraId="72695750" w14:textId="77777777" w:rsidR="007851D3" w:rsidRPr="007851D3" w:rsidRDefault="007851D3" w:rsidP="007851D3">
            <w:r w:rsidRPr="007851D3">
              <w:rPr>
                <w:b/>
                <w:bCs/>
              </w:rPr>
              <w:t>Pillar 4: Customer Trust Infrastructure</w:t>
            </w:r>
          </w:p>
        </w:tc>
      </w:tr>
      <w:tr w:rsidR="007851D3" w:rsidRPr="007851D3" w14:paraId="498D9717" w14:textId="77777777">
        <w:tc>
          <w:tcPr>
            <w:tcW w:w="2413" w:type="dxa"/>
            <w:tcBorders>
              <w:top w:val="single" w:sz="2" w:space="0" w:color="CCCCCC"/>
              <w:left w:val="single" w:sz="2" w:space="0" w:color="CCCCCC"/>
              <w:bottom w:val="single" w:sz="2" w:space="0" w:color="CCCCCC"/>
              <w:right w:val="single" w:sz="2" w:space="0" w:color="CCCCCC"/>
            </w:tcBorders>
            <w:tcMar>
              <w:top w:w="100" w:type="dxa"/>
              <w:left w:w="150" w:type="dxa"/>
              <w:bottom w:w="100" w:type="dxa"/>
              <w:right w:w="150" w:type="dxa"/>
            </w:tcMar>
            <w:hideMark/>
          </w:tcPr>
          <w:p w14:paraId="290898B7" w14:textId="77777777" w:rsidR="007851D3" w:rsidRPr="007851D3" w:rsidRDefault="007851D3" w:rsidP="007851D3">
            <w:pPr>
              <w:numPr>
                <w:ilvl w:val="0"/>
                <w:numId w:val="1"/>
              </w:numPr>
            </w:pPr>
            <w:r w:rsidRPr="007851D3">
              <w:t>Establish AI Governance Office</w:t>
            </w:r>
          </w:p>
          <w:p w14:paraId="49D763B8" w14:textId="77777777" w:rsidR="007851D3" w:rsidRPr="007851D3" w:rsidRDefault="007851D3" w:rsidP="007851D3">
            <w:pPr>
              <w:numPr>
                <w:ilvl w:val="0"/>
                <w:numId w:val="1"/>
              </w:numPr>
            </w:pPr>
            <w:r w:rsidRPr="007851D3">
              <w:t>Appoint Chief AI Officer</w:t>
            </w:r>
          </w:p>
          <w:p w14:paraId="67196F5F" w14:textId="77777777" w:rsidR="007851D3" w:rsidRPr="007851D3" w:rsidRDefault="007851D3" w:rsidP="007851D3">
            <w:pPr>
              <w:numPr>
                <w:ilvl w:val="0"/>
                <w:numId w:val="1"/>
              </w:numPr>
            </w:pPr>
            <w:r w:rsidRPr="007851D3">
              <w:t>Board-level AI Risk Committee</w:t>
            </w:r>
          </w:p>
          <w:p w14:paraId="55D26E12" w14:textId="77777777" w:rsidR="007851D3" w:rsidRPr="007851D3" w:rsidRDefault="007851D3" w:rsidP="007851D3">
            <w:pPr>
              <w:numPr>
                <w:ilvl w:val="0"/>
                <w:numId w:val="1"/>
              </w:numPr>
            </w:pPr>
            <w:r w:rsidRPr="007851D3">
              <w:t>Internal AI Policy Framework</w:t>
            </w:r>
          </w:p>
        </w:tc>
        <w:tc>
          <w:tcPr>
            <w:tcW w:w="2406" w:type="dxa"/>
            <w:tcBorders>
              <w:top w:val="single" w:sz="2" w:space="0" w:color="CCCCCC"/>
              <w:left w:val="single" w:sz="2" w:space="0" w:color="CCCCCC"/>
              <w:bottom w:val="single" w:sz="2" w:space="0" w:color="CCCCCC"/>
              <w:right w:val="single" w:sz="2" w:space="0" w:color="CCCCCC"/>
            </w:tcBorders>
            <w:tcMar>
              <w:top w:w="100" w:type="dxa"/>
              <w:left w:w="150" w:type="dxa"/>
              <w:bottom w:w="100" w:type="dxa"/>
              <w:right w:w="150" w:type="dxa"/>
            </w:tcMar>
            <w:hideMark/>
          </w:tcPr>
          <w:p w14:paraId="04D58B39" w14:textId="77777777" w:rsidR="007851D3" w:rsidRPr="007851D3" w:rsidRDefault="007851D3" w:rsidP="007851D3">
            <w:pPr>
              <w:numPr>
                <w:ilvl w:val="0"/>
                <w:numId w:val="1"/>
              </w:numPr>
            </w:pPr>
            <w:r w:rsidRPr="007851D3">
              <w:t>UK GDPR &amp; EU AI Act compliance audit</w:t>
            </w:r>
          </w:p>
          <w:p w14:paraId="0F4AC5A7" w14:textId="77777777" w:rsidR="007851D3" w:rsidRPr="007851D3" w:rsidRDefault="007851D3" w:rsidP="007851D3">
            <w:pPr>
              <w:numPr>
                <w:ilvl w:val="0"/>
                <w:numId w:val="1"/>
              </w:numPr>
            </w:pPr>
            <w:r w:rsidRPr="007851D3">
              <w:t>DPIA programme</w:t>
            </w:r>
          </w:p>
          <w:p w14:paraId="428D5722" w14:textId="77777777" w:rsidR="007851D3" w:rsidRPr="007851D3" w:rsidRDefault="007851D3" w:rsidP="007851D3">
            <w:pPr>
              <w:numPr>
                <w:ilvl w:val="0"/>
                <w:numId w:val="1"/>
              </w:numPr>
            </w:pPr>
            <w:r w:rsidRPr="007851D3">
              <w:t>Dual-compliance monitoring system</w:t>
            </w:r>
          </w:p>
          <w:p w14:paraId="4354876C" w14:textId="77777777" w:rsidR="007851D3" w:rsidRPr="007851D3" w:rsidRDefault="007851D3" w:rsidP="007851D3">
            <w:pPr>
              <w:numPr>
                <w:ilvl w:val="0"/>
                <w:numId w:val="1"/>
              </w:numPr>
            </w:pPr>
            <w:r w:rsidRPr="007851D3">
              <w:t>Legal review of AI contracts</w:t>
            </w:r>
          </w:p>
        </w:tc>
        <w:tc>
          <w:tcPr>
            <w:tcW w:w="2268" w:type="dxa"/>
            <w:tcBorders>
              <w:top w:val="single" w:sz="2" w:space="0" w:color="CCCCCC"/>
              <w:left w:val="single" w:sz="2" w:space="0" w:color="CCCCCC"/>
              <w:bottom w:val="single" w:sz="2" w:space="0" w:color="CCCCCC"/>
              <w:right w:val="single" w:sz="2" w:space="0" w:color="CCCCCC"/>
            </w:tcBorders>
            <w:tcMar>
              <w:top w:w="100" w:type="dxa"/>
              <w:left w:w="150" w:type="dxa"/>
              <w:bottom w:w="100" w:type="dxa"/>
              <w:right w:w="150" w:type="dxa"/>
            </w:tcMar>
            <w:hideMark/>
          </w:tcPr>
          <w:p w14:paraId="1CDC0C6F" w14:textId="77777777" w:rsidR="007851D3" w:rsidRPr="007851D3" w:rsidRDefault="007851D3" w:rsidP="007851D3">
            <w:pPr>
              <w:numPr>
                <w:ilvl w:val="0"/>
                <w:numId w:val="1"/>
              </w:numPr>
            </w:pPr>
            <w:r w:rsidRPr="007851D3">
              <w:t>Algorithmic bias testing programme</w:t>
            </w:r>
          </w:p>
          <w:p w14:paraId="40D5BBC4" w14:textId="77777777" w:rsidR="007851D3" w:rsidRPr="007851D3" w:rsidRDefault="007851D3" w:rsidP="007851D3">
            <w:pPr>
              <w:numPr>
                <w:ilvl w:val="0"/>
                <w:numId w:val="1"/>
              </w:numPr>
            </w:pPr>
            <w:r w:rsidRPr="007851D3">
              <w:t>Explainable AI framework</w:t>
            </w:r>
          </w:p>
          <w:p w14:paraId="629125F1" w14:textId="77777777" w:rsidR="007851D3" w:rsidRPr="007851D3" w:rsidRDefault="007851D3" w:rsidP="007851D3">
            <w:pPr>
              <w:numPr>
                <w:ilvl w:val="0"/>
                <w:numId w:val="1"/>
              </w:numPr>
            </w:pPr>
            <w:r w:rsidRPr="007851D3">
              <w:t>Human oversight protocols</w:t>
            </w:r>
          </w:p>
          <w:p w14:paraId="75698349" w14:textId="77777777" w:rsidR="007851D3" w:rsidRPr="007851D3" w:rsidRDefault="007851D3" w:rsidP="007851D3">
            <w:pPr>
              <w:numPr>
                <w:ilvl w:val="0"/>
                <w:numId w:val="1"/>
              </w:numPr>
            </w:pPr>
            <w:r w:rsidRPr="007851D3">
              <w:t>ISO/IEC 42001 certification</w:t>
            </w:r>
          </w:p>
        </w:tc>
        <w:tc>
          <w:tcPr>
            <w:tcW w:w="2410" w:type="dxa"/>
            <w:tcBorders>
              <w:top w:val="single" w:sz="2" w:space="0" w:color="CCCCCC"/>
              <w:left w:val="single" w:sz="2" w:space="0" w:color="CCCCCC"/>
              <w:bottom w:val="single" w:sz="2" w:space="0" w:color="CCCCCC"/>
              <w:right w:val="single" w:sz="2" w:space="0" w:color="CCCCCC"/>
            </w:tcBorders>
            <w:tcMar>
              <w:top w:w="100" w:type="dxa"/>
              <w:left w:w="150" w:type="dxa"/>
              <w:bottom w:w="100" w:type="dxa"/>
              <w:right w:w="150" w:type="dxa"/>
            </w:tcMar>
            <w:hideMark/>
          </w:tcPr>
          <w:p w14:paraId="6BDE8792" w14:textId="77777777" w:rsidR="007851D3" w:rsidRPr="007851D3" w:rsidRDefault="007851D3" w:rsidP="007851D3">
            <w:pPr>
              <w:numPr>
                <w:ilvl w:val="0"/>
                <w:numId w:val="1"/>
              </w:numPr>
            </w:pPr>
            <w:r w:rsidRPr="007851D3">
              <w:t>AI transparency disclosures</w:t>
            </w:r>
          </w:p>
          <w:p w14:paraId="5303D636" w14:textId="77777777" w:rsidR="007851D3" w:rsidRPr="007851D3" w:rsidRDefault="007851D3" w:rsidP="007851D3">
            <w:pPr>
              <w:numPr>
                <w:ilvl w:val="0"/>
                <w:numId w:val="1"/>
              </w:numPr>
            </w:pPr>
            <w:r w:rsidRPr="007851D3">
              <w:t>Consumer data control portal</w:t>
            </w:r>
          </w:p>
          <w:p w14:paraId="553DBE4B" w14:textId="77777777" w:rsidR="007851D3" w:rsidRPr="007851D3" w:rsidRDefault="007851D3" w:rsidP="007851D3">
            <w:pPr>
              <w:numPr>
                <w:ilvl w:val="0"/>
                <w:numId w:val="1"/>
              </w:numPr>
            </w:pPr>
            <w:r w:rsidRPr="007851D3">
              <w:t>Third-party AI auditing</w:t>
            </w:r>
          </w:p>
          <w:p w14:paraId="3CBA1392" w14:textId="77777777" w:rsidR="007851D3" w:rsidRPr="007851D3" w:rsidRDefault="007851D3" w:rsidP="007851D3">
            <w:pPr>
              <w:numPr>
                <w:ilvl w:val="0"/>
                <w:numId w:val="1"/>
              </w:numPr>
            </w:pPr>
            <w:r w:rsidRPr="007851D3">
              <w:t>Annual AI governance reporting</w:t>
            </w:r>
          </w:p>
        </w:tc>
      </w:tr>
    </w:tbl>
    <w:p w14:paraId="57EA1908" w14:textId="77777777" w:rsidR="007851D3" w:rsidRPr="007851D3" w:rsidRDefault="007851D3" w:rsidP="007851D3"/>
    <w:p w14:paraId="4ACF3347" w14:textId="77777777" w:rsidR="007851D3" w:rsidRPr="007851D3" w:rsidRDefault="007851D3" w:rsidP="007851D3">
      <w:r w:rsidRPr="007851D3">
        <w:rPr>
          <w:b/>
          <w:bCs/>
        </w:rPr>
        <w:t>Table 2: Implementation Timeline</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223"/>
        <w:gridCol w:w="2250"/>
        <w:gridCol w:w="2332"/>
        <w:gridCol w:w="2221"/>
      </w:tblGrid>
      <w:tr w:rsidR="007851D3" w:rsidRPr="007851D3" w14:paraId="58319EEF" w14:textId="77777777">
        <w:tc>
          <w:tcPr>
            <w:tcW w:w="2442" w:type="dxa"/>
            <w:tcBorders>
              <w:top w:val="single" w:sz="2" w:space="0" w:color="CCCCCC"/>
              <w:left w:val="single" w:sz="2" w:space="0" w:color="CCCCCC"/>
              <w:bottom w:val="single" w:sz="2" w:space="0" w:color="CCCCCC"/>
              <w:right w:val="single" w:sz="2" w:space="0" w:color="CCCCCC"/>
            </w:tcBorders>
            <w:shd w:val="clear" w:color="auto" w:fill="1B4F72"/>
            <w:tcMar>
              <w:top w:w="100" w:type="dxa"/>
              <w:left w:w="150" w:type="dxa"/>
              <w:bottom w:w="100" w:type="dxa"/>
              <w:right w:w="150" w:type="dxa"/>
            </w:tcMar>
            <w:hideMark/>
          </w:tcPr>
          <w:p w14:paraId="09EF0FCD" w14:textId="77777777" w:rsidR="007851D3" w:rsidRPr="007851D3" w:rsidRDefault="007851D3" w:rsidP="007851D3">
            <w:r w:rsidRPr="007851D3">
              <w:rPr>
                <w:b/>
                <w:bCs/>
              </w:rPr>
              <w:lastRenderedPageBreak/>
              <w:t>Action Area</w:t>
            </w:r>
          </w:p>
        </w:tc>
        <w:tc>
          <w:tcPr>
            <w:tcW w:w="2442" w:type="dxa"/>
            <w:tcBorders>
              <w:top w:val="single" w:sz="2" w:space="0" w:color="CCCCCC"/>
              <w:left w:val="single" w:sz="2" w:space="0" w:color="CCCCCC"/>
              <w:bottom w:val="single" w:sz="2" w:space="0" w:color="CCCCCC"/>
              <w:right w:val="single" w:sz="2" w:space="0" w:color="CCCCCC"/>
            </w:tcBorders>
            <w:shd w:val="clear" w:color="auto" w:fill="1B4F72"/>
            <w:tcMar>
              <w:top w:w="100" w:type="dxa"/>
              <w:left w:w="150" w:type="dxa"/>
              <w:bottom w:w="100" w:type="dxa"/>
              <w:right w:w="150" w:type="dxa"/>
            </w:tcMar>
            <w:hideMark/>
          </w:tcPr>
          <w:p w14:paraId="333DD941" w14:textId="77777777" w:rsidR="007851D3" w:rsidRPr="007851D3" w:rsidRDefault="007851D3" w:rsidP="007851D3">
            <w:r w:rsidRPr="007851D3">
              <w:rPr>
                <w:b/>
                <w:bCs/>
              </w:rPr>
              <w:t>Phase 1: Foundation (0-6 months)</w:t>
            </w:r>
          </w:p>
        </w:tc>
        <w:tc>
          <w:tcPr>
            <w:tcW w:w="2442" w:type="dxa"/>
            <w:tcBorders>
              <w:top w:val="single" w:sz="2" w:space="0" w:color="CCCCCC"/>
              <w:left w:val="single" w:sz="2" w:space="0" w:color="CCCCCC"/>
              <w:bottom w:val="single" w:sz="2" w:space="0" w:color="CCCCCC"/>
              <w:right w:val="single" w:sz="2" w:space="0" w:color="CCCCCC"/>
            </w:tcBorders>
            <w:shd w:val="clear" w:color="auto" w:fill="1B4F72"/>
            <w:tcMar>
              <w:top w:w="100" w:type="dxa"/>
              <w:left w:w="150" w:type="dxa"/>
              <w:bottom w:w="100" w:type="dxa"/>
              <w:right w:w="150" w:type="dxa"/>
            </w:tcMar>
            <w:hideMark/>
          </w:tcPr>
          <w:p w14:paraId="66C46BC7" w14:textId="77777777" w:rsidR="007851D3" w:rsidRPr="007851D3" w:rsidRDefault="007851D3" w:rsidP="007851D3">
            <w:r w:rsidRPr="007851D3">
              <w:rPr>
                <w:b/>
                <w:bCs/>
              </w:rPr>
              <w:t>Phase 2: Operationalisation (6-18 months)</w:t>
            </w:r>
          </w:p>
        </w:tc>
        <w:tc>
          <w:tcPr>
            <w:tcW w:w="2442" w:type="dxa"/>
            <w:tcBorders>
              <w:top w:val="single" w:sz="2" w:space="0" w:color="CCCCCC"/>
              <w:left w:val="single" w:sz="2" w:space="0" w:color="CCCCCC"/>
              <w:bottom w:val="single" w:sz="2" w:space="0" w:color="CCCCCC"/>
              <w:right w:val="single" w:sz="2" w:space="0" w:color="CCCCCC"/>
            </w:tcBorders>
            <w:shd w:val="clear" w:color="auto" w:fill="1B4F72"/>
            <w:tcMar>
              <w:top w:w="100" w:type="dxa"/>
              <w:left w:w="150" w:type="dxa"/>
              <w:bottom w:w="100" w:type="dxa"/>
              <w:right w:w="150" w:type="dxa"/>
            </w:tcMar>
            <w:hideMark/>
          </w:tcPr>
          <w:p w14:paraId="186790FB" w14:textId="77777777" w:rsidR="007851D3" w:rsidRPr="007851D3" w:rsidRDefault="007851D3" w:rsidP="007851D3">
            <w:r w:rsidRPr="007851D3">
              <w:rPr>
                <w:b/>
                <w:bCs/>
              </w:rPr>
              <w:t>Phase 3: Optimisation (18-36 months)</w:t>
            </w:r>
          </w:p>
        </w:tc>
      </w:tr>
      <w:tr w:rsidR="007851D3" w:rsidRPr="007851D3" w14:paraId="136A42EA" w14:textId="77777777">
        <w:tc>
          <w:tcPr>
            <w:tcW w:w="1700" w:type="dxa"/>
            <w:tcBorders>
              <w:top w:val="single" w:sz="2" w:space="0" w:color="CCCCCC"/>
              <w:left w:val="single" w:sz="2" w:space="0" w:color="CCCCCC"/>
              <w:bottom w:val="single" w:sz="2" w:space="0" w:color="CCCCCC"/>
              <w:right w:val="single" w:sz="2" w:space="0" w:color="CCCCCC"/>
            </w:tcBorders>
            <w:tcMar>
              <w:top w:w="80" w:type="dxa"/>
              <w:left w:w="150" w:type="dxa"/>
              <w:bottom w:w="80" w:type="dxa"/>
              <w:right w:w="150" w:type="dxa"/>
            </w:tcMar>
            <w:hideMark/>
          </w:tcPr>
          <w:p w14:paraId="02AB280C" w14:textId="77777777" w:rsidR="007851D3" w:rsidRPr="007851D3" w:rsidRDefault="007851D3" w:rsidP="007851D3">
            <w:r w:rsidRPr="007851D3">
              <w:rPr>
                <w:b/>
                <w:bCs/>
              </w:rPr>
              <w:t>AI Governance Architecture</w:t>
            </w:r>
          </w:p>
        </w:tc>
        <w:tc>
          <w:tcPr>
            <w:tcW w:w="2442" w:type="dxa"/>
            <w:tcBorders>
              <w:top w:val="single" w:sz="2" w:space="0" w:color="CCCCCC"/>
              <w:left w:val="single" w:sz="2" w:space="0" w:color="CCCCCC"/>
              <w:bottom w:val="single" w:sz="2" w:space="0" w:color="CCCCCC"/>
              <w:right w:val="single" w:sz="2" w:space="0" w:color="CCCCCC"/>
            </w:tcBorders>
            <w:tcMar>
              <w:top w:w="80" w:type="dxa"/>
              <w:left w:w="150" w:type="dxa"/>
              <w:bottom w:w="80" w:type="dxa"/>
              <w:right w:w="150" w:type="dxa"/>
            </w:tcMar>
            <w:hideMark/>
          </w:tcPr>
          <w:p w14:paraId="7B2BF314" w14:textId="77777777" w:rsidR="007851D3" w:rsidRPr="007851D3" w:rsidRDefault="007851D3" w:rsidP="007851D3">
            <w:r w:rsidRPr="007851D3">
              <w:t>Establish AI Governance Office; appoint Chief AI Officer; convene Board AI Risk Committee</w:t>
            </w:r>
          </w:p>
        </w:tc>
        <w:tc>
          <w:tcPr>
            <w:tcW w:w="2442" w:type="dxa"/>
            <w:tcBorders>
              <w:top w:val="single" w:sz="2" w:space="0" w:color="CCCCCC"/>
              <w:left w:val="single" w:sz="2" w:space="0" w:color="CCCCCC"/>
              <w:bottom w:val="single" w:sz="2" w:space="0" w:color="CCCCCC"/>
              <w:right w:val="single" w:sz="2" w:space="0" w:color="CCCCCC"/>
            </w:tcBorders>
            <w:tcMar>
              <w:top w:w="80" w:type="dxa"/>
              <w:left w:w="150" w:type="dxa"/>
              <w:bottom w:w="80" w:type="dxa"/>
              <w:right w:w="150" w:type="dxa"/>
            </w:tcMar>
            <w:hideMark/>
          </w:tcPr>
          <w:p w14:paraId="6019323D" w14:textId="77777777" w:rsidR="007851D3" w:rsidRPr="007851D3" w:rsidRDefault="007851D3" w:rsidP="007851D3">
            <w:r w:rsidRPr="007851D3">
              <w:t>Roll out internal AI Policy Framework; train senior management; integrate AI governance into ERM</w:t>
            </w:r>
          </w:p>
        </w:tc>
        <w:tc>
          <w:tcPr>
            <w:tcW w:w="2442" w:type="dxa"/>
            <w:tcBorders>
              <w:top w:val="single" w:sz="2" w:space="0" w:color="CCCCCC"/>
              <w:left w:val="single" w:sz="2" w:space="0" w:color="CCCCCC"/>
              <w:bottom w:val="single" w:sz="2" w:space="0" w:color="CCCCCC"/>
              <w:right w:val="single" w:sz="2" w:space="0" w:color="CCCCCC"/>
            </w:tcBorders>
            <w:tcMar>
              <w:top w:w="80" w:type="dxa"/>
              <w:left w:w="150" w:type="dxa"/>
              <w:bottom w:w="80" w:type="dxa"/>
              <w:right w:w="150" w:type="dxa"/>
            </w:tcMar>
            <w:hideMark/>
          </w:tcPr>
          <w:p w14:paraId="41A93530" w14:textId="77777777" w:rsidR="007851D3" w:rsidRPr="007851D3" w:rsidRDefault="007851D3" w:rsidP="007851D3">
            <w:r w:rsidRPr="007851D3">
              <w:t>Annual governance review; benchmark against international standards; publish governance report</w:t>
            </w:r>
          </w:p>
        </w:tc>
      </w:tr>
      <w:tr w:rsidR="007851D3" w:rsidRPr="007851D3" w14:paraId="6C1C226E" w14:textId="77777777">
        <w:tc>
          <w:tcPr>
            <w:tcW w:w="1700" w:type="dxa"/>
            <w:tcBorders>
              <w:top w:val="single" w:sz="2" w:space="0" w:color="CCCCCC"/>
              <w:left w:val="single" w:sz="2" w:space="0" w:color="CCCCCC"/>
              <w:bottom w:val="single" w:sz="2" w:space="0" w:color="CCCCCC"/>
              <w:right w:val="single" w:sz="2" w:space="0" w:color="CCCCCC"/>
            </w:tcBorders>
            <w:tcMar>
              <w:top w:w="80" w:type="dxa"/>
              <w:left w:w="150" w:type="dxa"/>
              <w:bottom w:w="80" w:type="dxa"/>
              <w:right w:w="150" w:type="dxa"/>
            </w:tcMar>
            <w:hideMark/>
          </w:tcPr>
          <w:p w14:paraId="6E95C1A1" w14:textId="77777777" w:rsidR="007851D3" w:rsidRPr="007851D3" w:rsidRDefault="007851D3" w:rsidP="007851D3">
            <w:r w:rsidRPr="007851D3">
              <w:rPr>
                <w:b/>
                <w:bCs/>
              </w:rPr>
              <w:t>Regulatory Compliance</w:t>
            </w:r>
          </w:p>
        </w:tc>
        <w:tc>
          <w:tcPr>
            <w:tcW w:w="2442" w:type="dxa"/>
            <w:tcBorders>
              <w:top w:val="single" w:sz="2" w:space="0" w:color="CCCCCC"/>
              <w:left w:val="single" w:sz="2" w:space="0" w:color="CCCCCC"/>
              <w:bottom w:val="single" w:sz="2" w:space="0" w:color="CCCCCC"/>
              <w:right w:val="single" w:sz="2" w:space="0" w:color="CCCCCC"/>
            </w:tcBorders>
            <w:tcMar>
              <w:top w:w="80" w:type="dxa"/>
              <w:left w:w="150" w:type="dxa"/>
              <w:bottom w:w="80" w:type="dxa"/>
              <w:right w:w="150" w:type="dxa"/>
            </w:tcMar>
            <w:hideMark/>
          </w:tcPr>
          <w:p w14:paraId="0232274B" w14:textId="77777777" w:rsidR="007851D3" w:rsidRPr="007851D3" w:rsidRDefault="007851D3" w:rsidP="007851D3">
            <w:r w:rsidRPr="007851D3">
              <w:t>Commission comprehensive compliance audit against UK GDPR, EU AI Act and sector regulations</w:t>
            </w:r>
          </w:p>
        </w:tc>
        <w:tc>
          <w:tcPr>
            <w:tcW w:w="2442" w:type="dxa"/>
            <w:tcBorders>
              <w:top w:val="single" w:sz="2" w:space="0" w:color="CCCCCC"/>
              <w:left w:val="single" w:sz="2" w:space="0" w:color="CCCCCC"/>
              <w:bottom w:val="single" w:sz="2" w:space="0" w:color="CCCCCC"/>
              <w:right w:val="single" w:sz="2" w:space="0" w:color="CCCCCC"/>
            </w:tcBorders>
            <w:tcMar>
              <w:top w:w="80" w:type="dxa"/>
              <w:left w:w="150" w:type="dxa"/>
              <w:bottom w:w="80" w:type="dxa"/>
              <w:right w:w="150" w:type="dxa"/>
            </w:tcMar>
            <w:hideMark/>
          </w:tcPr>
          <w:p w14:paraId="591A07A4" w14:textId="77777777" w:rsidR="007851D3" w:rsidRPr="007851D3" w:rsidRDefault="007851D3" w:rsidP="007851D3">
            <w:r w:rsidRPr="007851D3">
              <w:t>Implement DPIA programme; deploy dual-compliance monitoring platform; establish regulatory intelligence function</w:t>
            </w:r>
          </w:p>
        </w:tc>
        <w:tc>
          <w:tcPr>
            <w:tcW w:w="2442" w:type="dxa"/>
            <w:tcBorders>
              <w:top w:val="single" w:sz="2" w:space="0" w:color="CCCCCC"/>
              <w:left w:val="single" w:sz="2" w:space="0" w:color="CCCCCC"/>
              <w:bottom w:val="single" w:sz="2" w:space="0" w:color="CCCCCC"/>
              <w:right w:val="single" w:sz="2" w:space="0" w:color="CCCCCC"/>
            </w:tcBorders>
            <w:tcMar>
              <w:top w:w="80" w:type="dxa"/>
              <w:left w:w="150" w:type="dxa"/>
              <w:bottom w:w="80" w:type="dxa"/>
              <w:right w:w="150" w:type="dxa"/>
            </w:tcMar>
            <w:hideMark/>
          </w:tcPr>
          <w:p w14:paraId="56A3FC8A" w14:textId="77777777" w:rsidR="007851D3" w:rsidRPr="007851D3" w:rsidRDefault="007851D3" w:rsidP="007851D3">
            <w:r w:rsidRPr="007851D3">
              <w:t>Proactive engagement with regulators; participate in UK AI sandbox; advocate for proportionate regulation</w:t>
            </w:r>
          </w:p>
        </w:tc>
      </w:tr>
      <w:tr w:rsidR="007851D3" w:rsidRPr="007851D3" w14:paraId="76A80FAB" w14:textId="77777777">
        <w:tc>
          <w:tcPr>
            <w:tcW w:w="1700" w:type="dxa"/>
            <w:tcBorders>
              <w:top w:val="single" w:sz="2" w:space="0" w:color="CCCCCC"/>
              <w:left w:val="single" w:sz="2" w:space="0" w:color="CCCCCC"/>
              <w:bottom w:val="single" w:sz="2" w:space="0" w:color="CCCCCC"/>
              <w:right w:val="single" w:sz="2" w:space="0" w:color="CCCCCC"/>
            </w:tcBorders>
            <w:tcMar>
              <w:top w:w="80" w:type="dxa"/>
              <w:left w:w="150" w:type="dxa"/>
              <w:bottom w:w="80" w:type="dxa"/>
              <w:right w:w="150" w:type="dxa"/>
            </w:tcMar>
            <w:hideMark/>
          </w:tcPr>
          <w:p w14:paraId="0E61D02C" w14:textId="77777777" w:rsidR="007851D3" w:rsidRPr="007851D3" w:rsidRDefault="007851D3" w:rsidP="007851D3">
            <w:r w:rsidRPr="007851D3">
              <w:rPr>
                <w:b/>
                <w:bCs/>
              </w:rPr>
              <w:t>Ethical AI Protocols</w:t>
            </w:r>
          </w:p>
        </w:tc>
        <w:tc>
          <w:tcPr>
            <w:tcW w:w="2442" w:type="dxa"/>
            <w:tcBorders>
              <w:top w:val="single" w:sz="2" w:space="0" w:color="CCCCCC"/>
              <w:left w:val="single" w:sz="2" w:space="0" w:color="CCCCCC"/>
              <w:bottom w:val="single" w:sz="2" w:space="0" w:color="CCCCCC"/>
              <w:right w:val="single" w:sz="2" w:space="0" w:color="CCCCCC"/>
            </w:tcBorders>
            <w:tcMar>
              <w:top w:w="80" w:type="dxa"/>
              <w:left w:w="150" w:type="dxa"/>
              <w:bottom w:w="80" w:type="dxa"/>
              <w:right w:w="150" w:type="dxa"/>
            </w:tcMar>
            <w:hideMark/>
          </w:tcPr>
          <w:p w14:paraId="597BE559" w14:textId="77777777" w:rsidR="007851D3" w:rsidRPr="007851D3" w:rsidRDefault="007851D3" w:rsidP="007851D3">
            <w:r w:rsidRPr="007851D3">
              <w:t>Establish AI Ethics Board; develop Algorithmic Impact Assessment methodology</w:t>
            </w:r>
          </w:p>
        </w:tc>
        <w:tc>
          <w:tcPr>
            <w:tcW w:w="2442" w:type="dxa"/>
            <w:tcBorders>
              <w:top w:val="single" w:sz="2" w:space="0" w:color="CCCCCC"/>
              <w:left w:val="single" w:sz="2" w:space="0" w:color="CCCCCC"/>
              <w:bottom w:val="single" w:sz="2" w:space="0" w:color="CCCCCC"/>
              <w:right w:val="single" w:sz="2" w:space="0" w:color="CCCCCC"/>
            </w:tcBorders>
            <w:tcMar>
              <w:top w:w="80" w:type="dxa"/>
              <w:left w:w="150" w:type="dxa"/>
              <w:bottom w:w="80" w:type="dxa"/>
              <w:right w:w="150" w:type="dxa"/>
            </w:tcMar>
            <w:hideMark/>
          </w:tcPr>
          <w:p w14:paraId="011A7E79" w14:textId="77777777" w:rsidR="007851D3" w:rsidRPr="007851D3" w:rsidRDefault="007851D3" w:rsidP="007851D3">
            <w:r w:rsidRPr="007851D3">
              <w:t>Conduct bias audits across all AI systems; implement XAI tools; design HITL protocols; seek ISO 42001 certification</w:t>
            </w:r>
          </w:p>
        </w:tc>
        <w:tc>
          <w:tcPr>
            <w:tcW w:w="2442" w:type="dxa"/>
            <w:tcBorders>
              <w:top w:val="single" w:sz="2" w:space="0" w:color="CCCCCC"/>
              <w:left w:val="single" w:sz="2" w:space="0" w:color="CCCCCC"/>
              <w:bottom w:val="single" w:sz="2" w:space="0" w:color="CCCCCC"/>
              <w:right w:val="single" w:sz="2" w:space="0" w:color="CCCCCC"/>
            </w:tcBorders>
            <w:tcMar>
              <w:top w:w="80" w:type="dxa"/>
              <w:left w:w="150" w:type="dxa"/>
              <w:bottom w:w="80" w:type="dxa"/>
              <w:right w:w="150" w:type="dxa"/>
            </w:tcMar>
            <w:hideMark/>
          </w:tcPr>
          <w:p w14:paraId="70729416" w14:textId="77777777" w:rsidR="007851D3" w:rsidRPr="007851D3" w:rsidRDefault="007851D3" w:rsidP="007851D3">
            <w:r w:rsidRPr="007851D3">
              <w:t>Publish AI Ethics Report; integrate ethics metrics into AI KPIs; conduct independent ethics review</w:t>
            </w:r>
          </w:p>
        </w:tc>
      </w:tr>
      <w:tr w:rsidR="007851D3" w:rsidRPr="007851D3" w14:paraId="5C15B5FA" w14:textId="77777777">
        <w:tc>
          <w:tcPr>
            <w:tcW w:w="1700" w:type="dxa"/>
            <w:tcBorders>
              <w:top w:val="single" w:sz="2" w:space="0" w:color="CCCCCC"/>
              <w:left w:val="single" w:sz="2" w:space="0" w:color="CCCCCC"/>
              <w:bottom w:val="single" w:sz="2" w:space="0" w:color="CCCCCC"/>
              <w:right w:val="single" w:sz="2" w:space="0" w:color="CCCCCC"/>
            </w:tcBorders>
            <w:tcMar>
              <w:top w:w="80" w:type="dxa"/>
              <w:left w:w="150" w:type="dxa"/>
              <w:bottom w:w="80" w:type="dxa"/>
              <w:right w:w="150" w:type="dxa"/>
            </w:tcMar>
            <w:hideMark/>
          </w:tcPr>
          <w:p w14:paraId="286E0C48" w14:textId="77777777" w:rsidR="007851D3" w:rsidRPr="007851D3" w:rsidRDefault="007851D3" w:rsidP="007851D3">
            <w:r w:rsidRPr="007851D3">
              <w:rPr>
                <w:b/>
                <w:bCs/>
              </w:rPr>
              <w:t>Customer Trust Infrastructure</w:t>
            </w:r>
          </w:p>
        </w:tc>
        <w:tc>
          <w:tcPr>
            <w:tcW w:w="2442" w:type="dxa"/>
            <w:tcBorders>
              <w:top w:val="single" w:sz="2" w:space="0" w:color="CCCCCC"/>
              <w:left w:val="single" w:sz="2" w:space="0" w:color="CCCCCC"/>
              <w:bottom w:val="single" w:sz="2" w:space="0" w:color="CCCCCC"/>
              <w:right w:val="single" w:sz="2" w:space="0" w:color="CCCCCC"/>
            </w:tcBorders>
            <w:tcMar>
              <w:top w:w="80" w:type="dxa"/>
              <w:left w:w="150" w:type="dxa"/>
              <w:bottom w:w="80" w:type="dxa"/>
              <w:right w:w="150" w:type="dxa"/>
            </w:tcMar>
            <w:hideMark/>
          </w:tcPr>
          <w:p w14:paraId="20D9F50F" w14:textId="77777777" w:rsidR="007851D3" w:rsidRPr="007851D3" w:rsidRDefault="007851D3" w:rsidP="007851D3">
            <w:r w:rsidRPr="007851D3">
              <w:t>Publish comprehensive AI Use Policy; review and update consumer-facing privacy notices</w:t>
            </w:r>
          </w:p>
        </w:tc>
        <w:tc>
          <w:tcPr>
            <w:tcW w:w="2442" w:type="dxa"/>
            <w:tcBorders>
              <w:top w:val="single" w:sz="2" w:space="0" w:color="CCCCCC"/>
              <w:left w:val="single" w:sz="2" w:space="0" w:color="CCCCCC"/>
              <w:bottom w:val="single" w:sz="2" w:space="0" w:color="CCCCCC"/>
              <w:right w:val="single" w:sz="2" w:space="0" w:color="CCCCCC"/>
            </w:tcBorders>
            <w:tcMar>
              <w:top w:w="80" w:type="dxa"/>
              <w:left w:w="150" w:type="dxa"/>
              <w:bottom w:w="80" w:type="dxa"/>
              <w:right w:w="150" w:type="dxa"/>
            </w:tcMar>
            <w:hideMark/>
          </w:tcPr>
          <w:p w14:paraId="649AFE30" w14:textId="77777777" w:rsidR="007851D3" w:rsidRPr="007851D3" w:rsidRDefault="007851D3" w:rsidP="007851D3">
            <w:r w:rsidRPr="007851D3">
              <w:t>Launch consumer data control portal; introduce AI labelling on automated communications</w:t>
            </w:r>
          </w:p>
        </w:tc>
        <w:tc>
          <w:tcPr>
            <w:tcW w:w="2442" w:type="dxa"/>
            <w:tcBorders>
              <w:top w:val="single" w:sz="2" w:space="0" w:color="CCCCCC"/>
              <w:left w:val="single" w:sz="2" w:space="0" w:color="CCCCCC"/>
              <w:bottom w:val="single" w:sz="2" w:space="0" w:color="CCCCCC"/>
              <w:right w:val="single" w:sz="2" w:space="0" w:color="CCCCCC"/>
            </w:tcBorders>
            <w:tcMar>
              <w:top w:w="80" w:type="dxa"/>
              <w:left w:w="150" w:type="dxa"/>
              <w:bottom w:w="80" w:type="dxa"/>
              <w:right w:w="150" w:type="dxa"/>
            </w:tcMar>
            <w:hideMark/>
          </w:tcPr>
          <w:p w14:paraId="29166B0E" w14:textId="77777777" w:rsidR="007851D3" w:rsidRPr="007851D3" w:rsidRDefault="007851D3" w:rsidP="007851D3">
            <w:r w:rsidRPr="007851D3">
              <w:t>Commission third-party trust audit; publish findings; develop AI trust benchmark</w:t>
            </w:r>
          </w:p>
        </w:tc>
      </w:tr>
    </w:tbl>
    <w:p w14:paraId="47F31302" w14:textId="77777777" w:rsidR="007851D3" w:rsidRPr="007851D3" w:rsidRDefault="007851D3" w:rsidP="007851D3"/>
    <w:p w14:paraId="532D0FBD" w14:textId="77777777" w:rsidR="007851D3" w:rsidRPr="007851D3" w:rsidRDefault="007851D3" w:rsidP="007851D3">
      <w:pPr>
        <w:rPr>
          <w:b/>
          <w:bCs/>
        </w:rPr>
      </w:pPr>
      <w:r w:rsidRPr="007851D3">
        <w:rPr>
          <w:b/>
          <w:bCs/>
        </w:rPr>
        <w:t>Critical Success Metrics</w:t>
      </w:r>
    </w:p>
    <w:p w14:paraId="02C1A19A" w14:textId="77777777" w:rsidR="007851D3" w:rsidRPr="007851D3" w:rsidRDefault="007851D3" w:rsidP="007851D3">
      <w:r w:rsidRPr="007851D3">
        <w:t>The efficacy of the implementation strategy must be evaluated using a defined set of key performance indicators (KPIs). Suggested metrics encompass: (1) regulatory compliance rate (percentage of AI systems deemed fully compliant with UK GDPR, EU AI Act, and sector regulations); (2) algorithmic bias index (composite assessment of fairness metrics across high-impact AI systems); (3) AI transparency score (consumer perception of Unilever's AI transparency, evaluated via annual survey); (4) AI incident rate (number of significant AI-related failures per year); and (5) AI governance maturity score (self-evaluated and third-party-validated maturity rating in accordance with ISO/IEC 42001 standards). The Board AI Risk Committee should receive these KPIs regularly, and they must be included in Unilever's Annual Report as part of governance disclosures.</w:t>
      </w:r>
    </w:p>
    <w:p w14:paraId="59613F8D" w14:textId="77777777" w:rsidR="007851D3" w:rsidRPr="007851D3" w:rsidRDefault="007851D3" w:rsidP="007851D3">
      <w:pPr>
        <w:rPr>
          <w:b/>
          <w:bCs/>
        </w:rPr>
      </w:pPr>
      <w:r w:rsidRPr="007851D3">
        <w:rPr>
          <w:b/>
          <w:bCs/>
        </w:rPr>
        <w:t>Essential Performance Metrics</w:t>
      </w:r>
    </w:p>
    <w:p w14:paraId="02CFDD52" w14:textId="77777777" w:rsidR="007851D3" w:rsidRPr="007851D3" w:rsidRDefault="007851D3" w:rsidP="007851D3">
      <w:r w:rsidRPr="007851D3">
        <w:lastRenderedPageBreak/>
        <w:t>The efficacy of this proposed implementation plan should be gauged through a definitive set of key performance indicators (KPIs). The proposed metrics for gauging efficacy include: (1) regulatory compliance rate (the ratio of AI systems deemed to be fully compliant with UK GDPR, EU AI Act, and sector regulations); (2) algorithmic bias index (composite evaluation of fairness metrics for high-impact AI systems); (3) AI transparency score (public perception of Unilever's AI transparency, gauged through annual surveys); (4) AI incident rate (number of substantial AI-related failures per annum); and (5) AI governance maturity score (self-assessed and verified against ISO/IEC 42001). The proposed metrics will be communicated to the Board's AI Risk Committee at regular intervals and will be included in Unilever's annual reports as part of corporate governance reporting.</w:t>
      </w:r>
    </w:p>
    <w:p w14:paraId="7B6A35C7" w14:textId="77777777" w:rsidR="007851D3" w:rsidRPr="007851D3" w:rsidRDefault="007851D3" w:rsidP="007851D3">
      <w:r w:rsidRPr="007851D3">
        <w:rPr>
          <w:b/>
          <w:bCs/>
        </w:rPr>
        <w:t>Governance and Accountability</w:t>
      </w:r>
    </w:p>
    <w:p w14:paraId="349E0CD4" w14:textId="77777777" w:rsidR="007851D3" w:rsidRPr="007851D3" w:rsidRDefault="007851D3" w:rsidP="007851D3">
      <w:r w:rsidRPr="007851D3">
        <w:t>The successful execution of this plan requires clear governance and accountability structures. Responsibility for overall delivery should rest with a newly appointed Chief AI Officer (CAIO), supported by the AI Governance Office and reporting to the Chief Risk Officer and ultimately to the Board AI Risk Committee. Business unit AI Champions should be designated in each major function (supply chain, marketing, HR, R&amp;D) to ensure that governance frameworks are embedded in operational practice rather than remaining theoretical abstractions.</w:t>
      </w:r>
    </w:p>
    <w:p w14:paraId="2E5F0366" w14:textId="77777777" w:rsidR="007851D3" w:rsidRPr="007851D3" w:rsidRDefault="007851D3" w:rsidP="003576F6">
      <w:pPr>
        <w:pStyle w:val="Heading1"/>
      </w:pPr>
      <w:bookmarkStart w:id="9" w:name="_Toc228135293"/>
      <w:r w:rsidRPr="007851D3">
        <w:t>3. Conclusion</w:t>
      </w:r>
      <w:bookmarkEnd w:id="9"/>
    </w:p>
    <w:p w14:paraId="0E12267E" w14:textId="77777777" w:rsidR="007851D3" w:rsidRPr="007851D3" w:rsidRDefault="007851D3" w:rsidP="007851D3">
      <w:r w:rsidRPr="007851D3">
        <w:t>The purpose and intent of this report have been to provide Unilever PLC with a comprehensive and analytically rigorous roadmap that can assist in effectively navigating the complex risk landscape created by the unprecedented and rapid growth of Artificial Intelligence. This has been done by conducting a PESTLE analysis of the macro-environment, a systematic evaluation of AI risk categories, a comparative evaluation of UK and EU regulations, and a comprehensive evaluation of the Ethical AI and Consumer Trust dimension. This report has also suggested a four-pillar implementation plan that can help Unilever transform its approach to AI risk management. The conclusion that can be drawn is unequivocal. AI risk management is not a discretionary activity for multinational corporations of Unilever's scale and complexity. It has become a strategic imperative of primary importance. The regulatory environment in the United Kingdom and the European Union is rapidly becoming more regulated. Societal expectations are also rising in the UK and the EU. The potential for reputation and financial risk due to AI-related governance failure is commensurate with the unprecedented scale of AI adoption. At the same time, the opportunity that AI adoption can bring to Unilever in terms of operational efficiencies and sustained competitive advantage is significant.</w:t>
      </w:r>
    </w:p>
    <w:p w14:paraId="695B595B" w14:textId="77777777" w:rsidR="007851D3" w:rsidRPr="007851D3" w:rsidRDefault="007851D3" w:rsidP="007851D3">
      <w:r w:rsidRPr="007851D3">
        <w:t>The aforementioned proposed plan for implementing this initiative outlines a middle course for Unilever to reap the benefits of the transformative power of AI while at the same time effectively managing all risks associated therewith to the same degree of rigor, transparency, and ethical considerations expected from stakeholders. The plan is outlined in a three-phase framework based on a four-pillar structure that provides a transparent three-year roadmap to achieving this initiative based on realistic milestones and key performance indicators.</w:t>
      </w:r>
    </w:p>
    <w:p w14:paraId="707FF0FD" w14:textId="77777777" w:rsidR="007851D3" w:rsidRPr="007851D3" w:rsidRDefault="007851D3" w:rsidP="007851D3">
      <w:r w:rsidRPr="007851D3">
        <w:t>In the broader context of global discussions on AI governance, Unilever is not only entrusted with, but also obligated to, play a role not only as a ‘compliance follower,’ but more so as a ‘governance leader.’ By effectively engaging in this initiative and being transparent about its progress in this area, Unilever is likely to not only mitigate risks for itself, but also act as a key differentiator for this global FMCG giant in a world where trust is a key differentiator.</w:t>
      </w:r>
    </w:p>
    <w:p w14:paraId="774D208E" w14:textId="77777777" w:rsidR="007851D3" w:rsidRPr="007851D3" w:rsidRDefault="007851D3" w:rsidP="003576F6">
      <w:pPr>
        <w:pStyle w:val="Heading1"/>
      </w:pPr>
      <w:bookmarkStart w:id="10" w:name="_Toc228135294"/>
      <w:r w:rsidRPr="007851D3">
        <w:lastRenderedPageBreak/>
        <w:t>4. Reflection</w:t>
      </w:r>
      <w:bookmarkEnd w:id="10"/>
    </w:p>
    <w:p w14:paraId="64E6D128" w14:textId="77777777" w:rsidR="007851D3" w:rsidRPr="007851D3" w:rsidRDefault="007851D3" w:rsidP="007851D3">
      <w:r w:rsidRPr="007851D3">
        <w:t>Engaging with this assignment has been an intellectually stimulating and professionally formative experience that has deepened my understanding of the intersection between technology, regulation, business strategy, and ethics in the contemporary global economy. In this reflection, I consider what I have learned, how my thinking has evolved, and what implications this has for my own professional development.</w:t>
      </w:r>
    </w:p>
    <w:p w14:paraId="05F2E931" w14:textId="77777777" w:rsidR="007851D3" w:rsidRPr="007851D3" w:rsidRDefault="007851D3" w:rsidP="007851D3">
      <w:r w:rsidRPr="007851D3">
        <w:t>At the outset of this assignment, I approached the question of AI risk management primarily through a technical lens, viewing it as essentially a matter of data security and system reliability. The research process fundamentally challenged and expanded this initial framing. By engaging with the academic literature on algorithmic fairness (Barocas et al., 2019), AI governance theory (Cihon, 2019), and the political economy of AI regulation (OECD, 2023), I came to appreciate that AI risk management is, at its core, a deeply social and political challenge — one that cannot be reduced to technical solutions alone.</w:t>
      </w:r>
    </w:p>
    <w:p w14:paraId="52E8A15D" w14:textId="77777777" w:rsidR="007851D3" w:rsidRPr="007851D3" w:rsidRDefault="007851D3" w:rsidP="007851D3">
      <w:r w:rsidRPr="007851D3">
        <w:t>The comparative analysis of the UK and EU regulatory frameworks was particularly illuminating. I had assumed, somewhat naively, that post-Brexit regulatory divergence would be primarily disadvantageous for UK-based operations. In practice, the picture is more nuanced: while the EU AI Act provides greater legal certainty, the UK's principles-based approach creates genuine space for innovation-oriented governance experimentation. This tension between certainty and flexibility is, I now appreciate, a recurring theme in the political economy of regulation that has relevance well beyond the AI domain.</w:t>
      </w:r>
    </w:p>
    <w:p w14:paraId="41835F33" w14:textId="77777777" w:rsidR="007851D3" w:rsidRPr="007851D3" w:rsidRDefault="007851D3" w:rsidP="007851D3">
      <w:r w:rsidRPr="007851D3">
        <w:t>The process of constructing the implementation plan was the most challenging but also the most rewarding element of the assignment. It required me to move beyond the analytic mode — identifying and explaining problems — to the synthetic mode: proposing workable solutions grounded in organisational reality. In doing so, I drew extensively on the module's frameworks, including PESTLE analysis and the COSO ERM model, and I found that the process of applying these tools to a real-world case deepened my understanding of their scope and limitations in ways that abstract study alone could not achieve.</w:t>
      </w:r>
    </w:p>
    <w:p w14:paraId="67E80F60" w14:textId="77777777" w:rsidR="007851D3" w:rsidRPr="007851D3" w:rsidRDefault="007851D3" w:rsidP="007851D3">
      <w:r w:rsidRPr="007851D3">
        <w:t>I am conscious of several limitations in my analysis. First, the treatment of Unilever as a homogeneous entity necessarily abstracts from the diversity of its operations across more than 190 countries, many of which have distinct regulatory environments, cultural contexts, and AI governance norms that my report was unable to address in depth. A more complete analysis would require country-level regulatory mapping across at least Unilever's top ten markets. Second, while I have drawn on what I believe to be high-quality, current sources, the AI governance landscape is evolving at extraordinary speed, and some elements of the analysis may have been superseded by developments that postdate the sources I have consulted.</w:t>
      </w:r>
    </w:p>
    <w:p w14:paraId="604F2C79" w14:textId="72742A45" w:rsidR="007851D3" w:rsidRPr="007851D3" w:rsidRDefault="007851D3" w:rsidP="007851D3">
      <w:r w:rsidRPr="007851D3">
        <w:t>Looking ahead, this assignment has reinforced my interest in the governance dimensions of technology strategy as an area of professional focus. The skills I have developed in regulatory analysis, ethical risk assessment, and strategic implementation planning are directly transferable to senior advisory and management roles in global organisations. I intend to deepen my knowledge of AI governance through engagement with practitioner communities, including the Global Partnership on AI (GPAI) and the IEEE Standards Association's work on ethically aligned AI design. This assignment has, in short, not only fulfilled its immediate academic purpose but has contributed meaningfully to my developing identity as a globally informed, ethically conscious business professional.</w:t>
      </w:r>
    </w:p>
    <w:p w14:paraId="793C4643" w14:textId="77777777" w:rsidR="007851D3" w:rsidRPr="007851D3" w:rsidRDefault="007851D3" w:rsidP="003576F6">
      <w:pPr>
        <w:pStyle w:val="Heading1"/>
      </w:pPr>
      <w:bookmarkStart w:id="11" w:name="_Toc228135295"/>
      <w:r w:rsidRPr="007851D3">
        <w:lastRenderedPageBreak/>
        <w:t>5. Bibliography</w:t>
      </w:r>
      <w:bookmarkEnd w:id="11"/>
    </w:p>
    <w:p w14:paraId="18607A45" w14:textId="77777777" w:rsidR="007851D3" w:rsidRPr="007851D3" w:rsidRDefault="007851D3" w:rsidP="007851D3">
      <w:r w:rsidRPr="007851D3">
        <w:t xml:space="preserve">Accenture (2023) </w:t>
      </w:r>
      <w:r w:rsidRPr="007851D3">
        <w:rPr>
          <w:i/>
          <w:iCs/>
        </w:rPr>
        <w:t>Responsible AI: From Principles to Practice.</w:t>
      </w:r>
      <w:r w:rsidRPr="007851D3">
        <w:t xml:space="preserve"> Dublin: Accenture Research.</w:t>
      </w:r>
    </w:p>
    <w:p w14:paraId="483F5B58" w14:textId="77777777" w:rsidR="007851D3" w:rsidRPr="007851D3" w:rsidRDefault="007851D3" w:rsidP="007851D3">
      <w:r w:rsidRPr="007851D3">
        <w:t>Barocas, S., Hardt, M. and Moritz, H. (2019) Fairness and Machine Learning: Limitations and Opportunities. Available at: https://fairmlbook.org (Accessed: 15 November 2025).</w:t>
      </w:r>
    </w:p>
    <w:p w14:paraId="41A0143D" w14:textId="77777777" w:rsidR="007851D3" w:rsidRPr="007851D3" w:rsidRDefault="007851D3" w:rsidP="007851D3">
      <w:r w:rsidRPr="007851D3">
        <w:t xml:space="preserve">Brundage, M., Avin, S. and Clark, J. (2018) </w:t>
      </w:r>
      <w:r w:rsidRPr="007851D3">
        <w:rPr>
          <w:i/>
          <w:iCs/>
        </w:rPr>
        <w:t>The Malicious Use of Artificial Intelligence: Forecasting, Prevention, and Mitigation.</w:t>
      </w:r>
      <w:r w:rsidRPr="007851D3">
        <w:t xml:space="preserve"> Future of Humanity Institute, University of Oxford.</w:t>
      </w:r>
    </w:p>
    <w:p w14:paraId="353536C3" w14:textId="77777777" w:rsidR="007851D3" w:rsidRPr="007851D3" w:rsidRDefault="007851D3" w:rsidP="007851D3">
      <w:r w:rsidRPr="007851D3">
        <w:t>Cihon, P. (2019) Standards for AI Governance: International Standards to Enable Global Coordination in AI Research and Development. Future of Humanity Institute, University of Oxford.</w:t>
      </w:r>
    </w:p>
    <w:p w14:paraId="55829F12" w14:textId="77777777" w:rsidR="007851D3" w:rsidRPr="007851D3" w:rsidRDefault="007851D3" w:rsidP="007851D3">
      <w:r w:rsidRPr="007851D3">
        <w:t>Competition and Markets Authority (CMA) (2023) AI Foundation Models: Initial Report. London: CMA.</w:t>
      </w:r>
    </w:p>
    <w:p w14:paraId="0F1D5347" w14:textId="77777777" w:rsidR="007851D3" w:rsidRPr="007851D3" w:rsidRDefault="007851D3" w:rsidP="007851D3">
      <w:r w:rsidRPr="007851D3">
        <w:t>COSO (2017) Enterprise Risk Management — Integrating with Strategy and Performance. Committee of Sponsoring Organisations of the Treadway Commission.</w:t>
      </w:r>
    </w:p>
    <w:p w14:paraId="7310872F" w14:textId="77777777" w:rsidR="007851D3" w:rsidRPr="007851D3" w:rsidRDefault="007851D3" w:rsidP="007851D3">
      <w:r w:rsidRPr="007851D3">
        <w:t>Dafoe, A. (2018) AI Governance: A Research Agenda. Future of Humanity Institute, University of Oxford.</w:t>
      </w:r>
    </w:p>
    <w:p w14:paraId="5C1EFF59" w14:textId="77777777" w:rsidR="007851D3" w:rsidRPr="007851D3" w:rsidRDefault="007851D3" w:rsidP="007851D3">
      <w:r w:rsidRPr="007851D3">
        <w:t>Deloitte (2024) 2024 Global AI Survey: AI Leadership Report. London: Deloitte Insights.</w:t>
      </w:r>
    </w:p>
    <w:p w14:paraId="2C36DB1D" w14:textId="77777777" w:rsidR="007851D3" w:rsidRPr="007851D3" w:rsidRDefault="007851D3" w:rsidP="007851D3">
      <w:r w:rsidRPr="007851D3">
        <w:t>Department for Science, Innovation and Technology (DSIT) (2023) A Pro-innovation Approach to AI Regulation. London: HM Government.</w:t>
      </w:r>
    </w:p>
    <w:p w14:paraId="4F80C2F2" w14:textId="77777777" w:rsidR="007851D3" w:rsidRPr="007851D3" w:rsidRDefault="007851D3" w:rsidP="007851D3">
      <w:r w:rsidRPr="007851D3">
        <w:t>Edelman (2024) Edelman Trust Barometer 2024: Technology and Trust. London: Edelman.</w:t>
      </w:r>
    </w:p>
    <w:p w14:paraId="19C3AED5" w14:textId="77777777" w:rsidR="007851D3" w:rsidRPr="007851D3" w:rsidRDefault="007851D3" w:rsidP="007851D3">
      <w:r w:rsidRPr="007851D3">
        <w:t>Equality and Human Rights Commission (EHRC) (2023) Artificial Intelligence and the Equality Act 2010: Guidance for Employers. Manchester: EHRC.</w:t>
      </w:r>
    </w:p>
    <w:p w14:paraId="0316F0F5" w14:textId="77777777" w:rsidR="007851D3" w:rsidRPr="007851D3" w:rsidRDefault="007851D3" w:rsidP="007851D3">
      <w:r w:rsidRPr="007851D3">
        <w:t>European Parliament (2024) Regulation (EU) 2024/1689 of the European Parliament and of the Council of 13 June 2024 Laying Down Harmonised Rules on Artificial Intelligence (Artificial Intelligence Act). Official Journal of the European Union.</w:t>
      </w:r>
    </w:p>
    <w:p w14:paraId="222696BC" w14:textId="77777777" w:rsidR="007851D3" w:rsidRPr="007851D3" w:rsidRDefault="007851D3" w:rsidP="007851D3">
      <w:proofErr w:type="spellStart"/>
      <w:r w:rsidRPr="007851D3">
        <w:t>Floridi</w:t>
      </w:r>
      <w:proofErr w:type="spellEnd"/>
      <w:r w:rsidRPr="007851D3">
        <w:t xml:space="preserve">, L., Cowls, J., </w:t>
      </w:r>
      <w:proofErr w:type="spellStart"/>
      <w:r w:rsidRPr="007851D3">
        <w:t>Beltrametti</w:t>
      </w:r>
      <w:proofErr w:type="spellEnd"/>
      <w:r w:rsidRPr="007851D3">
        <w:t xml:space="preserve">, M., Chatila, R., </w:t>
      </w:r>
      <w:proofErr w:type="spellStart"/>
      <w:r w:rsidRPr="007851D3">
        <w:t>Chazerand</w:t>
      </w:r>
      <w:proofErr w:type="spellEnd"/>
      <w:r w:rsidRPr="007851D3">
        <w:t xml:space="preserve">, P., Dignum, V., Luetge, C., Madelin, R., </w:t>
      </w:r>
      <w:proofErr w:type="spellStart"/>
      <w:r w:rsidRPr="007851D3">
        <w:t>Pagallo</w:t>
      </w:r>
      <w:proofErr w:type="spellEnd"/>
      <w:r w:rsidRPr="007851D3">
        <w:t xml:space="preserve">, U., Rossi, F., Schafer, B., Valcke, P. and </w:t>
      </w:r>
      <w:proofErr w:type="spellStart"/>
      <w:r w:rsidRPr="007851D3">
        <w:t>Vayena</w:t>
      </w:r>
      <w:proofErr w:type="spellEnd"/>
      <w:r w:rsidRPr="007851D3">
        <w:t xml:space="preserve">, E. (2018) 'AI4People — An Ethical Framework for a Good AI Society', </w:t>
      </w:r>
      <w:r w:rsidRPr="007851D3">
        <w:rPr>
          <w:i/>
          <w:iCs/>
        </w:rPr>
        <w:t>Minds and Machines,</w:t>
      </w:r>
      <w:r w:rsidRPr="007851D3">
        <w:t xml:space="preserve"> 28(4), pp. 689–707.</w:t>
      </w:r>
    </w:p>
    <w:p w14:paraId="3D7178D3" w14:textId="77777777" w:rsidR="007851D3" w:rsidRPr="007851D3" w:rsidRDefault="007851D3" w:rsidP="007851D3">
      <w:r w:rsidRPr="007851D3">
        <w:t>Freeman, R.E. (1984) Strategic Management: A Stakeholder Approach. Boston: Pitman.</w:t>
      </w:r>
    </w:p>
    <w:p w14:paraId="45350EEB" w14:textId="77777777" w:rsidR="007851D3" w:rsidRPr="007851D3" w:rsidRDefault="007851D3" w:rsidP="007851D3">
      <w:r w:rsidRPr="007851D3">
        <w:t>Gartner (2024) Forecast Analysis: AI Governance and Risk Management Spending 2024-2026. Stamford, CT: Gartner Research.</w:t>
      </w:r>
    </w:p>
    <w:p w14:paraId="1F8A262A" w14:textId="77777777" w:rsidR="007851D3" w:rsidRPr="007851D3" w:rsidRDefault="007851D3" w:rsidP="007851D3">
      <w:r w:rsidRPr="007851D3">
        <w:t xml:space="preserve">IBM Institute for Business Value (2023) </w:t>
      </w:r>
      <w:r w:rsidRPr="007851D3">
        <w:rPr>
          <w:i/>
          <w:iCs/>
        </w:rPr>
        <w:t>The CEO's Guide to Generative AI: Governance and Risk.</w:t>
      </w:r>
      <w:r w:rsidRPr="007851D3">
        <w:t xml:space="preserve"> Armonk, NY: IBM Corporation.</w:t>
      </w:r>
    </w:p>
    <w:p w14:paraId="11E6D61A" w14:textId="77777777" w:rsidR="007851D3" w:rsidRPr="007851D3" w:rsidRDefault="007851D3" w:rsidP="007851D3">
      <w:r w:rsidRPr="007851D3">
        <w:t>Information Commissioner's Office (ICO) (2023) Guidance on AI and Data Protection. Wilmslow: ICO.</w:t>
      </w:r>
    </w:p>
    <w:p w14:paraId="5FB069CD" w14:textId="77777777" w:rsidR="007851D3" w:rsidRPr="007851D3" w:rsidRDefault="007851D3" w:rsidP="007851D3">
      <w:r w:rsidRPr="007851D3">
        <w:t>ISO/IEC (2023) ISO/IEC 42001:2023 Information Technology — Artificial Intelligence — Management System. Geneva: International Organisation for Standardisation.</w:t>
      </w:r>
    </w:p>
    <w:p w14:paraId="0DD7CCD2" w14:textId="77777777" w:rsidR="007851D3" w:rsidRPr="007851D3" w:rsidRDefault="007851D3" w:rsidP="007851D3">
      <w:r w:rsidRPr="007851D3">
        <w:t xml:space="preserve">Johnson, G., Whittington, R., Scholes, K., Angwin, D. and Regner, P. (2017) Exploring Strategy: Text and Cases. 11th </w:t>
      </w:r>
      <w:proofErr w:type="spellStart"/>
      <w:r w:rsidRPr="007851D3">
        <w:t>edn</w:t>
      </w:r>
      <w:proofErr w:type="spellEnd"/>
      <w:r w:rsidRPr="007851D3">
        <w:t>. Harlow: Pearson Education.</w:t>
      </w:r>
    </w:p>
    <w:p w14:paraId="2AD9449F" w14:textId="77777777" w:rsidR="007851D3" w:rsidRPr="007851D3" w:rsidRDefault="007851D3" w:rsidP="007851D3">
      <w:r w:rsidRPr="007851D3">
        <w:lastRenderedPageBreak/>
        <w:t>LeCun, Y. (2022) 'A Path Towards Autonomous Machine Intelligence.' Open Review, 62(1), pp. 1-62.</w:t>
      </w:r>
    </w:p>
    <w:p w14:paraId="6C2A414E" w14:textId="77777777" w:rsidR="007851D3" w:rsidRPr="007851D3" w:rsidRDefault="007851D3" w:rsidP="007851D3">
      <w:r w:rsidRPr="007851D3">
        <w:t>McKinsey &amp; Company (2024) The State of AI in 2024. New York: McKinsey Global Institute.</w:t>
      </w:r>
    </w:p>
    <w:p w14:paraId="2C183A5C" w14:textId="77777777" w:rsidR="007851D3" w:rsidRPr="007851D3" w:rsidRDefault="007851D3" w:rsidP="007851D3">
      <w:r w:rsidRPr="007851D3">
        <w:t>McKnight, D.H., Carter, M., Thatcher, J.B. and Clay, P.F. (2011) 'Trust in a specific technology: An investigation of its components and measures', ACM Transactions on Management Information Systems, 2(2), pp. 1-25.</w:t>
      </w:r>
    </w:p>
    <w:p w14:paraId="388399FD" w14:textId="77777777" w:rsidR="007851D3" w:rsidRPr="007851D3" w:rsidRDefault="007851D3" w:rsidP="007851D3">
      <w:r w:rsidRPr="007851D3">
        <w:t xml:space="preserve">Mittelstadt, B.D., </w:t>
      </w:r>
      <w:proofErr w:type="spellStart"/>
      <w:r w:rsidRPr="007851D3">
        <w:t>Allo</w:t>
      </w:r>
      <w:proofErr w:type="spellEnd"/>
      <w:r w:rsidRPr="007851D3">
        <w:t xml:space="preserve">, P., Taddeo, M., Wachter, S. and </w:t>
      </w:r>
      <w:proofErr w:type="spellStart"/>
      <w:r w:rsidRPr="007851D3">
        <w:t>Floridi</w:t>
      </w:r>
      <w:proofErr w:type="spellEnd"/>
      <w:r w:rsidRPr="007851D3">
        <w:t xml:space="preserve">, L. (2016) 'The Ethics of Algorithms: Mapping the Debate', </w:t>
      </w:r>
      <w:r w:rsidRPr="007851D3">
        <w:rPr>
          <w:i/>
          <w:iCs/>
        </w:rPr>
        <w:t>Big Data &amp; Society,</w:t>
      </w:r>
      <w:r w:rsidRPr="007851D3">
        <w:t xml:space="preserve"> 3(2), pp. 1–21.</w:t>
      </w:r>
    </w:p>
    <w:p w14:paraId="2BB74C16" w14:textId="77777777" w:rsidR="007851D3" w:rsidRPr="007851D3" w:rsidRDefault="007851D3" w:rsidP="007851D3">
      <w:r w:rsidRPr="007851D3">
        <w:t>OECD (2023) OECD Artificial Intelligence Policy Observatory: Country and Regional AI Strategies. Paris: OECD Publishing.</w:t>
      </w:r>
    </w:p>
    <w:p w14:paraId="31EEC547" w14:textId="77777777" w:rsidR="007851D3" w:rsidRPr="007851D3" w:rsidRDefault="007851D3" w:rsidP="007851D3">
      <w:r w:rsidRPr="007851D3">
        <w:t>PwC (2023) Sizing the Prize: What's the Real Value of AI for Your Business and How Can You Capitalise? London: PricewaterhouseCoopers.</w:t>
      </w:r>
    </w:p>
    <w:p w14:paraId="3013141A" w14:textId="77777777" w:rsidR="007851D3" w:rsidRPr="007851D3" w:rsidRDefault="007851D3" w:rsidP="007851D3">
      <w:r w:rsidRPr="007851D3">
        <w:t xml:space="preserve">Ribeiro, M.T., Singh, S. and </w:t>
      </w:r>
      <w:proofErr w:type="spellStart"/>
      <w:r w:rsidRPr="007851D3">
        <w:t>Guestrin</w:t>
      </w:r>
      <w:proofErr w:type="spellEnd"/>
      <w:r w:rsidRPr="007851D3">
        <w:t xml:space="preserve">, C. (2016) 'Why Should I Trust </w:t>
      </w:r>
      <w:proofErr w:type="gramStart"/>
      <w:r w:rsidRPr="007851D3">
        <w:t>You?:</w:t>
      </w:r>
      <w:proofErr w:type="gramEnd"/>
      <w:r w:rsidRPr="007851D3">
        <w:t xml:space="preserve"> Explaining the Predictions of Any Classifier', Proceedings of the 22nd ACM SIGKDD International Conference on Knowledge Discovery and Data Mining, pp. 1135-1144.</w:t>
      </w:r>
    </w:p>
    <w:p w14:paraId="66F70515" w14:textId="77777777" w:rsidR="007851D3" w:rsidRPr="007851D3" w:rsidRDefault="007851D3" w:rsidP="007851D3">
      <w:r w:rsidRPr="007851D3">
        <w:t xml:space="preserve">Schwab, K. (2017) </w:t>
      </w:r>
      <w:r w:rsidRPr="007851D3">
        <w:rPr>
          <w:i/>
          <w:iCs/>
        </w:rPr>
        <w:t>The Fourth Industrial Revolution.</w:t>
      </w:r>
      <w:r w:rsidRPr="007851D3">
        <w:t xml:space="preserve"> Geneva: World Economic Forum.</w:t>
      </w:r>
    </w:p>
    <w:p w14:paraId="2D8AD617" w14:textId="77777777" w:rsidR="007851D3" w:rsidRPr="007851D3" w:rsidRDefault="007851D3" w:rsidP="007851D3">
      <w:proofErr w:type="spellStart"/>
      <w:r w:rsidRPr="007851D3">
        <w:t>Strubell</w:t>
      </w:r>
      <w:proofErr w:type="spellEnd"/>
      <w:r w:rsidRPr="007851D3">
        <w:t>, E., Ganesh, A. and McCallum, A. (2019) 'Energy and Policy Considerations for Deep Learning in NLP', Proceedings of the 57th Annual Meeting of the Association for Computational Linguistics, pp. 3645-3650.</w:t>
      </w:r>
    </w:p>
    <w:p w14:paraId="4243F391" w14:textId="77777777" w:rsidR="007851D3" w:rsidRPr="007851D3" w:rsidRDefault="007851D3" w:rsidP="007851D3">
      <w:r w:rsidRPr="007851D3">
        <w:t>Unilever PLC (2023) Unilever Annual Report and Accounts 2023. London: Unilever PLC.</w:t>
      </w:r>
    </w:p>
    <w:p w14:paraId="43E3D8E4" w14:textId="77777777" w:rsidR="007851D3" w:rsidRPr="007851D3" w:rsidRDefault="007851D3" w:rsidP="007851D3">
      <w:r w:rsidRPr="007851D3">
        <w:t>Unilever PLC (2023) Unilever Sustainability Report 2023: Climate Transition Action Plan. London: Unilever PLC.</w:t>
      </w:r>
    </w:p>
    <w:p w14:paraId="17048D27" w14:textId="77777777" w:rsidR="007851D3" w:rsidRPr="007851D3" w:rsidRDefault="007851D3" w:rsidP="007851D3">
      <w:r w:rsidRPr="007851D3">
        <w:t xml:space="preserve">Veale, M. and Borgesius, F.Z. (2021) 'Demystifying the Draft EU Artificial Intelligence Act', </w:t>
      </w:r>
      <w:r w:rsidRPr="007851D3">
        <w:rPr>
          <w:i/>
          <w:iCs/>
        </w:rPr>
        <w:t>Computer Law Review International,</w:t>
      </w:r>
      <w:r w:rsidRPr="007851D3">
        <w:t xml:space="preserve"> 22(4), pp. 97–112.</w:t>
      </w:r>
    </w:p>
    <w:p w14:paraId="24A7E158" w14:textId="77777777" w:rsidR="007851D3" w:rsidRPr="007851D3" w:rsidRDefault="007851D3" w:rsidP="007851D3">
      <w:r w:rsidRPr="007851D3">
        <w:t xml:space="preserve">Voigt, P. and von </w:t>
      </w:r>
      <w:proofErr w:type="spellStart"/>
      <w:r w:rsidRPr="007851D3">
        <w:t>dem</w:t>
      </w:r>
      <w:proofErr w:type="spellEnd"/>
      <w:r w:rsidRPr="007851D3">
        <w:t xml:space="preserve"> </w:t>
      </w:r>
      <w:proofErr w:type="spellStart"/>
      <w:r w:rsidRPr="007851D3">
        <w:t>Bussche</w:t>
      </w:r>
      <w:proofErr w:type="spellEnd"/>
      <w:r w:rsidRPr="007851D3">
        <w:t xml:space="preserve">, A. (2017) </w:t>
      </w:r>
      <w:r w:rsidRPr="007851D3">
        <w:rPr>
          <w:i/>
          <w:iCs/>
        </w:rPr>
        <w:t>The EU General Data Protection Regulation (GDPR): A Practical Guide.</w:t>
      </w:r>
      <w:r w:rsidRPr="007851D3">
        <w:t xml:space="preserve"> Cham: Springer.</w:t>
      </w:r>
    </w:p>
    <w:p w14:paraId="577CAE15" w14:textId="77777777" w:rsidR="007851D3" w:rsidRPr="007851D3" w:rsidRDefault="007851D3" w:rsidP="007851D3">
      <w:r w:rsidRPr="007851D3">
        <w:t>Wachter, S., Mittelstadt, B. and Russell, C. (2017) 'Counterfactual Explanations without Opening the Black Box: Automated Decisions and the GDPR', Harvard Journal of Law &amp; Technology, 31(2), pp. 841-887.</w:t>
      </w:r>
    </w:p>
    <w:p w14:paraId="652F2F8C" w14:textId="77777777" w:rsidR="007851D3" w:rsidRPr="007851D3" w:rsidRDefault="007851D3" w:rsidP="007851D3">
      <w:r w:rsidRPr="007851D3">
        <w:t xml:space="preserve">World Economic Forum (2023) </w:t>
      </w:r>
      <w:r w:rsidRPr="007851D3">
        <w:rPr>
          <w:i/>
          <w:iCs/>
        </w:rPr>
        <w:t>Global Risks Report 2023.</w:t>
      </w:r>
      <w:r w:rsidRPr="007851D3">
        <w:t xml:space="preserve"> Geneva: WEF.</w:t>
      </w:r>
    </w:p>
    <w:p w14:paraId="5E3FF87B" w14:textId="77777777" w:rsidR="007851D3" w:rsidRPr="007851D3" w:rsidRDefault="007851D3" w:rsidP="007851D3">
      <w:r w:rsidRPr="007851D3">
        <w:t xml:space="preserve">Zuboff, S. (2019) </w:t>
      </w:r>
      <w:r w:rsidRPr="007851D3">
        <w:rPr>
          <w:i/>
          <w:iCs/>
        </w:rPr>
        <w:t>The Age of Surveillance Capitalism: The Fight for a Human Future at the New Frontier of Power.</w:t>
      </w:r>
      <w:r w:rsidRPr="007851D3">
        <w:t xml:space="preserve"> London: Profile Books.</w:t>
      </w:r>
    </w:p>
    <w:p w14:paraId="572C72BB" w14:textId="77777777" w:rsidR="007851D3" w:rsidRPr="007851D3" w:rsidRDefault="007851D3" w:rsidP="007851D3"/>
    <w:p w14:paraId="5F3A46EC" w14:textId="77777777" w:rsidR="007851D3" w:rsidRPr="007851D3" w:rsidRDefault="007851D3" w:rsidP="007851D3"/>
    <w:p w14:paraId="59BFC784" w14:textId="77777777" w:rsidR="007851D3" w:rsidRPr="007851D3" w:rsidRDefault="007851D3" w:rsidP="007851D3"/>
    <w:p w14:paraId="6BE75E69" w14:textId="77777777" w:rsidR="007851D3" w:rsidRPr="00D507C0" w:rsidRDefault="007851D3" w:rsidP="00D507C0"/>
    <w:sectPr w:rsidR="007851D3" w:rsidRPr="00D507C0">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3FFF49" w14:textId="77777777" w:rsidR="00AB4E7B" w:rsidRDefault="00AB4E7B" w:rsidP="00E83DA5">
      <w:pPr>
        <w:spacing w:after="0" w:line="240" w:lineRule="auto"/>
      </w:pPr>
      <w:r>
        <w:separator/>
      </w:r>
    </w:p>
  </w:endnote>
  <w:endnote w:type="continuationSeparator" w:id="0">
    <w:p w14:paraId="3B3B0244" w14:textId="77777777" w:rsidR="00AB4E7B" w:rsidRDefault="00AB4E7B" w:rsidP="00E83D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14355235"/>
      <w:docPartObj>
        <w:docPartGallery w:val="Page Numbers (Bottom of Page)"/>
        <w:docPartUnique/>
      </w:docPartObj>
    </w:sdtPr>
    <w:sdtEndPr>
      <w:rPr>
        <w:noProof/>
      </w:rPr>
    </w:sdtEndPr>
    <w:sdtContent>
      <w:p w14:paraId="225FF09C" w14:textId="55DB72AA" w:rsidR="00E83DA5" w:rsidRDefault="00E83DA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715DD4E" w14:textId="77777777" w:rsidR="00E83DA5" w:rsidRDefault="00E83D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672570" w14:textId="77777777" w:rsidR="00AB4E7B" w:rsidRDefault="00AB4E7B" w:rsidP="00E83DA5">
      <w:pPr>
        <w:spacing w:after="0" w:line="240" w:lineRule="auto"/>
      </w:pPr>
      <w:r>
        <w:separator/>
      </w:r>
    </w:p>
  </w:footnote>
  <w:footnote w:type="continuationSeparator" w:id="0">
    <w:p w14:paraId="0B5E4056" w14:textId="77777777" w:rsidR="00AB4E7B" w:rsidRDefault="00AB4E7B" w:rsidP="00E83D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734395D"/>
    <w:multiLevelType w:val="hybridMultilevel"/>
    <w:tmpl w:val="D990043E"/>
    <w:lvl w:ilvl="0" w:tplc="27D69A64">
      <w:start w:val="1"/>
      <w:numFmt w:val="bullet"/>
      <w:lvlText w:val="•"/>
      <w:lvlJc w:val="left"/>
      <w:pPr>
        <w:ind w:left="720" w:hanging="360"/>
      </w:pPr>
    </w:lvl>
    <w:lvl w:ilvl="1" w:tplc="76D07822">
      <w:numFmt w:val="decimal"/>
      <w:lvlText w:val=""/>
      <w:lvlJc w:val="left"/>
      <w:pPr>
        <w:ind w:left="0" w:firstLine="0"/>
      </w:pPr>
    </w:lvl>
    <w:lvl w:ilvl="2" w:tplc="4DC85182">
      <w:numFmt w:val="decimal"/>
      <w:lvlText w:val=""/>
      <w:lvlJc w:val="left"/>
      <w:pPr>
        <w:ind w:left="0" w:firstLine="0"/>
      </w:pPr>
    </w:lvl>
    <w:lvl w:ilvl="3" w:tplc="6DB2AA70">
      <w:numFmt w:val="decimal"/>
      <w:lvlText w:val=""/>
      <w:lvlJc w:val="left"/>
      <w:pPr>
        <w:ind w:left="0" w:firstLine="0"/>
      </w:pPr>
    </w:lvl>
    <w:lvl w:ilvl="4" w:tplc="24A2B8E6">
      <w:numFmt w:val="decimal"/>
      <w:lvlText w:val=""/>
      <w:lvlJc w:val="left"/>
      <w:pPr>
        <w:ind w:left="0" w:firstLine="0"/>
      </w:pPr>
    </w:lvl>
    <w:lvl w:ilvl="5" w:tplc="EEAE1E26">
      <w:numFmt w:val="decimal"/>
      <w:lvlText w:val=""/>
      <w:lvlJc w:val="left"/>
      <w:pPr>
        <w:ind w:left="0" w:firstLine="0"/>
      </w:pPr>
    </w:lvl>
    <w:lvl w:ilvl="6" w:tplc="F80C91FA">
      <w:numFmt w:val="decimal"/>
      <w:lvlText w:val=""/>
      <w:lvlJc w:val="left"/>
      <w:pPr>
        <w:ind w:left="0" w:firstLine="0"/>
      </w:pPr>
    </w:lvl>
    <w:lvl w:ilvl="7" w:tplc="B290D1CE">
      <w:numFmt w:val="decimal"/>
      <w:lvlText w:val=""/>
      <w:lvlJc w:val="left"/>
      <w:pPr>
        <w:ind w:left="0" w:firstLine="0"/>
      </w:pPr>
    </w:lvl>
    <w:lvl w:ilvl="8" w:tplc="6AF6FB48">
      <w:numFmt w:val="decimal"/>
      <w:lvlText w:val=""/>
      <w:lvlJc w:val="left"/>
      <w:pPr>
        <w:ind w:left="0" w:firstLine="0"/>
      </w:pPr>
    </w:lvl>
  </w:abstractNum>
  <w:num w:numId="1" w16cid:durableId="611019014">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3478"/>
    <w:rsid w:val="000920EE"/>
    <w:rsid w:val="000A21E0"/>
    <w:rsid w:val="000A5221"/>
    <w:rsid w:val="00192956"/>
    <w:rsid w:val="001A6731"/>
    <w:rsid w:val="003576F6"/>
    <w:rsid w:val="0046501C"/>
    <w:rsid w:val="00513478"/>
    <w:rsid w:val="0055490E"/>
    <w:rsid w:val="006A3BB1"/>
    <w:rsid w:val="007851D3"/>
    <w:rsid w:val="007C3B1D"/>
    <w:rsid w:val="00926BAF"/>
    <w:rsid w:val="00AB4E7B"/>
    <w:rsid w:val="00AE41CB"/>
    <w:rsid w:val="00C07E33"/>
    <w:rsid w:val="00D350DA"/>
    <w:rsid w:val="00D507C0"/>
    <w:rsid w:val="00D534BA"/>
    <w:rsid w:val="00E0743B"/>
    <w:rsid w:val="00E74E19"/>
    <w:rsid w:val="00E83DA5"/>
    <w:rsid w:val="00FC6D3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91CFA6"/>
  <w15:chartTrackingRefBased/>
  <w15:docId w15:val="{F05FD144-2710-4209-8A5C-E69B8A155A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07C0"/>
    <w:rPr>
      <w:lang w:val="en-GB"/>
    </w:rPr>
  </w:style>
  <w:style w:type="paragraph" w:styleId="Heading1">
    <w:name w:val="heading 1"/>
    <w:basedOn w:val="Normal"/>
    <w:next w:val="Normal"/>
    <w:link w:val="Heading1Char"/>
    <w:uiPriority w:val="9"/>
    <w:qFormat/>
    <w:rsid w:val="0051347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51347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1347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1347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1347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134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34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34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34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3478"/>
    <w:rPr>
      <w:rFonts w:asciiTheme="majorHAnsi" w:eastAsiaTheme="majorEastAsia" w:hAnsiTheme="majorHAnsi" w:cstheme="majorBidi"/>
      <w:color w:val="2F5496" w:themeColor="accent1" w:themeShade="BF"/>
      <w:sz w:val="40"/>
      <w:szCs w:val="40"/>
      <w:lang w:val="en-GB"/>
    </w:rPr>
  </w:style>
  <w:style w:type="character" w:customStyle="1" w:styleId="Heading2Char">
    <w:name w:val="Heading 2 Char"/>
    <w:basedOn w:val="DefaultParagraphFont"/>
    <w:link w:val="Heading2"/>
    <w:uiPriority w:val="9"/>
    <w:rsid w:val="00513478"/>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semiHidden/>
    <w:rsid w:val="00513478"/>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513478"/>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513478"/>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513478"/>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513478"/>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513478"/>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513478"/>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5134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3478"/>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5134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3478"/>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513478"/>
    <w:pPr>
      <w:spacing w:before="160"/>
      <w:jc w:val="center"/>
    </w:pPr>
    <w:rPr>
      <w:i/>
      <w:iCs/>
      <w:color w:val="404040" w:themeColor="text1" w:themeTint="BF"/>
    </w:rPr>
  </w:style>
  <w:style w:type="character" w:customStyle="1" w:styleId="QuoteChar">
    <w:name w:val="Quote Char"/>
    <w:basedOn w:val="DefaultParagraphFont"/>
    <w:link w:val="Quote"/>
    <w:uiPriority w:val="29"/>
    <w:rsid w:val="00513478"/>
    <w:rPr>
      <w:i/>
      <w:iCs/>
      <w:color w:val="404040" w:themeColor="text1" w:themeTint="BF"/>
      <w:lang w:val="en-GB"/>
    </w:rPr>
  </w:style>
  <w:style w:type="paragraph" w:styleId="ListParagraph">
    <w:name w:val="List Paragraph"/>
    <w:basedOn w:val="Normal"/>
    <w:uiPriority w:val="34"/>
    <w:qFormat/>
    <w:rsid w:val="00513478"/>
    <w:pPr>
      <w:ind w:left="720"/>
      <w:contextualSpacing/>
    </w:pPr>
  </w:style>
  <w:style w:type="character" w:styleId="IntenseEmphasis">
    <w:name w:val="Intense Emphasis"/>
    <w:basedOn w:val="DefaultParagraphFont"/>
    <w:uiPriority w:val="21"/>
    <w:qFormat/>
    <w:rsid w:val="00513478"/>
    <w:rPr>
      <w:i/>
      <w:iCs/>
      <w:color w:val="2F5496" w:themeColor="accent1" w:themeShade="BF"/>
    </w:rPr>
  </w:style>
  <w:style w:type="paragraph" w:styleId="IntenseQuote">
    <w:name w:val="Intense Quote"/>
    <w:basedOn w:val="Normal"/>
    <w:next w:val="Normal"/>
    <w:link w:val="IntenseQuoteChar"/>
    <w:uiPriority w:val="30"/>
    <w:qFormat/>
    <w:rsid w:val="0051347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13478"/>
    <w:rPr>
      <w:i/>
      <w:iCs/>
      <w:color w:val="2F5496" w:themeColor="accent1" w:themeShade="BF"/>
      <w:lang w:val="en-GB"/>
    </w:rPr>
  </w:style>
  <w:style w:type="character" w:styleId="IntenseReference">
    <w:name w:val="Intense Reference"/>
    <w:basedOn w:val="DefaultParagraphFont"/>
    <w:uiPriority w:val="32"/>
    <w:qFormat/>
    <w:rsid w:val="00513478"/>
    <w:rPr>
      <w:b/>
      <w:bCs/>
      <w:smallCaps/>
      <w:color w:val="2F5496" w:themeColor="accent1" w:themeShade="BF"/>
      <w:spacing w:val="5"/>
    </w:rPr>
  </w:style>
  <w:style w:type="character" w:styleId="Hyperlink">
    <w:name w:val="Hyperlink"/>
    <w:basedOn w:val="DefaultParagraphFont"/>
    <w:uiPriority w:val="99"/>
    <w:unhideWhenUsed/>
    <w:rsid w:val="007851D3"/>
    <w:rPr>
      <w:color w:val="0563C1" w:themeColor="hyperlink"/>
      <w:u w:val="single"/>
    </w:rPr>
  </w:style>
  <w:style w:type="character" w:styleId="UnresolvedMention">
    <w:name w:val="Unresolved Mention"/>
    <w:basedOn w:val="DefaultParagraphFont"/>
    <w:uiPriority w:val="99"/>
    <w:semiHidden/>
    <w:unhideWhenUsed/>
    <w:rsid w:val="007851D3"/>
    <w:rPr>
      <w:color w:val="605E5C"/>
      <w:shd w:val="clear" w:color="auto" w:fill="E1DFDD"/>
    </w:rPr>
  </w:style>
  <w:style w:type="paragraph" w:styleId="Header">
    <w:name w:val="header"/>
    <w:basedOn w:val="Normal"/>
    <w:link w:val="HeaderChar"/>
    <w:uiPriority w:val="99"/>
    <w:unhideWhenUsed/>
    <w:rsid w:val="00E83D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3DA5"/>
    <w:rPr>
      <w:lang w:val="en-GB"/>
    </w:rPr>
  </w:style>
  <w:style w:type="paragraph" w:styleId="Footer">
    <w:name w:val="footer"/>
    <w:basedOn w:val="Normal"/>
    <w:link w:val="FooterChar"/>
    <w:uiPriority w:val="99"/>
    <w:unhideWhenUsed/>
    <w:rsid w:val="00E83D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3DA5"/>
    <w:rPr>
      <w:lang w:val="en-GB"/>
    </w:rPr>
  </w:style>
  <w:style w:type="paragraph" w:styleId="TOC1">
    <w:name w:val="toc 1"/>
    <w:basedOn w:val="Normal"/>
    <w:next w:val="Normal"/>
    <w:autoRedefine/>
    <w:uiPriority w:val="39"/>
    <w:unhideWhenUsed/>
    <w:rsid w:val="00D350DA"/>
    <w:pPr>
      <w:spacing w:after="100"/>
    </w:pPr>
  </w:style>
  <w:style w:type="paragraph" w:styleId="TOC2">
    <w:name w:val="toc 2"/>
    <w:basedOn w:val="Normal"/>
    <w:next w:val="Normal"/>
    <w:autoRedefine/>
    <w:uiPriority w:val="39"/>
    <w:unhideWhenUsed/>
    <w:rsid w:val="00D350D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11758</TotalTime>
  <Pages>15</Pages>
  <Words>6301</Words>
  <Characters>35918</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Siddhi Ugale (NBS - Student)</dc:creator>
  <cp:keywords/>
  <dc:description/>
  <cp:lastModifiedBy>Siddhi Ugale (NBS - Student)</cp:lastModifiedBy>
  <cp:revision>10</cp:revision>
  <dcterms:created xsi:type="dcterms:W3CDTF">2026-03-24T02:00:00Z</dcterms:created>
  <dcterms:modified xsi:type="dcterms:W3CDTF">2026-04-26T22:59:00Z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35dd8b3d-f6b9-4081-8797-76a3d0bcc821</vt:lpwstr>
  </property>
</Properties>
</file>