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94DA6" w14:textId="43B9E56A" w:rsidR="00802EB9" w:rsidRPr="003E1BD9" w:rsidRDefault="003E1BD9" w:rsidP="003E1BD9">
      <w:pPr>
        <w:pStyle w:val="NoSpacing"/>
        <w:spacing w:before="1540" w:after="240"/>
        <w:rPr>
          <w:b/>
          <w:bCs/>
          <w:color w:val="4472C4" w:themeColor="accent1"/>
        </w:rPr>
      </w:pPr>
      <w:r w:rsidRPr="003E1BD9">
        <w:rPr>
          <w:rFonts w:ascii="Times New Roman" w:hAnsi="Times New Roman" w:cs="Times New Roman"/>
          <w:b/>
          <w:bCs/>
          <w:sz w:val="24"/>
          <w:szCs w:val="24"/>
        </w:rPr>
        <w:t>Student name: ARITIA PETRUTA POPESCU</w:t>
      </w:r>
    </w:p>
    <w:p w14:paraId="110316E9" w14:textId="4490088B" w:rsidR="003E1BD9" w:rsidRPr="003E1BD9" w:rsidRDefault="003E1BD9" w:rsidP="00AE5AE9">
      <w:pPr>
        <w:spacing w:line="360" w:lineRule="auto"/>
        <w:jc w:val="both"/>
        <w:rPr>
          <w:rFonts w:ascii="Times New Roman" w:hAnsi="Times New Roman" w:cs="Times New Roman"/>
          <w:b/>
          <w:bCs/>
          <w:sz w:val="24"/>
          <w:szCs w:val="24"/>
        </w:rPr>
      </w:pPr>
      <w:r w:rsidRPr="003E1BD9">
        <w:rPr>
          <w:rFonts w:ascii="Times New Roman" w:hAnsi="Times New Roman" w:cs="Times New Roman"/>
          <w:b/>
          <w:bCs/>
          <w:sz w:val="24"/>
          <w:szCs w:val="24"/>
        </w:rPr>
        <w:t>Student ID: 2217111</w:t>
      </w:r>
    </w:p>
    <w:p w14:paraId="7DA66A71" w14:textId="77777777" w:rsidR="003E1BD9" w:rsidRDefault="003E1BD9" w:rsidP="00AE5AE9">
      <w:pPr>
        <w:spacing w:line="360" w:lineRule="auto"/>
        <w:jc w:val="both"/>
        <w:rPr>
          <w:rFonts w:ascii="Times New Roman" w:hAnsi="Times New Roman" w:cs="Times New Roman"/>
          <w:sz w:val="24"/>
          <w:szCs w:val="24"/>
        </w:rPr>
      </w:pPr>
    </w:p>
    <w:p w14:paraId="29D6D82D" w14:textId="77777777" w:rsidR="003E1BD9" w:rsidRDefault="003E1BD9" w:rsidP="00AE5AE9">
      <w:pPr>
        <w:spacing w:line="360" w:lineRule="auto"/>
        <w:jc w:val="both"/>
        <w:rPr>
          <w:rFonts w:ascii="Times New Roman" w:hAnsi="Times New Roman" w:cs="Times New Roman"/>
          <w:sz w:val="24"/>
          <w:szCs w:val="24"/>
        </w:rPr>
      </w:pPr>
    </w:p>
    <w:p w14:paraId="77268769" w14:textId="77777777" w:rsidR="003E1BD9" w:rsidRDefault="003E1BD9" w:rsidP="00AE5AE9">
      <w:pPr>
        <w:spacing w:line="360" w:lineRule="auto"/>
        <w:jc w:val="both"/>
        <w:rPr>
          <w:rFonts w:ascii="Times New Roman" w:hAnsi="Times New Roman" w:cs="Times New Roman"/>
          <w:sz w:val="24"/>
          <w:szCs w:val="24"/>
        </w:rPr>
      </w:pPr>
    </w:p>
    <w:p w14:paraId="6F85DCB3" w14:textId="77777777" w:rsidR="003E1BD9" w:rsidRPr="00AE5AE9" w:rsidRDefault="003E1BD9" w:rsidP="00AE5AE9">
      <w:pPr>
        <w:spacing w:line="360" w:lineRule="auto"/>
        <w:jc w:val="both"/>
        <w:rPr>
          <w:rFonts w:ascii="Times New Roman" w:hAnsi="Times New Roman" w:cs="Times New Roman"/>
          <w:sz w:val="24"/>
          <w:szCs w:val="24"/>
        </w:rPr>
      </w:pPr>
    </w:p>
    <w:p w14:paraId="7444B072" w14:textId="77777777" w:rsidR="00AE5AE9" w:rsidRPr="00AE5AE9" w:rsidRDefault="00AE5AE9" w:rsidP="00AE5AE9">
      <w:pPr>
        <w:spacing w:line="360" w:lineRule="auto"/>
        <w:jc w:val="both"/>
        <w:rPr>
          <w:rFonts w:ascii="Times New Roman" w:hAnsi="Times New Roman" w:cs="Times New Roman"/>
          <w:b/>
          <w:bCs/>
          <w:sz w:val="24"/>
          <w:szCs w:val="24"/>
        </w:rPr>
      </w:pPr>
      <w:r w:rsidRPr="00AE5AE9">
        <w:rPr>
          <w:rFonts w:ascii="Times New Roman" w:hAnsi="Times New Roman" w:cs="Times New Roman"/>
          <w:b/>
          <w:bCs/>
          <w:sz w:val="24"/>
          <w:szCs w:val="24"/>
        </w:rPr>
        <w:t xml:space="preserve">Introduction </w:t>
      </w:r>
    </w:p>
    <w:p w14:paraId="0A31E8C6" w14:textId="77777777" w:rsidR="00AE5AE9" w:rsidRPr="00AE5AE9" w:rsidRDefault="00AE5AE9" w:rsidP="00AE5AE9">
      <w:pPr>
        <w:spacing w:line="360" w:lineRule="auto"/>
        <w:jc w:val="both"/>
        <w:rPr>
          <w:rFonts w:ascii="Times New Roman" w:hAnsi="Times New Roman" w:cs="Times New Roman"/>
          <w:sz w:val="24"/>
          <w:szCs w:val="24"/>
        </w:rPr>
      </w:pPr>
      <w:r w:rsidRPr="00AE5AE9">
        <w:rPr>
          <w:rFonts w:ascii="Times New Roman" w:hAnsi="Times New Roman" w:cs="Times New Roman"/>
          <w:sz w:val="24"/>
          <w:szCs w:val="24"/>
        </w:rPr>
        <w:t>Equality in a general sense, means equal treatment for every individual but in practical sense equality is the absence of discrimination. Equality functions and runs on the wheels of equal opportunity and equity. Equality is promoted by the appropriate adoption of the measures of diverse employment and inclusion in proving better equal opportunities. In the practice of the legal profession, it is important to have diversity to improve the delivery of services provided to clients. Diversity improves a comfortable environment and brings opportunities in providing services to people. According to the records the United Kingdom has a lower representation of female and the sector need to identify the inequality and implement the practices to attain diversity and inclusion.</w:t>
      </w:r>
    </w:p>
    <w:p w14:paraId="37BBA203" w14:textId="77777777" w:rsidR="00AE5AE9" w:rsidRPr="00AE5AE9" w:rsidRDefault="00AE5AE9" w:rsidP="00AE5AE9">
      <w:pPr>
        <w:spacing w:line="360" w:lineRule="auto"/>
        <w:jc w:val="both"/>
        <w:rPr>
          <w:rFonts w:ascii="Times New Roman" w:hAnsi="Times New Roman" w:cs="Times New Roman"/>
          <w:b/>
          <w:bCs/>
          <w:sz w:val="24"/>
          <w:szCs w:val="24"/>
        </w:rPr>
      </w:pPr>
      <w:r w:rsidRPr="00AE5AE9">
        <w:rPr>
          <w:rFonts w:ascii="Times New Roman" w:hAnsi="Times New Roman" w:cs="Times New Roman"/>
          <w:b/>
          <w:bCs/>
          <w:sz w:val="24"/>
          <w:szCs w:val="24"/>
        </w:rPr>
        <w:t>Equality</w:t>
      </w:r>
    </w:p>
    <w:p w14:paraId="34431BC4" w14:textId="77777777" w:rsidR="00AE5AE9" w:rsidRDefault="00AE5AE9" w:rsidP="00AE5AE9">
      <w:pPr>
        <w:spacing w:line="360" w:lineRule="auto"/>
        <w:jc w:val="both"/>
        <w:rPr>
          <w:rFonts w:ascii="Times New Roman" w:hAnsi="Times New Roman" w:cs="Times New Roman"/>
          <w:sz w:val="24"/>
          <w:szCs w:val="24"/>
          <w:lang w:val="en-GB"/>
        </w:rPr>
      </w:pPr>
      <w:r w:rsidRPr="00AE5AE9">
        <w:rPr>
          <w:rFonts w:ascii="Times New Roman" w:hAnsi="Times New Roman" w:cs="Times New Roman"/>
          <w:sz w:val="24"/>
          <w:szCs w:val="24"/>
        </w:rPr>
        <w:t xml:space="preserve">Equality means that every </w:t>
      </w:r>
      <w:r w:rsidR="007869BF">
        <w:rPr>
          <w:rFonts w:ascii="Times New Roman" w:hAnsi="Times New Roman" w:cs="Times New Roman"/>
          <w:sz w:val="24"/>
          <w:szCs w:val="24"/>
        </w:rPr>
        <w:t xml:space="preserve">individual lawyer </w:t>
      </w:r>
      <w:r w:rsidRPr="00AE5AE9">
        <w:rPr>
          <w:rFonts w:ascii="Times New Roman" w:hAnsi="Times New Roman" w:cs="Times New Roman"/>
          <w:sz w:val="24"/>
          <w:szCs w:val="24"/>
        </w:rPr>
        <w:t>has an equal opportunity and allows every individual</w:t>
      </w:r>
      <w:r w:rsidR="007869BF">
        <w:rPr>
          <w:rFonts w:ascii="Times New Roman" w:hAnsi="Times New Roman" w:cs="Times New Roman"/>
          <w:sz w:val="24"/>
          <w:szCs w:val="24"/>
        </w:rPr>
        <w:t xml:space="preserve"> lawyer</w:t>
      </w:r>
      <w:r w:rsidRPr="00AE5AE9">
        <w:rPr>
          <w:rFonts w:ascii="Times New Roman" w:hAnsi="Times New Roman" w:cs="Times New Roman"/>
          <w:sz w:val="24"/>
          <w:szCs w:val="24"/>
        </w:rPr>
        <w:t xml:space="preserve"> to have equal chances to make the most of their abilities, talents and live. It provides equal treatment without discriminating based on race, gender, class and social position.</w:t>
      </w:r>
      <w:r w:rsidRPr="00AE5AE9">
        <w:rPr>
          <w:rFonts w:ascii="Times New Roman" w:hAnsi="Times New Roman" w:cs="Times New Roman"/>
          <w:sz w:val="24"/>
          <w:szCs w:val="24"/>
          <w:lang w:val="en-GB"/>
        </w:rPr>
        <w:t xml:space="preserve"> Equity means justice and fairness.</w:t>
      </w:r>
      <w:r w:rsidR="00582724" w:rsidRPr="00582724">
        <w:rPr>
          <w:rFonts w:ascii="Times New Roman" w:hAnsi="Times New Roman" w:cs="Times New Roman"/>
          <w:sz w:val="24"/>
          <w:szCs w:val="24"/>
        </w:rPr>
        <w:t xml:space="preserve"> </w:t>
      </w:r>
      <w:r w:rsidR="00582724">
        <w:rPr>
          <w:rFonts w:ascii="Times New Roman" w:hAnsi="Times New Roman" w:cs="Times New Roman"/>
          <w:sz w:val="24"/>
          <w:szCs w:val="24"/>
        </w:rPr>
        <w:t xml:space="preserve">Mansfield’s rule application in the legal sector is a piece of evidence to show the inclusion of employees in the profession. The rule is inspired by the </w:t>
      </w:r>
      <w:r w:rsidR="00582724" w:rsidRPr="000E09D8">
        <w:rPr>
          <w:rFonts w:ascii="Times New Roman" w:hAnsi="Times New Roman" w:cs="Times New Roman"/>
          <w:sz w:val="24"/>
          <w:szCs w:val="24"/>
        </w:rPr>
        <w:t xml:space="preserve">Women </w:t>
      </w:r>
      <w:r w:rsidR="00582724">
        <w:rPr>
          <w:rFonts w:ascii="Times New Roman" w:hAnsi="Times New Roman" w:cs="Times New Roman"/>
          <w:sz w:val="24"/>
          <w:szCs w:val="24"/>
        </w:rPr>
        <w:t>i</w:t>
      </w:r>
      <w:r w:rsidR="00582724" w:rsidRPr="000E09D8">
        <w:rPr>
          <w:rFonts w:ascii="Times New Roman" w:hAnsi="Times New Roman" w:cs="Times New Roman"/>
          <w:sz w:val="24"/>
          <w:szCs w:val="24"/>
        </w:rPr>
        <w:t xml:space="preserve">n Law Hackathon </w:t>
      </w:r>
      <w:r w:rsidR="00582724">
        <w:rPr>
          <w:rFonts w:ascii="Times New Roman" w:hAnsi="Times New Roman" w:cs="Times New Roman"/>
          <w:sz w:val="24"/>
          <w:szCs w:val="24"/>
        </w:rPr>
        <w:t>which aims to increase diversity in the field of leadership by widening the pool of talented people through consideration goals, not by quotas (</w:t>
      </w:r>
      <w:r w:rsidR="00582724" w:rsidRPr="00A51009">
        <w:rPr>
          <w:rFonts w:ascii="Times New Roman" w:hAnsi="Times New Roman" w:cs="Times New Roman"/>
          <w:sz w:val="24"/>
          <w:szCs w:val="24"/>
        </w:rPr>
        <w:t>Cecchi-Dimeglio</w:t>
      </w:r>
      <w:r w:rsidR="00582724">
        <w:rPr>
          <w:rFonts w:ascii="Times New Roman" w:hAnsi="Times New Roman" w:cs="Times New Roman"/>
          <w:sz w:val="24"/>
          <w:szCs w:val="24"/>
        </w:rPr>
        <w:t>, 2023). In the workplace, discrimination is practiced directly and indirectly (</w:t>
      </w:r>
      <w:r w:rsidR="00582724" w:rsidRPr="00A372F4">
        <w:rPr>
          <w:rFonts w:ascii="Times New Roman" w:hAnsi="Times New Roman" w:cs="Times New Roman"/>
          <w:sz w:val="24"/>
          <w:szCs w:val="24"/>
        </w:rPr>
        <w:t>Hebl</w:t>
      </w:r>
      <w:r w:rsidR="00582724">
        <w:rPr>
          <w:rFonts w:ascii="Times New Roman" w:hAnsi="Times New Roman" w:cs="Times New Roman"/>
          <w:sz w:val="24"/>
          <w:szCs w:val="24"/>
        </w:rPr>
        <w:t xml:space="preserve">, </w:t>
      </w:r>
      <w:r w:rsidR="00582724" w:rsidRPr="00A372F4">
        <w:rPr>
          <w:rFonts w:ascii="Times New Roman" w:hAnsi="Times New Roman" w:cs="Times New Roman"/>
          <w:sz w:val="24"/>
          <w:szCs w:val="24"/>
        </w:rPr>
        <w:t>Cheng</w:t>
      </w:r>
      <w:r w:rsidR="00582724">
        <w:rPr>
          <w:rFonts w:ascii="Times New Roman" w:hAnsi="Times New Roman" w:cs="Times New Roman"/>
          <w:sz w:val="24"/>
          <w:szCs w:val="24"/>
        </w:rPr>
        <w:t xml:space="preserve"> and Ng, 2020).</w:t>
      </w:r>
    </w:p>
    <w:p w14:paraId="0D8CFD68" w14:textId="77777777" w:rsidR="005106D1" w:rsidRPr="00582724" w:rsidRDefault="005106D1" w:rsidP="00AE5AE9">
      <w:pPr>
        <w:spacing w:line="360" w:lineRule="auto"/>
        <w:jc w:val="both"/>
        <w:rPr>
          <w:rFonts w:ascii="Times New Roman" w:hAnsi="Times New Roman" w:cs="Times New Roman"/>
          <w:b/>
          <w:bCs/>
          <w:sz w:val="24"/>
          <w:szCs w:val="24"/>
          <w:lang w:val="en-GB"/>
        </w:rPr>
      </w:pPr>
      <w:r w:rsidRPr="00582724">
        <w:rPr>
          <w:rFonts w:ascii="Times New Roman" w:hAnsi="Times New Roman" w:cs="Times New Roman"/>
          <w:b/>
          <w:bCs/>
          <w:sz w:val="24"/>
          <w:szCs w:val="24"/>
          <w:lang w:val="en-GB"/>
        </w:rPr>
        <w:lastRenderedPageBreak/>
        <w:t xml:space="preserve">Diversity </w:t>
      </w:r>
    </w:p>
    <w:p w14:paraId="74E23208" w14:textId="77777777" w:rsidR="005106D1" w:rsidRDefault="005106D1" w:rsidP="005106D1">
      <w:pPr>
        <w:spacing w:line="360" w:lineRule="auto"/>
        <w:jc w:val="both"/>
        <w:rPr>
          <w:rFonts w:ascii="Times New Roman" w:hAnsi="Times New Roman" w:cs="Times New Roman"/>
          <w:sz w:val="24"/>
          <w:szCs w:val="24"/>
        </w:rPr>
      </w:pPr>
      <w:r>
        <w:rPr>
          <w:rFonts w:ascii="Times New Roman" w:hAnsi="Times New Roman" w:cs="Times New Roman"/>
          <w:sz w:val="24"/>
          <w:szCs w:val="24"/>
        </w:rPr>
        <w:t>Diversity means the distinction between individual</w:t>
      </w:r>
      <w:r w:rsidR="007869BF">
        <w:rPr>
          <w:rFonts w:ascii="Times New Roman" w:hAnsi="Times New Roman" w:cs="Times New Roman"/>
          <w:sz w:val="24"/>
          <w:szCs w:val="24"/>
        </w:rPr>
        <w:t xml:space="preserve"> characteristics of lawyers</w:t>
      </w:r>
      <w:r>
        <w:rPr>
          <w:rFonts w:ascii="Times New Roman" w:hAnsi="Times New Roman" w:cs="Times New Roman"/>
          <w:sz w:val="24"/>
          <w:szCs w:val="24"/>
        </w:rPr>
        <w:t xml:space="preserve"> and their identification </w:t>
      </w:r>
      <w:r w:rsidR="00582724">
        <w:rPr>
          <w:rFonts w:ascii="Times New Roman" w:hAnsi="Times New Roman" w:cs="Times New Roman"/>
          <w:sz w:val="24"/>
          <w:szCs w:val="24"/>
        </w:rPr>
        <w:t>concerning</w:t>
      </w:r>
      <w:r>
        <w:rPr>
          <w:rFonts w:ascii="Times New Roman" w:hAnsi="Times New Roman" w:cs="Times New Roman"/>
          <w:sz w:val="24"/>
          <w:szCs w:val="24"/>
        </w:rPr>
        <w:t xml:space="preserve"> various key factors but not on the grounds of ethnicity, race, religion, gender, disability and age.</w:t>
      </w:r>
      <w:r>
        <w:rPr>
          <w:rFonts w:ascii="Times New Roman" w:hAnsi="Times New Roman" w:cs="Times New Roman"/>
          <w:sz w:val="24"/>
          <w:szCs w:val="24"/>
          <w:lang w:val="en-GB"/>
        </w:rPr>
        <w:t xml:space="preserve"> </w:t>
      </w:r>
      <w:r>
        <w:rPr>
          <w:rFonts w:ascii="Times New Roman" w:hAnsi="Times New Roman" w:cs="Times New Roman"/>
          <w:sz w:val="24"/>
          <w:szCs w:val="24"/>
        </w:rPr>
        <w:t xml:space="preserve">Diversity allows firms and legal professionals to serve better engagement of lawyers from diverse regions. Diversity is important to bring a better reflection of society retention at the workplace. The most important characteristic of diversity is that it helps to promote the diverse perspective of individuals which directly leads to innovations. </w:t>
      </w:r>
    </w:p>
    <w:p w14:paraId="24A6400A" w14:textId="77777777" w:rsidR="005106D1" w:rsidRPr="00582724" w:rsidRDefault="005106D1" w:rsidP="005106D1">
      <w:pPr>
        <w:spacing w:line="360" w:lineRule="auto"/>
        <w:jc w:val="both"/>
        <w:rPr>
          <w:rFonts w:ascii="Times New Roman" w:hAnsi="Times New Roman" w:cs="Times New Roman"/>
          <w:b/>
          <w:bCs/>
          <w:sz w:val="24"/>
          <w:szCs w:val="24"/>
        </w:rPr>
      </w:pPr>
      <w:r w:rsidRPr="00582724">
        <w:rPr>
          <w:rFonts w:ascii="Times New Roman" w:hAnsi="Times New Roman" w:cs="Times New Roman"/>
          <w:b/>
          <w:bCs/>
          <w:sz w:val="24"/>
          <w:szCs w:val="24"/>
        </w:rPr>
        <w:t xml:space="preserve">Inclusion </w:t>
      </w:r>
    </w:p>
    <w:p w14:paraId="18F37F1A" w14:textId="77777777" w:rsidR="00582724" w:rsidRDefault="005106D1" w:rsidP="00582724">
      <w:pPr>
        <w:spacing w:line="360" w:lineRule="auto"/>
        <w:jc w:val="both"/>
        <w:rPr>
          <w:rFonts w:ascii="Times New Roman" w:hAnsi="Times New Roman" w:cs="Times New Roman"/>
          <w:sz w:val="24"/>
          <w:szCs w:val="24"/>
        </w:rPr>
      </w:pPr>
      <w:r>
        <w:rPr>
          <w:rFonts w:ascii="Times New Roman" w:hAnsi="Times New Roman" w:cs="Times New Roman"/>
          <w:sz w:val="24"/>
          <w:szCs w:val="24"/>
          <w:lang w:val="en-GB"/>
        </w:rPr>
        <w:t xml:space="preserve">Inclusion means a work environment where different ideas and perspectives are valued to provide equal access to resources and opportunities to all employees who contribute fully </w:t>
      </w:r>
      <w:r w:rsidR="00582724">
        <w:rPr>
          <w:rFonts w:ascii="Times New Roman" w:hAnsi="Times New Roman" w:cs="Times New Roman"/>
          <w:sz w:val="24"/>
          <w:szCs w:val="24"/>
          <w:lang w:val="en-GB"/>
        </w:rPr>
        <w:t>to</w:t>
      </w:r>
      <w:r>
        <w:rPr>
          <w:rFonts w:ascii="Times New Roman" w:hAnsi="Times New Roman" w:cs="Times New Roman"/>
          <w:sz w:val="24"/>
          <w:szCs w:val="24"/>
          <w:lang w:val="en-GB"/>
        </w:rPr>
        <w:t xml:space="preserve"> the success of organizations</w:t>
      </w:r>
      <w:r w:rsidR="005C64F7">
        <w:rPr>
          <w:rFonts w:ascii="Times New Roman" w:hAnsi="Times New Roman" w:cs="Times New Roman"/>
          <w:sz w:val="24"/>
          <w:szCs w:val="24"/>
          <w:lang w:val="en-GB"/>
        </w:rPr>
        <w:t xml:space="preserve"> or firms. </w:t>
      </w:r>
      <w:r w:rsidR="00582724">
        <w:rPr>
          <w:rFonts w:ascii="Times New Roman" w:hAnsi="Times New Roman" w:cs="Times New Roman"/>
          <w:sz w:val="24"/>
          <w:szCs w:val="24"/>
        </w:rPr>
        <w:t>Disabled lawyers can be found in a small proportion at the biggest firms in the United Kingdom and the number of partners belonging to minority ethnic groups, Asians and Black. This is a clear reflection of diversity in the field of legal practices.</w:t>
      </w:r>
    </w:p>
    <w:p w14:paraId="505FB627" w14:textId="77777777" w:rsidR="005106D1" w:rsidRDefault="005106D1" w:rsidP="005106D1">
      <w:pPr>
        <w:spacing w:line="360" w:lineRule="auto"/>
        <w:jc w:val="both"/>
        <w:rPr>
          <w:rFonts w:ascii="Times New Roman" w:hAnsi="Times New Roman" w:cs="Times New Roman"/>
          <w:sz w:val="24"/>
          <w:szCs w:val="24"/>
          <w:lang w:val="en-GB"/>
        </w:rPr>
      </w:pPr>
    </w:p>
    <w:p w14:paraId="02DBC85E" w14:textId="77777777" w:rsidR="00582724" w:rsidRPr="00582724" w:rsidRDefault="00582724" w:rsidP="005106D1">
      <w:pPr>
        <w:spacing w:line="360" w:lineRule="auto"/>
        <w:jc w:val="both"/>
        <w:rPr>
          <w:rFonts w:ascii="Times New Roman" w:hAnsi="Times New Roman" w:cs="Times New Roman"/>
          <w:b/>
          <w:bCs/>
          <w:sz w:val="24"/>
          <w:szCs w:val="24"/>
          <w:lang w:val="en-GB"/>
        </w:rPr>
      </w:pPr>
      <w:r w:rsidRPr="00582724">
        <w:rPr>
          <w:rFonts w:ascii="Times New Roman" w:hAnsi="Times New Roman" w:cs="Times New Roman"/>
          <w:b/>
          <w:bCs/>
          <w:sz w:val="24"/>
          <w:szCs w:val="24"/>
        </w:rPr>
        <w:t>Solicitor Regulation Authority (SRA) Meaning and Importance</w:t>
      </w:r>
    </w:p>
    <w:p w14:paraId="44A27B97" w14:textId="77777777" w:rsidR="009C30A5" w:rsidRPr="009C30A5" w:rsidRDefault="00582724" w:rsidP="005106D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SRA </w:t>
      </w:r>
      <w:r w:rsidR="009C30A5" w:rsidRPr="00AE5AE9">
        <w:rPr>
          <w:rFonts w:ascii="Times New Roman" w:hAnsi="Times New Roman" w:cs="Times New Roman"/>
          <w:sz w:val="24"/>
          <w:szCs w:val="24"/>
        </w:rPr>
        <w:t>refers to the regulations and rules provided to protect the public interests of individuals and firms. It provides a code of conduct that brings a framework for competent and ethical practice to the role provided to an individual by the organization and environment. Solicitor Regulation Authority Code of Conduct follows the principles to maintain honesty and independence and encourages ways to promote inclusion, equality, diversity, and integrity. The legal profession helps society to ensure their human rights and equal access to justice for all and they have the responsibility to protect human rights and play a major role in developing and aiding businesses to navigate the regulations and complex legal issues. SRA ensures the role of solicitors and lawyers in the standards of professionalism to keep their skills and professional knowledge without compromising with their regulatory, ethical and legal obligations.</w:t>
      </w:r>
    </w:p>
    <w:p w14:paraId="286C279A" w14:textId="77777777" w:rsidR="005106D1" w:rsidRDefault="005106D1" w:rsidP="00AE5AE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w:t>
      </w:r>
      <w:r w:rsidR="005C64F7">
        <w:rPr>
          <w:rFonts w:ascii="Times New Roman" w:hAnsi="Times New Roman" w:cs="Times New Roman"/>
          <w:sz w:val="24"/>
          <w:szCs w:val="24"/>
          <w:lang w:val="en-GB"/>
        </w:rPr>
        <w:t xml:space="preserve">olicitor </w:t>
      </w:r>
      <w:r>
        <w:rPr>
          <w:rFonts w:ascii="Times New Roman" w:hAnsi="Times New Roman" w:cs="Times New Roman"/>
          <w:sz w:val="24"/>
          <w:szCs w:val="24"/>
          <w:lang w:val="en-GB"/>
        </w:rPr>
        <w:t>R</w:t>
      </w:r>
      <w:r w:rsidR="005C64F7">
        <w:rPr>
          <w:rFonts w:ascii="Times New Roman" w:hAnsi="Times New Roman" w:cs="Times New Roman"/>
          <w:sz w:val="24"/>
          <w:szCs w:val="24"/>
          <w:lang w:val="en-GB"/>
        </w:rPr>
        <w:t xml:space="preserve">egulation </w:t>
      </w:r>
      <w:r>
        <w:rPr>
          <w:rFonts w:ascii="Times New Roman" w:hAnsi="Times New Roman" w:cs="Times New Roman"/>
          <w:sz w:val="24"/>
          <w:szCs w:val="24"/>
          <w:lang w:val="en-GB"/>
        </w:rPr>
        <w:t>A</w:t>
      </w:r>
      <w:r w:rsidR="005C64F7">
        <w:rPr>
          <w:rFonts w:ascii="Times New Roman" w:hAnsi="Times New Roman" w:cs="Times New Roman"/>
          <w:sz w:val="24"/>
          <w:szCs w:val="24"/>
          <w:lang w:val="en-GB"/>
        </w:rPr>
        <w:t>uthority (SRA)</w:t>
      </w:r>
      <w:r>
        <w:rPr>
          <w:rFonts w:ascii="Times New Roman" w:hAnsi="Times New Roman" w:cs="Times New Roman"/>
          <w:sz w:val="24"/>
          <w:szCs w:val="24"/>
          <w:lang w:val="en-GB"/>
        </w:rPr>
        <w:t xml:space="preserve"> </w:t>
      </w:r>
      <w:r w:rsidR="00AA0EBB">
        <w:rPr>
          <w:rFonts w:ascii="Times New Roman" w:hAnsi="Times New Roman" w:cs="Times New Roman"/>
          <w:sz w:val="24"/>
          <w:szCs w:val="24"/>
          <w:lang w:val="en-GB"/>
        </w:rPr>
        <w:t>states</w:t>
      </w:r>
      <w:r>
        <w:rPr>
          <w:rFonts w:ascii="Times New Roman" w:hAnsi="Times New Roman" w:cs="Times New Roman"/>
          <w:sz w:val="24"/>
          <w:szCs w:val="24"/>
          <w:lang w:val="en-GB"/>
        </w:rPr>
        <w:t xml:space="preserve"> the importance of equality and diversity in </w:t>
      </w:r>
      <w:r w:rsidR="00AA0EBB">
        <w:rPr>
          <w:rFonts w:ascii="Times New Roman" w:hAnsi="Times New Roman" w:cs="Times New Roman"/>
          <w:sz w:val="24"/>
          <w:szCs w:val="24"/>
          <w:lang w:val="en-GB"/>
        </w:rPr>
        <w:t xml:space="preserve">the </w:t>
      </w:r>
      <w:r>
        <w:rPr>
          <w:rFonts w:ascii="Times New Roman" w:hAnsi="Times New Roman" w:cs="Times New Roman"/>
          <w:sz w:val="24"/>
          <w:szCs w:val="24"/>
          <w:lang w:val="en-GB"/>
        </w:rPr>
        <w:t xml:space="preserve">legal profession because they </w:t>
      </w:r>
      <w:r w:rsidR="00AA0EBB">
        <w:rPr>
          <w:rFonts w:ascii="Times New Roman" w:hAnsi="Times New Roman" w:cs="Times New Roman"/>
          <w:sz w:val="24"/>
          <w:szCs w:val="24"/>
          <w:lang w:val="en-GB"/>
        </w:rPr>
        <w:t>help</w:t>
      </w:r>
      <w:r>
        <w:rPr>
          <w:rFonts w:ascii="Times New Roman" w:hAnsi="Times New Roman" w:cs="Times New Roman"/>
          <w:sz w:val="24"/>
          <w:szCs w:val="24"/>
          <w:lang w:val="en-GB"/>
        </w:rPr>
        <w:t xml:space="preserve"> in providing effective administration of justice and support to the independent justice system and maintain the rule of law. </w:t>
      </w:r>
      <w:r w:rsidR="00AA0EBB">
        <w:rPr>
          <w:rFonts w:ascii="Times New Roman" w:hAnsi="Times New Roman" w:cs="Times New Roman"/>
          <w:sz w:val="24"/>
          <w:szCs w:val="24"/>
          <w:lang w:val="en-GB"/>
        </w:rPr>
        <w:t xml:space="preserve">Diversity exists in the legal profession because clients are more comfortable with their known solicitors and those with </w:t>
      </w:r>
      <w:r w:rsidR="00AA0EBB">
        <w:rPr>
          <w:rFonts w:ascii="Times New Roman" w:hAnsi="Times New Roman" w:cs="Times New Roman"/>
          <w:sz w:val="24"/>
          <w:szCs w:val="24"/>
          <w:lang w:val="en-GB"/>
        </w:rPr>
        <w:lastRenderedPageBreak/>
        <w:t>whom they have some special relation. In such conditions, the clients prefer to seek help and advice from them only.</w:t>
      </w:r>
    </w:p>
    <w:p w14:paraId="5837FDF5" w14:textId="77777777" w:rsidR="009C30A5" w:rsidRPr="00582724" w:rsidRDefault="009C30A5" w:rsidP="00AE5AE9">
      <w:pPr>
        <w:spacing w:line="360" w:lineRule="auto"/>
        <w:jc w:val="both"/>
        <w:rPr>
          <w:rFonts w:ascii="Times New Roman" w:hAnsi="Times New Roman" w:cs="Times New Roman"/>
          <w:b/>
          <w:bCs/>
          <w:sz w:val="24"/>
          <w:szCs w:val="24"/>
          <w:lang w:val="en-GB"/>
        </w:rPr>
      </w:pPr>
      <w:r w:rsidRPr="00582724">
        <w:rPr>
          <w:rFonts w:ascii="Times New Roman" w:hAnsi="Times New Roman" w:cs="Times New Roman"/>
          <w:b/>
          <w:bCs/>
          <w:sz w:val="24"/>
          <w:szCs w:val="24"/>
          <w:lang w:val="en-GB"/>
        </w:rPr>
        <w:t>Principles of professional legal practice</w:t>
      </w:r>
    </w:p>
    <w:p w14:paraId="771696FD" w14:textId="77777777" w:rsidR="005C64F7" w:rsidRDefault="005C64F7" w:rsidP="00AE5AE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Principle 1 of SRA state that lawyers have an obligation not only to their clients but also to the courts and third parties with whom they have to deal on behalf of their clients.</w:t>
      </w:r>
    </w:p>
    <w:p w14:paraId="38AB52D5" w14:textId="77777777" w:rsidR="005C64F7" w:rsidRDefault="005C64F7" w:rsidP="00AE5AE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Principle 2 of SRA state that lawyers need to exercise their characteristics with integrity as their main role is to </w:t>
      </w:r>
      <w:r w:rsidR="00D54114">
        <w:rPr>
          <w:rFonts w:ascii="Times New Roman" w:hAnsi="Times New Roman" w:cs="Times New Roman"/>
          <w:sz w:val="24"/>
          <w:szCs w:val="24"/>
          <w:lang w:val="en-GB"/>
        </w:rPr>
        <w:t>advise the client and to ensure the client’s trust in them. Personal integrity is needed in professional dealings not only with their client but also with other lawyers, the public and the courts.</w:t>
      </w:r>
    </w:p>
    <w:p w14:paraId="1F959703" w14:textId="77777777" w:rsidR="00D54114" w:rsidRDefault="00D54114" w:rsidP="00AE5AE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Principle 3 of SRA</w:t>
      </w:r>
      <w:r w:rsidR="000F7B92">
        <w:rPr>
          <w:rFonts w:ascii="Times New Roman" w:hAnsi="Times New Roman" w:cs="Times New Roman"/>
          <w:sz w:val="24"/>
          <w:szCs w:val="24"/>
          <w:lang w:val="en-GB"/>
        </w:rPr>
        <w:t xml:space="preserve"> states that independence should not be compromised.</w:t>
      </w:r>
      <w:r>
        <w:rPr>
          <w:rFonts w:ascii="Times New Roman" w:hAnsi="Times New Roman" w:cs="Times New Roman"/>
          <w:sz w:val="24"/>
          <w:szCs w:val="24"/>
          <w:lang w:val="en-GB"/>
        </w:rPr>
        <w:t xml:space="preserve"> </w:t>
      </w:r>
    </w:p>
    <w:p w14:paraId="48CF1B91" w14:textId="77777777" w:rsidR="00D54114" w:rsidRDefault="00D54114" w:rsidP="00AE5AE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Principle 4 of SRA allows to lawyers work in the best interest of their clients and act in good faith. It includes the provisions of duty of confidentiality and disclosure code of conduct with their clients and the obligation with relation to the conflict of interest. </w:t>
      </w:r>
    </w:p>
    <w:p w14:paraId="4C615C79" w14:textId="77777777" w:rsidR="00D54114" w:rsidRDefault="00F97948" w:rsidP="00AE5AE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Principle 5 of SRA state to provide a proper standard of work and client care by practicing the competence exercise, diligence and skills to take into account the individual client’s needs and circumstances. </w:t>
      </w:r>
    </w:p>
    <w:p w14:paraId="4E255CC8" w14:textId="77777777" w:rsidR="00F97948" w:rsidRDefault="00F97948" w:rsidP="00AE5AE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Principle 6 of SRA state the provision for the maintenance of the trust of the general public in their lawyers and legal services in the professional practices and damage to the public trust should not be entertained. The infringement of trust makes it accountable to not only a lawyer but to the whole legal professionals and profession in society.</w:t>
      </w:r>
    </w:p>
    <w:p w14:paraId="0A6541CC" w14:textId="77777777" w:rsidR="00F97948" w:rsidRDefault="00F97948" w:rsidP="00AE5AE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Principle 7 of SRA states that lawyers are required to comply with the regulatory and legal obligations </w:t>
      </w:r>
      <w:r w:rsidR="000F7B92">
        <w:rPr>
          <w:rFonts w:ascii="Times New Roman" w:hAnsi="Times New Roman" w:cs="Times New Roman"/>
          <w:sz w:val="24"/>
          <w:szCs w:val="24"/>
          <w:lang w:val="en-GB"/>
        </w:rPr>
        <w:t>in a cooperative and open timely manner. The code of conduct state the responses need to be prompt and substantively to the communications.</w:t>
      </w:r>
    </w:p>
    <w:p w14:paraId="6999DA1E" w14:textId="77777777" w:rsidR="000F7B92" w:rsidRDefault="000F7B92" w:rsidP="00AE5AE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Principle 10 of SRA ensures the protection of client’s money, property and document in the best interest of them which is the principal duty of firms and their employees because the clients have trusted in them.</w:t>
      </w:r>
    </w:p>
    <w:p w14:paraId="4E5194C7" w14:textId="77777777" w:rsidR="000F7B92" w:rsidRPr="00AE5AE9" w:rsidRDefault="000F7B92" w:rsidP="00AE5AE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code </w:t>
      </w:r>
      <w:r w:rsidR="002D7C56">
        <w:rPr>
          <w:rFonts w:ascii="Times New Roman" w:hAnsi="Times New Roman" w:cs="Times New Roman"/>
          <w:sz w:val="24"/>
          <w:szCs w:val="24"/>
          <w:lang w:val="en-GB"/>
        </w:rPr>
        <w:t>of</w:t>
      </w:r>
      <w:r>
        <w:rPr>
          <w:rFonts w:ascii="Times New Roman" w:hAnsi="Times New Roman" w:cs="Times New Roman"/>
          <w:sz w:val="24"/>
          <w:szCs w:val="24"/>
          <w:lang w:val="en-GB"/>
        </w:rPr>
        <w:t xml:space="preserve"> conduct of SRA describes the </w:t>
      </w:r>
      <w:r w:rsidR="002D7C56">
        <w:rPr>
          <w:rFonts w:ascii="Times New Roman" w:hAnsi="Times New Roman" w:cs="Times New Roman"/>
          <w:sz w:val="24"/>
          <w:szCs w:val="24"/>
          <w:lang w:val="en-GB"/>
        </w:rPr>
        <w:t xml:space="preserve">standards of professionalism with patience, independence, politeness, fairness and resilience in resolving </w:t>
      </w:r>
      <w:r w:rsidR="009C30A5">
        <w:rPr>
          <w:rFonts w:ascii="Times New Roman" w:hAnsi="Times New Roman" w:cs="Times New Roman"/>
          <w:sz w:val="24"/>
          <w:szCs w:val="24"/>
          <w:lang w:val="en-GB"/>
        </w:rPr>
        <w:t>conflicts</w:t>
      </w:r>
      <w:r w:rsidR="002D7C56">
        <w:rPr>
          <w:rFonts w:ascii="Times New Roman" w:hAnsi="Times New Roman" w:cs="Times New Roman"/>
          <w:sz w:val="24"/>
          <w:szCs w:val="24"/>
          <w:lang w:val="en-GB"/>
        </w:rPr>
        <w:t xml:space="preserve"> of interest.</w:t>
      </w:r>
      <w:r w:rsidR="009C30A5">
        <w:rPr>
          <w:rFonts w:ascii="Times New Roman" w:hAnsi="Times New Roman" w:cs="Times New Roman"/>
          <w:sz w:val="24"/>
          <w:szCs w:val="24"/>
          <w:lang w:val="en-GB"/>
        </w:rPr>
        <w:t xml:space="preserve"> Professionalism means in the legal profession the treatment of clients fairly with respect and dignity. </w:t>
      </w:r>
      <w:r w:rsidR="00867887">
        <w:rPr>
          <w:rFonts w:ascii="Times New Roman" w:hAnsi="Times New Roman" w:cs="Times New Roman"/>
          <w:sz w:val="24"/>
          <w:szCs w:val="24"/>
          <w:lang w:val="en-GB"/>
        </w:rPr>
        <w:t>Lawyers</w:t>
      </w:r>
      <w:r w:rsidR="009C30A5">
        <w:rPr>
          <w:rFonts w:ascii="Times New Roman" w:hAnsi="Times New Roman" w:cs="Times New Roman"/>
          <w:sz w:val="24"/>
          <w:szCs w:val="24"/>
          <w:lang w:val="en-GB"/>
        </w:rPr>
        <w:t xml:space="preserve"> have a duty to not have an adverse impact on their clients and not make </w:t>
      </w:r>
      <w:r w:rsidR="009C30A5">
        <w:rPr>
          <w:rFonts w:ascii="Times New Roman" w:hAnsi="Times New Roman" w:cs="Times New Roman"/>
          <w:sz w:val="24"/>
          <w:szCs w:val="24"/>
          <w:lang w:val="en-GB"/>
        </w:rPr>
        <w:lastRenderedPageBreak/>
        <w:t xml:space="preserve">influence of their personal opinions on their client’s contracting to the benefit of their interests. </w:t>
      </w:r>
      <w:r w:rsidR="00867887">
        <w:rPr>
          <w:rFonts w:ascii="Times New Roman" w:hAnsi="Times New Roman" w:cs="Times New Roman"/>
          <w:sz w:val="24"/>
          <w:szCs w:val="24"/>
          <w:lang w:val="en-GB"/>
        </w:rPr>
        <w:t>Professionalism can be implied by setting minimum legal obligations</w:t>
      </w:r>
      <w:r w:rsidR="003B06F5">
        <w:rPr>
          <w:rFonts w:ascii="Times New Roman" w:hAnsi="Times New Roman" w:cs="Times New Roman"/>
          <w:sz w:val="24"/>
          <w:szCs w:val="24"/>
          <w:lang w:val="en-GB"/>
        </w:rPr>
        <w:t xml:space="preserve"> (</w:t>
      </w:r>
      <w:r w:rsidR="003B06F5" w:rsidRPr="003B06F5">
        <w:rPr>
          <w:rFonts w:ascii="Times New Roman" w:hAnsi="Times New Roman" w:cs="Times New Roman"/>
          <w:sz w:val="24"/>
          <w:szCs w:val="24"/>
        </w:rPr>
        <w:t>Oakley</w:t>
      </w:r>
      <w:r w:rsidR="003B06F5">
        <w:rPr>
          <w:rFonts w:ascii="Times New Roman" w:hAnsi="Times New Roman" w:cs="Times New Roman"/>
          <w:sz w:val="24"/>
          <w:szCs w:val="24"/>
        </w:rPr>
        <w:t xml:space="preserve"> and </w:t>
      </w:r>
      <w:r w:rsidR="003B06F5" w:rsidRPr="003B06F5">
        <w:rPr>
          <w:rFonts w:ascii="Times New Roman" w:hAnsi="Times New Roman" w:cs="Times New Roman"/>
          <w:sz w:val="24"/>
          <w:szCs w:val="24"/>
        </w:rPr>
        <w:t>Vaughan</w:t>
      </w:r>
      <w:r w:rsidR="003B06F5">
        <w:rPr>
          <w:rFonts w:ascii="Times New Roman" w:hAnsi="Times New Roman" w:cs="Times New Roman"/>
          <w:sz w:val="24"/>
          <w:szCs w:val="24"/>
        </w:rPr>
        <w:t>, 2019</w:t>
      </w:r>
      <w:r w:rsidR="003B06F5">
        <w:rPr>
          <w:rFonts w:ascii="Times New Roman" w:hAnsi="Times New Roman" w:cs="Times New Roman"/>
          <w:sz w:val="24"/>
          <w:szCs w:val="24"/>
          <w:lang w:val="en-GB"/>
        </w:rPr>
        <w:t>)</w:t>
      </w:r>
      <w:r w:rsidR="00867887">
        <w:rPr>
          <w:rFonts w:ascii="Times New Roman" w:hAnsi="Times New Roman" w:cs="Times New Roman"/>
          <w:sz w:val="24"/>
          <w:szCs w:val="24"/>
          <w:lang w:val="en-GB"/>
        </w:rPr>
        <w:t>. Lawyers need to act in a way that is fair and transparent by adopting the relationship with their clients and other lawyers with honesty and integrity</w:t>
      </w:r>
      <w:r w:rsidR="003B06F5">
        <w:rPr>
          <w:rFonts w:ascii="Times New Roman" w:hAnsi="Times New Roman" w:cs="Times New Roman"/>
          <w:sz w:val="24"/>
          <w:szCs w:val="24"/>
          <w:lang w:val="en-GB"/>
        </w:rPr>
        <w:t xml:space="preserve"> (</w:t>
      </w:r>
      <w:r w:rsidR="003B06F5" w:rsidRPr="003B06F5">
        <w:rPr>
          <w:rFonts w:ascii="Times New Roman" w:hAnsi="Times New Roman" w:cs="Times New Roman"/>
          <w:sz w:val="24"/>
          <w:szCs w:val="24"/>
        </w:rPr>
        <w:t>Caserta</w:t>
      </w:r>
      <w:r w:rsidR="003B06F5">
        <w:rPr>
          <w:rFonts w:ascii="Times New Roman" w:hAnsi="Times New Roman" w:cs="Times New Roman"/>
          <w:sz w:val="24"/>
          <w:szCs w:val="24"/>
        </w:rPr>
        <w:t>, 2020</w:t>
      </w:r>
      <w:r w:rsidR="003B06F5">
        <w:rPr>
          <w:rFonts w:ascii="Times New Roman" w:hAnsi="Times New Roman" w:cs="Times New Roman"/>
          <w:sz w:val="24"/>
          <w:szCs w:val="24"/>
          <w:lang w:val="en-GB"/>
        </w:rPr>
        <w:t>)</w:t>
      </w:r>
      <w:r w:rsidR="00867887">
        <w:rPr>
          <w:rFonts w:ascii="Times New Roman" w:hAnsi="Times New Roman" w:cs="Times New Roman"/>
          <w:sz w:val="24"/>
          <w:szCs w:val="24"/>
          <w:lang w:val="en-GB"/>
        </w:rPr>
        <w:t>.</w:t>
      </w:r>
      <w:r w:rsidR="007869BF">
        <w:rPr>
          <w:rFonts w:ascii="Times New Roman" w:hAnsi="Times New Roman" w:cs="Times New Roman"/>
          <w:sz w:val="24"/>
          <w:szCs w:val="24"/>
          <w:lang w:val="en-GB"/>
        </w:rPr>
        <w:t xml:space="preserve"> Legal obligations state that disabled lawyers and disabled clients are not at a substantial disadvantage compared to abled lawyers and clients.</w:t>
      </w:r>
    </w:p>
    <w:p w14:paraId="2AC57501" w14:textId="77777777" w:rsidR="00AE5AE9" w:rsidRPr="00AE5AE9" w:rsidRDefault="00AE5AE9" w:rsidP="00AE5AE9">
      <w:pPr>
        <w:spacing w:line="360" w:lineRule="auto"/>
        <w:jc w:val="both"/>
        <w:rPr>
          <w:rFonts w:ascii="Times New Roman" w:hAnsi="Times New Roman" w:cs="Times New Roman"/>
          <w:sz w:val="24"/>
          <w:szCs w:val="24"/>
        </w:rPr>
      </w:pPr>
      <w:r w:rsidRPr="00AE5AE9">
        <w:rPr>
          <w:rFonts w:ascii="Times New Roman" w:hAnsi="Times New Roman" w:cs="Times New Roman"/>
          <w:sz w:val="24"/>
          <w:szCs w:val="24"/>
        </w:rPr>
        <w:t>The Equality Act 2010 is provided for the treatment of inequality in society and against discrimination in the regulation of public functions and services. The act protects against harassment and discrimination in the workplace.</w:t>
      </w:r>
      <w:r w:rsidR="004376DA">
        <w:rPr>
          <w:rFonts w:ascii="Times New Roman" w:hAnsi="Times New Roman" w:cs="Times New Roman"/>
          <w:sz w:val="24"/>
          <w:szCs w:val="24"/>
        </w:rPr>
        <w:t xml:space="preserve"> The tools such as automated hiring systems help to attain better inclusion and detect discriminatory practices (</w:t>
      </w:r>
      <w:r w:rsidR="004376DA" w:rsidRPr="007C36D9">
        <w:rPr>
          <w:rFonts w:ascii="Times New Roman" w:hAnsi="Times New Roman" w:cs="Times New Roman"/>
          <w:color w:val="222222"/>
          <w:sz w:val="24"/>
          <w:szCs w:val="24"/>
          <w:shd w:val="clear" w:color="auto" w:fill="FFFFFF"/>
        </w:rPr>
        <w:t>Sánchez</w:t>
      </w:r>
      <w:r w:rsidR="004376DA">
        <w:rPr>
          <w:rFonts w:ascii="Times New Roman" w:hAnsi="Times New Roman" w:cs="Times New Roman"/>
          <w:sz w:val="24"/>
          <w:szCs w:val="24"/>
        </w:rPr>
        <w:t>, Dencik and Edward, 2020).</w:t>
      </w:r>
      <w:r w:rsidRPr="00AE5AE9">
        <w:rPr>
          <w:rFonts w:ascii="Times New Roman" w:hAnsi="Times New Roman" w:cs="Times New Roman"/>
          <w:sz w:val="24"/>
          <w:szCs w:val="24"/>
        </w:rPr>
        <w:t xml:space="preserve"> The act also strengthens the legal rights against inequality and identified the wider scope of unlawful acts and practices (Leaver, 2019). It further advances the legal framework for legal opportunities for all. The act provided nine grounds namely, disability, gender, age, religion, marriage and civil partnership, sex, sexual orientation, pregnancy and maternity and race on which the employers cannot discriminate.</w:t>
      </w:r>
    </w:p>
    <w:p w14:paraId="7426719D" w14:textId="77777777" w:rsidR="00AE5AE9" w:rsidRDefault="00AE5AE9" w:rsidP="00AE5AE9">
      <w:pPr>
        <w:spacing w:line="360" w:lineRule="auto"/>
        <w:jc w:val="both"/>
        <w:rPr>
          <w:rFonts w:ascii="Times New Roman" w:hAnsi="Times New Roman" w:cs="Times New Roman"/>
          <w:sz w:val="24"/>
          <w:szCs w:val="24"/>
        </w:rPr>
      </w:pPr>
      <w:r w:rsidRPr="00AE5AE9">
        <w:rPr>
          <w:rFonts w:ascii="Times New Roman" w:hAnsi="Times New Roman" w:cs="Times New Roman"/>
          <w:sz w:val="24"/>
          <w:szCs w:val="24"/>
        </w:rPr>
        <w:t>Although women make up about 52% of lawyers in law firms the apparent representation of women is underrated at the senior level. In the firm 61% of females are solicitors and only 35% are partners. In the field of criminal law, and corporate law the participation of women is underrated.</w:t>
      </w:r>
    </w:p>
    <w:p w14:paraId="01E19477" w14:textId="77777777" w:rsidR="00AA0EBB" w:rsidRPr="00AE5AE9" w:rsidRDefault="00AA0EBB" w:rsidP="00AE5AE9">
      <w:pPr>
        <w:spacing w:line="360" w:lineRule="auto"/>
        <w:jc w:val="both"/>
        <w:rPr>
          <w:rFonts w:ascii="Times New Roman" w:hAnsi="Times New Roman" w:cs="Times New Roman"/>
          <w:sz w:val="24"/>
          <w:szCs w:val="24"/>
        </w:rPr>
      </w:pPr>
      <w:r>
        <w:rPr>
          <w:rFonts w:ascii="Times New Roman" w:hAnsi="Times New Roman" w:cs="Times New Roman"/>
          <w:sz w:val="24"/>
          <w:szCs w:val="24"/>
        </w:rPr>
        <w:t>The firm in the legal profession considered lawyers who are talented and likely to become good solicitors they helped to progress in the career of such lawyers which further helps firms to maintain better and high standards.</w:t>
      </w:r>
    </w:p>
    <w:p w14:paraId="46095998" w14:textId="77777777" w:rsidR="00AE5AE9" w:rsidRDefault="00AE5AE9" w:rsidP="00AE5AE9">
      <w:pPr>
        <w:spacing w:line="360" w:lineRule="auto"/>
        <w:jc w:val="both"/>
        <w:rPr>
          <w:rFonts w:ascii="Times New Roman" w:hAnsi="Times New Roman" w:cs="Times New Roman"/>
          <w:sz w:val="24"/>
          <w:szCs w:val="24"/>
        </w:rPr>
      </w:pPr>
      <w:r w:rsidRPr="00AE5AE9">
        <w:rPr>
          <w:rFonts w:ascii="Times New Roman" w:hAnsi="Times New Roman" w:cs="Times New Roman"/>
          <w:sz w:val="24"/>
          <w:szCs w:val="24"/>
        </w:rPr>
        <w:t xml:space="preserve">Diversity makes a </w:t>
      </w:r>
      <w:r w:rsidR="009C30A5">
        <w:rPr>
          <w:rFonts w:ascii="Times New Roman" w:hAnsi="Times New Roman" w:cs="Times New Roman"/>
          <w:sz w:val="24"/>
          <w:szCs w:val="24"/>
        </w:rPr>
        <w:t>solicitor</w:t>
      </w:r>
      <w:r w:rsidRPr="00AE5AE9">
        <w:rPr>
          <w:rFonts w:ascii="Times New Roman" w:hAnsi="Times New Roman" w:cs="Times New Roman"/>
          <w:sz w:val="24"/>
          <w:szCs w:val="24"/>
        </w:rPr>
        <w:t xml:space="preserve"> unique because of his background, beliefs and life experiences. The gender gap and race issues are the most predominant diversity practices</w:t>
      </w:r>
      <w:r w:rsidR="009C30A5">
        <w:rPr>
          <w:rFonts w:ascii="Times New Roman" w:hAnsi="Times New Roman" w:cs="Times New Roman"/>
          <w:sz w:val="24"/>
          <w:szCs w:val="24"/>
        </w:rPr>
        <w:t xml:space="preserve"> in the practice of legal profession</w:t>
      </w:r>
      <w:r w:rsidRPr="00AE5AE9">
        <w:rPr>
          <w:rFonts w:ascii="Times New Roman" w:hAnsi="Times New Roman" w:cs="Times New Roman"/>
          <w:sz w:val="24"/>
          <w:szCs w:val="24"/>
        </w:rPr>
        <w:t xml:space="preserve"> than age, religion and disability status (Köllen, 2021).</w:t>
      </w:r>
    </w:p>
    <w:p w14:paraId="6FBEF72E" w14:textId="77777777" w:rsidR="005C64F7" w:rsidRDefault="005C64F7" w:rsidP="005C64F7">
      <w:pPr>
        <w:spacing w:line="360" w:lineRule="auto"/>
        <w:jc w:val="both"/>
        <w:rPr>
          <w:rFonts w:ascii="Times New Roman" w:hAnsi="Times New Roman" w:cs="Times New Roman"/>
          <w:sz w:val="24"/>
          <w:szCs w:val="24"/>
        </w:rPr>
      </w:pPr>
      <w:r>
        <w:rPr>
          <w:rFonts w:ascii="Times New Roman" w:hAnsi="Times New Roman" w:cs="Times New Roman"/>
          <w:sz w:val="24"/>
          <w:szCs w:val="24"/>
        </w:rPr>
        <w:t>The Legal Services Act, of 2007 set up the legislative framework for the guidance and regulations of legal services in England and Wales. The act regulates legal activities such as the administration of oaths, the conduct of litigation, reserved instrument activities, probate activities, the exercise of rights of the audience and notarial activities (</w:t>
      </w:r>
      <w:r w:rsidRPr="007C76FF">
        <w:rPr>
          <w:rFonts w:ascii="Times New Roman" w:hAnsi="Times New Roman" w:cs="Times New Roman"/>
          <w:sz w:val="24"/>
          <w:szCs w:val="24"/>
        </w:rPr>
        <w:t>Rab,</w:t>
      </w:r>
      <w:r>
        <w:rPr>
          <w:rFonts w:ascii="Times New Roman" w:hAnsi="Times New Roman" w:cs="Times New Roman"/>
          <w:sz w:val="24"/>
          <w:szCs w:val="24"/>
        </w:rPr>
        <w:t xml:space="preserve"> 2022). The act protects and promotes </w:t>
      </w:r>
      <w:r w:rsidR="00582724">
        <w:rPr>
          <w:rFonts w:ascii="Times New Roman" w:hAnsi="Times New Roman" w:cs="Times New Roman"/>
          <w:sz w:val="24"/>
          <w:szCs w:val="24"/>
        </w:rPr>
        <w:t xml:space="preserve">the </w:t>
      </w:r>
      <w:r>
        <w:rPr>
          <w:rFonts w:ascii="Times New Roman" w:hAnsi="Times New Roman" w:cs="Times New Roman"/>
          <w:sz w:val="24"/>
          <w:szCs w:val="24"/>
        </w:rPr>
        <w:t>public interest and helps to maintain the obedience of professional practices.</w:t>
      </w:r>
    </w:p>
    <w:p w14:paraId="0C1DA430" w14:textId="77777777" w:rsidR="009C30A5" w:rsidRPr="00276E86" w:rsidRDefault="009C30A5" w:rsidP="005C64F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act encourages the participation of disabled persons in the profession and does not discriminate the disabled clients which shows an independent, diverse and strong legal practice in the firms.</w:t>
      </w:r>
    </w:p>
    <w:p w14:paraId="68307E4E" w14:textId="77777777" w:rsidR="005C64F7" w:rsidRPr="00582724" w:rsidRDefault="009C30A5" w:rsidP="00AE5AE9">
      <w:pPr>
        <w:spacing w:line="360" w:lineRule="auto"/>
        <w:jc w:val="both"/>
        <w:rPr>
          <w:rFonts w:ascii="Times New Roman" w:hAnsi="Times New Roman" w:cs="Times New Roman"/>
          <w:b/>
          <w:bCs/>
          <w:sz w:val="24"/>
          <w:szCs w:val="24"/>
        </w:rPr>
      </w:pPr>
      <w:r w:rsidRPr="00582724">
        <w:rPr>
          <w:rFonts w:ascii="Times New Roman" w:hAnsi="Times New Roman" w:cs="Times New Roman"/>
          <w:b/>
          <w:bCs/>
          <w:sz w:val="24"/>
          <w:szCs w:val="24"/>
        </w:rPr>
        <w:t>Conclusion</w:t>
      </w:r>
    </w:p>
    <w:p w14:paraId="276A715F" w14:textId="77777777" w:rsidR="009C30A5" w:rsidRPr="00AE5AE9" w:rsidRDefault="009C30A5" w:rsidP="00AE5AE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practice adopted by firms and legal sectors </w:t>
      </w:r>
      <w:r w:rsidR="00867887">
        <w:rPr>
          <w:rFonts w:ascii="Times New Roman" w:hAnsi="Times New Roman" w:cs="Times New Roman"/>
          <w:sz w:val="24"/>
          <w:szCs w:val="24"/>
        </w:rPr>
        <w:t xml:space="preserve">inclusive of equality, inclusion and diversity relating to the appropriate policies and procedures helped in forming a fair and dignified relationship with their clients, the courts, the public, people whom they procure services and other lawyers. The legal sector will be said to behave with equality and diversity in their legal practices when the firms have a positive approach in dealing with disabled clients and </w:t>
      </w:r>
      <w:r w:rsidR="007869BF">
        <w:rPr>
          <w:rFonts w:ascii="Times New Roman" w:hAnsi="Times New Roman" w:cs="Times New Roman"/>
          <w:sz w:val="24"/>
          <w:szCs w:val="24"/>
        </w:rPr>
        <w:t xml:space="preserve">the </w:t>
      </w:r>
      <w:r w:rsidR="00867887">
        <w:rPr>
          <w:rFonts w:ascii="Times New Roman" w:hAnsi="Times New Roman" w:cs="Times New Roman"/>
          <w:sz w:val="24"/>
          <w:szCs w:val="24"/>
        </w:rPr>
        <w:t xml:space="preserve">inclusion of disabled lawyers in the profession. </w:t>
      </w:r>
      <w:r w:rsidR="007869BF">
        <w:rPr>
          <w:rFonts w:ascii="Times New Roman" w:hAnsi="Times New Roman" w:cs="Times New Roman"/>
          <w:sz w:val="24"/>
          <w:szCs w:val="24"/>
        </w:rPr>
        <w:t>Gender</w:t>
      </w:r>
      <w:r w:rsidR="00867887">
        <w:rPr>
          <w:rFonts w:ascii="Times New Roman" w:hAnsi="Times New Roman" w:cs="Times New Roman"/>
          <w:sz w:val="24"/>
          <w:szCs w:val="24"/>
        </w:rPr>
        <w:t xml:space="preserve"> inequality at higher </w:t>
      </w:r>
      <w:r w:rsidR="007869BF">
        <w:rPr>
          <w:rFonts w:ascii="Times New Roman" w:hAnsi="Times New Roman" w:cs="Times New Roman"/>
          <w:sz w:val="24"/>
          <w:szCs w:val="24"/>
        </w:rPr>
        <w:t>posts</w:t>
      </w:r>
      <w:r w:rsidR="00867887">
        <w:rPr>
          <w:rFonts w:ascii="Times New Roman" w:hAnsi="Times New Roman" w:cs="Times New Roman"/>
          <w:sz w:val="24"/>
          <w:szCs w:val="24"/>
        </w:rPr>
        <w:t xml:space="preserve"> is reduced and equal respect is given to women solicitors. The firms need to provide </w:t>
      </w:r>
      <w:r w:rsidR="007869BF">
        <w:rPr>
          <w:rFonts w:ascii="Times New Roman" w:hAnsi="Times New Roman" w:cs="Times New Roman"/>
          <w:sz w:val="24"/>
          <w:szCs w:val="24"/>
        </w:rPr>
        <w:t xml:space="preserve">guidance and support to their lawyers about the code of conduct of SRA and the principles of regulation and implementation. The issues in the legal sector like gender inequality, colour and ethnic bias participation and favouritism need to be elevated to enhance the working of the legal sector and innovative participation. </w:t>
      </w:r>
    </w:p>
    <w:p w14:paraId="398C06BB" w14:textId="77777777" w:rsidR="00AE5AE9" w:rsidRPr="00AE5AE9" w:rsidRDefault="00AE5AE9" w:rsidP="00AE5AE9">
      <w:pPr>
        <w:spacing w:line="360" w:lineRule="auto"/>
        <w:jc w:val="both"/>
        <w:rPr>
          <w:rFonts w:ascii="Times New Roman" w:hAnsi="Times New Roman" w:cs="Times New Roman"/>
          <w:sz w:val="24"/>
          <w:szCs w:val="24"/>
        </w:rPr>
      </w:pPr>
    </w:p>
    <w:p w14:paraId="4BEAF6C5" w14:textId="77777777" w:rsidR="00AE5AE9" w:rsidRPr="00AE5AE9" w:rsidRDefault="00AE5AE9" w:rsidP="00AE5AE9">
      <w:pPr>
        <w:spacing w:line="360" w:lineRule="auto"/>
        <w:jc w:val="both"/>
        <w:rPr>
          <w:rFonts w:ascii="Times New Roman" w:hAnsi="Times New Roman" w:cs="Times New Roman"/>
          <w:sz w:val="24"/>
          <w:szCs w:val="24"/>
        </w:rPr>
      </w:pPr>
    </w:p>
    <w:p w14:paraId="1009BE4F" w14:textId="77777777" w:rsidR="00582724" w:rsidRDefault="00582724" w:rsidP="00582724">
      <w:pPr>
        <w:tabs>
          <w:tab w:val="left" w:pos="5726"/>
        </w:tabs>
        <w:spacing w:line="360" w:lineRule="auto"/>
        <w:jc w:val="both"/>
        <w:rPr>
          <w:rFonts w:ascii="Times New Roman" w:hAnsi="Times New Roman" w:cs="Times New Roman"/>
          <w:sz w:val="24"/>
          <w:szCs w:val="24"/>
        </w:rPr>
      </w:pPr>
    </w:p>
    <w:p w14:paraId="374D9FBF" w14:textId="77777777" w:rsidR="00015E61" w:rsidRDefault="00015E61">
      <w:pPr>
        <w:rPr>
          <w:rFonts w:ascii="Times New Roman" w:hAnsi="Times New Roman" w:cs="Times New Roman"/>
          <w:b/>
          <w:bCs/>
          <w:sz w:val="24"/>
          <w:szCs w:val="24"/>
        </w:rPr>
      </w:pPr>
      <w:r>
        <w:rPr>
          <w:rFonts w:ascii="Times New Roman" w:hAnsi="Times New Roman" w:cs="Times New Roman"/>
          <w:b/>
          <w:bCs/>
          <w:sz w:val="24"/>
          <w:szCs w:val="24"/>
        </w:rPr>
        <w:br w:type="page"/>
      </w:r>
    </w:p>
    <w:p w14:paraId="60D68EE6" w14:textId="15108F14" w:rsidR="004376DA" w:rsidRPr="004376DA" w:rsidRDefault="00AE5AE9" w:rsidP="00AE5AE9">
      <w:pPr>
        <w:tabs>
          <w:tab w:val="left" w:pos="5726"/>
        </w:tabs>
        <w:spacing w:line="360" w:lineRule="auto"/>
        <w:jc w:val="both"/>
        <w:rPr>
          <w:rFonts w:ascii="Times New Roman" w:hAnsi="Times New Roman" w:cs="Times New Roman"/>
          <w:b/>
          <w:bCs/>
          <w:sz w:val="24"/>
          <w:szCs w:val="24"/>
        </w:rPr>
      </w:pPr>
      <w:r w:rsidRPr="00582724">
        <w:rPr>
          <w:rFonts w:ascii="Times New Roman" w:hAnsi="Times New Roman" w:cs="Times New Roman"/>
          <w:b/>
          <w:bCs/>
          <w:sz w:val="24"/>
          <w:szCs w:val="24"/>
        </w:rPr>
        <w:lastRenderedPageBreak/>
        <w:t xml:space="preserve">References </w:t>
      </w:r>
    </w:p>
    <w:p w14:paraId="22350238" w14:textId="77777777" w:rsidR="003B06F5" w:rsidRDefault="003B06F5" w:rsidP="004376DA">
      <w:pPr>
        <w:spacing w:line="360" w:lineRule="auto"/>
        <w:jc w:val="both"/>
        <w:rPr>
          <w:rFonts w:ascii="Times New Roman" w:hAnsi="Times New Roman" w:cs="Times New Roman"/>
          <w:sz w:val="24"/>
          <w:szCs w:val="24"/>
        </w:rPr>
      </w:pPr>
      <w:r w:rsidRPr="003B06F5">
        <w:rPr>
          <w:rFonts w:ascii="Times New Roman" w:hAnsi="Times New Roman" w:cs="Times New Roman"/>
          <w:sz w:val="24"/>
          <w:szCs w:val="24"/>
        </w:rPr>
        <w:t>Caserta, S., 2020. Digitalization of the legal field and the future of large law firms. Laws, 9(2), p.14.</w:t>
      </w:r>
    </w:p>
    <w:p w14:paraId="66A2F110" w14:textId="77777777" w:rsidR="003B06F5" w:rsidRPr="00A51009" w:rsidRDefault="003B06F5" w:rsidP="00582724">
      <w:pPr>
        <w:spacing w:line="360" w:lineRule="auto"/>
        <w:jc w:val="both"/>
        <w:rPr>
          <w:rFonts w:ascii="Times New Roman" w:hAnsi="Times New Roman" w:cs="Times New Roman"/>
          <w:sz w:val="24"/>
          <w:szCs w:val="24"/>
        </w:rPr>
      </w:pPr>
      <w:r w:rsidRPr="00A51009">
        <w:rPr>
          <w:rFonts w:ascii="Times New Roman" w:hAnsi="Times New Roman" w:cs="Times New Roman"/>
          <w:color w:val="222222"/>
          <w:sz w:val="24"/>
          <w:szCs w:val="24"/>
          <w:shd w:val="clear" w:color="auto" w:fill="FFFFFF"/>
        </w:rPr>
        <w:t>Cecchi-Dimeglio, P., 2023. Why the 30 Percent Mansfield Rule Can't Work: A Supply-Demand Empirical Analysis of Leadership in the Legal Profession. </w:t>
      </w:r>
      <w:r w:rsidRPr="00A51009">
        <w:rPr>
          <w:rFonts w:ascii="Times New Roman" w:hAnsi="Times New Roman" w:cs="Times New Roman"/>
          <w:i/>
          <w:iCs/>
          <w:color w:val="222222"/>
          <w:sz w:val="24"/>
          <w:szCs w:val="24"/>
          <w:shd w:val="clear" w:color="auto" w:fill="FFFFFF"/>
        </w:rPr>
        <w:t>Fordham Law Review</w:t>
      </w:r>
      <w:r w:rsidRPr="00A51009">
        <w:rPr>
          <w:rFonts w:ascii="Times New Roman" w:hAnsi="Times New Roman" w:cs="Times New Roman"/>
          <w:color w:val="222222"/>
          <w:sz w:val="24"/>
          <w:szCs w:val="24"/>
          <w:shd w:val="clear" w:color="auto" w:fill="FFFFFF"/>
        </w:rPr>
        <w:t>, </w:t>
      </w:r>
      <w:r w:rsidRPr="00A51009">
        <w:rPr>
          <w:rFonts w:ascii="Times New Roman" w:hAnsi="Times New Roman" w:cs="Times New Roman"/>
          <w:i/>
          <w:iCs/>
          <w:color w:val="222222"/>
          <w:sz w:val="24"/>
          <w:szCs w:val="24"/>
          <w:shd w:val="clear" w:color="auto" w:fill="FFFFFF"/>
        </w:rPr>
        <w:t>91</w:t>
      </w:r>
      <w:r w:rsidRPr="00A51009">
        <w:rPr>
          <w:rFonts w:ascii="Times New Roman" w:hAnsi="Times New Roman" w:cs="Times New Roman"/>
          <w:color w:val="222222"/>
          <w:sz w:val="24"/>
          <w:szCs w:val="24"/>
          <w:shd w:val="clear" w:color="auto" w:fill="FFFFFF"/>
        </w:rPr>
        <w:t>(4), p.1161.</w:t>
      </w:r>
    </w:p>
    <w:p w14:paraId="1406E109" w14:textId="77777777" w:rsidR="003B06F5" w:rsidRPr="00A51009" w:rsidRDefault="003B06F5" w:rsidP="00582724">
      <w:pPr>
        <w:spacing w:line="360" w:lineRule="auto"/>
        <w:jc w:val="both"/>
        <w:rPr>
          <w:rFonts w:ascii="Times New Roman" w:hAnsi="Times New Roman" w:cs="Times New Roman"/>
          <w:sz w:val="24"/>
          <w:szCs w:val="24"/>
        </w:rPr>
      </w:pPr>
      <w:r w:rsidRPr="00A51009">
        <w:rPr>
          <w:rFonts w:ascii="Times New Roman" w:hAnsi="Times New Roman" w:cs="Times New Roman"/>
          <w:color w:val="222222"/>
          <w:sz w:val="24"/>
          <w:szCs w:val="24"/>
          <w:shd w:val="clear" w:color="auto" w:fill="FFFFFF"/>
        </w:rPr>
        <w:t xml:space="preserve">Hebl, M., </w:t>
      </w:r>
      <w:bookmarkStart w:id="0" w:name="_Hlk133926879"/>
      <w:r w:rsidRPr="00A51009">
        <w:rPr>
          <w:rFonts w:ascii="Times New Roman" w:hAnsi="Times New Roman" w:cs="Times New Roman"/>
          <w:color w:val="222222"/>
          <w:sz w:val="24"/>
          <w:szCs w:val="24"/>
          <w:shd w:val="clear" w:color="auto" w:fill="FFFFFF"/>
        </w:rPr>
        <w:t>Cheng</w:t>
      </w:r>
      <w:bookmarkEnd w:id="0"/>
      <w:r w:rsidRPr="00A51009">
        <w:rPr>
          <w:rFonts w:ascii="Times New Roman" w:hAnsi="Times New Roman" w:cs="Times New Roman"/>
          <w:color w:val="222222"/>
          <w:sz w:val="24"/>
          <w:szCs w:val="24"/>
          <w:shd w:val="clear" w:color="auto" w:fill="FFFFFF"/>
        </w:rPr>
        <w:t>, S.K. and Ng, L.C., 2020. Modern discrimination in organizations. </w:t>
      </w:r>
      <w:r w:rsidRPr="00A51009">
        <w:rPr>
          <w:rFonts w:ascii="Times New Roman" w:hAnsi="Times New Roman" w:cs="Times New Roman"/>
          <w:i/>
          <w:iCs/>
          <w:color w:val="222222"/>
          <w:sz w:val="24"/>
          <w:szCs w:val="24"/>
          <w:shd w:val="clear" w:color="auto" w:fill="FFFFFF"/>
        </w:rPr>
        <w:t>Annual Review of Organizational Psychology and Organizational Behavior</w:t>
      </w:r>
      <w:r w:rsidRPr="00A51009">
        <w:rPr>
          <w:rFonts w:ascii="Times New Roman" w:hAnsi="Times New Roman" w:cs="Times New Roman"/>
          <w:color w:val="222222"/>
          <w:sz w:val="24"/>
          <w:szCs w:val="24"/>
          <w:shd w:val="clear" w:color="auto" w:fill="FFFFFF"/>
        </w:rPr>
        <w:t>, </w:t>
      </w:r>
      <w:r w:rsidRPr="00A51009">
        <w:rPr>
          <w:rFonts w:ascii="Times New Roman" w:hAnsi="Times New Roman" w:cs="Times New Roman"/>
          <w:i/>
          <w:iCs/>
          <w:color w:val="222222"/>
          <w:sz w:val="24"/>
          <w:szCs w:val="24"/>
          <w:shd w:val="clear" w:color="auto" w:fill="FFFFFF"/>
        </w:rPr>
        <w:t>7</w:t>
      </w:r>
      <w:r w:rsidRPr="00A51009">
        <w:rPr>
          <w:rFonts w:ascii="Times New Roman" w:hAnsi="Times New Roman" w:cs="Times New Roman"/>
          <w:color w:val="222222"/>
          <w:sz w:val="24"/>
          <w:szCs w:val="24"/>
          <w:shd w:val="clear" w:color="auto" w:fill="FFFFFF"/>
        </w:rPr>
        <w:t>, pp.257-282.</w:t>
      </w:r>
      <w:r w:rsidRPr="00A51009">
        <w:rPr>
          <w:rFonts w:ascii="Times New Roman" w:hAnsi="Times New Roman" w:cs="Times New Roman"/>
          <w:sz w:val="24"/>
          <w:szCs w:val="24"/>
        </w:rPr>
        <w:t xml:space="preserve"> </w:t>
      </w:r>
      <w:r w:rsidRPr="00A51009">
        <w:rPr>
          <w:rFonts w:ascii="Times New Roman" w:hAnsi="Times New Roman" w:cs="Times New Roman"/>
          <w:color w:val="222222"/>
          <w:sz w:val="24"/>
          <w:szCs w:val="24"/>
          <w:shd w:val="clear" w:color="auto" w:fill="FFFFFF"/>
        </w:rPr>
        <w:t>https://www.annualreviews.org/doi/full/10.1146/annurev-orgpsych-012119-044948</w:t>
      </w:r>
    </w:p>
    <w:p w14:paraId="66F3D129" w14:textId="77777777" w:rsidR="003B06F5" w:rsidRPr="00A51009" w:rsidRDefault="003B06F5" w:rsidP="00AE5AE9">
      <w:pPr>
        <w:spacing w:line="360" w:lineRule="auto"/>
        <w:jc w:val="both"/>
        <w:rPr>
          <w:rFonts w:ascii="Times New Roman" w:hAnsi="Times New Roman" w:cs="Times New Roman"/>
          <w:color w:val="222222"/>
          <w:sz w:val="24"/>
          <w:szCs w:val="24"/>
          <w:shd w:val="clear" w:color="auto" w:fill="FFFFFF"/>
        </w:rPr>
      </w:pPr>
      <w:r w:rsidRPr="00A51009">
        <w:rPr>
          <w:rFonts w:ascii="Times New Roman" w:hAnsi="Times New Roman" w:cs="Times New Roman"/>
          <w:color w:val="222222"/>
          <w:sz w:val="24"/>
          <w:szCs w:val="24"/>
          <w:shd w:val="clear" w:color="auto" w:fill="FFFFFF"/>
        </w:rPr>
        <w:t>Köllen, T., 2021. Diversity management: A critical review and agenda for the future. </w:t>
      </w:r>
      <w:r w:rsidRPr="00A51009">
        <w:rPr>
          <w:rFonts w:ascii="Times New Roman" w:hAnsi="Times New Roman" w:cs="Times New Roman"/>
          <w:i/>
          <w:iCs/>
          <w:color w:val="222222"/>
          <w:sz w:val="24"/>
          <w:szCs w:val="24"/>
          <w:shd w:val="clear" w:color="auto" w:fill="FFFFFF"/>
        </w:rPr>
        <w:t>Journal of Management Inquiry</w:t>
      </w:r>
      <w:r w:rsidRPr="00A51009">
        <w:rPr>
          <w:rFonts w:ascii="Times New Roman" w:hAnsi="Times New Roman" w:cs="Times New Roman"/>
          <w:color w:val="222222"/>
          <w:sz w:val="24"/>
          <w:szCs w:val="24"/>
          <w:shd w:val="clear" w:color="auto" w:fill="FFFFFF"/>
        </w:rPr>
        <w:t>, </w:t>
      </w:r>
      <w:r w:rsidRPr="00A51009">
        <w:rPr>
          <w:rFonts w:ascii="Times New Roman" w:hAnsi="Times New Roman" w:cs="Times New Roman"/>
          <w:i/>
          <w:iCs/>
          <w:color w:val="222222"/>
          <w:sz w:val="24"/>
          <w:szCs w:val="24"/>
          <w:shd w:val="clear" w:color="auto" w:fill="FFFFFF"/>
        </w:rPr>
        <w:t>30</w:t>
      </w:r>
      <w:r w:rsidRPr="00A51009">
        <w:rPr>
          <w:rFonts w:ascii="Times New Roman" w:hAnsi="Times New Roman" w:cs="Times New Roman"/>
          <w:color w:val="222222"/>
          <w:sz w:val="24"/>
          <w:szCs w:val="24"/>
          <w:shd w:val="clear" w:color="auto" w:fill="FFFFFF"/>
        </w:rPr>
        <w:t>(3), pp.259-272.</w:t>
      </w:r>
      <w:r w:rsidRPr="00A51009">
        <w:rPr>
          <w:rFonts w:ascii="Times New Roman" w:hAnsi="Times New Roman" w:cs="Times New Roman"/>
          <w:sz w:val="24"/>
          <w:szCs w:val="24"/>
        </w:rPr>
        <w:t xml:space="preserve"> </w:t>
      </w:r>
      <w:r w:rsidRPr="00A51009">
        <w:rPr>
          <w:rFonts w:ascii="Times New Roman" w:hAnsi="Times New Roman" w:cs="Times New Roman"/>
          <w:color w:val="222222"/>
          <w:sz w:val="24"/>
          <w:szCs w:val="24"/>
          <w:shd w:val="clear" w:color="auto" w:fill="FFFFFF"/>
        </w:rPr>
        <w:t>https://doi.org/10.1177/1056492619868025</w:t>
      </w:r>
    </w:p>
    <w:p w14:paraId="32AC0942" w14:textId="77777777" w:rsidR="003B06F5" w:rsidRDefault="003B06F5" w:rsidP="00AE5AE9">
      <w:pPr>
        <w:spacing w:line="360" w:lineRule="auto"/>
        <w:jc w:val="both"/>
        <w:rPr>
          <w:rFonts w:ascii="Times New Roman" w:hAnsi="Times New Roman" w:cs="Times New Roman"/>
          <w:sz w:val="24"/>
          <w:szCs w:val="24"/>
        </w:rPr>
      </w:pPr>
      <w:r w:rsidRPr="006C258A">
        <w:rPr>
          <w:rFonts w:ascii="Times New Roman" w:hAnsi="Times New Roman" w:cs="Times New Roman"/>
          <w:sz w:val="24"/>
          <w:szCs w:val="24"/>
        </w:rPr>
        <w:t>Leaver, N., 2019. Power and Resistance: A Foucauldian Analysis of Workplace Bullying and Harassment in the National Health Service (Doctoral dissertation, University of Manchester).</w:t>
      </w:r>
      <w:r w:rsidRPr="006C258A">
        <w:t xml:space="preserve"> </w:t>
      </w:r>
      <w:r w:rsidRPr="005C64F7">
        <w:rPr>
          <w:rFonts w:ascii="Times New Roman" w:hAnsi="Times New Roman" w:cs="Times New Roman"/>
          <w:sz w:val="24"/>
          <w:szCs w:val="24"/>
        </w:rPr>
        <w:t>https://research.manchester.ac.uk/files/85711511/FULL_TEXT.PDF</w:t>
      </w:r>
    </w:p>
    <w:p w14:paraId="0CEBEA05" w14:textId="77777777" w:rsidR="003B06F5" w:rsidRDefault="003B06F5" w:rsidP="004376DA">
      <w:pPr>
        <w:spacing w:line="360" w:lineRule="auto"/>
        <w:jc w:val="both"/>
        <w:rPr>
          <w:rFonts w:ascii="Times New Roman" w:hAnsi="Times New Roman" w:cs="Times New Roman"/>
          <w:sz w:val="24"/>
          <w:szCs w:val="24"/>
        </w:rPr>
      </w:pPr>
      <w:r w:rsidRPr="003B06F5">
        <w:rPr>
          <w:rFonts w:ascii="Times New Roman" w:hAnsi="Times New Roman" w:cs="Times New Roman"/>
          <w:sz w:val="24"/>
          <w:szCs w:val="24"/>
        </w:rPr>
        <w:t>Oakley, E. and Vaughan, S., 2019. In dependence: the paradox of professional independence and taking seriously the vulnerabilities of lawyers in large corporate law firms. Journal of Law and Society, 46(1), pp.83-111.</w:t>
      </w:r>
    </w:p>
    <w:p w14:paraId="517D6867" w14:textId="77777777" w:rsidR="003B06F5" w:rsidRDefault="003B06F5" w:rsidP="005C64F7">
      <w:pPr>
        <w:spacing w:line="360" w:lineRule="auto"/>
        <w:jc w:val="both"/>
        <w:rPr>
          <w:rFonts w:ascii="Times New Roman" w:hAnsi="Times New Roman" w:cs="Times New Roman"/>
          <w:color w:val="222222"/>
          <w:sz w:val="24"/>
          <w:szCs w:val="24"/>
          <w:shd w:val="clear" w:color="auto" w:fill="FFFFFF"/>
        </w:rPr>
      </w:pPr>
      <w:r w:rsidRPr="00A51009">
        <w:rPr>
          <w:rFonts w:ascii="Times New Roman" w:hAnsi="Times New Roman" w:cs="Times New Roman"/>
          <w:color w:val="222222"/>
          <w:sz w:val="24"/>
          <w:szCs w:val="24"/>
          <w:shd w:val="clear" w:color="auto" w:fill="FFFFFF"/>
        </w:rPr>
        <w:t>Rab, S., 2022. Regulation of the legal profession in the UK (England and Wales): overview.</w:t>
      </w:r>
      <w:r w:rsidRPr="00A51009">
        <w:rPr>
          <w:rFonts w:ascii="Times New Roman" w:hAnsi="Times New Roman" w:cs="Times New Roman"/>
          <w:sz w:val="24"/>
          <w:szCs w:val="24"/>
        </w:rPr>
        <w:t xml:space="preserve"> </w:t>
      </w:r>
      <w:r w:rsidRPr="00582724">
        <w:rPr>
          <w:rFonts w:ascii="Times New Roman" w:hAnsi="Times New Roman" w:cs="Times New Roman"/>
          <w:color w:val="222222"/>
          <w:sz w:val="24"/>
          <w:szCs w:val="24"/>
          <w:shd w:val="clear" w:color="auto" w:fill="FFFFFF"/>
        </w:rPr>
        <w:t>https://www.serlecourt.co.uk/images/uploads/documents/UK_7-633-7078.pdf</w:t>
      </w:r>
    </w:p>
    <w:p w14:paraId="531B2629" w14:textId="77777777" w:rsidR="003B06F5" w:rsidRDefault="003B06F5" w:rsidP="004376DA">
      <w:pPr>
        <w:spacing w:line="360" w:lineRule="auto"/>
        <w:jc w:val="both"/>
        <w:rPr>
          <w:rFonts w:ascii="Times New Roman" w:hAnsi="Times New Roman" w:cs="Times New Roman"/>
          <w:sz w:val="24"/>
          <w:szCs w:val="24"/>
        </w:rPr>
      </w:pPr>
      <w:r w:rsidRPr="00A51009">
        <w:rPr>
          <w:rFonts w:ascii="Times New Roman" w:hAnsi="Times New Roman" w:cs="Times New Roman"/>
          <w:color w:val="222222"/>
          <w:sz w:val="24"/>
          <w:szCs w:val="24"/>
          <w:shd w:val="clear" w:color="auto" w:fill="FFFFFF"/>
        </w:rPr>
        <w:t>Sánchez-Monedero, J., Dencik, L. and Edwards, L., 2020, January. What does it mean to'solve'the problem of discrimination in hiring? Social, technical and legal perspectives from the UK on automated hiring systems. In </w:t>
      </w:r>
      <w:r w:rsidRPr="00A51009">
        <w:rPr>
          <w:rFonts w:ascii="Times New Roman" w:hAnsi="Times New Roman" w:cs="Times New Roman"/>
          <w:i/>
          <w:iCs/>
          <w:color w:val="222222"/>
          <w:sz w:val="24"/>
          <w:szCs w:val="24"/>
          <w:shd w:val="clear" w:color="auto" w:fill="FFFFFF"/>
        </w:rPr>
        <w:t>Proceedings of the 2020 conference on fairness, accountability, and transparency</w:t>
      </w:r>
      <w:r w:rsidRPr="00A51009">
        <w:rPr>
          <w:rFonts w:ascii="Times New Roman" w:hAnsi="Times New Roman" w:cs="Times New Roman"/>
          <w:color w:val="222222"/>
          <w:sz w:val="24"/>
          <w:szCs w:val="24"/>
          <w:shd w:val="clear" w:color="auto" w:fill="FFFFFF"/>
        </w:rPr>
        <w:t> (pp. 458-468).</w:t>
      </w:r>
      <w:r w:rsidRPr="00A51009">
        <w:rPr>
          <w:rFonts w:ascii="Times New Roman" w:hAnsi="Times New Roman" w:cs="Times New Roman"/>
          <w:sz w:val="24"/>
          <w:szCs w:val="24"/>
        </w:rPr>
        <w:t>https://doi.org/10.1145/3351095.3372849</w:t>
      </w:r>
    </w:p>
    <w:sectPr w:rsidR="003B06F5" w:rsidSect="003B06F5">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1E7B0" w14:textId="77777777" w:rsidR="00835203" w:rsidRDefault="00835203" w:rsidP="00AE5AE9">
      <w:pPr>
        <w:spacing w:after="0" w:line="240" w:lineRule="auto"/>
      </w:pPr>
      <w:r>
        <w:separator/>
      </w:r>
    </w:p>
  </w:endnote>
  <w:endnote w:type="continuationSeparator" w:id="0">
    <w:p w14:paraId="6ABA4939" w14:textId="77777777" w:rsidR="00835203" w:rsidRDefault="00835203" w:rsidP="00AE5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507344"/>
      <w:docPartObj>
        <w:docPartGallery w:val="Page Numbers (Bottom of Page)"/>
        <w:docPartUnique/>
      </w:docPartObj>
    </w:sdtPr>
    <w:sdtEndPr>
      <w:rPr>
        <w:noProof/>
      </w:rPr>
    </w:sdtEndPr>
    <w:sdtContent>
      <w:p w14:paraId="728CF941" w14:textId="2DF36D9C" w:rsidR="00AE5AE9" w:rsidRDefault="00AE5AE9">
        <w:pPr>
          <w:pStyle w:val="Footer"/>
          <w:jc w:val="center"/>
        </w:pPr>
        <w:r>
          <w:fldChar w:fldCharType="begin"/>
        </w:r>
        <w:r>
          <w:instrText xml:space="preserve"> PAGE   \* MERGEFORMAT </w:instrText>
        </w:r>
        <w:r>
          <w:fldChar w:fldCharType="separate"/>
        </w:r>
        <w:r w:rsidR="006434E7">
          <w:rPr>
            <w:noProof/>
          </w:rPr>
          <w:t>6</w:t>
        </w:r>
        <w:r>
          <w:rPr>
            <w:noProof/>
          </w:rPr>
          <w:fldChar w:fldCharType="end"/>
        </w:r>
      </w:p>
    </w:sdtContent>
  </w:sdt>
  <w:p w14:paraId="25432182" w14:textId="77777777" w:rsidR="00AE5AE9" w:rsidRDefault="00AE5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745BF" w14:textId="77777777" w:rsidR="00835203" w:rsidRDefault="00835203" w:rsidP="00AE5AE9">
      <w:pPr>
        <w:spacing w:after="0" w:line="240" w:lineRule="auto"/>
      </w:pPr>
      <w:r>
        <w:separator/>
      </w:r>
    </w:p>
  </w:footnote>
  <w:footnote w:type="continuationSeparator" w:id="0">
    <w:p w14:paraId="57145C18" w14:textId="77777777" w:rsidR="00835203" w:rsidRDefault="00835203" w:rsidP="00AE5A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ezNLUwt7A0trQwMDNV0lEKTi0uzszPAykwrAUAbRQlNiwAAAA="/>
  </w:docVars>
  <w:rsids>
    <w:rsidRoot w:val="00AF61A7"/>
    <w:rsid w:val="00015E61"/>
    <w:rsid w:val="000F7B92"/>
    <w:rsid w:val="002B3402"/>
    <w:rsid w:val="002D7C56"/>
    <w:rsid w:val="00353916"/>
    <w:rsid w:val="003B06F5"/>
    <w:rsid w:val="003E1BD9"/>
    <w:rsid w:val="004376DA"/>
    <w:rsid w:val="005106D1"/>
    <w:rsid w:val="00582724"/>
    <w:rsid w:val="005C64F7"/>
    <w:rsid w:val="006434E7"/>
    <w:rsid w:val="00716FCF"/>
    <w:rsid w:val="007869BF"/>
    <w:rsid w:val="00802EB9"/>
    <w:rsid w:val="00835203"/>
    <w:rsid w:val="00867887"/>
    <w:rsid w:val="009C30A5"/>
    <w:rsid w:val="00AA0EBB"/>
    <w:rsid w:val="00AE5AE9"/>
    <w:rsid w:val="00AF61A7"/>
    <w:rsid w:val="00D54114"/>
    <w:rsid w:val="00F9794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2F4A9"/>
  <w15:chartTrackingRefBased/>
  <w15:docId w15:val="{70B8BBD8-D8E3-4898-A69A-FC551A5BE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AE9"/>
  </w:style>
  <w:style w:type="paragraph" w:styleId="Heading1">
    <w:name w:val="heading 1"/>
    <w:basedOn w:val="Normal"/>
    <w:next w:val="Normal"/>
    <w:link w:val="Heading1Char"/>
    <w:uiPriority w:val="9"/>
    <w:qFormat/>
    <w:rsid w:val="002B3402"/>
    <w:pPr>
      <w:keepNext/>
      <w:keepLines/>
      <w:spacing w:before="240" w:after="0" w:line="360" w:lineRule="auto"/>
      <w:jc w:val="both"/>
      <w:outlineLvl w:val="0"/>
    </w:pPr>
    <w:rPr>
      <w:rFonts w:asciiTheme="majorHAnsi" w:eastAsiaTheme="majorEastAsia" w:hAnsiTheme="majorHAnsi" w:cstheme="majorBidi"/>
      <w:b/>
      <w:sz w:val="28"/>
      <w:szCs w:val="32"/>
    </w:rPr>
  </w:style>
  <w:style w:type="paragraph" w:styleId="Heading2">
    <w:name w:val="heading 2"/>
    <w:basedOn w:val="Normal"/>
    <w:next w:val="Normal"/>
    <w:link w:val="Heading2Char"/>
    <w:uiPriority w:val="9"/>
    <w:semiHidden/>
    <w:unhideWhenUsed/>
    <w:qFormat/>
    <w:rsid w:val="002B3402"/>
    <w:pPr>
      <w:keepNext/>
      <w:keepLines/>
      <w:spacing w:before="40" w:after="0" w:line="360" w:lineRule="auto"/>
      <w:jc w:val="both"/>
      <w:outlineLvl w:val="1"/>
    </w:pPr>
    <w:rPr>
      <w:rFonts w:asciiTheme="majorHAnsi" w:eastAsiaTheme="majorEastAsia" w:hAnsiTheme="majorHAnsi"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3402"/>
    <w:rPr>
      <w:rFonts w:asciiTheme="majorHAnsi" w:eastAsiaTheme="majorEastAsia" w:hAnsiTheme="majorHAnsi" w:cstheme="majorBidi"/>
      <w:b/>
      <w:sz w:val="28"/>
      <w:szCs w:val="32"/>
    </w:rPr>
  </w:style>
  <w:style w:type="character" w:customStyle="1" w:styleId="Heading2Char">
    <w:name w:val="Heading 2 Char"/>
    <w:basedOn w:val="DefaultParagraphFont"/>
    <w:link w:val="Heading2"/>
    <w:uiPriority w:val="9"/>
    <w:semiHidden/>
    <w:rsid w:val="002B3402"/>
    <w:rPr>
      <w:rFonts w:asciiTheme="majorHAnsi" w:eastAsiaTheme="majorEastAsia" w:hAnsiTheme="majorHAnsi" w:cstheme="majorBidi"/>
      <w:b/>
      <w:sz w:val="26"/>
      <w:szCs w:val="26"/>
    </w:rPr>
  </w:style>
  <w:style w:type="paragraph" w:styleId="Header">
    <w:name w:val="header"/>
    <w:basedOn w:val="Normal"/>
    <w:link w:val="HeaderChar"/>
    <w:uiPriority w:val="99"/>
    <w:unhideWhenUsed/>
    <w:rsid w:val="00AE5A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5AE9"/>
  </w:style>
  <w:style w:type="paragraph" w:styleId="Footer">
    <w:name w:val="footer"/>
    <w:basedOn w:val="Normal"/>
    <w:link w:val="FooterChar"/>
    <w:uiPriority w:val="99"/>
    <w:unhideWhenUsed/>
    <w:rsid w:val="00AE5A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5AE9"/>
  </w:style>
  <w:style w:type="character" w:styleId="Hyperlink">
    <w:name w:val="Hyperlink"/>
    <w:basedOn w:val="DefaultParagraphFont"/>
    <w:uiPriority w:val="99"/>
    <w:unhideWhenUsed/>
    <w:rsid w:val="005C64F7"/>
    <w:rPr>
      <w:color w:val="0563C1" w:themeColor="hyperlink"/>
      <w:u w:val="single"/>
    </w:rPr>
  </w:style>
  <w:style w:type="character" w:customStyle="1" w:styleId="UnresolvedMention1">
    <w:name w:val="Unresolved Mention1"/>
    <w:basedOn w:val="DefaultParagraphFont"/>
    <w:uiPriority w:val="99"/>
    <w:semiHidden/>
    <w:unhideWhenUsed/>
    <w:rsid w:val="005C64F7"/>
    <w:rPr>
      <w:color w:val="605E5C"/>
      <w:shd w:val="clear" w:color="auto" w:fill="E1DFDD"/>
    </w:rPr>
  </w:style>
  <w:style w:type="paragraph" w:styleId="NoSpacing">
    <w:name w:val="No Spacing"/>
    <w:link w:val="NoSpacingChar"/>
    <w:uiPriority w:val="1"/>
    <w:qFormat/>
    <w:rsid w:val="003B06F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B06F5"/>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E7A983-9DCB-4922-8145-F546B0330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1776</Words>
  <Characters>10052</Characters>
  <Application>Microsoft Office Word</Application>
  <DocSecurity>0</DocSecurity>
  <Lines>160</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Equality and Diversity</dc:title>
  <dc:subject/>
  <dc:creator>Aritia Popescu</dc:creator>
  <cp:keywords/>
  <dc:description/>
  <cp:lastModifiedBy>Aritia Popescu</cp:lastModifiedBy>
  <cp:revision>2</cp:revision>
  <dcterms:created xsi:type="dcterms:W3CDTF">2023-05-05T17:43:00Z</dcterms:created>
  <dcterms:modified xsi:type="dcterms:W3CDTF">2023-05-05T17:43:00Z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4256c5768eaa0035531c6d0efd3277efa4184a61190e9acb1a3604da599281c8</vt:lpwstr>
  </property>
</Properties>
</file>