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92B6D" w14:textId="77777777" w:rsidR="00421BB4" w:rsidRPr="00FA5F86" w:rsidRDefault="00421BB4" w:rsidP="00421BB4">
      <w:pPr>
        <w:spacing w:line="360" w:lineRule="auto"/>
        <w:jc w:val="center"/>
        <w:outlineLvl w:val="0"/>
        <w:rPr>
          <w:b/>
          <w:sz w:val="28"/>
          <w:szCs w:val="28"/>
          <w:u w:val="single"/>
        </w:rPr>
      </w:pPr>
      <w:r w:rsidRPr="00FA5F86">
        <w:rPr>
          <w:b/>
          <w:sz w:val="28"/>
          <w:szCs w:val="28"/>
          <w:u w:val="single"/>
        </w:rPr>
        <w:t>ABSTRACT</w:t>
      </w:r>
    </w:p>
    <w:p w14:paraId="42E3CBF7" w14:textId="77777777" w:rsidR="00421BB4" w:rsidRPr="00FA5F86" w:rsidRDefault="00421BB4" w:rsidP="00421BB4">
      <w:pPr>
        <w:spacing w:line="360" w:lineRule="auto"/>
        <w:outlineLvl w:val="0"/>
        <w:rPr>
          <w:b/>
          <w:sz w:val="28"/>
          <w:szCs w:val="28"/>
          <w:u w:val="single"/>
        </w:rPr>
      </w:pPr>
    </w:p>
    <w:p w14:paraId="381494A1" w14:textId="77777777" w:rsidR="00421BB4" w:rsidRPr="00BF1755" w:rsidRDefault="00421BB4" w:rsidP="00421BB4">
      <w:pPr>
        <w:ind w:firstLine="720"/>
        <w:jc w:val="both"/>
        <w:rPr>
          <w:b/>
          <w:bCs/>
          <w:i/>
          <w:iCs/>
        </w:rPr>
      </w:pPr>
      <w:r w:rsidRPr="00BF1755">
        <w:t xml:space="preserve">Post 16 </w:t>
      </w:r>
      <w:r>
        <w:t xml:space="preserve">(P16) </w:t>
      </w:r>
      <w:r w:rsidRPr="00BF1755">
        <w:t>transitions</w:t>
      </w:r>
      <w:r>
        <w:t>,</w:t>
      </w:r>
      <w:r w:rsidRPr="00BF1755">
        <w:t xml:space="preserve"> whether that be</w:t>
      </w:r>
      <w:r>
        <w:t xml:space="preserve"> from key stage 4 (KS4)</w:t>
      </w:r>
      <w:r w:rsidRPr="00BF1755">
        <w:t xml:space="preserve"> to</w:t>
      </w:r>
      <w:r>
        <w:t xml:space="preserve"> sixth</w:t>
      </w:r>
      <w:r w:rsidRPr="00BF1755">
        <w:t xml:space="preserve"> </w:t>
      </w:r>
      <w:r>
        <w:t>f</w:t>
      </w:r>
      <w:r w:rsidRPr="00BF1755">
        <w:t>orm in a secondary school</w:t>
      </w:r>
      <w:r>
        <w:t xml:space="preserve"> or</w:t>
      </w:r>
      <w:r w:rsidRPr="00BF1755">
        <w:t xml:space="preserve"> </w:t>
      </w:r>
      <w:r>
        <w:t xml:space="preserve">from KS4 </w:t>
      </w:r>
      <w:r w:rsidRPr="00BF1755">
        <w:t>to a Further Education Institut</w:t>
      </w:r>
      <w:r>
        <w:t>ion</w:t>
      </w:r>
      <w:r w:rsidRPr="00BF1755">
        <w:t xml:space="preserve"> (FEI)</w:t>
      </w:r>
      <w:r>
        <w:t>;</w:t>
      </w:r>
      <w:r w:rsidRPr="00BF1755">
        <w:t xml:space="preserve"> from key stage five (KS5) to Higher Education Institut</w:t>
      </w:r>
      <w:r>
        <w:t>ion</w:t>
      </w:r>
      <w:r w:rsidRPr="00BF1755">
        <w:t xml:space="preserve"> (H</w:t>
      </w:r>
      <w:r>
        <w:t>E</w:t>
      </w:r>
      <w:r w:rsidRPr="00BF1755">
        <w:t>I)</w:t>
      </w:r>
      <w:r>
        <w:t>;</w:t>
      </w:r>
      <w:r w:rsidRPr="00BF1755">
        <w:t xml:space="preserve"> </w:t>
      </w:r>
      <w:r>
        <w:t xml:space="preserve">into </w:t>
      </w:r>
      <w:r w:rsidRPr="00BF1755">
        <w:t>work-based education and training or into the workforce</w:t>
      </w:r>
      <w:r>
        <w:t>,</w:t>
      </w:r>
      <w:r w:rsidRPr="00BF1755">
        <w:t xml:space="preserve"> can present many challenges for </w:t>
      </w:r>
      <w:r>
        <w:t xml:space="preserve">young people (YP), </w:t>
      </w:r>
      <w:r w:rsidRPr="00BF1755">
        <w:t xml:space="preserve">teachers and parents </w:t>
      </w:r>
      <w:r w:rsidRPr="00BF59A2">
        <w:t>(Welsh Governmen</w:t>
      </w:r>
      <w:r>
        <w:t>t WG</w:t>
      </w:r>
      <w:r w:rsidRPr="00BF59A2">
        <w:t xml:space="preserve"> 202</w:t>
      </w:r>
      <w:r>
        <w:t>1a</w:t>
      </w:r>
      <w:r w:rsidRPr="00BF59A2">
        <w:t xml:space="preserve">). </w:t>
      </w:r>
      <w:r w:rsidRPr="00BF1755">
        <w:t>This study was carried out to investigate these</w:t>
      </w:r>
      <w:r>
        <w:t xml:space="preserve"> potential</w:t>
      </w:r>
      <w:r w:rsidRPr="00BF1755">
        <w:t xml:space="preserve"> </w:t>
      </w:r>
      <w:r>
        <w:t xml:space="preserve">transition </w:t>
      </w:r>
      <w:r w:rsidRPr="00BF1755">
        <w:t>challenges for</w:t>
      </w:r>
      <w:r>
        <w:t xml:space="preserve"> three pupils</w:t>
      </w:r>
      <w:r w:rsidRPr="00BF1755">
        <w:t xml:space="preserve"> from three different secondary schools</w:t>
      </w:r>
      <w:r>
        <w:t xml:space="preserve"> within the same Local Authority (LA)</w:t>
      </w:r>
      <w:r w:rsidRPr="00BF1755">
        <w:t xml:space="preserve"> in</w:t>
      </w:r>
      <w:r>
        <w:t xml:space="preserve"> Southwest</w:t>
      </w:r>
      <w:r w:rsidRPr="00BF1755">
        <w:t xml:space="preserve"> Wales</w:t>
      </w:r>
      <w:r>
        <w:t>, with a focus on wellbeing</w:t>
      </w:r>
      <w:r w:rsidRPr="00BF1755">
        <w:t>. Qualitative and quantitative data were collected</w:t>
      </w:r>
      <w:r>
        <w:t xml:space="preserve"> using a case study approach</w:t>
      </w:r>
      <w:r w:rsidRPr="00BF1755">
        <w:t xml:space="preserve"> from the </w:t>
      </w:r>
      <w:r>
        <w:t>YP</w:t>
      </w:r>
      <w:r w:rsidRPr="00BF1755">
        <w:t xml:space="preserve"> through</w:t>
      </w:r>
      <w:r>
        <w:t xml:space="preserve"> a</w:t>
      </w:r>
      <w:r w:rsidRPr="00BF1755">
        <w:t xml:space="preserve"> questionnaire and</w:t>
      </w:r>
      <w:r>
        <w:t xml:space="preserve"> semi structured</w:t>
      </w:r>
      <w:r w:rsidRPr="00BF1755">
        <w:t xml:space="preserve"> interview</w:t>
      </w:r>
      <w:r>
        <w:t>,</w:t>
      </w:r>
      <w:r w:rsidRPr="00BF1755">
        <w:t xml:space="preserve"> post transition. Particular attention was paid to</w:t>
      </w:r>
      <w:r>
        <w:t xml:space="preserve"> transition and well</w:t>
      </w:r>
      <w:r w:rsidRPr="00BF1755">
        <w:t>being practices</w:t>
      </w:r>
      <w:r>
        <w:t xml:space="preserve"> </w:t>
      </w:r>
      <w:r w:rsidRPr="00BF1755">
        <w:t>and student preparedness</w:t>
      </w:r>
      <w:r>
        <w:t>. The study pays particular attention to the</w:t>
      </w:r>
      <w:r w:rsidRPr="00BF1755">
        <w:t xml:space="preserve"> kinds of wellbeing support provided </w:t>
      </w:r>
      <w:r>
        <w:t>to</w:t>
      </w:r>
      <w:r w:rsidRPr="00BF1755">
        <w:t xml:space="preserve"> the students prior</w:t>
      </w:r>
      <w:r>
        <w:t xml:space="preserve"> to their</w:t>
      </w:r>
      <w:r w:rsidRPr="00BF1755">
        <w:t xml:space="preserve"> transition</w:t>
      </w:r>
      <w:r>
        <w:t xml:space="preserve"> and aimed to investigate opportunities for advancement in wellbeing support during P16 transitions.</w:t>
      </w:r>
      <w:r w:rsidRPr="00BF1755">
        <w:t xml:space="preserve"> </w:t>
      </w:r>
      <w:r w:rsidRPr="00BF1755">
        <w:rPr>
          <w:rFonts w:eastAsiaTheme="minorHAnsi"/>
          <w:lang w:eastAsia="en-US"/>
        </w:rPr>
        <w:t xml:space="preserve"> </w:t>
      </w:r>
      <w:r>
        <w:rPr>
          <w:rFonts w:eastAsiaTheme="minorHAnsi"/>
          <w:lang w:eastAsia="en-US"/>
        </w:rPr>
        <w:t>Findings from t</w:t>
      </w:r>
      <w:r w:rsidRPr="00BF1755">
        <w:rPr>
          <w:rFonts w:eastAsiaTheme="minorHAnsi"/>
          <w:lang w:eastAsia="en-US"/>
        </w:rPr>
        <w:t>his research show that when</w:t>
      </w:r>
      <w:r>
        <w:rPr>
          <w:rFonts w:eastAsiaTheme="minorHAnsi"/>
          <w:lang w:eastAsia="en-US"/>
        </w:rPr>
        <w:t xml:space="preserve"> P16</w:t>
      </w:r>
      <w:r w:rsidRPr="00BF1755">
        <w:rPr>
          <w:rFonts w:eastAsiaTheme="minorHAnsi"/>
          <w:lang w:eastAsia="en-US"/>
        </w:rPr>
        <w:t xml:space="preserve"> transition support is planned and delivered holistically, through a person centred and </w:t>
      </w:r>
      <w:r w:rsidRPr="003A7CB4">
        <w:rPr>
          <w:rFonts w:eastAsiaTheme="minorHAnsi"/>
          <w:lang w:eastAsia="en-US"/>
        </w:rPr>
        <w:t>experiential</w:t>
      </w:r>
      <w:r>
        <w:rPr>
          <w:rFonts w:eastAsiaTheme="minorHAnsi"/>
          <w:lang w:eastAsia="en-US"/>
        </w:rPr>
        <w:t xml:space="preserve"> learning</w:t>
      </w:r>
      <w:r w:rsidRPr="00BF1755">
        <w:rPr>
          <w:rFonts w:eastAsiaTheme="minorHAnsi"/>
          <w:lang w:eastAsia="en-US"/>
        </w:rPr>
        <w:t xml:space="preserve"> approach, </w:t>
      </w:r>
      <w:r>
        <w:rPr>
          <w:rFonts w:eastAsiaTheme="minorHAnsi"/>
          <w:lang w:eastAsia="en-US"/>
        </w:rPr>
        <w:t>YP’s overall wellbeing</w:t>
      </w:r>
      <w:r w:rsidRPr="00BF1755">
        <w:rPr>
          <w:rFonts w:eastAsiaTheme="minorHAnsi"/>
          <w:lang w:eastAsia="en-US"/>
        </w:rPr>
        <w:t xml:space="preserve"> benefit</w:t>
      </w:r>
      <w:r>
        <w:rPr>
          <w:rFonts w:eastAsiaTheme="minorHAnsi"/>
          <w:lang w:eastAsia="en-US"/>
        </w:rPr>
        <w:t>s</w:t>
      </w:r>
      <w:r w:rsidRPr="00BF1755">
        <w:rPr>
          <w:rFonts w:eastAsiaTheme="minorHAnsi"/>
          <w:lang w:eastAsia="en-US"/>
        </w:rPr>
        <w:t xml:space="preserve"> by</w:t>
      </w:r>
      <w:r>
        <w:rPr>
          <w:rFonts w:eastAsiaTheme="minorHAnsi"/>
          <w:lang w:eastAsia="en-US"/>
        </w:rPr>
        <w:t>, not only</w:t>
      </w:r>
      <w:r w:rsidRPr="00BF1755">
        <w:rPr>
          <w:rFonts w:eastAsiaTheme="minorHAnsi"/>
          <w:lang w:eastAsia="en-US"/>
        </w:rPr>
        <w:t xml:space="preserve"> </w:t>
      </w:r>
      <w:r>
        <w:rPr>
          <w:rFonts w:eastAsiaTheme="minorHAnsi"/>
          <w:lang w:eastAsia="en-US"/>
        </w:rPr>
        <w:t>experiencing a</w:t>
      </w:r>
      <w:r w:rsidRPr="00BF1755">
        <w:rPr>
          <w:rFonts w:eastAsiaTheme="minorHAnsi"/>
          <w:lang w:eastAsia="en-US"/>
        </w:rPr>
        <w:t xml:space="preserve"> more positive transition</w:t>
      </w:r>
      <w:r>
        <w:rPr>
          <w:rFonts w:eastAsiaTheme="minorHAnsi"/>
          <w:lang w:eastAsia="en-US"/>
        </w:rPr>
        <w:t xml:space="preserve"> but also enhancing resilience and, in turn, engagement and retention.</w:t>
      </w:r>
    </w:p>
    <w:p w14:paraId="0896AC6C" w14:textId="77777777" w:rsidR="00421BB4" w:rsidRPr="00BF1755" w:rsidRDefault="00421BB4" w:rsidP="00421BB4">
      <w:pPr>
        <w:spacing w:line="360" w:lineRule="auto"/>
        <w:jc w:val="both"/>
        <w:outlineLvl w:val="0"/>
        <w:rPr>
          <w:b/>
          <w:u w:val="single"/>
        </w:rPr>
      </w:pPr>
      <w:bookmarkStart w:id="0" w:name="_Toc45110160"/>
    </w:p>
    <w:p w14:paraId="17616D19" w14:textId="77777777" w:rsidR="00421BB4" w:rsidRPr="00BF1755" w:rsidRDefault="00421BB4" w:rsidP="00421BB4">
      <w:pPr>
        <w:spacing w:line="360" w:lineRule="auto"/>
        <w:outlineLvl w:val="0"/>
        <w:rPr>
          <w:b/>
          <w:u w:val="single"/>
        </w:rPr>
      </w:pPr>
    </w:p>
    <w:p w14:paraId="0FA324F6" w14:textId="77777777" w:rsidR="00421BB4" w:rsidRPr="00BF1755" w:rsidRDefault="00421BB4" w:rsidP="00421BB4">
      <w:pPr>
        <w:spacing w:line="360" w:lineRule="auto"/>
        <w:outlineLvl w:val="0"/>
        <w:rPr>
          <w:bCs/>
          <w:i/>
          <w:iCs/>
        </w:rPr>
      </w:pPr>
      <w:r w:rsidRPr="00BF1755">
        <w:rPr>
          <w:bCs/>
          <w:i/>
          <w:iCs/>
        </w:rPr>
        <w:t xml:space="preserve">Keywords: </w:t>
      </w:r>
      <w:r>
        <w:rPr>
          <w:bCs/>
          <w:i/>
          <w:iCs/>
        </w:rPr>
        <w:t>t</w:t>
      </w:r>
      <w:r w:rsidRPr="00BF1755">
        <w:rPr>
          <w:bCs/>
          <w:i/>
          <w:iCs/>
        </w:rPr>
        <w:t>ransition</w:t>
      </w:r>
      <w:r>
        <w:rPr>
          <w:bCs/>
          <w:i/>
          <w:iCs/>
        </w:rPr>
        <w:t>;</w:t>
      </w:r>
      <w:r w:rsidRPr="00BF1755">
        <w:rPr>
          <w:bCs/>
          <w:i/>
          <w:iCs/>
        </w:rPr>
        <w:t xml:space="preserve"> </w:t>
      </w:r>
      <w:r>
        <w:rPr>
          <w:bCs/>
          <w:i/>
          <w:iCs/>
        </w:rPr>
        <w:t xml:space="preserve">social and emotional </w:t>
      </w:r>
      <w:r w:rsidRPr="00BF1755">
        <w:rPr>
          <w:bCs/>
          <w:i/>
          <w:iCs/>
        </w:rPr>
        <w:t>wellbeing</w:t>
      </w:r>
      <w:r>
        <w:rPr>
          <w:bCs/>
          <w:i/>
          <w:iCs/>
        </w:rPr>
        <w:t xml:space="preserve">; post 16; pupil voice; resilience. </w:t>
      </w:r>
      <w:r w:rsidRPr="00BF1755">
        <w:rPr>
          <w:bCs/>
          <w:i/>
          <w:iCs/>
        </w:rPr>
        <w:t xml:space="preserve"> </w:t>
      </w:r>
    </w:p>
    <w:p w14:paraId="00CDB2C9" w14:textId="77777777" w:rsidR="00421BB4" w:rsidRPr="00BF1755" w:rsidRDefault="00421BB4" w:rsidP="00421BB4">
      <w:pPr>
        <w:spacing w:line="360" w:lineRule="auto"/>
        <w:outlineLvl w:val="0"/>
        <w:rPr>
          <w:b/>
          <w:u w:val="single"/>
        </w:rPr>
      </w:pPr>
    </w:p>
    <w:p w14:paraId="6E506C15" w14:textId="77777777" w:rsidR="00421BB4" w:rsidRDefault="00421BB4" w:rsidP="00421BB4">
      <w:pPr>
        <w:spacing w:line="360" w:lineRule="auto"/>
        <w:outlineLvl w:val="0"/>
        <w:rPr>
          <w:b/>
          <w:sz w:val="28"/>
          <w:szCs w:val="28"/>
          <w:u w:val="single"/>
        </w:rPr>
      </w:pPr>
    </w:p>
    <w:p w14:paraId="1E4F6222" w14:textId="77777777" w:rsidR="00421BB4" w:rsidRDefault="00421BB4" w:rsidP="00421BB4">
      <w:pPr>
        <w:spacing w:line="360" w:lineRule="auto"/>
        <w:outlineLvl w:val="0"/>
        <w:rPr>
          <w:b/>
          <w:sz w:val="28"/>
          <w:szCs w:val="28"/>
          <w:u w:val="single"/>
        </w:rPr>
      </w:pPr>
    </w:p>
    <w:p w14:paraId="66748525" w14:textId="77777777" w:rsidR="00421BB4" w:rsidRDefault="00421BB4" w:rsidP="00421BB4">
      <w:pPr>
        <w:spacing w:line="360" w:lineRule="auto"/>
        <w:outlineLvl w:val="0"/>
        <w:rPr>
          <w:b/>
          <w:sz w:val="28"/>
          <w:szCs w:val="28"/>
          <w:u w:val="single"/>
        </w:rPr>
      </w:pPr>
    </w:p>
    <w:p w14:paraId="1F24D1A2" w14:textId="77777777" w:rsidR="00421BB4" w:rsidRDefault="00421BB4" w:rsidP="00421BB4">
      <w:pPr>
        <w:spacing w:line="360" w:lineRule="auto"/>
        <w:outlineLvl w:val="0"/>
        <w:rPr>
          <w:b/>
          <w:sz w:val="28"/>
          <w:szCs w:val="28"/>
          <w:u w:val="single"/>
        </w:rPr>
      </w:pPr>
    </w:p>
    <w:p w14:paraId="628AEA9F" w14:textId="77777777" w:rsidR="00421BB4" w:rsidRDefault="00421BB4" w:rsidP="00421BB4">
      <w:pPr>
        <w:spacing w:line="360" w:lineRule="auto"/>
        <w:outlineLvl w:val="0"/>
        <w:rPr>
          <w:b/>
          <w:sz w:val="28"/>
          <w:szCs w:val="28"/>
          <w:u w:val="single"/>
        </w:rPr>
      </w:pPr>
    </w:p>
    <w:p w14:paraId="0657CD80" w14:textId="77777777" w:rsidR="00421BB4" w:rsidRDefault="00421BB4" w:rsidP="00421BB4">
      <w:pPr>
        <w:spacing w:line="360" w:lineRule="auto"/>
        <w:outlineLvl w:val="0"/>
        <w:rPr>
          <w:b/>
          <w:sz w:val="28"/>
          <w:szCs w:val="28"/>
          <w:u w:val="single"/>
        </w:rPr>
      </w:pPr>
    </w:p>
    <w:p w14:paraId="71736503" w14:textId="77777777" w:rsidR="00421BB4" w:rsidRDefault="00421BB4" w:rsidP="00421BB4">
      <w:pPr>
        <w:spacing w:line="360" w:lineRule="auto"/>
        <w:outlineLvl w:val="0"/>
        <w:rPr>
          <w:b/>
          <w:sz w:val="28"/>
          <w:szCs w:val="28"/>
          <w:u w:val="single"/>
        </w:rPr>
      </w:pPr>
    </w:p>
    <w:p w14:paraId="72F72929" w14:textId="77777777" w:rsidR="00421BB4" w:rsidRDefault="00421BB4" w:rsidP="00421BB4">
      <w:pPr>
        <w:spacing w:line="360" w:lineRule="auto"/>
        <w:outlineLvl w:val="0"/>
        <w:rPr>
          <w:b/>
          <w:sz w:val="28"/>
          <w:szCs w:val="28"/>
          <w:u w:val="single"/>
        </w:rPr>
      </w:pPr>
    </w:p>
    <w:p w14:paraId="0EF2FA84" w14:textId="77777777" w:rsidR="00421BB4" w:rsidRDefault="00421BB4" w:rsidP="00421BB4">
      <w:pPr>
        <w:spacing w:line="360" w:lineRule="auto"/>
        <w:outlineLvl w:val="0"/>
        <w:rPr>
          <w:b/>
          <w:sz w:val="28"/>
          <w:szCs w:val="28"/>
          <w:u w:val="single"/>
        </w:rPr>
      </w:pPr>
    </w:p>
    <w:p w14:paraId="1A814DBB" w14:textId="77777777" w:rsidR="00421BB4" w:rsidRDefault="00421BB4" w:rsidP="00421BB4">
      <w:pPr>
        <w:spacing w:line="360" w:lineRule="auto"/>
        <w:outlineLvl w:val="0"/>
        <w:rPr>
          <w:b/>
          <w:sz w:val="28"/>
          <w:szCs w:val="28"/>
          <w:u w:val="single"/>
        </w:rPr>
      </w:pPr>
    </w:p>
    <w:p w14:paraId="6D8FC61D" w14:textId="77777777" w:rsidR="00421BB4" w:rsidRDefault="00421BB4" w:rsidP="00421BB4">
      <w:pPr>
        <w:spacing w:line="360" w:lineRule="auto"/>
        <w:outlineLvl w:val="0"/>
        <w:rPr>
          <w:b/>
          <w:sz w:val="28"/>
          <w:szCs w:val="28"/>
          <w:u w:val="single"/>
        </w:rPr>
      </w:pPr>
    </w:p>
    <w:p w14:paraId="3FB035CE" w14:textId="77777777" w:rsidR="00421BB4" w:rsidRDefault="00421BB4" w:rsidP="00421BB4">
      <w:pPr>
        <w:spacing w:line="360" w:lineRule="auto"/>
        <w:outlineLvl w:val="0"/>
        <w:rPr>
          <w:b/>
          <w:sz w:val="28"/>
          <w:szCs w:val="28"/>
          <w:u w:val="single"/>
        </w:rPr>
      </w:pPr>
    </w:p>
    <w:p w14:paraId="660CEFA2" w14:textId="77777777" w:rsidR="00421BB4" w:rsidRDefault="00421BB4" w:rsidP="00421BB4">
      <w:pPr>
        <w:spacing w:line="360" w:lineRule="auto"/>
        <w:outlineLvl w:val="0"/>
        <w:rPr>
          <w:b/>
          <w:sz w:val="28"/>
          <w:szCs w:val="28"/>
          <w:u w:val="single"/>
        </w:rPr>
      </w:pPr>
    </w:p>
    <w:p w14:paraId="195204DA" w14:textId="77777777" w:rsidR="00421BB4" w:rsidRDefault="00421BB4" w:rsidP="00421BB4">
      <w:pPr>
        <w:spacing w:line="360" w:lineRule="auto"/>
        <w:jc w:val="center"/>
        <w:outlineLvl w:val="0"/>
        <w:rPr>
          <w:b/>
          <w:sz w:val="28"/>
          <w:szCs w:val="28"/>
          <w:u w:val="single"/>
        </w:rPr>
      </w:pPr>
    </w:p>
    <w:p w14:paraId="7A90E15B" w14:textId="77777777" w:rsidR="00421BB4" w:rsidRDefault="00421BB4" w:rsidP="00421BB4">
      <w:pPr>
        <w:spacing w:line="360" w:lineRule="auto"/>
        <w:jc w:val="center"/>
        <w:outlineLvl w:val="0"/>
        <w:rPr>
          <w:b/>
          <w:sz w:val="28"/>
          <w:szCs w:val="28"/>
          <w:u w:val="single"/>
        </w:rPr>
      </w:pPr>
      <w:bookmarkStart w:id="1" w:name="CHAPTER1INTRODUCTION"/>
      <w:r>
        <w:rPr>
          <w:b/>
          <w:sz w:val="28"/>
          <w:szCs w:val="28"/>
          <w:u w:val="single"/>
        </w:rPr>
        <w:lastRenderedPageBreak/>
        <w:t>CHAPTER 1</w:t>
      </w:r>
    </w:p>
    <w:p w14:paraId="232248CF" w14:textId="77777777" w:rsidR="00421BB4" w:rsidRPr="005C50BF" w:rsidRDefault="00421BB4" w:rsidP="00421BB4">
      <w:pPr>
        <w:spacing w:line="360" w:lineRule="auto"/>
        <w:jc w:val="center"/>
        <w:outlineLvl w:val="0"/>
        <w:rPr>
          <w:b/>
          <w:sz w:val="28"/>
          <w:szCs w:val="28"/>
          <w:u w:val="single"/>
        </w:rPr>
      </w:pPr>
      <w:r w:rsidRPr="00FA5F86">
        <w:rPr>
          <w:b/>
          <w:sz w:val="28"/>
          <w:szCs w:val="28"/>
          <w:u w:val="single"/>
        </w:rPr>
        <w:t>INTRODUCTION</w:t>
      </w:r>
      <w:bookmarkEnd w:id="0"/>
    </w:p>
    <w:bookmarkEnd w:id="1"/>
    <w:p w14:paraId="755004A3" w14:textId="77777777" w:rsidR="00421BB4" w:rsidRDefault="00421BB4" w:rsidP="00421BB4">
      <w:pPr>
        <w:pStyle w:val="NormalWeb"/>
        <w:shd w:val="clear" w:color="auto" w:fill="FFFFFF"/>
        <w:spacing w:before="0" w:beforeAutospacing="0" w:after="300" w:afterAutospacing="0" w:line="360" w:lineRule="auto"/>
        <w:ind w:firstLine="720"/>
        <w:jc w:val="both"/>
        <w:rPr>
          <w:color w:val="312B39"/>
        </w:rPr>
      </w:pPr>
      <w:r>
        <w:t xml:space="preserve">Transitions for children and young people (CYP) take place in many forms. Traditionally and more commonly, when transition is discussed in education, it is considered as a move to a new space. These types of transitions are known as vertical transitions as often they are referred to as ‘moving up’ (Packer 2021; and </w:t>
      </w:r>
      <w:r w:rsidRPr="00BF59A2">
        <w:rPr>
          <w:rFonts w:eastAsiaTheme="minorHAnsi"/>
          <w:lang w:eastAsia="en-US"/>
        </w:rPr>
        <w:t>Vogler, P</w:t>
      </w:r>
      <w:r>
        <w:rPr>
          <w:rFonts w:eastAsiaTheme="minorHAnsi"/>
          <w:lang w:eastAsia="en-US"/>
        </w:rPr>
        <w:t>,</w:t>
      </w:r>
      <w:r w:rsidRPr="00BF59A2">
        <w:rPr>
          <w:rFonts w:eastAsiaTheme="minorHAnsi"/>
          <w:lang w:eastAsia="en-US"/>
        </w:rPr>
        <w:t xml:space="preserve"> Crivello, G and Woodhead, M</w:t>
      </w:r>
      <w:r w:rsidRPr="00BF1755">
        <w:rPr>
          <w:i/>
          <w:iCs/>
          <w:color w:val="312B39"/>
        </w:rPr>
        <w:t>.</w:t>
      </w:r>
      <w:r w:rsidRPr="00660253">
        <w:rPr>
          <w:color w:val="312B39"/>
        </w:rPr>
        <w:t xml:space="preserve"> 2008)</w:t>
      </w:r>
      <w:r>
        <w:rPr>
          <w:color w:val="312B39"/>
        </w:rPr>
        <w:t xml:space="preserve">. As well as vertical transitions, Vogler </w:t>
      </w:r>
      <w:r w:rsidRPr="007D1776">
        <w:rPr>
          <w:i/>
          <w:iCs/>
          <w:color w:val="312B39"/>
        </w:rPr>
        <w:t>et al</w:t>
      </w:r>
      <w:r>
        <w:rPr>
          <w:color w:val="312B39"/>
        </w:rPr>
        <w:t xml:space="preserve"> (2008) articulate that </w:t>
      </w:r>
      <w:r w:rsidRPr="00660253">
        <w:rPr>
          <w:color w:val="312B39"/>
        </w:rPr>
        <w:t>movement, or a change in routine</w:t>
      </w:r>
      <w:r>
        <w:rPr>
          <w:color w:val="312B39"/>
        </w:rPr>
        <w:t>, such as from classroom to the school yard</w:t>
      </w:r>
      <w:r w:rsidRPr="000D3AE9">
        <w:rPr>
          <w:color w:val="312B39"/>
        </w:rPr>
        <w:t xml:space="preserve"> </w:t>
      </w:r>
      <w:r w:rsidRPr="00660253">
        <w:rPr>
          <w:color w:val="312B39"/>
        </w:rPr>
        <w:t>occur daily</w:t>
      </w:r>
      <w:r>
        <w:rPr>
          <w:color w:val="312B39"/>
        </w:rPr>
        <w:t xml:space="preserve"> for CYP</w:t>
      </w:r>
      <w:r>
        <w:t>, and these are</w:t>
      </w:r>
      <w:r w:rsidRPr="005658B3">
        <w:rPr>
          <w:color w:val="312B39"/>
        </w:rPr>
        <w:t xml:space="preserve"> </w:t>
      </w:r>
      <w:r>
        <w:rPr>
          <w:color w:val="312B39"/>
        </w:rPr>
        <w:t>known as horizontal transitions</w:t>
      </w:r>
      <w:r w:rsidRPr="004864DE">
        <w:t xml:space="preserve">. </w:t>
      </w:r>
      <w:r>
        <w:rPr>
          <w:color w:val="312B39"/>
        </w:rPr>
        <w:t xml:space="preserve">Additionally, and arguably less recognised, is the </w:t>
      </w:r>
      <w:r w:rsidRPr="00660253">
        <w:rPr>
          <w:color w:val="312B39"/>
        </w:rPr>
        <w:t xml:space="preserve">third type of transition called </w:t>
      </w:r>
      <w:r>
        <w:rPr>
          <w:color w:val="312B39"/>
        </w:rPr>
        <w:t>‘</w:t>
      </w:r>
      <w:r w:rsidRPr="00660253">
        <w:rPr>
          <w:color w:val="312B39"/>
        </w:rPr>
        <w:t>education-associated transitio</w:t>
      </w:r>
      <w:r>
        <w:rPr>
          <w:color w:val="312B39"/>
        </w:rPr>
        <w:t xml:space="preserve">n’ which refers to </w:t>
      </w:r>
      <w:r w:rsidRPr="00660253">
        <w:rPr>
          <w:color w:val="312B39"/>
        </w:rPr>
        <w:t xml:space="preserve">less formal changes and routines that occur outside </w:t>
      </w:r>
      <w:r>
        <w:rPr>
          <w:color w:val="312B39"/>
        </w:rPr>
        <w:t xml:space="preserve">of school, such as bereavement, but can affect and shape CYP’s lives and overall wellbeing (Vogler </w:t>
      </w:r>
      <w:r w:rsidRPr="00BF1755">
        <w:rPr>
          <w:i/>
          <w:iCs/>
          <w:color w:val="312B39"/>
        </w:rPr>
        <w:t>et al.</w:t>
      </w:r>
      <w:r>
        <w:rPr>
          <w:color w:val="312B39"/>
        </w:rPr>
        <w:t xml:space="preserve"> 2008)</w:t>
      </w:r>
      <w:r w:rsidRPr="00660253">
        <w:rPr>
          <w:color w:val="312B39"/>
        </w:rPr>
        <w:t>.</w:t>
      </w:r>
      <w:r>
        <w:rPr>
          <w:color w:val="312B39"/>
        </w:rPr>
        <w:t xml:space="preserve"> The common rhetoric surrounding the topic of transition in schools today in Wales may be deemed as one dimensional, rather than viewed an evolving process that is multi layered and complex in nature </w:t>
      </w:r>
      <w:r w:rsidRPr="00D432C8">
        <w:rPr>
          <w:color w:val="333333"/>
        </w:rPr>
        <w:t>(Downes, Nairz-Wirth, and Anderson</w:t>
      </w:r>
      <w:r>
        <w:rPr>
          <w:color w:val="333333"/>
        </w:rPr>
        <w:t xml:space="preserve"> 2018</w:t>
      </w:r>
      <w:r w:rsidRPr="00D432C8">
        <w:rPr>
          <w:color w:val="333333"/>
        </w:rPr>
        <w:t>).</w:t>
      </w:r>
    </w:p>
    <w:p w14:paraId="19CEE072" w14:textId="77777777" w:rsidR="00421BB4" w:rsidRDefault="00421BB4" w:rsidP="00421BB4">
      <w:pPr>
        <w:pStyle w:val="NormalWeb"/>
        <w:shd w:val="clear" w:color="auto" w:fill="FFFFFF"/>
        <w:spacing w:before="0" w:beforeAutospacing="0" w:after="300" w:afterAutospacing="0" w:line="360" w:lineRule="auto"/>
        <w:ind w:firstLine="720"/>
        <w:jc w:val="both"/>
      </w:pPr>
      <w:r w:rsidRPr="00BF1755">
        <w:t>In Wales, pupils commonly experience three</w:t>
      </w:r>
      <w:r>
        <w:t xml:space="preserve"> main </w:t>
      </w:r>
      <w:r w:rsidRPr="00BF1755">
        <w:t>transitions in their education</w:t>
      </w:r>
      <w:r>
        <w:t xml:space="preserve">al journey and vertical transition continues to dominate the discourse surrounding the topic of transitions in schools (Vogler </w:t>
      </w:r>
      <w:r w:rsidRPr="006C2C5C">
        <w:rPr>
          <w:i/>
          <w:iCs/>
        </w:rPr>
        <w:t>et al</w:t>
      </w:r>
      <w:r>
        <w:t xml:space="preserve"> 2008 and Packer 2021). </w:t>
      </w:r>
      <w:r w:rsidRPr="00BF1755">
        <w:t>These</w:t>
      </w:r>
      <w:r>
        <w:t xml:space="preserve"> </w:t>
      </w:r>
      <w:r w:rsidRPr="00BF1755">
        <w:t>are from early childhood education services to school at five years of age</w:t>
      </w:r>
      <w:r>
        <w:t>;</w:t>
      </w:r>
      <w:r w:rsidRPr="00BF1755">
        <w:t xml:space="preserve"> Year 6 at eleven years of age into Year 7 at a secondary school, and </w:t>
      </w:r>
      <w:r>
        <w:t>Post 16 transition (</w:t>
      </w:r>
      <w:r w:rsidRPr="00BF1755">
        <w:t>P</w:t>
      </w:r>
      <w:r>
        <w:t>16)</w:t>
      </w:r>
      <w:r w:rsidRPr="00BF1755">
        <w:t xml:space="preserve"> </w:t>
      </w:r>
      <w:r>
        <w:t>in</w:t>
      </w:r>
      <w:r w:rsidRPr="00BF1755">
        <w:t xml:space="preserve"> Year 11 at sixteen years of age. P16 transitions can lead to</w:t>
      </w:r>
      <w:r>
        <w:t xml:space="preserve"> various</w:t>
      </w:r>
      <w:r w:rsidRPr="00BF1755">
        <w:t xml:space="preserve"> pathways and </w:t>
      </w:r>
      <w:r>
        <w:t>the</w:t>
      </w:r>
      <w:r w:rsidRPr="00BF1755">
        <w:t xml:space="preserve"> most common in Wales </w:t>
      </w:r>
      <w:r>
        <w:t xml:space="preserve">include </w:t>
      </w:r>
      <w:r w:rsidRPr="00BF1755">
        <w:t xml:space="preserve">into </w:t>
      </w:r>
      <w:r>
        <w:t>KS5 (Key Stage 5)</w:t>
      </w:r>
      <w:r w:rsidRPr="00BF1755">
        <w:t xml:space="preserve"> within </w:t>
      </w:r>
      <w:r>
        <w:t>sixth form at a</w:t>
      </w:r>
      <w:r w:rsidRPr="00BF1755">
        <w:t xml:space="preserve"> </w:t>
      </w:r>
      <w:r>
        <w:t xml:space="preserve">secondary </w:t>
      </w:r>
      <w:r w:rsidRPr="00BF1755">
        <w:t>school or to FEI</w:t>
      </w:r>
      <w:r>
        <w:t xml:space="preserve"> (Further Education Institution)</w:t>
      </w:r>
      <w:r w:rsidRPr="00BF1755">
        <w:t xml:space="preserve">, </w:t>
      </w:r>
      <w:r>
        <w:t>to</w:t>
      </w:r>
      <w:r w:rsidRPr="00BF1755">
        <w:t xml:space="preserve"> a H</w:t>
      </w:r>
      <w:r>
        <w:t>EI (Higher Education Institution)</w:t>
      </w:r>
      <w:r w:rsidRPr="00BF1755">
        <w:t>, into work-based training or into the workforce</w:t>
      </w:r>
      <w:r>
        <w:t xml:space="preserve"> </w:t>
      </w:r>
      <w:r w:rsidRPr="0023309D">
        <w:t xml:space="preserve">(Packer 2021). </w:t>
      </w:r>
      <w:r w:rsidRPr="00BF1755">
        <w:t xml:space="preserve">Research shows that students experience a variety of changes when they move from one setting to another, </w:t>
      </w:r>
      <w:r>
        <w:t>which</w:t>
      </w:r>
      <w:r w:rsidRPr="00BF1755">
        <w:t xml:space="preserve"> may cause anxiety</w:t>
      </w:r>
      <w:r>
        <w:t xml:space="preserve"> and result in </w:t>
      </w:r>
      <w:r w:rsidRPr="00BF1755">
        <w:t>negative effects on pupil wellbeing</w:t>
      </w:r>
      <w:r>
        <w:t xml:space="preserve"> </w:t>
      </w:r>
      <w:r w:rsidRPr="00EE7A04">
        <w:t xml:space="preserve">(Spratt 2015). </w:t>
      </w:r>
    </w:p>
    <w:p w14:paraId="30853960" w14:textId="77777777" w:rsidR="00421BB4" w:rsidRDefault="00421BB4" w:rsidP="00421BB4">
      <w:pPr>
        <w:pStyle w:val="NormalWeb"/>
        <w:shd w:val="clear" w:color="auto" w:fill="FFFFFF"/>
        <w:spacing w:before="0" w:beforeAutospacing="0" w:after="300" w:afterAutospacing="0" w:line="360" w:lineRule="auto"/>
        <w:ind w:firstLine="720"/>
        <w:jc w:val="both"/>
      </w:pPr>
      <w:r>
        <w:t>A</w:t>
      </w:r>
      <w:r w:rsidRPr="00BF1755">
        <w:t xml:space="preserve">lthough not specifically focused </w:t>
      </w:r>
      <w:r>
        <w:t>on P16 transition wellbeing, a</w:t>
      </w:r>
      <w:r w:rsidRPr="00BF1755">
        <w:t xml:space="preserve"> body of literature on transition (</w:t>
      </w:r>
      <w:r>
        <w:t>Downes, Nairz-Wirth and Anderson 2018;</w:t>
      </w:r>
      <w:r w:rsidRPr="00BB39E6">
        <w:t xml:space="preserve"> </w:t>
      </w:r>
      <w:r w:rsidRPr="000F6C59">
        <w:t>Eccleston 2008</w:t>
      </w:r>
      <w:r>
        <w:t xml:space="preserve">; Galton and McLellan 2018; </w:t>
      </w:r>
      <w:r w:rsidRPr="00BF1755">
        <w:t>Packer</w:t>
      </w:r>
      <w:r>
        <w:t xml:space="preserve"> 2021; </w:t>
      </w:r>
      <w:r w:rsidRPr="00BF1755">
        <w:t>Symonds 2015</w:t>
      </w:r>
      <w:r>
        <w:t>;</w:t>
      </w:r>
      <w:r w:rsidRPr="00486545">
        <w:t xml:space="preserve"> </w:t>
      </w:r>
      <w:r>
        <w:t xml:space="preserve">Vogler </w:t>
      </w:r>
      <w:r w:rsidRPr="00691E79">
        <w:rPr>
          <w:i/>
          <w:iCs/>
        </w:rPr>
        <w:t>et al</w:t>
      </w:r>
      <w:r>
        <w:t xml:space="preserve"> 2008</w:t>
      </w:r>
      <w:r w:rsidRPr="00BF1755">
        <w:t xml:space="preserve">), </w:t>
      </w:r>
      <w:r>
        <w:t>signals</w:t>
      </w:r>
      <w:r w:rsidRPr="00BF1755">
        <w:t xml:space="preserve"> the challenges which YP may encounter at this critical time in their education</w:t>
      </w:r>
      <w:r>
        <w:t>al journey</w:t>
      </w:r>
      <w:r w:rsidRPr="00BF1755">
        <w:t>.</w:t>
      </w:r>
      <w:r>
        <w:t xml:space="preserve"> </w:t>
      </w:r>
      <w:r w:rsidRPr="00BF1755">
        <w:t xml:space="preserve">Broadly, these include challenges </w:t>
      </w:r>
      <w:r>
        <w:t>experienced due to</w:t>
      </w:r>
      <w:r w:rsidRPr="00BF1755">
        <w:t xml:space="preserve"> changes in curricular systems, environmental factors, teaching/tutoring styles, teacher/tutor expectations, subject content, relationships, and possible discontinuities in </w:t>
      </w:r>
      <w:r w:rsidRPr="00BF1755">
        <w:lastRenderedPageBreak/>
        <w:t>learning; all factors which may contribute in significant ways to students’ future unsettlement in their new environment</w:t>
      </w:r>
      <w:r>
        <w:t xml:space="preserve"> (Galton and McLellan 2018).</w:t>
      </w:r>
      <w:r w:rsidRPr="00BF586E">
        <w:rPr>
          <w:color w:val="FF0000"/>
        </w:rPr>
        <w:t xml:space="preserve"> </w:t>
      </w:r>
      <w:r>
        <w:t>As well these, difficulties in relation to the emotional and social aspects of YP wellbeing have been brought to the forefront since the outbreak of the Coronavirus in 2020 (Ougrin 2020).</w:t>
      </w:r>
    </w:p>
    <w:p w14:paraId="01F6E80D" w14:textId="77777777" w:rsidR="00421BB4" w:rsidRDefault="00421BB4" w:rsidP="00421BB4">
      <w:pPr>
        <w:pStyle w:val="NormalWeb"/>
        <w:shd w:val="clear" w:color="auto" w:fill="FFFFFF"/>
        <w:spacing w:before="0" w:beforeAutospacing="0" w:after="300" w:afterAutospacing="0" w:line="360" w:lineRule="auto"/>
        <w:ind w:firstLine="720"/>
        <w:jc w:val="both"/>
      </w:pPr>
      <w:r w:rsidRPr="00BF1755">
        <w:t>While there is a vast array of information</w:t>
      </w:r>
      <w:r>
        <w:t xml:space="preserve"> </w:t>
      </w:r>
      <w:r w:rsidRPr="00BF1755">
        <w:t>available that focus</w:t>
      </w:r>
      <w:r>
        <w:t>es</w:t>
      </w:r>
      <w:r w:rsidRPr="00BF1755">
        <w:t xml:space="preserve"> on</w:t>
      </w:r>
      <w:r>
        <w:t xml:space="preserve"> early years transition, transition from primary to secondary school</w:t>
      </w:r>
      <w:r w:rsidRPr="00BF1755">
        <w:t xml:space="preserve"> and an increasing amount of research in the field of wellbeing, having </w:t>
      </w:r>
      <w:r>
        <w:t>re</w:t>
      </w:r>
      <w:r w:rsidRPr="00BF1755">
        <w:t xml:space="preserve">searched educational articles, journals and books, </w:t>
      </w:r>
      <w:r>
        <w:t xml:space="preserve">studies </w:t>
      </w:r>
      <w:r w:rsidRPr="00BF1755">
        <w:t xml:space="preserve">that focuses specifically on </w:t>
      </w:r>
      <w:r>
        <w:t>P16</w:t>
      </w:r>
      <w:r w:rsidRPr="00BF1755">
        <w:t xml:space="preserve"> </w:t>
      </w:r>
      <w:r>
        <w:t>wellbeing transition appears less common (Ecclestone 2008).</w:t>
      </w:r>
      <w:r w:rsidRPr="00A03452">
        <w:rPr>
          <w:color w:val="FF0000"/>
        </w:rPr>
        <w:t xml:space="preserve"> </w:t>
      </w:r>
      <w:r w:rsidRPr="00112066">
        <w:t xml:space="preserve">This subject is significant as, to date, there appears to be limited research available which examines </w:t>
      </w:r>
      <w:r>
        <w:t xml:space="preserve">P16 </w:t>
      </w:r>
      <w:r w:rsidRPr="00112066">
        <w:t xml:space="preserve">transition practices </w:t>
      </w:r>
      <w:r>
        <w:t xml:space="preserve">and those that </w:t>
      </w:r>
      <w:r w:rsidRPr="00112066">
        <w:t>best support wellbeing (</w:t>
      </w:r>
      <w:r>
        <w:t>Gale and Packer 2012</w:t>
      </w:r>
      <w:r w:rsidRPr="00112066">
        <w:t xml:space="preserve">). </w:t>
      </w:r>
      <w:r>
        <w:t>Fo</w:t>
      </w:r>
      <w:r w:rsidRPr="00112066">
        <w:t>r these reasons</w:t>
      </w:r>
      <w:r>
        <w:t>,</w:t>
      </w:r>
      <w:r w:rsidRPr="00112066">
        <w:t xml:space="preserve"> further research in this field may help to</w:t>
      </w:r>
      <w:r>
        <w:t xml:space="preserve"> not only</w:t>
      </w:r>
      <w:r w:rsidRPr="00112066">
        <w:t xml:space="preserve"> </w:t>
      </w:r>
      <w:r>
        <w:t>widen</w:t>
      </w:r>
      <w:r w:rsidRPr="00112066">
        <w:t xml:space="preserve"> understanding on how best to support YP during their transition</w:t>
      </w:r>
      <w:r>
        <w:t>, but also strengthen the priorities within policy and legislation occurring in Wales today</w:t>
      </w:r>
      <w:r w:rsidRPr="00112066">
        <w:t>.</w:t>
      </w:r>
    </w:p>
    <w:p w14:paraId="7830FBD5" w14:textId="77777777" w:rsidR="00421BB4" w:rsidRPr="005F24E5" w:rsidRDefault="00421BB4" w:rsidP="00421BB4">
      <w:pPr>
        <w:pStyle w:val="NormalWeb"/>
        <w:shd w:val="clear" w:color="auto" w:fill="FFFFFF"/>
        <w:spacing w:before="0" w:beforeAutospacing="0" w:after="300" w:afterAutospacing="0" w:line="360" w:lineRule="auto"/>
        <w:ind w:firstLine="720"/>
        <w:jc w:val="both"/>
        <w:rPr>
          <w:color w:val="312B39"/>
        </w:rPr>
      </w:pPr>
      <w:r w:rsidRPr="00735DD4">
        <w:t>This study therefore focuses</w:t>
      </w:r>
      <w:r>
        <w:t xml:space="preserve"> </w:t>
      </w:r>
      <w:r w:rsidRPr="00735DD4">
        <w:t>on pupil</w:t>
      </w:r>
      <w:r>
        <w:t>s’</w:t>
      </w:r>
      <w:r w:rsidRPr="00735DD4">
        <w:t xml:space="preserve"> emotional and social wellbeing at </w:t>
      </w:r>
      <w:r>
        <w:t>a</w:t>
      </w:r>
      <w:r w:rsidRPr="00735DD4">
        <w:t xml:space="preserve"> time of </w:t>
      </w:r>
      <w:r>
        <w:t xml:space="preserve">P16 transition </w:t>
      </w:r>
      <w:r w:rsidRPr="00735DD4">
        <w:t>from</w:t>
      </w:r>
      <w:r>
        <w:t xml:space="preserve"> Key Stage 4</w:t>
      </w:r>
      <w:r w:rsidRPr="00735DD4">
        <w:t xml:space="preserve"> </w:t>
      </w:r>
      <w:r>
        <w:t>(</w:t>
      </w:r>
      <w:r w:rsidRPr="00735DD4">
        <w:t>KS4</w:t>
      </w:r>
      <w:r>
        <w:t>)</w:t>
      </w:r>
      <w:r w:rsidRPr="00735DD4">
        <w:t xml:space="preserve"> to sixth form</w:t>
      </w:r>
      <w:r>
        <w:t xml:space="preserve">, </w:t>
      </w:r>
      <w:r w:rsidRPr="00735DD4">
        <w:t>KS4 to FEI and from KS5 to HEI</w:t>
      </w:r>
      <w:r>
        <w:t xml:space="preserve">; </w:t>
      </w:r>
      <w:r w:rsidRPr="00735DD4">
        <w:t>examin</w:t>
      </w:r>
      <w:r>
        <w:t>ing</w:t>
      </w:r>
      <w:r w:rsidRPr="00735DD4">
        <w:t xml:space="preserve"> how three students</w:t>
      </w:r>
      <w:r>
        <w:t xml:space="preserve"> prepare for and experience their </w:t>
      </w:r>
      <w:r w:rsidRPr="00735DD4">
        <w:t xml:space="preserve">transition. </w:t>
      </w:r>
      <w:r w:rsidRPr="00BF1755">
        <w:t>Research shows that wellbeing underpins whether pupils adjust well or poorly to the changes experience</w:t>
      </w:r>
      <w:r>
        <w:t>d</w:t>
      </w:r>
      <w:r w:rsidRPr="00BF1755">
        <w:t xml:space="preserve"> during transition </w:t>
      </w:r>
      <w:r>
        <w:t>and t</w:t>
      </w:r>
      <w:r w:rsidRPr="00BF1755">
        <w:rPr>
          <w:rFonts w:eastAsiaTheme="minorHAnsi"/>
          <w:bCs/>
          <w:lang w:eastAsia="en-US"/>
        </w:rPr>
        <w:t>he following literature review identifies and justifies the need for empirical data on the types of wellbeing support available during P</w:t>
      </w:r>
      <w:r>
        <w:rPr>
          <w:rFonts w:eastAsiaTheme="minorHAnsi"/>
          <w:bCs/>
          <w:lang w:eastAsia="en-US"/>
        </w:rPr>
        <w:t>16</w:t>
      </w:r>
      <w:r w:rsidRPr="00BF1755">
        <w:rPr>
          <w:rFonts w:eastAsiaTheme="minorHAnsi"/>
          <w:bCs/>
          <w:lang w:eastAsia="en-US"/>
        </w:rPr>
        <w:t xml:space="preserve"> transitions</w:t>
      </w:r>
      <w:r>
        <w:rPr>
          <w:rFonts w:eastAsiaTheme="minorHAnsi"/>
          <w:bCs/>
          <w:lang w:eastAsia="en-US"/>
        </w:rPr>
        <w:t xml:space="preserve"> </w:t>
      </w:r>
      <w:r w:rsidRPr="00BF1755">
        <w:t>(Symonds 2015)</w:t>
      </w:r>
      <w:r>
        <w:rPr>
          <w:rFonts w:eastAsiaTheme="minorHAnsi"/>
          <w:bCs/>
          <w:lang w:eastAsia="en-US"/>
        </w:rPr>
        <w:t xml:space="preserve">. </w:t>
      </w:r>
    </w:p>
    <w:p w14:paraId="0A3A14AB" w14:textId="77777777" w:rsidR="00421BB4" w:rsidRDefault="00421BB4" w:rsidP="00421BB4">
      <w:pPr>
        <w:spacing w:line="360" w:lineRule="auto"/>
        <w:ind w:firstLine="720"/>
        <w:jc w:val="both"/>
        <w:outlineLvl w:val="0"/>
        <w:rPr>
          <w:rFonts w:eastAsiaTheme="minorHAnsi"/>
          <w:lang w:eastAsia="en-US"/>
        </w:rPr>
      </w:pPr>
      <w:r w:rsidRPr="00BF1755">
        <w:rPr>
          <w:rFonts w:eastAsiaTheme="minorHAnsi"/>
          <w:lang w:eastAsia="en-US"/>
        </w:rPr>
        <w:t>While this research study may be small in scale and</w:t>
      </w:r>
      <w:r>
        <w:rPr>
          <w:rFonts w:eastAsiaTheme="minorHAnsi"/>
          <w:lang w:eastAsia="en-US"/>
        </w:rPr>
        <w:t xml:space="preserve"> therefore</w:t>
      </w:r>
      <w:r w:rsidRPr="00BF1755">
        <w:rPr>
          <w:rFonts w:eastAsiaTheme="minorHAnsi"/>
          <w:lang w:eastAsia="en-US"/>
        </w:rPr>
        <w:t xml:space="preserve"> not without its limitations, its findings</w:t>
      </w:r>
      <w:r>
        <w:rPr>
          <w:rFonts w:eastAsiaTheme="minorHAnsi"/>
          <w:lang w:eastAsia="en-US"/>
        </w:rPr>
        <w:t xml:space="preserve"> </w:t>
      </w:r>
      <w:r w:rsidRPr="00BF1755">
        <w:rPr>
          <w:rFonts w:eastAsiaTheme="minorHAnsi"/>
          <w:lang w:eastAsia="en-US"/>
        </w:rPr>
        <w:t>may help to inform current</w:t>
      </w:r>
      <w:r>
        <w:rPr>
          <w:rFonts w:eastAsiaTheme="minorHAnsi"/>
          <w:lang w:eastAsia="en-US"/>
        </w:rPr>
        <w:t>,</w:t>
      </w:r>
      <w:r w:rsidRPr="00BF1755">
        <w:rPr>
          <w:rFonts w:eastAsiaTheme="minorHAnsi"/>
          <w:lang w:eastAsia="en-US"/>
        </w:rPr>
        <w:t xml:space="preserve"> future </w:t>
      </w:r>
      <w:r>
        <w:rPr>
          <w:rFonts w:eastAsiaTheme="minorHAnsi"/>
          <w:lang w:eastAsia="en-US"/>
        </w:rPr>
        <w:t xml:space="preserve">and personal </w:t>
      </w:r>
      <w:r w:rsidRPr="00BF1755">
        <w:rPr>
          <w:rFonts w:eastAsiaTheme="minorHAnsi"/>
          <w:lang w:eastAsia="en-US"/>
        </w:rPr>
        <w:t>practice</w:t>
      </w:r>
      <w:r>
        <w:rPr>
          <w:rFonts w:eastAsiaTheme="minorHAnsi"/>
          <w:lang w:eastAsia="en-US"/>
        </w:rPr>
        <w:t xml:space="preserve"> as a Local Authority Post 16 Transition Officer (LA P16TO)</w:t>
      </w:r>
      <w:r w:rsidRPr="00BF1755">
        <w:rPr>
          <w:rFonts w:eastAsiaTheme="minorHAnsi"/>
          <w:lang w:eastAsia="en-US"/>
        </w:rPr>
        <w:t xml:space="preserve"> by providing not only an understanding of the types of transition</w:t>
      </w:r>
      <w:r>
        <w:rPr>
          <w:rFonts w:eastAsiaTheme="minorHAnsi"/>
          <w:lang w:eastAsia="en-US"/>
        </w:rPr>
        <w:t xml:space="preserve">al </w:t>
      </w:r>
      <w:r w:rsidRPr="00BF1755">
        <w:rPr>
          <w:rFonts w:eastAsiaTheme="minorHAnsi"/>
          <w:lang w:eastAsia="en-US"/>
        </w:rPr>
        <w:t xml:space="preserve">wellbeing support, but to also ascertain if there is need to explore opportunities of advancement in </w:t>
      </w:r>
      <w:r>
        <w:rPr>
          <w:rFonts w:eastAsiaTheme="minorHAnsi"/>
          <w:lang w:eastAsia="en-US"/>
        </w:rPr>
        <w:t>wellbeing</w:t>
      </w:r>
      <w:r w:rsidRPr="00BF1755">
        <w:rPr>
          <w:rFonts w:eastAsiaTheme="minorHAnsi"/>
          <w:lang w:eastAsia="en-US"/>
        </w:rPr>
        <w:t xml:space="preserve"> support during</w:t>
      </w:r>
      <w:r>
        <w:rPr>
          <w:rFonts w:eastAsiaTheme="minorHAnsi"/>
          <w:lang w:eastAsia="en-US"/>
        </w:rPr>
        <w:t xml:space="preserve"> </w:t>
      </w:r>
      <w:r w:rsidRPr="00BF1755">
        <w:rPr>
          <w:rFonts w:eastAsiaTheme="minorHAnsi"/>
          <w:lang w:eastAsia="en-US"/>
        </w:rPr>
        <w:t xml:space="preserve">P16 transition. </w:t>
      </w:r>
      <w:r>
        <w:rPr>
          <w:rFonts w:eastAsiaTheme="minorHAnsi"/>
          <w:lang w:eastAsia="en-US"/>
        </w:rPr>
        <w:t>T</w:t>
      </w:r>
      <w:r w:rsidRPr="00BF1755">
        <w:rPr>
          <w:rFonts w:eastAsiaTheme="minorHAnsi"/>
          <w:lang w:eastAsia="en-US"/>
        </w:rPr>
        <w:t>his research project has</w:t>
      </w:r>
      <w:r>
        <w:rPr>
          <w:rFonts w:eastAsiaTheme="minorHAnsi"/>
          <w:lang w:eastAsia="en-US"/>
        </w:rPr>
        <w:t xml:space="preserve"> </w:t>
      </w:r>
      <w:r w:rsidRPr="00BF1755">
        <w:rPr>
          <w:rFonts w:eastAsiaTheme="minorHAnsi"/>
          <w:lang w:eastAsia="en-US"/>
        </w:rPr>
        <w:t>the potential value</w:t>
      </w:r>
      <w:r>
        <w:rPr>
          <w:rFonts w:eastAsiaTheme="minorHAnsi"/>
          <w:lang w:eastAsia="en-US"/>
        </w:rPr>
        <w:t xml:space="preserve"> not only to</w:t>
      </w:r>
      <w:r w:rsidRPr="00BF1755">
        <w:rPr>
          <w:rFonts w:eastAsiaTheme="minorHAnsi"/>
          <w:lang w:eastAsia="en-US"/>
        </w:rPr>
        <w:t xml:space="preserve"> inform further research</w:t>
      </w:r>
      <w:r>
        <w:rPr>
          <w:rFonts w:eastAsiaTheme="minorHAnsi"/>
          <w:lang w:eastAsia="en-US"/>
        </w:rPr>
        <w:t>, but to benefit YP</w:t>
      </w:r>
      <w:r w:rsidRPr="00BF1755">
        <w:rPr>
          <w:rFonts w:eastAsiaTheme="minorHAnsi"/>
          <w:lang w:eastAsia="en-US"/>
        </w:rPr>
        <w:t xml:space="preserve"> </w:t>
      </w:r>
      <w:r>
        <w:rPr>
          <w:rFonts w:eastAsiaTheme="minorHAnsi"/>
          <w:lang w:eastAsia="en-US"/>
        </w:rPr>
        <w:t>by</w:t>
      </w:r>
      <w:r w:rsidRPr="00BF1755">
        <w:rPr>
          <w:rFonts w:eastAsiaTheme="minorHAnsi"/>
          <w:lang w:eastAsia="en-US"/>
        </w:rPr>
        <w:t xml:space="preserve"> identif</w:t>
      </w:r>
      <w:r>
        <w:rPr>
          <w:rFonts w:eastAsiaTheme="minorHAnsi"/>
          <w:lang w:eastAsia="en-US"/>
        </w:rPr>
        <w:t>ying</w:t>
      </w:r>
      <w:r w:rsidRPr="00BF1755">
        <w:rPr>
          <w:rFonts w:eastAsiaTheme="minorHAnsi"/>
          <w:lang w:eastAsia="en-US"/>
        </w:rPr>
        <w:t xml:space="preserve"> how opportunities for pupil participation within P16 transitions can support their overall wellbeing</w:t>
      </w:r>
      <w:r>
        <w:rPr>
          <w:rFonts w:eastAsiaTheme="minorHAnsi"/>
          <w:lang w:eastAsia="en-US"/>
        </w:rPr>
        <w:t xml:space="preserve">. </w:t>
      </w:r>
    </w:p>
    <w:p w14:paraId="71379918" w14:textId="77777777" w:rsidR="00421BB4" w:rsidRPr="00BF1755" w:rsidRDefault="00421BB4" w:rsidP="00421BB4">
      <w:pPr>
        <w:spacing w:line="360" w:lineRule="auto"/>
        <w:ind w:firstLine="720"/>
        <w:jc w:val="both"/>
        <w:outlineLvl w:val="0"/>
      </w:pPr>
    </w:p>
    <w:p w14:paraId="7CF917AA" w14:textId="77777777" w:rsidR="00421BB4" w:rsidRPr="00372857" w:rsidRDefault="00421BB4" w:rsidP="00421BB4">
      <w:pPr>
        <w:spacing w:line="360" w:lineRule="auto"/>
        <w:jc w:val="both"/>
        <w:outlineLvl w:val="0"/>
        <w:rPr>
          <w:b/>
        </w:rPr>
      </w:pPr>
      <w:r w:rsidRPr="00BF1755">
        <w:rPr>
          <w:rFonts w:eastAsiaTheme="minorHAnsi"/>
          <w:lang w:eastAsia="en-US"/>
        </w:rPr>
        <w:t xml:space="preserve"> </w:t>
      </w:r>
      <w:r w:rsidRPr="00BF1755">
        <w:rPr>
          <w:rFonts w:eastAsiaTheme="minorHAnsi"/>
          <w:lang w:eastAsia="en-US"/>
        </w:rPr>
        <w:tab/>
      </w:r>
      <w:r w:rsidRPr="000D730B">
        <w:t xml:space="preserve">The </w:t>
      </w:r>
      <w:r>
        <w:t xml:space="preserve">aims and </w:t>
      </w:r>
      <w:r w:rsidRPr="000D730B">
        <w:t>objective</w:t>
      </w:r>
      <w:r>
        <w:t>s</w:t>
      </w:r>
      <w:r w:rsidRPr="000D730B">
        <w:t xml:space="preserve"> of this </w:t>
      </w:r>
      <w:r w:rsidRPr="00D35218">
        <w:t>research</w:t>
      </w:r>
      <w:r>
        <w:t xml:space="preserve"> study</w:t>
      </w:r>
      <w:r>
        <w:rPr>
          <w:color w:val="FF0000"/>
        </w:rPr>
        <w:t xml:space="preserve"> </w:t>
      </w:r>
      <w:r w:rsidRPr="00D35218">
        <w:t>(what are the opportunities for wellbeing support in P16 transition; the perspectives of YP)</w:t>
      </w:r>
      <w:r>
        <w:t>,</w:t>
      </w:r>
      <w:r w:rsidRPr="00D35218">
        <w:t xml:space="preserve"> </w:t>
      </w:r>
      <w:r>
        <w:t>were</w:t>
      </w:r>
      <w:r w:rsidRPr="000D730B">
        <w:t xml:space="preserve"> </w:t>
      </w:r>
      <w:r>
        <w:t xml:space="preserve">therefore </w:t>
      </w:r>
      <w:r w:rsidRPr="000D730B">
        <w:t>to</w:t>
      </w:r>
      <w:r>
        <w:t xml:space="preserve"> </w:t>
      </w:r>
      <w:r w:rsidRPr="000D730B">
        <w:t xml:space="preserve">not only </w:t>
      </w:r>
      <w:r>
        <w:t xml:space="preserve">re-evaluate </w:t>
      </w:r>
      <w:r w:rsidRPr="000D730B">
        <w:t xml:space="preserve">transition processes available at P16, but to gain further understanding of what types of wellbeing support opportunities are available for </w:t>
      </w:r>
      <w:r w:rsidRPr="00BF1755">
        <w:t>YP</w:t>
      </w:r>
      <w:r w:rsidRPr="000D730B">
        <w:t xml:space="preserve">. </w:t>
      </w:r>
      <w:r>
        <w:t xml:space="preserve">Though not the primary focus of the </w:t>
      </w:r>
      <w:r>
        <w:lastRenderedPageBreak/>
        <w:t>study, the change in practice caused by the</w:t>
      </w:r>
      <w:r w:rsidRPr="000D730B">
        <w:t xml:space="preserve"> </w:t>
      </w:r>
      <w:r>
        <w:t>Coronavirus pandemic is also highlighted in the study</w:t>
      </w:r>
      <w:r w:rsidRPr="000D730B">
        <w:t xml:space="preserve">. </w:t>
      </w:r>
      <w:r>
        <w:t>Further, i</w:t>
      </w:r>
      <w:r w:rsidRPr="000D730B">
        <w:t xml:space="preserve">t </w:t>
      </w:r>
      <w:r>
        <w:t xml:space="preserve">was </w:t>
      </w:r>
      <w:r w:rsidRPr="000D730B">
        <w:t xml:space="preserve">necessary to explore what wellbeing means to </w:t>
      </w:r>
      <w:r>
        <w:t xml:space="preserve">YP, </w:t>
      </w:r>
      <w:r w:rsidRPr="000D730B">
        <w:t xml:space="preserve">how they would like their wellbeing supported during transition and if their ideas </w:t>
      </w:r>
      <w:r>
        <w:t>coincide</w:t>
      </w:r>
      <w:r w:rsidRPr="000D730B">
        <w:t xml:space="preserve"> with support provided in schools. </w:t>
      </w:r>
      <w:bookmarkStart w:id="2" w:name="_Hlk100671038"/>
    </w:p>
    <w:p w14:paraId="7B0DCEF6" w14:textId="77777777" w:rsidR="00421BB4" w:rsidRPr="00BF1755" w:rsidRDefault="00421BB4" w:rsidP="00421BB4">
      <w:pPr>
        <w:spacing w:line="360" w:lineRule="auto"/>
        <w:jc w:val="both"/>
        <w:outlineLvl w:val="0"/>
        <w:rPr>
          <w:b/>
        </w:rPr>
      </w:pPr>
    </w:p>
    <w:p w14:paraId="5BC9BD75" w14:textId="77777777" w:rsidR="00421BB4" w:rsidRDefault="00421BB4" w:rsidP="00421BB4">
      <w:pPr>
        <w:spacing w:line="360" w:lineRule="auto"/>
        <w:jc w:val="both"/>
        <w:outlineLvl w:val="0"/>
        <w:rPr>
          <w:rFonts w:eastAsiaTheme="minorHAnsi"/>
          <w:bCs/>
          <w:lang w:eastAsia="en-US"/>
        </w:rPr>
      </w:pPr>
      <w:bookmarkStart w:id="3" w:name="_Hlk97983075"/>
      <w:r w:rsidRPr="00BF1755">
        <w:rPr>
          <w:bCs/>
        </w:rPr>
        <w:t>T</w:t>
      </w:r>
      <w:r w:rsidRPr="00BF1755">
        <w:rPr>
          <w:rFonts w:eastAsiaTheme="minorHAnsi"/>
          <w:bCs/>
          <w:lang w:eastAsia="en-US"/>
        </w:rPr>
        <w:t>he specifics</w:t>
      </w:r>
      <w:r>
        <w:rPr>
          <w:rFonts w:eastAsiaTheme="minorHAnsi"/>
          <w:bCs/>
          <w:lang w:eastAsia="en-US"/>
        </w:rPr>
        <w:t xml:space="preserve"> of this research study</w:t>
      </w:r>
      <w:r w:rsidRPr="00BF1755">
        <w:rPr>
          <w:rFonts w:eastAsiaTheme="minorHAnsi"/>
          <w:bCs/>
          <w:lang w:eastAsia="en-US"/>
        </w:rPr>
        <w:t xml:space="preserve"> include:</w:t>
      </w:r>
    </w:p>
    <w:p w14:paraId="657628B6" w14:textId="77777777" w:rsidR="00421BB4" w:rsidRPr="00BF1755" w:rsidRDefault="00421BB4" w:rsidP="00421BB4">
      <w:pPr>
        <w:spacing w:line="360" w:lineRule="auto"/>
        <w:jc w:val="both"/>
        <w:outlineLvl w:val="0"/>
        <w:rPr>
          <w:b/>
        </w:rPr>
      </w:pPr>
    </w:p>
    <w:p w14:paraId="0104CDF3" w14:textId="77777777" w:rsidR="00421BB4" w:rsidRPr="00BF1755" w:rsidRDefault="00421BB4" w:rsidP="00421BB4">
      <w:pPr>
        <w:numPr>
          <w:ilvl w:val="0"/>
          <w:numId w:val="3"/>
        </w:numPr>
        <w:spacing w:after="200" w:line="360" w:lineRule="auto"/>
        <w:contextualSpacing/>
        <w:jc w:val="both"/>
        <w:rPr>
          <w:rFonts w:eastAsiaTheme="minorHAnsi"/>
          <w:bCs/>
          <w:lang w:eastAsia="en-US"/>
        </w:rPr>
      </w:pPr>
      <w:r w:rsidRPr="00171EE4">
        <w:rPr>
          <w:rFonts w:eastAsiaTheme="minorHAnsi"/>
          <w:bCs/>
          <w:lang w:eastAsia="en-US"/>
        </w:rPr>
        <w:t>Exploring</w:t>
      </w:r>
      <w:r w:rsidRPr="00BF1755">
        <w:rPr>
          <w:rFonts w:eastAsiaTheme="minorHAnsi"/>
          <w:b/>
          <w:i/>
          <w:iCs/>
          <w:lang w:eastAsia="en-US"/>
        </w:rPr>
        <w:t xml:space="preserve"> </w:t>
      </w:r>
      <w:r w:rsidRPr="00BF1755">
        <w:rPr>
          <w:rFonts w:eastAsiaTheme="minorHAnsi"/>
          <w:bCs/>
          <w:lang w:eastAsia="en-US"/>
        </w:rPr>
        <w:t>the participant’s</w:t>
      </w:r>
      <w:r>
        <w:rPr>
          <w:rFonts w:eastAsiaTheme="minorHAnsi"/>
          <w:b/>
          <w:i/>
          <w:iCs/>
          <w:lang w:eastAsia="en-US"/>
        </w:rPr>
        <w:t xml:space="preserve"> </w:t>
      </w:r>
      <w:r w:rsidRPr="00BF1755">
        <w:rPr>
          <w:rFonts w:eastAsiaTheme="minorHAnsi"/>
          <w:bCs/>
          <w:lang w:eastAsia="en-US"/>
        </w:rPr>
        <w:t>perception of wellbeing.</w:t>
      </w:r>
    </w:p>
    <w:p w14:paraId="305D921C" w14:textId="77777777" w:rsidR="00421BB4" w:rsidRPr="00171EE4" w:rsidRDefault="00421BB4" w:rsidP="00421BB4">
      <w:pPr>
        <w:numPr>
          <w:ilvl w:val="0"/>
          <w:numId w:val="3"/>
        </w:numPr>
        <w:spacing w:after="200" w:line="360" w:lineRule="auto"/>
        <w:contextualSpacing/>
        <w:jc w:val="both"/>
        <w:rPr>
          <w:rFonts w:eastAsiaTheme="minorHAnsi"/>
          <w:bCs/>
          <w:lang w:eastAsia="en-US"/>
        </w:rPr>
      </w:pPr>
      <w:r w:rsidRPr="00171EE4">
        <w:rPr>
          <w:rFonts w:eastAsiaTheme="minorHAnsi"/>
          <w:bCs/>
          <w:lang w:eastAsia="en-US"/>
        </w:rPr>
        <w:t>Identifying</w:t>
      </w:r>
      <w:r>
        <w:rPr>
          <w:rFonts w:eastAsiaTheme="minorHAnsi"/>
          <w:bCs/>
          <w:lang w:eastAsia="en-US"/>
        </w:rPr>
        <w:t xml:space="preserve"> </w:t>
      </w:r>
      <w:r w:rsidRPr="00171EE4">
        <w:rPr>
          <w:rFonts w:eastAsiaTheme="minorHAnsi"/>
          <w:bCs/>
          <w:lang w:eastAsia="en-US"/>
        </w:rPr>
        <w:t xml:space="preserve">the types of transition processes available in </w:t>
      </w:r>
      <w:r>
        <w:rPr>
          <w:rFonts w:eastAsiaTheme="minorHAnsi"/>
          <w:bCs/>
          <w:lang w:eastAsia="en-US"/>
        </w:rPr>
        <w:t xml:space="preserve">P16 </w:t>
      </w:r>
      <w:r w:rsidRPr="00171EE4">
        <w:rPr>
          <w:rFonts w:eastAsiaTheme="minorHAnsi"/>
          <w:bCs/>
          <w:lang w:eastAsia="en-US"/>
        </w:rPr>
        <w:t>transition experiences from secondary school to the next phase of education</w:t>
      </w:r>
      <w:r>
        <w:rPr>
          <w:rFonts w:eastAsiaTheme="minorHAnsi"/>
          <w:bCs/>
          <w:lang w:eastAsia="en-US"/>
        </w:rPr>
        <w:t xml:space="preserve">; </w:t>
      </w:r>
      <w:r w:rsidRPr="00171EE4">
        <w:rPr>
          <w:rFonts w:eastAsiaTheme="minorHAnsi"/>
          <w:bCs/>
          <w:lang w:eastAsia="en-US"/>
        </w:rPr>
        <w:t>the types of wellbeing support practices and procedures available in P16 transition experiences from secondary school to the next phase of education</w:t>
      </w:r>
      <w:r>
        <w:rPr>
          <w:rFonts w:eastAsiaTheme="minorHAnsi"/>
          <w:bCs/>
          <w:lang w:eastAsia="en-US"/>
        </w:rPr>
        <w:t xml:space="preserve">; </w:t>
      </w:r>
      <w:r w:rsidRPr="00171EE4">
        <w:rPr>
          <w:rFonts w:eastAsiaTheme="minorHAnsi"/>
          <w:bCs/>
          <w:lang w:eastAsia="en-US"/>
        </w:rPr>
        <w:t xml:space="preserve">how and by whom transition and wellbeing support are determined. </w:t>
      </w:r>
    </w:p>
    <w:p w14:paraId="10BB03CF" w14:textId="77777777" w:rsidR="00421BB4" w:rsidRPr="00BF1755" w:rsidRDefault="00421BB4" w:rsidP="00421BB4">
      <w:pPr>
        <w:numPr>
          <w:ilvl w:val="0"/>
          <w:numId w:val="3"/>
        </w:numPr>
        <w:spacing w:after="200" w:line="360" w:lineRule="auto"/>
        <w:contextualSpacing/>
        <w:jc w:val="both"/>
        <w:rPr>
          <w:rFonts w:eastAsiaTheme="minorHAnsi"/>
          <w:bCs/>
          <w:lang w:eastAsia="en-US"/>
        </w:rPr>
      </w:pPr>
      <w:r w:rsidRPr="00171EE4">
        <w:rPr>
          <w:rFonts w:eastAsiaTheme="minorHAnsi"/>
          <w:bCs/>
          <w:lang w:eastAsia="en-US"/>
        </w:rPr>
        <w:t>Evaluating critically</w:t>
      </w:r>
      <w:r w:rsidRPr="00BF1755">
        <w:rPr>
          <w:rFonts w:eastAsiaTheme="minorHAnsi"/>
          <w:b/>
          <w:i/>
          <w:iCs/>
          <w:lang w:eastAsia="en-US"/>
        </w:rPr>
        <w:t xml:space="preserve"> </w:t>
      </w:r>
      <w:r w:rsidRPr="00BF1755">
        <w:rPr>
          <w:rFonts w:eastAsiaTheme="minorHAnsi"/>
          <w:bCs/>
          <w:lang w:eastAsia="en-US"/>
        </w:rPr>
        <w:t>the models and frameworks relevant to supporting wellbeing during transition.</w:t>
      </w:r>
    </w:p>
    <w:p w14:paraId="718DCDB0" w14:textId="77777777" w:rsidR="00421BB4" w:rsidRPr="00BF1755" w:rsidRDefault="00421BB4" w:rsidP="00421BB4">
      <w:pPr>
        <w:numPr>
          <w:ilvl w:val="0"/>
          <w:numId w:val="3"/>
        </w:numPr>
        <w:spacing w:after="200" w:line="360" w:lineRule="auto"/>
        <w:contextualSpacing/>
        <w:jc w:val="both"/>
        <w:rPr>
          <w:rFonts w:eastAsiaTheme="minorHAnsi"/>
          <w:bCs/>
          <w:lang w:eastAsia="en-US"/>
        </w:rPr>
      </w:pPr>
      <w:r w:rsidRPr="00171EE4">
        <w:rPr>
          <w:rFonts w:eastAsiaTheme="minorHAnsi"/>
          <w:bCs/>
          <w:lang w:eastAsia="en-US"/>
        </w:rPr>
        <w:t>Formulating</w:t>
      </w:r>
      <w:r w:rsidRPr="00BF1755">
        <w:rPr>
          <w:rFonts w:eastAsiaTheme="minorHAnsi"/>
          <w:b/>
          <w:i/>
          <w:iCs/>
          <w:lang w:eastAsia="en-US"/>
        </w:rPr>
        <w:t xml:space="preserve"> </w:t>
      </w:r>
      <w:r w:rsidRPr="00BF1755">
        <w:rPr>
          <w:rFonts w:eastAsiaTheme="minorHAnsi"/>
          <w:bCs/>
          <w:lang w:eastAsia="en-US"/>
        </w:rPr>
        <w:t>recommendations</w:t>
      </w:r>
      <w:r w:rsidRPr="00BF1755">
        <w:rPr>
          <w:rFonts w:eastAsiaTheme="minorHAnsi"/>
          <w:bCs/>
          <w:i/>
          <w:iCs/>
          <w:lang w:eastAsia="en-US"/>
        </w:rPr>
        <w:t xml:space="preserve"> </w:t>
      </w:r>
      <w:r w:rsidRPr="00BF1755">
        <w:rPr>
          <w:rFonts w:eastAsiaTheme="minorHAnsi"/>
          <w:bCs/>
          <w:lang w:eastAsia="en-US"/>
        </w:rPr>
        <w:t>on what good wellbeing support might include for young people during P16 transition experiences.</w:t>
      </w:r>
    </w:p>
    <w:bookmarkEnd w:id="2"/>
    <w:p w14:paraId="6818C4F2" w14:textId="77777777" w:rsidR="00421BB4" w:rsidRPr="00BF1755" w:rsidRDefault="00421BB4" w:rsidP="00421BB4">
      <w:pPr>
        <w:spacing w:after="200" w:line="360" w:lineRule="auto"/>
        <w:ind w:left="1080"/>
        <w:contextualSpacing/>
        <w:jc w:val="both"/>
        <w:rPr>
          <w:rFonts w:eastAsiaTheme="minorHAnsi"/>
          <w:bCs/>
          <w:lang w:eastAsia="en-US"/>
        </w:rPr>
      </w:pPr>
    </w:p>
    <w:p w14:paraId="19485EA5" w14:textId="77777777" w:rsidR="00421BB4" w:rsidRDefault="00421BB4" w:rsidP="00421BB4">
      <w:pPr>
        <w:spacing w:line="360" w:lineRule="auto"/>
        <w:ind w:firstLine="720"/>
        <w:jc w:val="both"/>
        <w:outlineLvl w:val="0"/>
      </w:pPr>
    </w:p>
    <w:p w14:paraId="0863948B" w14:textId="77777777" w:rsidR="00421BB4" w:rsidRDefault="00421BB4" w:rsidP="00421BB4">
      <w:pPr>
        <w:spacing w:line="360" w:lineRule="auto"/>
        <w:ind w:firstLine="720"/>
        <w:jc w:val="both"/>
        <w:outlineLvl w:val="0"/>
      </w:pPr>
    </w:p>
    <w:p w14:paraId="6F465F9A" w14:textId="77777777" w:rsidR="00421BB4" w:rsidRDefault="00421BB4" w:rsidP="00421BB4">
      <w:pPr>
        <w:spacing w:line="360" w:lineRule="auto"/>
        <w:ind w:firstLine="720"/>
        <w:jc w:val="both"/>
        <w:outlineLvl w:val="0"/>
      </w:pPr>
    </w:p>
    <w:p w14:paraId="79CE7F3E" w14:textId="77777777" w:rsidR="00421BB4" w:rsidRDefault="00421BB4" w:rsidP="00421BB4">
      <w:pPr>
        <w:spacing w:line="360" w:lineRule="auto"/>
        <w:ind w:firstLine="720"/>
        <w:jc w:val="both"/>
        <w:outlineLvl w:val="0"/>
      </w:pPr>
    </w:p>
    <w:p w14:paraId="01F467BC" w14:textId="77777777" w:rsidR="00421BB4" w:rsidRDefault="00421BB4" w:rsidP="00421BB4">
      <w:pPr>
        <w:spacing w:line="360" w:lineRule="auto"/>
        <w:ind w:firstLine="720"/>
        <w:jc w:val="both"/>
        <w:outlineLvl w:val="0"/>
      </w:pPr>
    </w:p>
    <w:p w14:paraId="183C54AA" w14:textId="77777777" w:rsidR="00421BB4" w:rsidRDefault="00421BB4" w:rsidP="00421BB4">
      <w:pPr>
        <w:spacing w:line="360" w:lineRule="auto"/>
        <w:ind w:firstLine="720"/>
        <w:jc w:val="both"/>
        <w:outlineLvl w:val="0"/>
      </w:pPr>
    </w:p>
    <w:p w14:paraId="5D88CE88" w14:textId="77777777" w:rsidR="00421BB4" w:rsidRDefault="00421BB4" w:rsidP="00421BB4">
      <w:pPr>
        <w:spacing w:line="360" w:lineRule="auto"/>
        <w:ind w:firstLine="720"/>
        <w:jc w:val="both"/>
        <w:outlineLvl w:val="0"/>
      </w:pPr>
    </w:p>
    <w:bookmarkEnd w:id="3"/>
    <w:p w14:paraId="646820E7" w14:textId="77777777" w:rsidR="00421BB4" w:rsidRDefault="00421BB4" w:rsidP="00421BB4">
      <w:pPr>
        <w:spacing w:line="360" w:lineRule="auto"/>
        <w:outlineLvl w:val="0"/>
      </w:pPr>
    </w:p>
    <w:p w14:paraId="09C33488" w14:textId="77777777" w:rsidR="00421BB4" w:rsidRDefault="00421BB4" w:rsidP="00421BB4">
      <w:pPr>
        <w:spacing w:line="360" w:lineRule="auto"/>
        <w:outlineLvl w:val="0"/>
        <w:rPr>
          <w:b/>
          <w:i/>
          <w:sz w:val="28"/>
          <w:szCs w:val="28"/>
          <w:u w:val="single"/>
        </w:rPr>
      </w:pPr>
    </w:p>
    <w:p w14:paraId="20C30D7D" w14:textId="77777777" w:rsidR="00421BB4" w:rsidRDefault="00421BB4" w:rsidP="00421BB4">
      <w:pPr>
        <w:spacing w:line="360" w:lineRule="auto"/>
        <w:ind w:firstLine="720"/>
        <w:jc w:val="center"/>
        <w:outlineLvl w:val="0"/>
        <w:rPr>
          <w:b/>
          <w:i/>
          <w:sz w:val="28"/>
          <w:szCs w:val="28"/>
          <w:u w:val="single"/>
        </w:rPr>
      </w:pPr>
    </w:p>
    <w:p w14:paraId="75E94435" w14:textId="77777777" w:rsidR="00421BB4" w:rsidRDefault="00421BB4" w:rsidP="00421BB4">
      <w:pPr>
        <w:spacing w:line="360" w:lineRule="auto"/>
        <w:ind w:firstLine="720"/>
        <w:jc w:val="center"/>
        <w:outlineLvl w:val="0"/>
        <w:rPr>
          <w:b/>
          <w:i/>
          <w:sz w:val="28"/>
          <w:szCs w:val="28"/>
          <w:u w:val="single"/>
        </w:rPr>
      </w:pPr>
    </w:p>
    <w:p w14:paraId="10EA9041" w14:textId="77777777" w:rsidR="00421BB4" w:rsidRDefault="00421BB4" w:rsidP="00421BB4">
      <w:pPr>
        <w:spacing w:line="360" w:lineRule="auto"/>
        <w:ind w:firstLine="720"/>
        <w:jc w:val="center"/>
        <w:outlineLvl w:val="0"/>
        <w:rPr>
          <w:b/>
          <w:i/>
          <w:sz w:val="28"/>
          <w:szCs w:val="28"/>
          <w:u w:val="single"/>
        </w:rPr>
      </w:pPr>
    </w:p>
    <w:p w14:paraId="11ACCFC7" w14:textId="77777777" w:rsidR="00421BB4" w:rsidRDefault="00421BB4" w:rsidP="00421BB4">
      <w:pPr>
        <w:spacing w:line="360" w:lineRule="auto"/>
        <w:outlineLvl w:val="0"/>
        <w:rPr>
          <w:b/>
          <w:i/>
          <w:sz w:val="28"/>
          <w:szCs w:val="28"/>
          <w:u w:val="single"/>
        </w:rPr>
      </w:pPr>
    </w:p>
    <w:p w14:paraId="2DABC7AE" w14:textId="77777777" w:rsidR="00421BB4" w:rsidRDefault="00421BB4" w:rsidP="00421BB4">
      <w:pPr>
        <w:spacing w:line="360" w:lineRule="auto"/>
        <w:outlineLvl w:val="0"/>
        <w:rPr>
          <w:b/>
          <w:i/>
          <w:sz w:val="28"/>
          <w:szCs w:val="28"/>
          <w:u w:val="single"/>
        </w:rPr>
      </w:pPr>
    </w:p>
    <w:p w14:paraId="32183581" w14:textId="77777777" w:rsidR="00421BB4" w:rsidRDefault="00421BB4" w:rsidP="00421BB4">
      <w:pPr>
        <w:spacing w:line="360" w:lineRule="auto"/>
        <w:ind w:firstLine="720"/>
        <w:jc w:val="center"/>
        <w:outlineLvl w:val="0"/>
        <w:rPr>
          <w:b/>
          <w:i/>
          <w:sz w:val="28"/>
          <w:szCs w:val="28"/>
          <w:u w:val="single"/>
        </w:rPr>
      </w:pPr>
      <w:bookmarkStart w:id="4" w:name="CHAPTER2LITERATUREREVIEW"/>
      <w:r>
        <w:rPr>
          <w:b/>
          <w:i/>
          <w:sz w:val="28"/>
          <w:szCs w:val="28"/>
          <w:u w:val="single"/>
        </w:rPr>
        <w:lastRenderedPageBreak/>
        <w:t>CHAPTER 2</w:t>
      </w:r>
    </w:p>
    <w:p w14:paraId="65C960CA" w14:textId="77777777" w:rsidR="00421BB4" w:rsidRDefault="00421BB4" w:rsidP="00421BB4">
      <w:pPr>
        <w:spacing w:line="360" w:lineRule="auto"/>
        <w:ind w:firstLine="720"/>
        <w:jc w:val="center"/>
        <w:outlineLvl w:val="0"/>
        <w:rPr>
          <w:b/>
          <w:i/>
          <w:sz w:val="28"/>
          <w:szCs w:val="28"/>
          <w:u w:val="single"/>
        </w:rPr>
      </w:pPr>
      <w:r>
        <w:rPr>
          <w:b/>
          <w:i/>
          <w:sz w:val="28"/>
          <w:szCs w:val="28"/>
          <w:u w:val="single"/>
        </w:rPr>
        <w:t>LITERATURE REVIEW</w:t>
      </w:r>
    </w:p>
    <w:bookmarkEnd w:id="4"/>
    <w:p w14:paraId="799317CC" w14:textId="77777777" w:rsidR="00421BB4" w:rsidRPr="00EA5D2D" w:rsidRDefault="00421BB4" w:rsidP="00421BB4">
      <w:pPr>
        <w:spacing w:line="360" w:lineRule="auto"/>
        <w:outlineLvl w:val="0"/>
        <w:rPr>
          <w:b/>
          <w:iCs/>
          <w:u w:val="single"/>
        </w:rPr>
      </w:pPr>
      <w:r w:rsidRPr="00EA5D2D">
        <w:rPr>
          <w:b/>
          <w:iCs/>
          <w:u w:val="single"/>
        </w:rPr>
        <w:t>Introduction</w:t>
      </w:r>
    </w:p>
    <w:p w14:paraId="1B04D4F6" w14:textId="77777777" w:rsidR="00421BB4" w:rsidRPr="00423AAC" w:rsidRDefault="00421BB4" w:rsidP="00421BB4">
      <w:pPr>
        <w:spacing w:after="200" w:line="360" w:lineRule="auto"/>
        <w:ind w:firstLine="720"/>
        <w:contextualSpacing/>
        <w:jc w:val="both"/>
        <w:rPr>
          <w:rFonts w:eastAsiaTheme="minorHAnsi"/>
          <w:bCs/>
          <w:i/>
          <w:iCs/>
          <w:lang w:eastAsia="en-US"/>
        </w:rPr>
      </w:pPr>
      <w:r>
        <w:rPr>
          <w:bCs/>
          <w:iCs/>
        </w:rPr>
        <w:t xml:space="preserve">The topic of transition for CYP is complex and so too are the increasing discussions surrounding wellbeing </w:t>
      </w:r>
      <w:r w:rsidRPr="00123F10">
        <w:rPr>
          <w:bCs/>
          <w:iCs/>
        </w:rPr>
        <w:t>(Symonds 2015 and Spratt 201</w:t>
      </w:r>
      <w:r>
        <w:rPr>
          <w:bCs/>
          <w:iCs/>
        </w:rPr>
        <w:t>7</w:t>
      </w:r>
      <w:r w:rsidRPr="00123F10">
        <w:rPr>
          <w:bCs/>
          <w:iCs/>
        </w:rPr>
        <w:t xml:space="preserve">). </w:t>
      </w:r>
      <w:r>
        <w:rPr>
          <w:bCs/>
          <w:iCs/>
        </w:rPr>
        <w:t>T</w:t>
      </w:r>
      <w:r w:rsidRPr="0019347D">
        <w:rPr>
          <w:bCs/>
          <w:iCs/>
        </w:rPr>
        <w:t xml:space="preserve">his chapter </w:t>
      </w:r>
      <w:r>
        <w:rPr>
          <w:bCs/>
          <w:iCs/>
        </w:rPr>
        <w:t>provides</w:t>
      </w:r>
      <w:r w:rsidRPr="0019347D">
        <w:rPr>
          <w:bCs/>
          <w:iCs/>
        </w:rPr>
        <w:t xml:space="preserve"> a systematic</w:t>
      </w:r>
      <w:r>
        <w:rPr>
          <w:bCs/>
          <w:iCs/>
        </w:rPr>
        <w:t xml:space="preserve"> literature review that aims to </w:t>
      </w:r>
      <w:r>
        <w:rPr>
          <w:rFonts w:eastAsiaTheme="minorHAnsi"/>
          <w:bCs/>
          <w:lang w:eastAsia="en-US"/>
        </w:rPr>
        <w:t>explore</w:t>
      </w:r>
      <w:r w:rsidRPr="00171EE4">
        <w:rPr>
          <w:rFonts w:eastAsiaTheme="minorHAnsi"/>
          <w:bCs/>
          <w:lang w:eastAsia="en-US"/>
        </w:rPr>
        <w:t xml:space="preserve"> transition </w:t>
      </w:r>
      <w:r>
        <w:rPr>
          <w:rFonts w:eastAsiaTheme="minorHAnsi"/>
          <w:bCs/>
          <w:lang w:eastAsia="en-US"/>
        </w:rPr>
        <w:t xml:space="preserve">in more detail by providing historical, theoretical and contemporary contextual evidence based on seminal publications available on both topics. </w:t>
      </w:r>
      <w:r>
        <w:rPr>
          <w:bCs/>
          <w:iCs/>
        </w:rPr>
        <w:t>While there is a vast body of research on transition in formal schooling and a rising interest in wellbeing since the pandemic, little research has taken into consideration how wellbeing might be supported during P16 transition (</w:t>
      </w:r>
      <w:r>
        <w:t xml:space="preserve">Davis, Ravenscroft, and Bizas 2015; Ecclestone 2008; Galton and McLellan 2018; Ougrin 2020; Packer </w:t>
      </w:r>
      <w:r w:rsidRPr="00062516">
        <w:rPr>
          <w:i/>
          <w:iCs/>
        </w:rPr>
        <w:t>et al</w:t>
      </w:r>
      <w:r>
        <w:t xml:space="preserve">. 2020; Perry and Dockett 2011; Sutherland, Yee, MacNess and Harris 2010; Symonds 2015).  Due to the breadth and complexity of both topics, it was necessary to establish boundaries in terms of timescale and scope of research. </w:t>
      </w:r>
      <w:r>
        <w:rPr>
          <w:bCs/>
          <w:iCs/>
        </w:rPr>
        <w:t>Even though this literature review does provide historical context outside of this timescale</w:t>
      </w:r>
      <w:r>
        <w:t>, the most significant publications on both national and global transition and wellbeing have occurred following 2010 and t</w:t>
      </w:r>
      <w:r>
        <w:rPr>
          <w:bCs/>
          <w:iCs/>
        </w:rPr>
        <w:t xml:space="preserve">herefore, the scope of this literature review will mainly adhere to this time frame. </w:t>
      </w:r>
      <w:r w:rsidRPr="009870D9">
        <w:rPr>
          <w:bCs/>
        </w:rPr>
        <w:t xml:space="preserve">Incorporating a </w:t>
      </w:r>
      <w:r>
        <w:rPr>
          <w:bCs/>
        </w:rPr>
        <w:t>C</w:t>
      </w:r>
      <w:r w:rsidRPr="009870D9">
        <w:rPr>
          <w:bCs/>
        </w:rPr>
        <w:t xml:space="preserve">ritical Appraisal Skills Programme checklist </w:t>
      </w:r>
      <w:r w:rsidRPr="005F24E5">
        <w:rPr>
          <w:bCs/>
        </w:rPr>
        <w:t xml:space="preserve">(see Appendix 1) </w:t>
      </w:r>
      <w:r w:rsidRPr="009870D9">
        <w:rPr>
          <w:bCs/>
        </w:rPr>
        <w:t>helped provide clear focus and encourage researcher reflection (CASP-UK, 2017).</w:t>
      </w:r>
    </w:p>
    <w:p w14:paraId="236AB1EB" w14:textId="77777777" w:rsidR="00421BB4" w:rsidRDefault="00421BB4" w:rsidP="00421BB4">
      <w:pPr>
        <w:spacing w:after="200" w:line="360" w:lineRule="auto"/>
        <w:ind w:firstLine="720"/>
        <w:contextualSpacing/>
        <w:jc w:val="both"/>
        <w:rPr>
          <w:bCs/>
        </w:rPr>
      </w:pPr>
      <w:r>
        <w:rPr>
          <w:bCs/>
          <w:iCs/>
        </w:rPr>
        <w:t xml:space="preserve">Key terms such as </w:t>
      </w:r>
      <w:r w:rsidRPr="00EF69DF">
        <w:rPr>
          <w:bCs/>
        </w:rPr>
        <w:t>transition</w:t>
      </w:r>
      <w:r>
        <w:rPr>
          <w:bCs/>
        </w:rPr>
        <w:t>,</w:t>
      </w:r>
      <w:r w:rsidRPr="00EF69DF">
        <w:rPr>
          <w:bCs/>
        </w:rPr>
        <w:t xml:space="preserve"> </w:t>
      </w:r>
      <w:r>
        <w:rPr>
          <w:bCs/>
        </w:rPr>
        <w:t xml:space="preserve">emotional and social </w:t>
      </w:r>
      <w:r w:rsidRPr="00EF69DF">
        <w:rPr>
          <w:bCs/>
        </w:rPr>
        <w:t>wellbeing</w:t>
      </w:r>
      <w:r>
        <w:rPr>
          <w:bCs/>
        </w:rPr>
        <w:t>, P</w:t>
      </w:r>
      <w:r w:rsidRPr="00EF69DF">
        <w:rPr>
          <w:bCs/>
        </w:rPr>
        <w:t>16</w:t>
      </w:r>
      <w:r>
        <w:rPr>
          <w:bCs/>
        </w:rPr>
        <w:t>,</w:t>
      </w:r>
      <w:r w:rsidRPr="00EF69DF">
        <w:rPr>
          <w:bCs/>
        </w:rPr>
        <w:t xml:space="preserve"> pupil voice</w:t>
      </w:r>
      <w:r>
        <w:rPr>
          <w:bCs/>
        </w:rPr>
        <w:t xml:space="preserve"> and</w:t>
      </w:r>
      <w:r w:rsidRPr="00EF69DF">
        <w:rPr>
          <w:bCs/>
        </w:rPr>
        <w:t xml:space="preserve"> resilience</w:t>
      </w:r>
      <w:r>
        <w:rPr>
          <w:bCs/>
        </w:rPr>
        <w:t xml:space="preserve"> helped not only to refine searches, but to remain focused on the main aims and objectives of this study. Keeping these key terms at the forefront enabled specific searches to take place, mostly via search engines such as Google Scholar and University of Wales Trinity Saint David’s (UWTSD) library website. Scholarly articles, published literature, current legislation and policies, key sources obtained from bibliographies of existing studies contributed to this literature review. Initial searches on transition indicated a plethora of research on early years and primary to secondary transitions, though a gap in transition research for P16 learners (Packer and Thomas 2021). </w:t>
      </w:r>
    </w:p>
    <w:p w14:paraId="4F3841F6" w14:textId="77777777" w:rsidR="00421BB4" w:rsidRPr="00B36A97" w:rsidRDefault="00421BB4" w:rsidP="00421BB4">
      <w:pPr>
        <w:spacing w:after="200" w:line="360" w:lineRule="auto"/>
        <w:ind w:firstLine="720"/>
        <w:contextualSpacing/>
        <w:jc w:val="both"/>
        <w:rPr>
          <w:bCs/>
        </w:rPr>
      </w:pPr>
      <w:r>
        <w:rPr>
          <w:bCs/>
        </w:rPr>
        <w:t>The themes addressing the focus of this research (the opportunities for wellbeing support during P16 transition and perception of young people), required firstly understanding the h</w:t>
      </w:r>
      <w:r w:rsidRPr="00387D63">
        <w:rPr>
          <w:bCs/>
        </w:rPr>
        <w:t>istorical and theoretical context</w:t>
      </w:r>
      <w:r>
        <w:rPr>
          <w:bCs/>
        </w:rPr>
        <w:t xml:space="preserve"> of transition,</w:t>
      </w:r>
      <w:r w:rsidRPr="00387D63">
        <w:rPr>
          <w:bCs/>
        </w:rPr>
        <w:t xml:space="preserve"> </w:t>
      </w:r>
      <w:r>
        <w:rPr>
          <w:bCs/>
        </w:rPr>
        <w:t xml:space="preserve">the current </w:t>
      </w:r>
      <w:r w:rsidRPr="00387D63">
        <w:rPr>
          <w:bCs/>
        </w:rPr>
        <w:t>transition</w:t>
      </w:r>
      <w:r>
        <w:rPr>
          <w:bCs/>
        </w:rPr>
        <w:t xml:space="preserve">al climate both nationally and globally, the rise in interest in wellbeing and the role of pupil voice in transition and wellbeing support. </w:t>
      </w:r>
      <w:r>
        <w:rPr>
          <w:bCs/>
          <w:iCs/>
        </w:rPr>
        <w:t xml:space="preserve">What became immediately apparent was an overall lack of research on </w:t>
      </w:r>
      <w:r>
        <w:rPr>
          <w:bCs/>
          <w:iCs/>
        </w:rPr>
        <w:lastRenderedPageBreak/>
        <w:t>P16 transition which therefore allows for further research within this field. While this study was carried out as a UWTSD student and not during work time as a LA P16TO</w:t>
      </w:r>
      <w:r w:rsidRPr="00E63DBA">
        <w:rPr>
          <w:bCs/>
          <w:iCs/>
        </w:rPr>
        <w:t xml:space="preserve">, </w:t>
      </w:r>
      <w:r>
        <w:rPr>
          <w:bCs/>
          <w:iCs/>
        </w:rPr>
        <w:t xml:space="preserve">it still provided an opportunity for continued professional development (see </w:t>
      </w:r>
      <w:r w:rsidRPr="001E5048">
        <w:rPr>
          <w:bCs/>
          <w:iCs/>
        </w:rPr>
        <w:t xml:space="preserve">Appendix 6, section </w:t>
      </w:r>
      <w:r>
        <w:rPr>
          <w:bCs/>
          <w:iCs/>
        </w:rPr>
        <w:t xml:space="preserve">I.2). </w:t>
      </w:r>
      <w:bookmarkStart w:id="5" w:name="_Toc45110163"/>
      <w:r>
        <w:rPr>
          <w:bCs/>
          <w:iCs/>
        </w:rPr>
        <w:t>It is imperative to stress that the research undertaken for this literature review does not include material of a sensitive nature, therefore ethical considerations did not impede on the research and content included in this chapter.</w:t>
      </w:r>
    </w:p>
    <w:p w14:paraId="3C47600C" w14:textId="77777777" w:rsidR="00421BB4" w:rsidRPr="008F4DAA" w:rsidRDefault="00421BB4" w:rsidP="00421BB4">
      <w:pPr>
        <w:spacing w:line="360" w:lineRule="auto"/>
        <w:jc w:val="both"/>
        <w:rPr>
          <w:rFonts w:eastAsiaTheme="minorHAnsi"/>
          <w:b/>
          <w:u w:val="single"/>
          <w:shd w:val="clear" w:color="auto" w:fill="FFFFFF"/>
          <w:lang w:eastAsia="en-US"/>
        </w:rPr>
      </w:pPr>
      <w:bookmarkStart w:id="6" w:name="Theme21Historicalandtheoretical"/>
      <w:r w:rsidRPr="008F4DAA">
        <w:rPr>
          <w:b/>
          <w:u w:val="single"/>
        </w:rPr>
        <w:t xml:space="preserve">Theme </w:t>
      </w:r>
      <w:bookmarkEnd w:id="5"/>
      <w:r w:rsidRPr="008F4DAA">
        <w:rPr>
          <w:b/>
          <w:u w:val="single"/>
        </w:rPr>
        <w:t>2.1 – Historical and theoretical influences on transition</w:t>
      </w:r>
    </w:p>
    <w:bookmarkEnd w:id="6"/>
    <w:p w14:paraId="193C727F" w14:textId="77777777" w:rsidR="00421BB4" w:rsidRDefault="00421BB4" w:rsidP="00421BB4">
      <w:pPr>
        <w:spacing w:line="360" w:lineRule="auto"/>
        <w:ind w:firstLine="720"/>
        <w:jc w:val="both"/>
        <w:rPr>
          <w:rFonts w:eastAsiaTheme="minorHAnsi"/>
          <w:shd w:val="clear" w:color="auto" w:fill="FFFFFF"/>
          <w:lang w:eastAsia="en-US"/>
        </w:rPr>
      </w:pPr>
      <w:r>
        <w:rPr>
          <w:rFonts w:eastAsiaTheme="minorHAnsi"/>
          <w:shd w:val="clear" w:color="auto" w:fill="FFFFFF"/>
          <w:lang w:eastAsia="en-US"/>
        </w:rPr>
        <w:t>The rise in i</w:t>
      </w:r>
      <w:r w:rsidRPr="00BF1755">
        <w:rPr>
          <w:rFonts w:eastAsiaTheme="minorHAnsi"/>
          <w:shd w:val="clear" w:color="auto" w:fill="FFFFFF"/>
          <w:lang w:eastAsia="en-US"/>
        </w:rPr>
        <w:t>nterest in transitions that occur</w:t>
      </w:r>
      <w:r>
        <w:rPr>
          <w:rFonts w:eastAsiaTheme="minorHAnsi"/>
          <w:shd w:val="clear" w:color="auto" w:fill="FFFFFF"/>
          <w:lang w:eastAsia="en-US"/>
        </w:rPr>
        <w:t>s</w:t>
      </w:r>
      <w:r w:rsidRPr="00BF1755">
        <w:rPr>
          <w:rFonts w:eastAsiaTheme="minorHAnsi"/>
          <w:shd w:val="clear" w:color="auto" w:fill="FFFFFF"/>
          <w:lang w:eastAsia="en-US"/>
        </w:rPr>
        <w:t xml:space="preserve"> within education in the </w:t>
      </w:r>
      <w:r>
        <w:rPr>
          <w:rFonts w:eastAsiaTheme="minorHAnsi"/>
          <w:shd w:val="clear" w:color="auto" w:fill="FFFFFF"/>
          <w:lang w:eastAsia="en-US"/>
        </w:rPr>
        <w:t>UK</w:t>
      </w:r>
      <w:r w:rsidRPr="00BF1755">
        <w:rPr>
          <w:rFonts w:eastAsiaTheme="minorHAnsi"/>
          <w:shd w:val="clear" w:color="auto" w:fill="FFFFFF"/>
          <w:lang w:eastAsia="en-US"/>
        </w:rPr>
        <w:t xml:space="preserve"> is a relatively new phenomenon as transition (</w:t>
      </w:r>
      <w:r>
        <w:rPr>
          <w:rFonts w:eastAsiaTheme="minorHAnsi"/>
          <w:shd w:val="clear" w:color="auto" w:fill="FFFFFF"/>
          <w:lang w:eastAsia="en-US"/>
        </w:rPr>
        <w:t>sometimes</w:t>
      </w:r>
      <w:r w:rsidRPr="00BF1755">
        <w:rPr>
          <w:rFonts w:eastAsiaTheme="minorHAnsi"/>
          <w:shd w:val="clear" w:color="auto" w:fill="FFFFFF"/>
          <w:lang w:eastAsia="en-US"/>
        </w:rPr>
        <w:t xml:space="preserve"> referred to as transfer), only became a focus of study in the late 1960’s (Galton, </w:t>
      </w:r>
      <w:r w:rsidRPr="00BF1755">
        <w:rPr>
          <w:rFonts w:eastAsiaTheme="minorHAnsi"/>
          <w:i/>
          <w:iCs/>
          <w:shd w:val="clear" w:color="auto" w:fill="FFFFFF"/>
          <w:lang w:eastAsia="en-US"/>
        </w:rPr>
        <w:t>cited in</w:t>
      </w:r>
      <w:r w:rsidRPr="00BF1755">
        <w:rPr>
          <w:rFonts w:eastAsiaTheme="minorHAnsi"/>
          <w:shd w:val="clear" w:color="auto" w:fill="FFFFFF"/>
          <w:lang w:eastAsia="en-US"/>
        </w:rPr>
        <w:t xml:space="preserve"> Symonds 2015). </w:t>
      </w:r>
      <w:r>
        <w:rPr>
          <w:rFonts w:eastAsiaTheme="minorHAnsi"/>
          <w:shd w:val="clear" w:color="auto" w:fill="FFFFFF"/>
          <w:lang w:eastAsia="en-US"/>
        </w:rPr>
        <w:t xml:space="preserve">Even though </w:t>
      </w:r>
      <w:r w:rsidRPr="00BF1755">
        <w:rPr>
          <w:rFonts w:eastAsiaTheme="minorHAnsi"/>
          <w:shd w:val="clear" w:color="auto" w:fill="FFFFFF"/>
          <w:lang w:eastAsia="en-US"/>
        </w:rPr>
        <w:t xml:space="preserve">providing effective transitions </w:t>
      </w:r>
      <w:r>
        <w:rPr>
          <w:rFonts w:eastAsiaTheme="minorHAnsi"/>
          <w:shd w:val="clear" w:color="auto" w:fill="FFFFFF"/>
          <w:lang w:eastAsia="en-US"/>
        </w:rPr>
        <w:t xml:space="preserve">features </w:t>
      </w:r>
      <w:r w:rsidRPr="00BF1755">
        <w:rPr>
          <w:rFonts w:eastAsiaTheme="minorHAnsi"/>
          <w:shd w:val="clear" w:color="auto" w:fill="FFFFFF"/>
          <w:lang w:eastAsia="en-US"/>
        </w:rPr>
        <w:t>high</w:t>
      </w:r>
      <w:r>
        <w:rPr>
          <w:rFonts w:eastAsiaTheme="minorHAnsi"/>
          <w:shd w:val="clear" w:color="auto" w:fill="FFFFFF"/>
          <w:lang w:eastAsia="en-US"/>
        </w:rPr>
        <w:t xml:space="preserve">ly </w:t>
      </w:r>
      <w:r w:rsidRPr="00BF1755">
        <w:rPr>
          <w:rFonts w:eastAsiaTheme="minorHAnsi"/>
          <w:shd w:val="clear" w:color="auto" w:fill="FFFFFF"/>
          <w:lang w:eastAsia="en-US"/>
        </w:rPr>
        <w:t>on</w:t>
      </w:r>
      <w:r>
        <w:rPr>
          <w:rFonts w:eastAsiaTheme="minorHAnsi"/>
          <w:shd w:val="clear" w:color="auto" w:fill="FFFFFF"/>
          <w:lang w:eastAsia="en-US"/>
        </w:rPr>
        <w:t xml:space="preserve"> policies’</w:t>
      </w:r>
      <w:r w:rsidRPr="00BF1755">
        <w:rPr>
          <w:rFonts w:eastAsiaTheme="minorHAnsi"/>
          <w:shd w:val="clear" w:color="auto" w:fill="FFFFFF"/>
          <w:lang w:eastAsia="en-US"/>
        </w:rPr>
        <w:t xml:space="preserve"> agend</w:t>
      </w:r>
      <w:r>
        <w:rPr>
          <w:rFonts w:eastAsiaTheme="minorHAnsi"/>
          <w:shd w:val="clear" w:color="auto" w:fill="FFFFFF"/>
          <w:lang w:eastAsia="en-US"/>
        </w:rPr>
        <w:t xml:space="preserve">as </w:t>
      </w:r>
      <w:r w:rsidRPr="00BF1755">
        <w:rPr>
          <w:rFonts w:eastAsiaTheme="minorHAnsi"/>
          <w:shd w:val="clear" w:color="auto" w:fill="FFFFFF"/>
          <w:lang w:eastAsia="en-US"/>
        </w:rPr>
        <w:t>in Wales</w:t>
      </w:r>
      <w:r>
        <w:rPr>
          <w:rFonts w:eastAsiaTheme="minorHAnsi"/>
          <w:shd w:val="clear" w:color="auto" w:fill="FFFFFF"/>
          <w:lang w:eastAsia="en-US"/>
        </w:rPr>
        <w:t xml:space="preserve">, such as with the </w:t>
      </w:r>
      <w:r w:rsidRPr="004731AF">
        <w:rPr>
          <w:rFonts w:eastAsiaTheme="minorHAnsi"/>
          <w:lang w:eastAsia="en-US"/>
        </w:rPr>
        <w:t>Post 16 Tertiary bill</w:t>
      </w:r>
      <w:r>
        <w:rPr>
          <w:rFonts w:eastAsiaTheme="minorHAnsi"/>
          <w:lang w:eastAsia="en-US"/>
        </w:rPr>
        <w:t xml:space="preserve"> that</w:t>
      </w:r>
      <w:r w:rsidRPr="004731AF">
        <w:rPr>
          <w:rFonts w:eastAsiaTheme="minorHAnsi"/>
          <w:lang w:eastAsia="en-US"/>
        </w:rPr>
        <w:t xml:space="preserve"> aim</w:t>
      </w:r>
      <w:r>
        <w:rPr>
          <w:rFonts w:eastAsiaTheme="minorHAnsi"/>
          <w:lang w:eastAsia="en-US"/>
        </w:rPr>
        <w:t>s</w:t>
      </w:r>
      <w:r w:rsidRPr="004731AF">
        <w:rPr>
          <w:rFonts w:eastAsiaTheme="minorHAnsi"/>
          <w:lang w:eastAsia="en-US"/>
        </w:rPr>
        <w:t xml:space="preserve"> to support the learning continuum across all stages of learning, </w:t>
      </w:r>
      <w:r>
        <w:rPr>
          <w:rFonts w:eastAsiaTheme="minorHAnsi"/>
          <w:shd w:val="clear" w:color="auto" w:fill="FFFFFF"/>
          <w:lang w:eastAsia="en-US"/>
        </w:rPr>
        <w:t xml:space="preserve">there remains a gap in research in the processes of transition and the exploration of YPs’ </w:t>
      </w:r>
      <w:r w:rsidRPr="00727872">
        <w:rPr>
          <w:rFonts w:eastAsiaTheme="minorHAnsi"/>
          <w:shd w:val="clear" w:color="auto" w:fill="FFFFFF"/>
          <w:lang w:eastAsia="en-US"/>
        </w:rPr>
        <w:t xml:space="preserve">perspectives (WG 2021a; </w:t>
      </w:r>
      <w:r w:rsidRPr="00BF1755">
        <w:rPr>
          <w:rFonts w:eastAsiaTheme="minorHAnsi"/>
          <w:shd w:val="clear" w:color="auto" w:fill="FFFFFF"/>
          <w:lang w:eastAsia="en-US"/>
        </w:rPr>
        <w:t>Packer 2021</w:t>
      </w:r>
      <w:r>
        <w:rPr>
          <w:rFonts w:eastAsiaTheme="minorHAnsi"/>
          <w:shd w:val="clear" w:color="auto" w:fill="FFFFFF"/>
          <w:lang w:eastAsia="en-US"/>
        </w:rPr>
        <w:t>; Packer and Thomas 2021</w:t>
      </w:r>
      <w:r w:rsidRPr="00BF1755">
        <w:rPr>
          <w:rFonts w:eastAsiaTheme="minorHAnsi"/>
          <w:shd w:val="clear" w:color="auto" w:fill="FFFFFF"/>
          <w:lang w:eastAsia="en-US"/>
        </w:rPr>
        <w:t>). It was</w:t>
      </w:r>
      <w:r>
        <w:rPr>
          <w:rFonts w:eastAsiaTheme="minorHAnsi"/>
          <w:shd w:val="clear" w:color="auto" w:fill="FFFFFF"/>
          <w:lang w:eastAsia="en-US"/>
        </w:rPr>
        <w:t xml:space="preserve"> </w:t>
      </w:r>
      <w:r w:rsidRPr="00BF1755">
        <w:rPr>
          <w:rFonts w:eastAsiaTheme="minorHAnsi"/>
          <w:shd w:val="clear" w:color="auto" w:fill="FFFFFF"/>
          <w:lang w:eastAsia="en-US"/>
        </w:rPr>
        <w:t>during the 1960’s and the 1970’s that revolutionary theoretical frameworks such as</w:t>
      </w:r>
      <w:r>
        <w:rPr>
          <w:rFonts w:eastAsiaTheme="minorHAnsi"/>
          <w:shd w:val="clear" w:color="auto" w:fill="FFFFFF"/>
          <w:lang w:eastAsia="en-US"/>
        </w:rPr>
        <w:t xml:space="preserve"> Dewey’s principles on continuity in learning,</w:t>
      </w:r>
      <w:r w:rsidRPr="00BF1755">
        <w:rPr>
          <w:rFonts w:eastAsiaTheme="minorHAnsi"/>
          <w:shd w:val="clear" w:color="auto" w:fill="FFFFFF"/>
          <w:lang w:eastAsia="en-US"/>
        </w:rPr>
        <w:t xml:space="preserve"> Bronfenbrenner’s ecological systems</w:t>
      </w:r>
      <w:r>
        <w:rPr>
          <w:rFonts w:eastAsiaTheme="minorHAnsi"/>
          <w:shd w:val="clear" w:color="auto" w:fill="FFFFFF"/>
          <w:lang w:eastAsia="en-US"/>
        </w:rPr>
        <w:t xml:space="preserve"> theory</w:t>
      </w:r>
      <w:r w:rsidRPr="00BF1755">
        <w:rPr>
          <w:rFonts w:eastAsiaTheme="minorHAnsi"/>
          <w:shd w:val="clear" w:color="auto" w:fill="FFFFFF"/>
          <w:lang w:eastAsia="en-US"/>
        </w:rPr>
        <w:t xml:space="preserve"> and Vygotsky’s sociocultural theory of cognitive development</w:t>
      </w:r>
      <w:r>
        <w:rPr>
          <w:rFonts w:eastAsiaTheme="minorHAnsi"/>
          <w:shd w:val="clear" w:color="auto" w:fill="FFFFFF"/>
          <w:lang w:eastAsia="en-US"/>
        </w:rPr>
        <w:t xml:space="preserve"> </w:t>
      </w:r>
      <w:r w:rsidRPr="00BF1755">
        <w:rPr>
          <w:rFonts w:eastAsiaTheme="minorHAnsi"/>
          <w:shd w:val="clear" w:color="auto" w:fill="FFFFFF"/>
          <w:lang w:eastAsia="en-US"/>
        </w:rPr>
        <w:t>began to shape the ways in which child development was viewed, and consequently</w:t>
      </w:r>
      <w:r>
        <w:rPr>
          <w:rFonts w:eastAsiaTheme="minorHAnsi"/>
          <w:shd w:val="clear" w:color="auto" w:fill="FFFFFF"/>
          <w:lang w:eastAsia="en-US"/>
        </w:rPr>
        <w:t>,</w:t>
      </w:r>
      <w:r w:rsidRPr="00BF1755">
        <w:rPr>
          <w:rFonts w:eastAsiaTheme="minorHAnsi"/>
          <w:shd w:val="clear" w:color="auto" w:fill="FFFFFF"/>
          <w:lang w:eastAsia="en-US"/>
        </w:rPr>
        <w:t xml:space="preserve"> how transition experiences </w:t>
      </w:r>
      <w:r>
        <w:rPr>
          <w:rFonts w:eastAsiaTheme="minorHAnsi"/>
          <w:shd w:val="clear" w:color="auto" w:fill="FFFFFF"/>
          <w:lang w:eastAsia="en-US"/>
        </w:rPr>
        <w:t>are now</w:t>
      </w:r>
      <w:r w:rsidRPr="00BF1755">
        <w:rPr>
          <w:rFonts w:eastAsiaTheme="minorHAnsi"/>
          <w:shd w:val="clear" w:color="auto" w:fill="FFFFFF"/>
          <w:lang w:eastAsia="en-US"/>
        </w:rPr>
        <w:t xml:space="preserve"> explored (</w:t>
      </w:r>
      <w:r>
        <w:rPr>
          <w:rFonts w:eastAsiaTheme="minorHAnsi"/>
          <w:shd w:val="clear" w:color="auto" w:fill="FFFFFF"/>
          <w:lang w:eastAsia="en-US"/>
        </w:rPr>
        <w:t xml:space="preserve">Dewey 1963, </w:t>
      </w:r>
      <w:r w:rsidRPr="00BF1755">
        <w:rPr>
          <w:rFonts w:eastAsiaTheme="minorHAnsi"/>
          <w:shd w:val="clear" w:color="auto" w:fill="FFFFFF"/>
          <w:lang w:eastAsia="en-US"/>
        </w:rPr>
        <w:t>Bronfenbrenner 1979</w:t>
      </w:r>
      <w:r>
        <w:rPr>
          <w:rFonts w:eastAsiaTheme="minorHAnsi"/>
          <w:shd w:val="clear" w:color="auto" w:fill="FFFFFF"/>
          <w:lang w:eastAsia="en-US"/>
        </w:rPr>
        <w:t xml:space="preserve"> and</w:t>
      </w:r>
      <w:r w:rsidRPr="00BF1755">
        <w:rPr>
          <w:rFonts w:eastAsiaTheme="minorHAnsi"/>
          <w:shd w:val="clear" w:color="auto" w:fill="FFFFFF"/>
          <w:lang w:eastAsia="en-US"/>
        </w:rPr>
        <w:t xml:space="preserve"> Vygotsky 1978). </w:t>
      </w:r>
    </w:p>
    <w:p w14:paraId="3F012636" w14:textId="77777777" w:rsidR="00421BB4" w:rsidRDefault="00421BB4" w:rsidP="00421BB4">
      <w:pPr>
        <w:spacing w:line="360" w:lineRule="auto"/>
        <w:ind w:firstLine="720"/>
        <w:jc w:val="both"/>
        <w:rPr>
          <w:rFonts w:eastAsiaTheme="minorHAnsi"/>
          <w:shd w:val="clear" w:color="auto" w:fill="FFFFFF"/>
          <w:lang w:eastAsia="en-US"/>
        </w:rPr>
      </w:pPr>
      <w:r>
        <w:rPr>
          <w:rFonts w:eastAsiaTheme="minorHAnsi"/>
          <w:shd w:val="clear" w:color="auto" w:fill="FFFFFF"/>
          <w:lang w:eastAsia="en-US"/>
        </w:rPr>
        <w:t xml:space="preserve">Bronfenbrenner’s Ecological model assists in understanding transition by offering an illustration of the role of various perspectives and stakeholders in transition processes </w:t>
      </w:r>
      <w:r w:rsidRPr="009A120D">
        <w:rPr>
          <w:rFonts w:eastAsiaTheme="minorHAnsi"/>
          <w:shd w:val="clear" w:color="auto" w:fill="FFFFFF"/>
          <w:lang w:eastAsia="en-US"/>
        </w:rPr>
        <w:t>(Eccleston</w:t>
      </w:r>
      <w:r>
        <w:rPr>
          <w:rFonts w:eastAsiaTheme="minorHAnsi"/>
          <w:shd w:val="clear" w:color="auto" w:fill="FFFFFF"/>
          <w:lang w:eastAsia="en-US"/>
        </w:rPr>
        <w:t>e</w:t>
      </w:r>
      <w:r w:rsidRPr="009A120D">
        <w:rPr>
          <w:rFonts w:eastAsiaTheme="minorHAnsi"/>
          <w:shd w:val="clear" w:color="auto" w:fill="FFFFFF"/>
          <w:lang w:eastAsia="en-US"/>
        </w:rPr>
        <w:t xml:space="preserve"> 2008).  </w:t>
      </w:r>
      <w:r>
        <w:rPr>
          <w:rFonts w:eastAsiaTheme="minorHAnsi"/>
          <w:shd w:val="clear" w:color="auto" w:fill="FFFFFF"/>
          <w:lang w:eastAsia="en-US"/>
        </w:rPr>
        <w:t xml:space="preserve">The micro-system places the learner at the centre of the transition process; the meso-system indicates the setting and other stakeholder’s position; the exo-system includes government policy and wider global research into transition represented in the macrosystem (Bronfenbrenner 1979 and Packer and Thomas 2012). Such theoretical understanding is key when addressing this research focus of what opportunities are available for wellbeing support during transition, as it presents the possibility that </w:t>
      </w:r>
      <w:r w:rsidRPr="005F24E5">
        <w:rPr>
          <w:rFonts w:eastAsiaTheme="minorHAnsi"/>
          <w:shd w:val="clear" w:color="auto" w:fill="FFFFFF"/>
          <w:lang w:eastAsia="en-US"/>
        </w:rPr>
        <w:t xml:space="preserve">several factors influence P16 transition support. </w:t>
      </w:r>
    </w:p>
    <w:p w14:paraId="2A23C8AD" w14:textId="77777777" w:rsidR="00421BB4" w:rsidRDefault="00421BB4" w:rsidP="00421BB4">
      <w:pPr>
        <w:spacing w:line="360" w:lineRule="auto"/>
        <w:ind w:firstLine="720"/>
        <w:jc w:val="both"/>
        <w:rPr>
          <w:rFonts w:eastAsiaTheme="minorHAnsi"/>
          <w:shd w:val="clear" w:color="auto" w:fill="FFFFFF"/>
          <w:lang w:eastAsia="en-US"/>
        </w:rPr>
      </w:pPr>
      <w:r w:rsidRPr="005C38AF">
        <w:rPr>
          <w:rFonts w:eastAsiaTheme="minorHAnsi"/>
          <w:color w:val="000000" w:themeColor="text1"/>
          <w:shd w:val="clear" w:color="auto" w:fill="FFFFFF"/>
          <w:lang w:eastAsia="en-US"/>
        </w:rPr>
        <w:t xml:space="preserve">Continuity and discontinuity in learning </w:t>
      </w:r>
      <w:r w:rsidRPr="005C38AF">
        <w:rPr>
          <w:color w:val="000000" w:themeColor="text1"/>
        </w:rPr>
        <w:t>(Dewey 1963)</w:t>
      </w:r>
      <w:r w:rsidRPr="005C38AF">
        <w:rPr>
          <w:rFonts w:eastAsiaTheme="minorHAnsi"/>
          <w:color w:val="000000" w:themeColor="text1"/>
          <w:shd w:val="clear" w:color="auto" w:fill="FFFFFF"/>
          <w:lang w:eastAsia="en-US"/>
        </w:rPr>
        <w:t>, the idea</w:t>
      </w:r>
      <w:r w:rsidRPr="005C38AF">
        <w:rPr>
          <w:color w:val="000000" w:themeColor="text1"/>
        </w:rPr>
        <w:t xml:space="preserve"> that new experiences are inextricably linked to past experiences </w:t>
      </w:r>
      <w:r>
        <w:t xml:space="preserve">and therefore influence future experiences, suggests that transition is an ongoing process. By extension, transitional wellbeing becomes an ongoing process as it involves the merging of YPs’ previous, present and future experiences. Dewey (1963) has therefore helped to redirect attention to the notion that transition is part of a wider learning journey. The concept of continuity is now frequently used in research in relation to </w:t>
      </w:r>
      <w:r>
        <w:lastRenderedPageBreak/>
        <w:t>educational transitions today; exemplified in Wilder and Lillvist’s Model of the Learning Journey (2018).</w:t>
      </w:r>
    </w:p>
    <w:p w14:paraId="39D64D45" w14:textId="77777777" w:rsidR="00421BB4" w:rsidRDefault="00421BB4" w:rsidP="00421BB4">
      <w:pPr>
        <w:spacing w:line="360" w:lineRule="auto"/>
        <w:ind w:firstLine="720"/>
        <w:jc w:val="both"/>
        <w:rPr>
          <w:rFonts w:eastAsiaTheme="minorHAnsi"/>
          <w:shd w:val="clear" w:color="auto" w:fill="FFFFFF"/>
          <w:lang w:eastAsia="en-US"/>
        </w:rPr>
      </w:pPr>
      <w:r>
        <w:rPr>
          <w:rFonts w:eastAsiaTheme="minorHAnsi"/>
          <w:shd w:val="clear" w:color="auto" w:fill="FFFFFF"/>
          <w:lang w:eastAsia="en-US"/>
        </w:rPr>
        <w:t>T</w:t>
      </w:r>
      <w:r w:rsidRPr="00660253">
        <w:rPr>
          <w:rFonts w:eastAsiaTheme="minorHAnsi"/>
          <w:shd w:val="clear" w:color="auto" w:fill="FFFFFF"/>
          <w:lang w:eastAsia="en-US"/>
        </w:rPr>
        <w:t xml:space="preserve">he recognition that </w:t>
      </w:r>
      <w:r>
        <w:rPr>
          <w:rFonts w:eastAsiaTheme="minorHAnsi"/>
          <w:shd w:val="clear" w:color="auto" w:fill="FFFFFF"/>
          <w:lang w:eastAsia="en-US"/>
        </w:rPr>
        <w:t>a</w:t>
      </w:r>
      <w:r w:rsidRPr="00660253">
        <w:rPr>
          <w:rFonts w:eastAsiaTheme="minorHAnsi"/>
          <w:shd w:val="clear" w:color="auto" w:fill="FFFFFF"/>
          <w:lang w:eastAsia="en-US"/>
        </w:rPr>
        <w:t xml:space="preserve"> child </w:t>
      </w:r>
      <w:r>
        <w:rPr>
          <w:rFonts w:eastAsiaTheme="minorHAnsi"/>
          <w:shd w:val="clear" w:color="auto" w:fill="FFFFFF"/>
          <w:lang w:eastAsia="en-US"/>
        </w:rPr>
        <w:t>neither</w:t>
      </w:r>
      <w:r w:rsidRPr="00660253">
        <w:rPr>
          <w:rFonts w:eastAsiaTheme="minorHAnsi"/>
          <w:shd w:val="clear" w:color="auto" w:fill="FFFFFF"/>
          <w:lang w:eastAsia="en-US"/>
        </w:rPr>
        <w:t xml:space="preserve"> exist</w:t>
      </w:r>
      <w:r>
        <w:rPr>
          <w:rFonts w:eastAsiaTheme="minorHAnsi"/>
          <w:shd w:val="clear" w:color="auto" w:fill="FFFFFF"/>
          <w:lang w:eastAsia="en-US"/>
        </w:rPr>
        <w:t>s</w:t>
      </w:r>
      <w:r w:rsidRPr="00660253">
        <w:rPr>
          <w:rFonts w:eastAsiaTheme="minorHAnsi"/>
          <w:shd w:val="clear" w:color="auto" w:fill="FFFFFF"/>
          <w:lang w:eastAsia="en-US"/>
        </w:rPr>
        <w:t xml:space="preserve"> </w:t>
      </w:r>
      <w:r>
        <w:rPr>
          <w:rFonts w:eastAsiaTheme="minorHAnsi"/>
          <w:shd w:val="clear" w:color="auto" w:fill="FFFFFF"/>
          <w:lang w:eastAsia="en-US"/>
        </w:rPr>
        <w:t>n</w:t>
      </w:r>
      <w:r w:rsidRPr="00660253">
        <w:rPr>
          <w:rFonts w:eastAsiaTheme="minorHAnsi"/>
          <w:shd w:val="clear" w:color="auto" w:fill="FFFFFF"/>
          <w:lang w:eastAsia="en-US"/>
        </w:rPr>
        <w:t>or progress</w:t>
      </w:r>
      <w:r>
        <w:rPr>
          <w:rFonts w:eastAsiaTheme="minorHAnsi"/>
          <w:shd w:val="clear" w:color="auto" w:fill="FFFFFF"/>
          <w:lang w:eastAsia="en-US"/>
        </w:rPr>
        <w:t>es</w:t>
      </w:r>
      <w:r w:rsidRPr="00660253">
        <w:rPr>
          <w:rFonts w:eastAsiaTheme="minorHAnsi"/>
          <w:shd w:val="clear" w:color="auto" w:fill="FFFFFF"/>
          <w:lang w:eastAsia="en-US"/>
        </w:rPr>
        <w:t xml:space="preserve"> in isolation</w:t>
      </w:r>
      <w:r>
        <w:rPr>
          <w:rFonts w:eastAsiaTheme="minorHAnsi"/>
          <w:shd w:val="clear" w:color="auto" w:fill="FFFFFF"/>
          <w:lang w:eastAsia="en-US"/>
        </w:rPr>
        <w:t>, as advocated by Vygotsky (1978),</w:t>
      </w:r>
      <w:r w:rsidRPr="00660253">
        <w:rPr>
          <w:rFonts w:eastAsiaTheme="minorHAnsi"/>
          <w:shd w:val="clear" w:color="auto" w:fill="FFFFFF"/>
          <w:lang w:eastAsia="en-US"/>
        </w:rPr>
        <w:t xml:space="preserve"> </w:t>
      </w:r>
      <w:r>
        <w:rPr>
          <w:rFonts w:eastAsiaTheme="minorHAnsi"/>
          <w:shd w:val="clear" w:color="auto" w:fill="FFFFFF"/>
          <w:lang w:eastAsia="en-US"/>
        </w:rPr>
        <w:t xml:space="preserve">but that their </w:t>
      </w:r>
      <w:r w:rsidRPr="00660253">
        <w:rPr>
          <w:rFonts w:eastAsiaTheme="minorHAnsi"/>
          <w:shd w:val="clear" w:color="auto" w:fill="FFFFFF"/>
          <w:lang w:eastAsia="en-US"/>
        </w:rPr>
        <w:t>environments shape their development</w:t>
      </w:r>
      <w:r>
        <w:rPr>
          <w:rFonts w:eastAsiaTheme="minorHAnsi"/>
          <w:shd w:val="clear" w:color="auto" w:fill="FFFFFF"/>
          <w:lang w:eastAsia="en-US"/>
        </w:rPr>
        <w:t xml:space="preserve"> has</w:t>
      </w:r>
      <w:r w:rsidRPr="00660253">
        <w:rPr>
          <w:rFonts w:eastAsiaTheme="minorHAnsi"/>
          <w:shd w:val="clear" w:color="auto" w:fill="FFFFFF"/>
          <w:lang w:eastAsia="en-US"/>
        </w:rPr>
        <w:t xml:space="preserve"> impact</w:t>
      </w:r>
      <w:r>
        <w:rPr>
          <w:rFonts w:eastAsiaTheme="minorHAnsi"/>
          <w:shd w:val="clear" w:color="auto" w:fill="FFFFFF"/>
          <w:lang w:eastAsia="en-US"/>
        </w:rPr>
        <w:t>ed on</w:t>
      </w:r>
      <w:r w:rsidRPr="00660253">
        <w:rPr>
          <w:rFonts w:eastAsiaTheme="minorHAnsi"/>
          <w:shd w:val="clear" w:color="auto" w:fill="FFFFFF"/>
          <w:lang w:eastAsia="en-US"/>
        </w:rPr>
        <w:t xml:space="preserve"> transition practices (Packer 2021). </w:t>
      </w:r>
      <w:r w:rsidRPr="001B6B6B">
        <w:rPr>
          <w:rFonts w:eastAsiaTheme="minorHAnsi"/>
          <w:shd w:val="clear" w:color="auto" w:fill="FFFFFF"/>
          <w:lang w:eastAsia="en-US"/>
        </w:rPr>
        <w:t xml:space="preserve">This is also demonstrated in Kolb’s (2015) </w:t>
      </w:r>
      <w:r>
        <w:rPr>
          <w:rFonts w:eastAsiaTheme="minorHAnsi"/>
          <w:shd w:val="clear" w:color="auto" w:fill="FFFFFF"/>
          <w:lang w:eastAsia="en-US"/>
        </w:rPr>
        <w:t>E</w:t>
      </w:r>
      <w:r w:rsidRPr="001B6B6B">
        <w:rPr>
          <w:rFonts w:eastAsiaTheme="minorHAnsi"/>
          <w:shd w:val="clear" w:color="auto" w:fill="FFFFFF"/>
          <w:lang w:eastAsia="en-US"/>
        </w:rPr>
        <w:t xml:space="preserve">xperiential </w:t>
      </w:r>
      <w:r>
        <w:rPr>
          <w:rFonts w:eastAsiaTheme="minorHAnsi"/>
          <w:shd w:val="clear" w:color="auto" w:fill="FFFFFF"/>
          <w:lang w:eastAsia="en-US"/>
        </w:rPr>
        <w:t>L</w:t>
      </w:r>
      <w:r w:rsidRPr="001B6B6B">
        <w:rPr>
          <w:rFonts w:eastAsiaTheme="minorHAnsi"/>
          <w:shd w:val="clear" w:color="auto" w:fill="FFFFFF"/>
          <w:lang w:eastAsia="en-US"/>
        </w:rPr>
        <w:t xml:space="preserve">earning </w:t>
      </w:r>
      <w:r>
        <w:rPr>
          <w:rFonts w:eastAsiaTheme="minorHAnsi"/>
          <w:shd w:val="clear" w:color="auto" w:fill="FFFFFF"/>
          <w:lang w:eastAsia="en-US"/>
        </w:rPr>
        <w:t>T</w:t>
      </w:r>
      <w:r w:rsidRPr="001B6B6B">
        <w:rPr>
          <w:rFonts w:eastAsiaTheme="minorHAnsi"/>
          <w:shd w:val="clear" w:color="auto" w:fill="FFFFFF"/>
          <w:lang w:eastAsia="en-US"/>
        </w:rPr>
        <w:t xml:space="preserve">heory whereby obtaining knowledge occurs through the transformation of experiences which can arguably be extended to </w:t>
      </w:r>
      <w:r>
        <w:rPr>
          <w:rFonts w:eastAsiaTheme="minorHAnsi"/>
          <w:shd w:val="clear" w:color="auto" w:fill="FFFFFF"/>
          <w:lang w:eastAsia="en-US"/>
        </w:rPr>
        <w:t>opportunities</w:t>
      </w:r>
      <w:r w:rsidRPr="001B6B6B">
        <w:rPr>
          <w:rFonts w:eastAsiaTheme="minorHAnsi"/>
          <w:shd w:val="clear" w:color="auto" w:fill="FFFFFF"/>
          <w:lang w:eastAsia="en-US"/>
        </w:rPr>
        <w:t xml:space="preserve"> </w:t>
      </w:r>
      <w:r>
        <w:rPr>
          <w:rFonts w:eastAsiaTheme="minorHAnsi"/>
          <w:shd w:val="clear" w:color="auto" w:fill="FFFFFF"/>
          <w:lang w:eastAsia="en-US"/>
        </w:rPr>
        <w:t>such as visits, workshops and taster days undertaken during good transition practices</w:t>
      </w:r>
      <w:r w:rsidRPr="001B6B6B">
        <w:rPr>
          <w:rFonts w:eastAsiaTheme="minorHAnsi"/>
          <w:shd w:val="clear" w:color="auto" w:fill="FFFFFF"/>
          <w:lang w:eastAsia="en-US"/>
        </w:rPr>
        <w:t xml:space="preserve">. </w:t>
      </w:r>
      <w:r>
        <w:t xml:space="preserve">Thus, from a learning and transitional perspective, gaining a wider understanding of a YP’s life, including prior experiences, supports the continuation of their learning and development </w:t>
      </w:r>
      <w:r w:rsidRPr="00660253">
        <w:rPr>
          <w:rFonts w:eastAsiaTheme="minorHAnsi"/>
          <w:shd w:val="clear" w:color="auto" w:fill="FFFFFF"/>
          <w:lang w:eastAsia="en-US"/>
        </w:rPr>
        <w:t xml:space="preserve">(Galton, </w:t>
      </w:r>
      <w:r w:rsidRPr="00950806">
        <w:rPr>
          <w:rFonts w:eastAsiaTheme="minorHAnsi"/>
          <w:i/>
          <w:iCs/>
          <w:shd w:val="clear" w:color="auto" w:fill="FFFFFF"/>
          <w:lang w:eastAsia="en-US"/>
        </w:rPr>
        <w:t>cited in</w:t>
      </w:r>
      <w:r w:rsidRPr="00660253">
        <w:rPr>
          <w:rFonts w:eastAsiaTheme="minorHAnsi"/>
          <w:shd w:val="clear" w:color="auto" w:fill="FFFFFF"/>
          <w:lang w:eastAsia="en-US"/>
        </w:rPr>
        <w:t xml:space="preserve"> Symonds 2015 p.ix).</w:t>
      </w:r>
      <w:r>
        <w:rPr>
          <w:rFonts w:eastAsiaTheme="minorHAnsi"/>
          <w:shd w:val="clear" w:color="auto" w:fill="FFFFFF"/>
          <w:lang w:eastAsia="en-US"/>
        </w:rPr>
        <w:t xml:space="preserve"> These theoretical standpoints were critical influences when addressing the focus of this research as they assist and remind the reader that transition is complex and multifaceted. </w:t>
      </w:r>
    </w:p>
    <w:p w14:paraId="6D5F2149" w14:textId="77777777" w:rsidR="00421BB4" w:rsidRDefault="00421BB4" w:rsidP="00421BB4">
      <w:pPr>
        <w:spacing w:line="360" w:lineRule="auto"/>
        <w:jc w:val="both"/>
        <w:rPr>
          <w:rFonts w:eastAsiaTheme="minorHAnsi"/>
          <w:b/>
          <w:bCs/>
          <w:u w:val="single"/>
          <w:shd w:val="clear" w:color="auto" w:fill="FFFFFF"/>
          <w:lang w:eastAsia="en-US"/>
        </w:rPr>
      </w:pPr>
    </w:p>
    <w:p w14:paraId="758CE9D3" w14:textId="77777777" w:rsidR="00421BB4" w:rsidRPr="008F4DAA" w:rsidRDefault="00421BB4" w:rsidP="00421BB4">
      <w:pPr>
        <w:spacing w:line="360" w:lineRule="auto"/>
        <w:jc w:val="both"/>
        <w:rPr>
          <w:rFonts w:eastAsiaTheme="minorHAnsi"/>
          <w:b/>
          <w:bCs/>
          <w:u w:val="single"/>
          <w:shd w:val="clear" w:color="auto" w:fill="FFFFFF"/>
          <w:lang w:eastAsia="en-US"/>
        </w:rPr>
      </w:pPr>
      <w:bookmarkStart w:id="7" w:name="Theme2"/>
      <w:r w:rsidRPr="008F4DAA">
        <w:rPr>
          <w:rFonts w:eastAsiaTheme="minorHAnsi"/>
          <w:b/>
          <w:bCs/>
          <w:u w:val="single"/>
          <w:shd w:val="clear" w:color="auto" w:fill="FFFFFF"/>
          <w:lang w:eastAsia="en-US"/>
        </w:rPr>
        <w:t xml:space="preserve">Theme 2.2 – Transition in education in the UK </w:t>
      </w:r>
    </w:p>
    <w:bookmarkEnd w:id="7"/>
    <w:p w14:paraId="39F32AAE" w14:textId="77777777" w:rsidR="00421BB4" w:rsidRDefault="00421BB4" w:rsidP="00421BB4">
      <w:pPr>
        <w:spacing w:line="360" w:lineRule="auto"/>
        <w:ind w:firstLine="720"/>
        <w:jc w:val="both"/>
        <w:rPr>
          <w:rFonts w:eastAsiaTheme="minorHAnsi"/>
          <w:shd w:val="clear" w:color="auto" w:fill="FFFFFF"/>
          <w:lang w:eastAsia="en-US"/>
        </w:rPr>
      </w:pPr>
      <w:r>
        <w:rPr>
          <w:rFonts w:eastAsiaTheme="minorHAnsi"/>
          <w:shd w:val="clear" w:color="auto" w:fill="FFFFFF"/>
          <w:lang w:eastAsia="en-US"/>
        </w:rPr>
        <w:t>Alongside this revolution within child development,</w:t>
      </w:r>
      <w:r w:rsidRPr="00BF1755">
        <w:rPr>
          <w:rFonts w:eastAsiaTheme="minorHAnsi"/>
          <w:shd w:val="clear" w:color="auto" w:fill="FFFFFF"/>
          <w:lang w:eastAsia="en-US"/>
        </w:rPr>
        <w:t xml:space="preserve"> the education system was </w:t>
      </w:r>
      <w:r>
        <w:rPr>
          <w:rFonts w:eastAsiaTheme="minorHAnsi"/>
          <w:shd w:val="clear" w:color="auto" w:fill="FFFFFF"/>
          <w:lang w:eastAsia="en-US"/>
        </w:rPr>
        <w:t xml:space="preserve">simultaneously </w:t>
      </w:r>
      <w:r w:rsidRPr="00BF1755">
        <w:rPr>
          <w:rFonts w:eastAsiaTheme="minorHAnsi"/>
          <w:shd w:val="clear" w:color="auto" w:fill="FFFFFF"/>
          <w:lang w:eastAsia="en-US"/>
        </w:rPr>
        <w:t>experiencing significant changes</w:t>
      </w:r>
      <w:r>
        <w:rPr>
          <w:rFonts w:eastAsiaTheme="minorHAnsi"/>
          <w:shd w:val="clear" w:color="auto" w:fill="FFFFFF"/>
          <w:lang w:eastAsia="en-US"/>
        </w:rPr>
        <w:t>,</w:t>
      </w:r>
      <w:r w:rsidRPr="00BF1755">
        <w:rPr>
          <w:rFonts w:eastAsiaTheme="minorHAnsi"/>
          <w:shd w:val="clear" w:color="auto" w:fill="FFFFFF"/>
          <w:lang w:eastAsia="en-US"/>
        </w:rPr>
        <w:t xml:space="preserve"> </w:t>
      </w:r>
      <w:r>
        <w:rPr>
          <w:rFonts w:eastAsiaTheme="minorHAnsi"/>
          <w:shd w:val="clear" w:color="auto" w:fill="FFFFFF"/>
          <w:lang w:eastAsia="en-US"/>
        </w:rPr>
        <w:t xml:space="preserve">namely the shift </w:t>
      </w:r>
      <w:r w:rsidRPr="00BF1755">
        <w:rPr>
          <w:rFonts w:eastAsiaTheme="minorHAnsi"/>
          <w:shd w:val="clear" w:color="auto" w:fill="FFFFFF"/>
          <w:lang w:eastAsia="en-US"/>
        </w:rPr>
        <w:t>from the selective</w:t>
      </w:r>
      <w:r>
        <w:rPr>
          <w:rFonts w:eastAsiaTheme="minorHAnsi"/>
          <w:shd w:val="clear" w:color="auto" w:fill="FFFFFF"/>
          <w:lang w:eastAsia="en-US"/>
        </w:rPr>
        <w:t xml:space="preserve"> </w:t>
      </w:r>
      <w:r w:rsidRPr="00BF1755">
        <w:rPr>
          <w:rFonts w:eastAsiaTheme="minorHAnsi"/>
          <w:shd w:val="clear" w:color="auto" w:fill="FFFFFF"/>
          <w:lang w:eastAsia="en-US"/>
        </w:rPr>
        <w:t>grammar school</w:t>
      </w:r>
      <w:r>
        <w:rPr>
          <w:rFonts w:eastAsiaTheme="minorHAnsi"/>
          <w:shd w:val="clear" w:color="auto" w:fill="FFFFFF"/>
          <w:lang w:eastAsia="en-US"/>
        </w:rPr>
        <w:t xml:space="preserve"> system</w:t>
      </w:r>
      <w:r w:rsidRPr="00BF1755">
        <w:rPr>
          <w:rFonts w:eastAsiaTheme="minorHAnsi"/>
          <w:shd w:val="clear" w:color="auto" w:fill="FFFFFF"/>
          <w:lang w:eastAsia="en-US"/>
        </w:rPr>
        <w:t xml:space="preserve"> to the development of the comprehensive school</w:t>
      </w:r>
      <w:r>
        <w:rPr>
          <w:rFonts w:eastAsiaTheme="minorHAnsi"/>
          <w:shd w:val="clear" w:color="auto" w:fill="FFFFFF"/>
          <w:lang w:eastAsia="en-US"/>
        </w:rPr>
        <w:t xml:space="preserve"> </w:t>
      </w:r>
      <w:r w:rsidRPr="005934EA">
        <w:rPr>
          <w:rFonts w:eastAsiaTheme="minorHAnsi"/>
          <w:shd w:val="clear" w:color="auto" w:fill="FFFFFF"/>
          <w:lang w:eastAsia="en-US"/>
        </w:rPr>
        <w:t xml:space="preserve">(Venice 2012). </w:t>
      </w:r>
      <w:r>
        <w:rPr>
          <w:rFonts w:eastAsiaTheme="minorHAnsi"/>
          <w:shd w:val="clear" w:color="auto" w:fill="FFFFFF"/>
          <w:lang w:eastAsia="en-US"/>
        </w:rPr>
        <w:t>Yet irrespective of this shift, more attention was directed towards the use of</w:t>
      </w:r>
      <w:r w:rsidRPr="00BF1755">
        <w:rPr>
          <w:rFonts w:eastAsiaTheme="minorHAnsi"/>
          <w:shd w:val="clear" w:color="auto" w:fill="FFFFFF"/>
          <w:lang w:eastAsia="en-US"/>
        </w:rPr>
        <w:t xml:space="preserve"> school buildings</w:t>
      </w:r>
      <w:r>
        <w:rPr>
          <w:rFonts w:eastAsiaTheme="minorHAnsi"/>
          <w:shd w:val="clear" w:color="auto" w:fill="FFFFFF"/>
          <w:lang w:eastAsia="en-US"/>
        </w:rPr>
        <w:t xml:space="preserve"> rather than on the CYP. It </w:t>
      </w:r>
      <w:r w:rsidRPr="00BF1755">
        <w:rPr>
          <w:rFonts w:eastAsiaTheme="minorHAnsi"/>
          <w:shd w:val="clear" w:color="auto" w:fill="FFFFFF"/>
          <w:lang w:eastAsia="en-US"/>
        </w:rPr>
        <w:t xml:space="preserve">became clearer </w:t>
      </w:r>
      <w:r>
        <w:rPr>
          <w:rFonts w:eastAsiaTheme="minorHAnsi"/>
          <w:shd w:val="clear" w:color="auto" w:fill="FFFFFF"/>
          <w:lang w:eastAsia="en-US"/>
        </w:rPr>
        <w:t xml:space="preserve">over </w:t>
      </w:r>
      <w:r w:rsidRPr="00BF1755">
        <w:rPr>
          <w:rFonts w:eastAsiaTheme="minorHAnsi"/>
          <w:shd w:val="clear" w:color="auto" w:fill="FFFFFF"/>
          <w:lang w:eastAsia="en-US"/>
        </w:rPr>
        <w:t>time that issues surrounding transition were far more multi-layered</w:t>
      </w:r>
      <w:r>
        <w:rPr>
          <w:rFonts w:eastAsiaTheme="minorHAnsi"/>
          <w:shd w:val="clear" w:color="auto" w:fill="FFFFFF"/>
          <w:lang w:eastAsia="en-US"/>
        </w:rPr>
        <w:t xml:space="preserve">, </w:t>
      </w:r>
      <w:r w:rsidRPr="00BF1755">
        <w:rPr>
          <w:rFonts w:eastAsiaTheme="minorHAnsi"/>
          <w:shd w:val="clear" w:color="auto" w:fill="FFFFFF"/>
          <w:lang w:eastAsia="en-US"/>
        </w:rPr>
        <w:t>complex</w:t>
      </w:r>
      <w:r>
        <w:rPr>
          <w:rFonts w:eastAsiaTheme="minorHAnsi"/>
          <w:shd w:val="clear" w:color="auto" w:fill="FFFFFF"/>
          <w:lang w:eastAsia="en-US"/>
        </w:rPr>
        <w:t xml:space="preserve"> and </w:t>
      </w:r>
      <w:r w:rsidRPr="005F24E5">
        <w:rPr>
          <w:rFonts w:eastAsiaTheme="minorHAnsi"/>
          <w:shd w:val="clear" w:color="auto" w:fill="FFFFFF"/>
          <w:lang w:eastAsia="en-US"/>
        </w:rPr>
        <w:t xml:space="preserve">instrumental to development </w:t>
      </w:r>
      <w:r>
        <w:rPr>
          <w:rFonts w:eastAsiaTheme="minorHAnsi"/>
          <w:shd w:val="clear" w:color="auto" w:fill="FFFFFF"/>
          <w:lang w:eastAsia="en-US"/>
        </w:rPr>
        <w:t>than once thought</w:t>
      </w:r>
      <w:r w:rsidRPr="00BF1755">
        <w:rPr>
          <w:rFonts w:eastAsiaTheme="minorHAnsi"/>
          <w:shd w:val="clear" w:color="auto" w:fill="FFFFFF"/>
          <w:lang w:eastAsia="en-US"/>
        </w:rPr>
        <w:t xml:space="preserve"> </w:t>
      </w:r>
      <w:r>
        <w:rPr>
          <w:rFonts w:eastAsiaTheme="minorHAnsi"/>
          <w:shd w:val="clear" w:color="auto" w:fill="FFFFFF"/>
          <w:lang w:eastAsia="en-US"/>
        </w:rPr>
        <w:t xml:space="preserve">(Symonds 2015 and </w:t>
      </w:r>
      <w:r w:rsidRPr="00BF1755">
        <w:rPr>
          <w:rFonts w:eastAsiaTheme="minorHAnsi"/>
          <w:shd w:val="clear" w:color="auto" w:fill="FFFFFF"/>
          <w:lang w:eastAsia="en-US"/>
        </w:rPr>
        <w:t xml:space="preserve">Galton and McLellan, 2018). Arising interest in the study of life trajectories across various stages in life </w:t>
      </w:r>
      <w:r>
        <w:rPr>
          <w:rFonts w:eastAsiaTheme="minorHAnsi"/>
          <w:shd w:val="clear" w:color="auto" w:fill="FFFFFF"/>
          <w:lang w:eastAsia="en-US"/>
        </w:rPr>
        <w:t xml:space="preserve">finally </w:t>
      </w:r>
      <w:r w:rsidRPr="00BF1755">
        <w:rPr>
          <w:rFonts w:eastAsiaTheme="minorHAnsi"/>
          <w:shd w:val="clear" w:color="auto" w:fill="FFFFFF"/>
          <w:lang w:eastAsia="en-US"/>
        </w:rPr>
        <w:t>meant that attention began to focus on the child (Field 2010)</w:t>
      </w:r>
      <w:r>
        <w:rPr>
          <w:rFonts w:eastAsiaTheme="minorHAnsi"/>
          <w:shd w:val="clear" w:color="auto" w:fill="FFFFFF"/>
          <w:lang w:eastAsia="en-US"/>
        </w:rPr>
        <w:t xml:space="preserve"> during transition</w:t>
      </w:r>
      <w:r w:rsidRPr="00BF1755">
        <w:rPr>
          <w:rFonts w:eastAsiaTheme="minorHAnsi"/>
          <w:shd w:val="clear" w:color="auto" w:fill="FFFFFF"/>
          <w:lang w:eastAsia="en-US"/>
        </w:rPr>
        <w:t xml:space="preserve">. </w:t>
      </w:r>
      <w:r>
        <w:rPr>
          <w:rFonts w:eastAsiaTheme="minorHAnsi"/>
          <w:shd w:val="clear" w:color="auto" w:fill="FFFFFF"/>
          <w:lang w:eastAsia="en-US"/>
        </w:rPr>
        <w:t>Interestingly, despite</w:t>
      </w:r>
      <w:r w:rsidRPr="00660253">
        <w:rPr>
          <w:rFonts w:eastAsiaTheme="minorHAnsi"/>
          <w:shd w:val="clear" w:color="auto" w:fill="FFFFFF"/>
          <w:lang w:eastAsia="en-US"/>
        </w:rPr>
        <w:t xml:space="preserve"> more mixed and qualitative studies </w:t>
      </w:r>
      <w:r>
        <w:rPr>
          <w:rFonts w:eastAsiaTheme="minorHAnsi"/>
          <w:shd w:val="clear" w:color="auto" w:fill="FFFFFF"/>
          <w:lang w:eastAsia="en-US"/>
        </w:rPr>
        <w:t>being conducted</w:t>
      </w:r>
      <w:r w:rsidRPr="00660253">
        <w:rPr>
          <w:rFonts w:eastAsiaTheme="minorHAnsi"/>
          <w:shd w:val="clear" w:color="auto" w:fill="FFFFFF"/>
          <w:lang w:eastAsia="en-US"/>
        </w:rPr>
        <w:t xml:space="preserve"> on transition</w:t>
      </w:r>
      <w:r>
        <w:rPr>
          <w:rFonts w:eastAsiaTheme="minorHAnsi"/>
          <w:shd w:val="clear" w:color="auto" w:fill="FFFFFF"/>
          <w:lang w:eastAsia="en-US"/>
        </w:rPr>
        <w:t xml:space="preserve"> and concerns </w:t>
      </w:r>
      <w:r w:rsidRPr="005F24E5">
        <w:rPr>
          <w:rFonts w:eastAsiaTheme="minorHAnsi"/>
          <w:shd w:val="clear" w:color="auto" w:fill="FFFFFF"/>
          <w:lang w:eastAsia="en-US"/>
        </w:rPr>
        <w:t xml:space="preserve">showing the dip in performance </w:t>
      </w:r>
      <w:r w:rsidRPr="00660253">
        <w:rPr>
          <w:rFonts w:eastAsiaTheme="minorHAnsi"/>
          <w:shd w:val="clear" w:color="auto" w:fill="FFFFFF"/>
          <w:lang w:eastAsia="en-US"/>
        </w:rPr>
        <w:t>caused by transition</w:t>
      </w:r>
      <w:r>
        <w:rPr>
          <w:rFonts w:eastAsiaTheme="minorHAnsi"/>
          <w:shd w:val="clear" w:color="auto" w:fill="FFFFFF"/>
          <w:lang w:eastAsia="en-US"/>
        </w:rPr>
        <w:t xml:space="preserve">, the gap in P16 transition research remains; </w:t>
      </w:r>
      <w:r w:rsidRPr="0052351F">
        <w:rPr>
          <w:rFonts w:eastAsiaTheme="minorHAnsi"/>
          <w:shd w:val="clear" w:color="auto" w:fill="FFFFFF"/>
          <w:lang w:eastAsia="en-US"/>
        </w:rPr>
        <w:t xml:space="preserve">thus, </w:t>
      </w:r>
      <w:r>
        <w:rPr>
          <w:rFonts w:eastAsiaTheme="minorHAnsi"/>
          <w:shd w:val="clear" w:color="auto" w:fill="FFFFFF"/>
          <w:lang w:eastAsia="en-US"/>
        </w:rPr>
        <w:t>potentially reinforcing benefits of this research</w:t>
      </w:r>
      <w:r w:rsidRPr="0052351F">
        <w:rPr>
          <w:rFonts w:eastAsiaTheme="minorHAnsi"/>
          <w:shd w:val="clear" w:color="auto" w:fill="FFFFFF"/>
          <w:lang w:eastAsia="en-US"/>
        </w:rPr>
        <w:t xml:space="preserve"> (Galton, </w:t>
      </w:r>
      <w:r w:rsidRPr="0052351F">
        <w:rPr>
          <w:rFonts w:eastAsiaTheme="minorHAnsi"/>
          <w:i/>
          <w:iCs/>
          <w:shd w:val="clear" w:color="auto" w:fill="FFFFFF"/>
          <w:lang w:eastAsia="en-US"/>
        </w:rPr>
        <w:t>cited in</w:t>
      </w:r>
      <w:r w:rsidRPr="0052351F">
        <w:rPr>
          <w:rFonts w:eastAsiaTheme="minorHAnsi"/>
          <w:shd w:val="clear" w:color="auto" w:fill="FFFFFF"/>
          <w:lang w:eastAsia="en-US"/>
        </w:rPr>
        <w:t xml:space="preserve"> Symonds 2015). </w:t>
      </w:r>
    </w:p>
    <w:p w14:paraId="40B925C2" w14:textId="77777777" w:rsidR="00421BB4" w:rsidRPr="00AA5487" w:rsidRDefault="00421BB4" w:rsidP="00421BB4">
      <w:pPr>
        <w:spacing w:after="160" w:line="360" w:lineRule="auto"/>
        <w:ind w:firstLine="720"/>
        <w:jc w:val="both"/>
        <w:rPr>
          <w:shd w:val="clear" w:color="auto" w:fill="FFFFFF"/>
        </w:rPr>
      </w:pPr>
      <w:r>
        <w:rPr>
          <w:shd w:val="clear" w:color="auto" w:fill="FFFFFF"/>
        </w:rPr>
        <w:t>Despite the recognition that transition needed to be as streamlined as possible by bridging the gap being more widely acknowledged, CYP in the UK still to this day experience transition from setting to setting, unlike the single structure education systems in countries such as Norway, Sweden and Finland that have sought to alleviate transition points (Symonds 2015 and Packer and Thomas 2021).</w:t>
      </w:r>
      <w:r w:rsidRPr="006F27AC">
        <w:rPr>
          <w:rFonts w:eastAsiaTheme="minorHAnsi"/>
          <w:shd w:val="clear" w:color="auto" w:fill="FFFFFF"/>
          <w:lang w:eastAsia="en-US"/>
        </w:rPr>
        <w:t xml:space="preserve"> </w:t>
      </w:r>
      <w:r>
        <w:rPr>
          <w:rFonts w:eastAsiaTheme="minorHAnsi"/>
          <w:shd w:val="clear" w:color="auto" w:fill="FFFFFF"/>
          <w:lang w:eastAsia="en-US"/>
        </w:rPr>
        <w:t xml:space="preserve">In Wales, despite removing phases and key stages from its curriculum to minimise transition points, YP still experience the same vertical physical transitions (Donaldson 2015 and Packer 2021). Advancements in research around rites of passage that occur during a life’s course, </w:t>
      </w:r>
      <w:r w:rsidRPr="00660253">
        <w:rPr>
          <w:shd w:val="clear" w:color="auto" w:fill="FFFFFF"/>
        </w:rPr>
        <w:t>where</w:t>
      </w:r>
      <w:r>
        <w:rPr>
          <w:shd w:val="clear" w:color="auto" w:fill="FFFFFF"/>
        </w:rPr>
        <w:t>by</w:t>
      </w:r>
      <w:r w:rsidRPr="00660253">
        <w:rPr>
          <w:shd w:val="clear" w:color="auto" w:fill="FFFFFF"/>
        </w:rPr>
        <w:t xml:space="preserve"> </w:t>
      </w:r>
      <w:r>
        <w:rPr>
          <w:shd w:val="clear" w:color="auto" w:fill="FFFFFF"/>
        </w:rPr>
        <w:t>YP</w:t>
      </w:r>
      <w:r w:rsidRPr="00660253">
        <w:rPr>
          <w:shd w:val="clear" w:color="auto" w:fill="FFFFFF"/>
        </w:rPr>
        <w:t xml:space="preserve"> change into a different social role, </w:t>
      </w:r>
      <w:r>
        <w:rPr>
          <w:shd w:val="clear" w:color="auto" w:fill="FFFFFF"/>
        </w:rPr>
        <w:t xml:space="preserve">have </w:t>
      </w:r>
      <w:r w:rsidRPr="00660253">
        <w:rPr>
          <w:shd w:val="clear" w:color="auto" w:fill="FFFFFF"/>
        </w:rPr>
        <w:lastRenderedPageBreak/>
        <w:t>more responsibility and a higher expectation for maturity</w:t>
      </w:r>
      <w:r>
        <w:rPr>
          <w:shd w:val="clear" w:color="auto" w:fill="FFFFFF"/>
        </w:rPr>
        <w:t xml:space="preserve">, have resulted in more involvement of YP in studies surrounding transition in countries such as these (van Gennep 2019 </w:t>
      </w:r>
      <w:r w:rsidRPr="00950806">
        <w:rPr>
          <w:i/>
          <w:iCs/>
          <w:shd w:val="clear" w:color="auto" w:fill="FFFFFF"/>
        </w:rPr>
        <w:t>cited in</w:t>
      </w:r>
      <w:r>
        <w:rPr>
          <w:shd w:val="clear" w:color="auto" w:fill="FFFFFF"/>
        </w:rPr>
        <w:t xml:space="preserve"> Packer 2021). As YP are considered responsibly mature participants in this research study, and their views valuable and relevant, the study can therefore be seen to contribute to the wider contemporary advancements that aim to promote </w:t>
      </w:r>
      <w:r w:rsidRPr="005F24E5">
        <w:rPr>
          <w:shd w:val="clear" w:color="auto" w:fill="FFFFFF"/>
        </w:rPr>
        <w:t xml:space="preserve">YP as agents of change </w:t>
      </w:r>
      <w:r>
        <w:rPr>
          <w:shd w:val="clear" w:color="auto" w:fill="FFFFFF"/>
        </w:rPr>
        <w:t xml:space="preserve">(Symonds 2015).   </w:t>
      </w:r>
    </w:p>
    <w:p w14:paraId="19EA676F" w14:textId="77777777" w:rsidR="00421BB4" w:rsidRDefault="00421BB4" w:rsidP="00421BB4">
      <w:pPr>
        <w:spacing w:after="160" w:line="360" w:lineRule="auto"/>
        <w:ind w:firstLine="720"/>
        <w:jc w:val="both"/>
        <w:rPr>
          <w:rFonts w:eastAsiaTheme="minorHAnsi"/>
          <w:lang w:eastAsia="en-US"/>
        </w:rPr>
      </w:pPr>
      <w:r>
        <w:rPr>
          <w:rFonts w:eastAsiaTheme="minorHAnsi"/>
          <w:shd w:val="clear" w:color="auto" w:fill="FFFFFF"/>
          <w:lang w:eastAsia="en-US"/>
        </w:rPr>
        <w:t xml:space="preserve">Focusing on the perceptions of YP during this research study supports the voice of the learner in P16 transition, despite the UK’s outdated commitment to focusing on the perception of adults (Packer 2021).  </w:t>
      </w:r>
      <w:r>
        <w:rPr>
          <w:shd w:val="clear" w:color="auto" w:fill="FFFFFF"/>
        </w:rPr>
        <w:t>That said, it would be incorrect to suggest that a shift mindset is not growing, albeit at a steady pace. W</w:t>
      </w:r>
      <w:r w:rsidRPr="00660253">
        <w:rPr>
          <w:rFonts w:eastAsiaTheme="minorHAnsi"/>
          <w:shd w:val="clear" w:color="auto" w:fill="FFFFFF"/>
          <w:lang w:eastAsia="en-US"/>
        </w:rPr>
        <w:t>hi</w:t>
      </w:r>
      <w:r>
        <w:rPr>
          <w:rFonts w:eastAsiaTheme="minorHAnsi"/>
          <w:shd w:val="clear" w:color="auto" w:fill="FFFFFF"/>
          <w:lang w:eastAsia="en-US"/>
        </w:rPr>
        <w:t>lst it is widely acknowledged</w:t>
      </w:r>
      <w:r w:rsidRPr="00660253">
        <w:rPr>
          <w:rFonts w:eastAsiaTheme="minorHAnsi"/>
          <w:shd w:val="clear" w:color="auto" w:fill="FFFFFF"/>
          <w:lang w:eastAsia="en-US"/>
        </w:rPr>
        <w:t xml:space="preserve"> t</w:t>
      </w:r>
      <w:r>
        <w:rPr>
          <w:rFonts w:eastAsiaTheme="minorHAnsi"/>
          <w:shd w:val="clear" w:color="auto" w:fill="FFFFFF"/>
          <w:lang w:eastAsia="en-US"/>
        </w:rPr>
        <w:t>hat</w:t>
      </w:r>
      <w:r w:rsidRPr="00660253">
        <w:rPr>
          <w:rFonts w:eastAsiaTheme="minorHAnsi"/>
          <w:shd w:val="clear" w:color="auto" w:fill="FFFFFF"/>
          <w:lang w:eastAsia="en-US"/>
        </w:rPr>
        <w:t xml:space="preserve"> </w:t>
      </w:r>
      <w:r>
        <w:rPr>
          <w:rFonts w:eastAsiaTheme="minorHAnsi"/>
          <w:shd w:val="clear" w:color="auto" w:fill="FFFFFF"/>
          <w:lang w:eastAsia="en-US"/>
        </w:rPr>
        <w:t>YP experience</w:t>
      </w:r>
      <w:r w:rsidRPr="00660253">
        <w:rPr>
          <w:rFonts w:eastAsiaTheme="minorHAnsi"/>
          <w:shd w:val="clear" w:color="auto" w:fill="FFFFFF"/>
          <w:lang w:eastAsia="en-US"/>
        </w:rPr>
        <w:t xml:space="preserve"> </w:t>
      </w:r>
      <w:r>
        <w:rPr>
          <w:rFonts w:eastAsiaTheme="minorHAnsi"/>
          <w:shd w:val="clear" w:color="auto" w:fill="FFFFFF"/>
          <w:lang w:eastAsia="en-US"/>
        </w:rPr>
        <w:t xml:space="preserve">minor </w:t>
      </w:r>
      <w:r w:rsidRPr="005F24E5">
        <w:rPr>
          <w:rFonts w:eastAsiaTheme="minorHAnsi"/>
          <w:shd w:val="clear" w:color="auto" w:fill="FFFFFF"/>
          <w:lang w:eastAsia="en-US"/>
        </w:rPr>
        <w:t>apprehensions when navigating new environments of transition, new studies reveal that they also experience more significant anxieties, often centring relationships and friendships (Field, 2010).</w:t>
      </w:r>
      <w:r w:rsidRPr="005F24E5">
        <w:rPr>
          <w:shd w:val="clear" w:color="auto" w:fill="FFFFFF"/>
        </w:rPr>
        <w:t xml:space="preserve"> </w:t>
      </w:r>
      <w:r w:rsidRPr="005F24E5">
        <w:rPr>
          <w:rFonts w:eastAsiaTheme="minorHAnsi"/>
          <w:shd w:val="clear" w:color="auto" w:fill="FFFFFF"/>
          <w:lang w:eastAsia="en-US"/>
        </w:rPr>
        <w:t>While q</w:t>
      </w:r>
      <w:r w:rsidRPr="005F24E5">
        <w:rPr>
          <w:rFonts w:eastAsiaTheme="minorHAnsi"/>
          <w:lang w:eastAsia="en-US"/>
        </w:rPr>
        <w:t>ualitative studies carried out still criticise transition planning as poor given that they still fail to consider a YP’s individual needs and opinions, m</w:t>
      </w:r>
      <w:r w:rsidRPr="005F24E5">
        <w:t xml:space="preserve">ore recent research acknowledges that YP require support when planning their future goals </w:t>
      </w:r>
      <w:r w:rsidRPr="00660253">
        <w:rPr>
          <w:rFonts w:eastAsiaTheme="minorHAnsi"/>
          <w:lang w:eastAsia="en-US"/>
        </w:rPr>
        <w:t>(Beresford, 2004</w:t>
      </w:r>
      <w:r>
        <w:rPr>
          <w:rFonts w:eastAsiaTheme="minorHAnsi"/>
          <w:lang w:eastAsia="en-US"/>
        </w:rPr>
        <w:t xml:space="preserve">; </w:t>
      </w:r>
      <w:r w:rsidRPr="00CA6B44">
        <w:t>Morris and Atkinson</w:t>
      </w:r>
      <w:r>
        <w:t xml:space="preserve"> 2018</w:t>
      </w:r>
      <w:r w:rsidRPr="00CA6B44">
        <w:t>).</w:t>
      </w:r>
      <w:r w:rsidRPr="005F751E">
        <w:t xml:space="preserve"> </w:t>
      </w:r>
      <w:r>
        <w:t>These findings indicate potential areas of focus for wellbeing support during P16 transition.</w:t>
      </w:r>
      <w:r w:rsidRPr="00F50A9C">
        <w:rPr>
          <w:rFonts w:eastAsiaTheme="minorHAnsi"/>
          <w:lang w:eastAsia="en-US"/>
        </w:rPr>
        <w:t xml:space="preserve"> </w:t>
      </w:r>
    </w:p>
    <w:p w14:paraId="508ECCA3" w14:textId="77777777" w:rsidR="00421BB4" w:rsidRPr="00C50F10" w:rsidRDefault="00421BB4" w:rsidP="00421BB4">
      <w:pPr>
        <w:spacing w:after="160" w:line="360" w:lineRule="auto"/>
        <w:ind w:firstLine="720"/>
        <w:jc w:val="both"/>
        <w:rPr>
          <w:rFonts w:eastAsiaTheme="minorHAnsi"/>
          <w:lang w:eastAsia="en-US"/>
        </w:rPr>
      </w:pPr>
      <w:r>
        <w:t>Whilst it is recognised</w:t>
      </w:r>
      <w:r w:rsidRPr="00BF1755">
        <w:t xml:space="preserve"> </w:t>
      </w:r>
      <w:r>
        <w:t>that</w:t>
      </w:r>
      <w:r w:rsidRPr="00BF1755">
        <w:t xml:space="preserve"> schools</w:t>
      </w:r>
      <w:r>
        <w:t xml:space="preserve"> should</w:t>
      </w:r>
      <w:r w:rsidRPr="00BF1755">
        <w:t xml:space="preserve"> prepare </w:t>
      </w:r>
      <w:r>
        <w:t>learners</w:t>
      </w:r>
      <w:r w:rsidRPr="00BF1755">
        <w:t xml:space="preserve"> for the next stage of </w:t>
      </w:r>
      <w:r>
        <w:t>their learning</w:t>
      </w:r>
      <w:r>
        <w:rPr>
          <w:bCs/>
        </w:rPr>
        <w:t>, r</w:t>
      </w:r>
      <w:r w:rsidRPr="00BF1755">
        <w:rPr>
          <w:rFonts w:eastAsiaTheme="minorHAnsi"/>
          <w:shd w:val="clear" w:color="auto" w:fill="FFFFFF"/>
          <w:lang w:eastAsia="en-US"/>
        </w:rPr>
        <w:t>ecession during recent years</w:t>
      </w:r>
      <w:r>
        <w:rPr>
          <w:rFonts w:eastAsiaTheme="minorHAnsi"/>
          <w:shd w:val="clear" w:color="auto" w:fill="FFFFFF"/>
          <w:lang w:eastAsia="en-US"/>
        </w:rPr>
        <w:t>,</w:t>
      </w:r>
      <w:r w:rsidRPr="00BF1755">
        <w:rPr>
          <w:rFonts w:eastAsiaTheme="minorHAnsi"/>
          <w:shd w:val="clear" w:color="auto" w:fill="FFFFFF"/>
          <w:lang w:eastAsia="en-US"/>
        </w:rPr>
        <w:t xml:space="preserve"> subsequent cutbacks</w:t>
      </w:r>
      <w:r>
        <w:rPr>
          <w:rFonts w:eastAsiaTheme="minorHAnsi"/>
          <w:shd w:val="clear" w:color="auto" w:fill="FFFFFF"/>
          <w:lang w:eastAsia="en-US"/>
        </w:rPr>
        <w:t>, not to mention transition being a generally low status topic within schools</w:t>
      </w:r>
      <w:r w:rsidRPr="00BF1755">
        <w:rPr>
          <w:rFonts w:eastAsiaTheme="minorHAnsi"/>
          <w:shd w:val="clear" w:color="auto" w:fill="FFFFFF"/>
          <w:lang w:eastAsia="en-US"/>
        </w:rPr>
        <w:t xml:space="preserve"> contradict this</w:t>
      </w:r>
      <w:r>
        <w:rPr>
          <w:rFonts w:eastAsiaTheme="minorHAnsi"/>
          <w:shd w:val="clear" w:color="auto" w:fill="FFFFFF"/>
          <w:lang w:eastAsia="en-US"/>
        </w:rPr>
        <w:t>, resulting in additional</w:t>
      </w:r>
      <w:r w:rsidRPr="005F24E5">
        <w:rPr>
          <w:rFonts w:eastAsiaTheme="minorHAnsi"/>
          <w:shd w:val="clear" w:color="auto" w:fill="FFFFFF"/>
          <w:lang w:eastAsia="en-US"/>
        </w:rPr>
        <w:t xml:space="preserve"> problems linked to transition support </w:t>
      </w:r>
      <w:r w:rsidRPr="005F24E5">
        <w:t>(</w:t>
      </w:r>
      <w:r w:rsidRPr="00BF1755">
        <w:t>Galton</w:t>
      </w:r>
      <w:r>
        <w:t xml:space="preserve"> and McLellan 2018; Fuller, Thomas and Horswell 2005</w:t>
      </w:r>
      <w:r w:rsidRPr="00BF1755">
        <w:t xml:space="preserve">). </w:t>
      </w:r>
      <w:r w:rsidRPr="00F57B6A">
        <w:rPr>
          <w:rFonts w:eastAsiaTheme="minorHAnsi"/>
          <w:color w:val="FFC000"/>
          <w:shd w:val="clear" w:color="auto" w:fill="FFFFFF"/>
          <w:lang w:eastAsia="en-US"/>
        </w:rPr>
        <w:t xml:space="preserve"> </w:t>
      </w:r>
      <w:r w:rsidRPr="00C50F10">
        <w:rPr>
          <w:rFonts w:eastAsiaTheme="minorHAnsi"/>
          <w:shd w:val="clear" w:color="auto" w:fill="FFFFFF"/>
          <w:lang w:eastAsia="en-US"/>
        </w:rPr>
        <w:t xml:space="preserve">Never have schools struggled more to maintain their existing transition arrangements, such as walk arounds and face to face visits than during the Coronavirus pandemic; it influences continuing to disrupt education provision at all levels today (Galton, </w:t>
      </w:r>
      <w:r w:rsidRPr="00C50F10">
        <w:rPr>
          <w:rFonts w:eastAsiaTheme="minorHAnsi"/>
          <w:i/>
          <w:iCs/>
          <w:shd w:val="clear" w:color="auto" w:fill="FFFFFF"/>
          <w:lang w:eastAsia="en-US"/>
        </w:rPr>
        <w:t>cited in</w:t>
      </w:r>
      <w:r w:rsidRPr="00C50F10">
        <w:rPr>
          <w:rFonts w:eastAsiaTheme="minorHAnsi"/>
          <w:shd w:val="clear" w:color="auto" w:fill="FFFFFF"/>
          <w:lang w:eastAsia="en-US"/>
        </w:rPr>
        <w:t xml:space="preserve"> Symonds, 2015; Pownall and Harris and Blundell, 2021; WG 2021</w:t>
      </w:r>
      <w:r>
        <w:rPr>
          <w:rFonts w:eastAsiaTheme="minorHAnsi"/>
          <w:shd w:val="clear" w:color="auto" w:fill="FFFFFF"/>
          <w:lang w:eastAsia="en-US"/>
        </w:rPr>
        <w:t>b</w:t>
      </w:r>
      <w:r w:rsidRPr="00C50F10">
        <w:rPr>
          <w:rFonts w:eastAsiaTheme="minorHAnsi"/>
          <w:shd w:val="clear" w:color="auto" w:fill="FFFFFF"/>
          <w:lang w:eastAsia="en-US"/>
        </w:rPr>
        <w:t>).</w:t>
      </w:r>
      <w:r w:rsidRPr="00C50F10">
        <w:t xml:space="preserve"> </w:t>
      </w:r>
      <w:r>
        <w:t xml:space="preserve">Though schools </w:t>
      </w:r>
      <w:r w:rsidRPr="00BF1755">
        <w:t xml:space="preserve">do not have sole responsibility </w:t>
      </w:r>
      <w:r>
        <w:t>in</w:t>
      </w:r>
      <w:r w:rsidRPr="00BF1755">
        <w:t xml:space="preserve"> provid</w:t>
      </w:r>
      <w:r>
        <w:t>ing</w:t>
      </w:r>
      <w:r w:rsidRPr="00BF1755">
        <w:t xml:space="preserve"> </w:t>
      </w:r>
      <w:r>
        <w:t xml:space="preserve">transition </w:t>
      </w:r>
      <w:r w:rsidRPr="00BF1755">
        <w:t>support</w:t>
      </w:r>
      <w:r>
        <w:t xml:space="preserve"> because the influence of</w:t>
      </w:r>
      <w:r w:rsidRPr="00BF1755">
        <w:t xml:space="preserve"> friends and family </w:t>
      </w:r>
      <w:r>
        <w:t xml:space="preserve">is </w:t>
      </w:r>
      <w:r w:rsidRPr="00BF1755">
        <w:t>als</w:t>
      </w:r>
      <w:r>
        <w:t>o</w:t>
      </w:r>
      <w:r w:rsidRPr="00BF1755">
        <w:t xml:space="preserve"> </w:t>
      </w:r>
      <w:r>
        <w:t>a significant (as already outlined in the connection to Bronfenbrenner’s Ecological model</w:t>
      </w:r>
      <w:r w:rsidRPr="00BF1755">
        <w:t xml:space="preserve"> (</w:t>
      </w:r>
      <w:r>
        <w:t>Spratt 2017 and Symonds 2015), they still have a duty to implement a culture of transition, whereby transition is valued and viewed as part of the educational journey. This will not only help raise the status of transition,</w:t>
      </w:r>
      <w:r w:rsidRPr="00945B6D">
        <w:rPr>
          <w:color w:val="00B050"/>
        </w:rPr>
        <w:t xml:space="preserve"> </w:t>
      </w:r>
      <w:r>
        <w:t xml:space="preserve">but support YP in the long term (Symonds 2015).   </w:t>
      </w:r>
    </w:p>
    <w:p w14:paraId="114D75B7" w14:textId="77777777" w:rsidR="00421BB4" w:rsidRPr="000C3EEE" w:rsidRDefault="00421BB4" w:rsidP="00421BB4">
      <w:pPr>
        <w:spacing w:after="160" w:line="360" w:lineRule="auto"/>
        <w:jc w:val="both"/>
        <w:rPr>
          <w:rFonts w:eastAsiaTheme="minorHAnsi"/>
          <w:shd w:val="clear" w:color="auto" w:fill="FFFFFF"/>
          <w:lang w:eastAsia="en-US"/>
        </w:rPr>
      </w:pPr>
      <w:bookmarkStart w:id="8" w:name="Theme23Ariseininterest"/>
      <w:r w:rsidRPr="008F4DAA">
        <w:rPr>
          <w:b/>
          <w:u w:val="single"/>
        </w:rPr>
        <w:t>Theme 2.3 – A rise in interest in wellbeing</w:t>
      </w:r>
    </w:p>
    <w:bookmarkEnd w:id="8"/>
    <w:p w14:paraId="63A9A18E" w14:textId="77777777" w:rsidR="00421BB4" w:rsidRDefault="00421BB4" w:rsidP="00421BB4">
      <w:pPr>
        <w:pStyle w:val="paragraph"/>
        <w:spacing w:before="0" w:beforeAutospacing="0" w:after="0" w:afterAutospacing="0" w:line="360" w:lineRule="auto"/>
        <w:ind w:firstLine="720"/>
        <w:jc w:val="both"/>
        <w:textAlignment w:val="baseline"/>
        <w:rPr>
          <w:rStyle w:val="eop"/>
        </w:rPr>
      </w:pPr>
      <w:r w:rsidRPr="00BF1755">
        <w:rPr>
          <w:color w:val="2E2E2E"/>
        </w:rPr>
        <w:t xml:space="preserve">Wellbeing is a term that is used increasingly in UK government transition policy and </w:t>
      </w:r>
      <w:r>
        <w:rPr>
          <w:color w:val="2E2E2E"/>
        </w:rPr>
        <w:t>i</w:t>
      </w:r>
      <w:r w:rsidRPr="00BF1755">
        <w:rPr>
          <w:color w:val="2E2E2E"/>
        </w:rPr>
        <w:t>s included in the original W</w:t>
      </w:r>
      <w:r>
        <w:rPr>
          <w:color w:val="2E2E2E"/>
        </w:rPr>
        <w:t xml:space="preserve">ord </w:t>
      </w:r>
      <w:r w:rsidRPr="00BF1755">
        <w:rPr>
          <w:color w:val="2E2E2E"/>
        </w:rPr>
        <w:t>H</w:t>
      </w:r>
      <w:r>
        <w:rPr>
          <w:color w:val="2E2E2E"/>
        </w:rPr>
        <w:t xml:space="preserve">ealth </w:t>
      </w:r>
      <w:r w:rsidRPr="00BF1755">
        <w:rPr>
          <w:color w:val="2E2E2E"/>
        </w:rPr>
        <w:t>O</w:t>
      </w:r>
      <w:r>
        <w:rPr>
          <w:color w:val="2E2E2E"/>
        </w:rPr>
        <w:t>rganisation (WHO)</w:t>
      </w:r>
      <w:r w:rsidRPr="00BF1755">
        <w:rPr>
          <w:color w:val="2E2E2E"/>
        </w:rPr>
        <w:t xml:space="preserve"> definition to indicate much more </w:t>
      </w:r>
      <w:r w:rsidRPr="00BF1755">
        <w:rPr>
          <w:color w:val="2E2E2E"/>
        </w:rPr>
        <w:lastRenderedPageBreak/>
        <w:t>than just a state of physical health</w:t>
      </w:r>
      <w:r>
        <w:rPr>
          <w:color w:val="2E2E2E"/>
        </w:rPr>
        <w:t xml:space="preserve">. According to WHO, wellbeing </w:t>
      </w:r>
      <w:r w:rsidRPr="00BF1755">
        <w:rPr>
          <w:color w:val="2E2E2E"/>
        </w:rPr>
        <w:t xml:space="preserve">encompasses emotional stability, clear thinking, the ability to love, create, embrace change, exercise intuition, and experience a continuing sense of spirituality </w:t>
      </w:r>
      <w:r w:rsidRPr="002D1610">
        <w:t>(World Health Organisation 2021</w:t>
      </w:r>
      <w:r>
        <w:t xml:space="preserve">; </w:t>
      </w:r>
      <w:r w:rsidRPr="00BF1755">
        <w:t>Spratt 2017</w:t>
      </w:r>
      <w:r>
        <w:t xml:space="preserve">; </w:t>
      </w:r>
      <w:r w:rsidRPr="00BF1755">
        <w:rPr>
          <w:color w:val="2E2E2E"/>
        </w:rPr>
        <w:t>Harvey and Taylor</w:t>
      </w:r>
      <w:r>
        <w:rPr>
          <w:color w:val="2E2E2E"/>
        </w:rPr>
        <w:t xml:space="preserve"> </w:t>
      </w:r>
      <w:r w:rsidRPr="00361FF7">
        <w:t>2013).</w:t>
      </w:r>
      <w:r w:rsidRPr="00361FF7">
        <w:rPr>
          <w:i/>
          <w:iCs/>
        </w:rPr>
        <w:t xml:space="preserve"> </w:t>
      </w:r>
      <w:r w:rsidRPr="00BF1755">
        <w:rPr>
          <w:rStyle w:val="eop"/>
          <w:color w:val="000000" w:themeColor="text1"/>
        </w:rPr>
        <w:t>The scientific work of Positive Psychology</w:t>
      </w:r>
      <w:r>
        <w:rPr>
          <w:rStyle w:val="eop"/>
          <w:color w:val="000000" w:themeColor="text1"/>
        </w:rPr>
        <w:t xml:space="preserve">, </w:t>
      </w:r>
      <w:r w:rsidRPr="00BF1755">
        <w:rPr>
          <w:rStyle w:val="eop"/>
          <w:color w:val="000000" w:themeColor="text1"/>
        </w:rPr>
        <w:t>first coined by Abraham Maslow in 1954</w:t>
      </w:r>
      <w:r>
        <w:rPr>
          <w:rStyle w:val="eop"/>
          <w:color w:val="000000" w:themeColor="text1"/>
        </w:rPr>
        <w:t xml:space="preserve">, is applicable to our understanding of notions of wellbeing. </w:t>
      </w:r>
      <w:r w:rsidRPr="005F24E5">
        <w:rPr>
          <w:rStyle w:val="eop"/>
        </w:rPr>
        <w:t xml:space="preserve">Thriving as opposed to merely surviving </w:t>
      </w:r>
      <w:r>
        <w:rPr>
          <w:rStyle w:val="eop"/>
          <w:color w:val="000000" w:themeColor="text1"/>
        </w:rPr>
        <w:t xml:space="preserve">is of more </w:t>
      </w:r>
      <w:r w:rsidRPr="00BF1755">
        <w:rPr>
          <w:rStyle w:val="eop"/>
          <w:color w:val="000000" w:themeColor="text1"/>
        </w:rPr>
        <w:t xml:space="preserve">interest </w:t>
      </w:r>
      <w:r>
        <w:rPr>
          <w:rStyle w:val="eop"/>
          <w:color w:val="000000" w:themeColor="text1"/>
        </w:rPr>
        <w:t>now than it has ever been</w:t>
      </w:r>
      <w:r w:rsidRPr="00BF1755">
        <w:rPr>
          <w:rStyle w:val="eop"/>
          <w:color w:val="000000" w:themeColor="text1"/>
        </w:rPr>
        <w:t xml:space="preserve">, </w:t>
      </w:r>
      <w:r w:rsidRPr="00A81C1D">
        <w:rPr>
          <w:rStyle w:val="eop"/>
          <w:color w:val="000000" w:themeColor="text1"/>
        </w:rPr>
        <w:t xml:space="preserve">especially </w:t>
      </w:r>
      <w:r w:rsidRPr="00BF1755">
        <w:rPr>
          <w:rStyle w:val="eop"/>
          <w:color w:val="000000" w:themeColor="text1"/>
        </w:rPr>
        <w:t>since the outbreak of the</w:t>
      </w:r>
      <w:r>
        <w:rPr>
          <w:rStyle w:val="eop"/>
          <w:color w:val="000000" w:themeColor="text1"/>
        </w:rPr>
        <w:t xml:space="preserve"> Coronavirus</w:t>
      </w:r>
      <w:r w:rsidRPr="00BF1755">
        <w:rPr>
          <w:rStyle w:val="eop"/>
          <w:color w:val="000000" w:themeColor="text1"/>
        </w:rPr>
        <w:t xml:space="preserve"> pandemic in 2019 (Maslow, 1954</w:t>
      </w:r>
      <w:r>
        <w:rPr>
          <w:rStyle w:val="eop"/>
          <w:color w:val="000000" w:themeColor="text1"/>
        </w:rPr>
        <w:t xml:space="preserve">; </w:t>
      </w:r>
      <w:r w:rsidRPr="00BF1755">
        <w:rPr>
          <w:rStyle w:val="eop"/>
          <w:color w:val="000000" w:themeColor="text1"/>
        </w:rPr>
        <w:t>Maynard and Stuart 2018</w:t>
      </w:r>
      <w:r>
        <w:rPr>
          <w:rStyle w:val="eop"/>
          <w:color w:val="000000" w:themeColor="text1"/>
        </w:rPr>
        <w:t xml:space="preserve">; </w:t>
      </w:r>
      <w:r w:rsidRPr="00BF1755">
        <w:rPr>
          <w:rStyle w:val="eop"/>
        </w:rPr>
        <w:t xml:space="preserve">WG </w:t>
      </w:r>
      <w:r>
        <w:rPr>
          <w:rStyle w:val="eop"/>
        </w:rPr>
        <w:t xml:space="preserve">2018i; WG </w:t>
      </w:r>
      <w:r w:rsidRPr="00BF1755">
        <w:rPr>
          <w:rStyle w:val="eop"/>
        </w:rPr>
        <w:t>202</w:t>
      </w:r>
      <w:r>
        <w:rPr>
          <w:rStyle w:val="eop"/>
        </w:rPr>
        <w:t xml:space="preserve">0c). A direct parallel can be drawn between this concept of wellbeing and P16 transition. Supporting wellbeing during transition allows YP to thrive as opposed to survive during their transfer. </w:t>
      </w:r>
      <w:r>
        <w:t xml:space="preserve">In this light, understanding what constitutes wellbeing was not only vital for the researcher, but the views of the YP regarding wellbeing which proved fundamental to addressing to focus of the research.  </w:t>
      </w:r>
    </w:p>
    <w:p w14:paraId="7DA7A7A3" w14:textId="77777777" w:rsidR="00421BB4" w:rsidRDefault="00421BB4" w:rsidP="00421BB4">
      <w:pPr>
        <w:pStyle w:val="paragraph"/>
        <w:spacing w:before="0" w:beforeAutospacing="0" w:after="0" w:afterAutospacing="0" w:line="360" w:lineRule="auto"/>
        <w:ind w:firstLine="720"/>
        <w:jc w:val="both"/>
        <w:textAlignment w:val="baseline"/>
        <w:rPr>
          <w:rStyle w:val="eop"/>
        </w:rPr>
      </w:pPr>
      <w:r>
        <w:rPr>
          <w:rStyle w:val="eop"/>
        </w:rPr>
        <w:t>D</w:t>
      </w:r>
      <w:r>
        <w:rPr>
          <w:color w:val="2E2E2E"/>
        </w:rPr>
        <w:t xml:space="preserve">espite some researchers </w:t>
      </w:r>
      <w:r w:rsidRPr="005F24E5">
        <w:t>still disagreeing on its meaning, for many, wellbeing remains mainly about happiness</w:t>
      </w:r>
      <w:r w:rsidRPr="005F24E5">
        <w:rPr>
          <w:b/>
          <w:bCs/>
        </w:rPr>
        <w:t xml:space="preserve"> </w:t>
      </w:r>
      <w:r w:rsidRPr="00BF1755">
        <w:rPr>
          <w:color w:val="000000" w:themeColor="text1"/>
        </w:rPr>
        <w:t>(Alexander, 2007; O’Reilly, Svirydzenka, Adams, and Dogra, 2018</w:t>
      </w:r>
      <w:r>
        <w:rPr>
          <w:color w:val="000000" w:themeColor="text1"/>
        </w:rPr>
        <w:t>; Goodman, Disabato, Kashdan and Kauffman 2017</w:t>
      </w:r>
      <w:r w:rsidRPr="00BF1755">
        <w:rPr>
          <w:color w:val="000000" w:themeColor="text1"/>
        </w:rPr>
        <w:t xml:space="preserve">). </w:t>
      </w:r>
      <w:r>
        <w:rPr>
          <w:color w:val="2E2E2E"/>
        </w:rPr>
        <w:t xml:space="preserve">Positive psychology today however challenges this idea of basing one’s entire wellbeing on an emotion (happiness) that is so susceptible to fluctuation. Though it acknowledges that positive emotions can, and do, contribute to overall wellbeing, it also stresses that there are broader factors worth considering (Seligman 2011). </w:t>
      </w:r>
      <w:r>
        <w:rPr>
          <w:rStyle w:val="eop"/>
        </w:rPr>
        <w:t xml:space="preserve">The work of Seligman (2011) for example challenges the notion of wellbeing being based solely on happiness and instead argues that for YP to flourish, five factors of wellbeing must be considered: positive emotion, engagement, meaning, accomplishment and positive relationships. Arguably then, these factors need also be applied when addressing wellbeing support during P16 transition. </w:t>
      </w:r>
    </w:p>
    <w:p w14:paraId="23D71D5D" w14:textId="77777777" w:rsidR="00421BB4" w:rsidRDefault="00421BB4" w:rsidP="00421BB4">
      <w:pPr>
        <w:pStyle w:val="paragraph"/>
        <w:spacing w:before="0" w:beforeAutospacing="0" w:after="0" w:afterAutospacing="0" w:line="360" w:lineRule="auto"/>
        <w:jc w:val="both"/>
        <w:textAlignment w:val="baseline"/>
        <w:rPr>
          <w:rStyle w:val="eop"/>
          <w:b/>
          <w:bCs/>
          <w:u w:val="single"/>
        </w:rPr>
      </w:pPr>
    </w:p>
    <w:p w14:paraId="0E8E4A16" w14:textId="77777777" w:rsidR="00421BB4" w:rsidRPr="008F4DAA" w:rsidRDefault="00421BB4" w:rsidP="00421BB4">
      <w:pPr>
        <w:pStyle w:val="paragraph"/>
        <w:spacing w:before="0" w:beforeAutospacing="0" w:after="0" w:afterAutospacing="0" w:line="360" w:lineRule="auto"/>
        <w:jc w:val="both"/>
        <w:textAlignment w:val="baseline"/>
        <w:rPr>
          <w:b/>
          <w:bCs/>
          <w:i/>
          <w:iCs/>
          <w:u w:val="single"/>
        </w:rPr>
      </w:pPr>
      <w:bookmarkStart w:id="9" w:name="Socialandemotional"/>
      <w:r w:rsidRPr="008F4DAA">
        <w:rPr>
          <w:rStyle w:val="eop"/>
          <w:b/>
          <w:bCs/>
          <w:u w:val="single"/>
        </w:rPr>
        <w:t>2.4 – Social and emotional wellbeing (SEWB) and resilience</w:t>
      </w:r>
    </w:p>
    <w:bookmarkEnd w:id="9"/>
    <w:p w14:paraId="03BCE48B" w14:textId="77777777" w:rsidR="00421BB4" w:rsidRDefault="00421BB4" w:rsidP="00421BB4">
      <w:pPr>
        <w:spacing w:after="160" w:line="360" w:lineRule="auto"/>
        <w:ind w:firstLine="720"/>
        <w:jc w:val="both"/>
        <w:rPr>
          <w:rFonts w:eastAsiaTheme="minorHAnsi"/>
          <w:lang w:eastAsia="en-US"/>
        </w:rPr>
      </w:pPr>
      <w:r>
        <w:rPr>
          <w:color w:val="2E2E2E"/>
        </w:rPr>
        <w:t xml:space="preserve"> Due to the disparate notions of wellbeing as briefly outlines above, many would agree that wellbeing is</w:t>
      </w:r>
      <w:r w:rsidRPr="00BF1755">
        <w:rPr>
          <w:color w:val="2E2E2E"/>
        </w:rPr>
        <w:t xml:space="preserve"> a construct</w:t>
      </w:r>
      <w:r>
        <w:rPr>
          <w:color w:val="2E2E2E"/>
        </w:rPr>
        <w:t xml:space="preserve">; </w:t>
      </w:r>
      <w:r w:rsidRPr="00BF1755">
        <w:rPr>
          <w:color w:val="2E2E2E"/>
        </w:rPr>
        <w:t xml:space="preserve">an </w:t>
      </w:r>
      <w:r>
        <w:rPr>
          <w:color w:val="2E2E2E"/>
        </w:rPr>
        <w:t xml:space="preserve">abstract </w:t>
      </w:r>
      <w:r w:rsidRPr="00BF1755">
        <w:rPr>
          <w:color w:val="2E2E2E"/>
        </w:rPr>
        <w:t xml:space="preserve">idea </w:t>
      </w:r>
      <w:r>
        <w:rPr>
          <w:color w:val="2E2E2E"/>
        </w:rPr>
        <w:t>rather than a concrete thing that</w:t>
      </w:r>
      <w:r w:rsidRPr="00BF1755">
        <w:rPr>
          <w:color w:val="2E2E2E"/>
        </w:rPr>
        <w:t xml:space="preserve"> shifts in focus depend</w:t>
      </w:r>
      <w:r>
        <w:rPr>
          <w:color w:val="2E2E2E"/>
        </w:rPr>
        <w:t>ing</w:t>
      </w:r>
      <w:r w:rsidRPr="00BF1755">
        <w:rPr>
          <w:color w:val="2E2E2E"/>
        </w:rPr>
        <w:t xml:space="preserve"> on the interests and beliefs of who is discussing it (Seligman 2011). </w:t>
      </w:r>
      <w:r w:rsidRPr="00BF1755">
        <w:rPr>
          <w:rFonts w:eastAsiaTheme="minorHAnsi"/>
          <w:lang w:eastAsia="en-US"/>
        </w:rPr>
        <w:t>Life transitions such as starting</w:t>
      </w:r>
      <w:r>
        <w:rPr>
          <w:rFonts w:eastAsiaTheme="minorHAnsi"/>
          <w:lang w:eastAsia="en-US"/>
        </w:rPr>
        <w:t xml:space="preserve"> sixth</w:t>
      </w:r>
      <w:r w:rsidRPr="00BF1755">
        <w:rPr>
          <w:rFonts w:eastAsiaTheme="minorHAnsi"/>
          <w:lang w:eastAsia="en-US"/>
        </w:rPr>
        <w:t xml:space="preserve"> </w:t>
      </w:r>
      <w:r>
        <w:rPr>
          <w:rFonts w:eastAsiaTheme="minorHAnsi"/>
          <w:lang w:eastAsia="en-US"/>
        </w:rPr>
        <w:t>f</w:t>
      </w:r>
      <w:r w:rsidRPr="00BF1755">
        <w:rPr>
          <w:rFonts w:eastAsiaTheme="minorHAnsi"/>
          <w:lang w:eastAsia="en-US"/>
        </w:rPr>
        <w:t>orm, college or university</w:t>
      </w:r>
      <w:r>
        <w:rPr>
          <w:rFonts w:eastAsiaTheme="minorHAnsi"/>
          <w:lang w:eastAsia="en-US"/>
        </w:rPr>
        <w:t>, which, like the concept of wellbeing is highly subjective, can on the one hand be</w:t>
      </w:r>
      <w:r w:rsidRPr="00BF1755">
        <w:rPr>
          <w:rFonts w:eastAsiaTheme="minorHAnsi"/>
          <w:lang w:eastAsia="en-US"/>
        </w:rPr>
        <w:t xml:space="preserve"> </w:t>
      </w:r>
      <w:r>
        <w:rPr>
          <w:rFonts w:eastAsiaTheme="minorHAnsi"/>
          <w:lang w:eastAsia="en-US"/>
        </w:rPr>
        <w:t xml:space="preserve">viewed as a time of exciting personal </w:t>
      </w:r>
      <w:r w:rsidRPr="00BF1755">
        <w:rPr>
          <w:rFonts w:eastAsiaTheme="minorHAnsi"/>
          <w:lang w:eastAsia="en-US"/>
        </w:rPr>
        <w:t xml:space="preserve">development, </w:t>
      </w:r>
      <w:r>
        <w:rPr>
          <w:rFonts w:eastAsiaTheme="minorHAnsi"/>
          <w:lang w:eastAsia="en-US"/>
        </w:rPr>
        <w:t>yet on the other</w:t>
      </w:r>
      <w:r w:rsidRPr="005F24E5">
        <w:rPr>
          <w:rFonts w:eastAsiaTheme="minorHAnsi"/>
          <w:lang w:eastAsia="en-US"/>
        </w:rPr>
        <w:t xml:space="preserve">, a time of high stress. </w:t>
      </w:r>
      <w:r>
        <w:rPr>
          <w:rFonts w:eastAsiaTheme="minorHAnsi"/>
          <w:lang w:eastAsia="en-US"/>
        </w:rPr>
        <w:t>In effect, this can contribute to a</w:t>
      </w:r>
      <w:r w:rsidRPr="00BF1755">
        <w:rPr>
          <w:rFonts w:eastAsiaTheme="minorHAnsi"/>
          <w:lang w:eastAsia="en-US"/>
        </w:rPr>
        <w:t xml:space="preserve"> range of negative </w:t>
      </w:r>
      <w:r>
        <w:rPr>
          <w:rFonts w:eastAsiaTheme="minorHAnsi"/>
          <w:lang w:eastAsia="en-US"/>
        </w:rPr>
        <w:t xml:space="preserve">emotions and a decrease in an individual’s wellbeing </w:t>
      </w:r>
      <w:r w:rsidRPr="00BF1755">
        <w:rPr>
          <w:rFonts w:eastAsiaTheme="minorHAnsi"/>
          <w:lang w:eastAsia="en-US"/>
        </w:rPr>
        <w:t xml:space="preserve">(Baum, 1990, </w:t>
      </w:r>
      <w:r w:rsidRPr="00950806">
        <w:rPr>
          <w:rFonts w:eastAsiaTheme="minorHAnsi"/>
          <w:i/>
          <w:iCs/>
          <w:lang w:eastAsia="en-US"/>
        </w:rPr>
        <w:t>cited in</w:t>
      </w:r>
      <w:r w:rsidRPr="00BF1755">
        <w:rPr>
          <w:rFonts w:eastAsiaTheme="minorHAnsi"/>
          <w:lang w:eastAsia="en-US"/>
        </w:rPr>
        <w:t xml:space="preserve"> Praharso </w:t>
      </w:r>
      <w:r w:rsidRPr="00062516">
        <w:rPr>
          <w:rFonts w:eastAsiaTheme="minorHAnsi"/>
          <w:i/>
          <w:iCs/>
          <w:lang w:eastAsia="en-US"/>
        </w:rPr>
        <w:t>et al</w:t>
      </w:r>
      <w:r w:rsidRPr="00BF1755">
        <w:rPr>
          <w:rFonts w:eastAsiaTheme="minorHAnsi"/>
          <w:lang w:eastAsia="en-US"/>
        </w:rPr>
        <w:t>., 2016).</w:t>
      </w:r>
      <w:r>
        <w:rPr>
          <w:rFonts w:eastAsiaTheme="minorHAnsi"/>
          <w:lang w:eastAsia="en-US"/>
        </w:rPr>
        <w:t xml:space="preserve"> The term social and emotional wellbeing (SEWB) has been used worldwide since the 1980’s and </w:t>
      </w:r>
      <w:r>
        <w:rPr>
          <w:rFonts w:eastAsiaTheme="minorHAnsi"/>
          <w:lang w:eastAsia="en-US"/>
        </w:rPr>
        <w:lastRenderedPageBreak/>
        <w:t xml:space="preserve">encourages a holistic view of mental health by taking into consideration the broader social and emotional aspects of life, such as starting sixth form, college or university (Gorman 2010). </w:t>
      </w:r>
    </w:p>
    <w:p w14:paraId="009864F8" w14:textId="77777777" w:rsidR="00421BB4" w:rsidRPr="00A53BC1" w:rsidRDefault="00421BB4" w:rsidP="00421BB4">
      <w:pPr>
        <w:spacing w:after="160" w:line="360" w:lineRule="auto"/>
        <w:ind w:firstLine="720"/>
        <w:jc w:val="both"/>
        <w:rPr>
          <w:rStyle w:val="eop"/>
          <w:rFonts w:eastAsiaTheme="minorHAnsi"/>
          <w:lang w:eastAsia="en-US"/>
        </w:rPr>
      </w:pPr>
      <w:r>
        <w:rPr>
          <w:rFonts w:eastAsiaTheme="minorHAnsi"/>
          <w:lang w:eastAsia="en-US"/>
        </w:rPr>
        <w:t xml:space="preserve">Reducing negative emotions and successfully achieving personal goals during P16 transition may involve a contribution to the community and/or engagement and interaction in positive relationships with others and require a positive state of social and emotional wellbeing </w:t>
      </w:r>
      <w:r w:rsidRPr="006A07AA">
        <w:rPr>
          <w:rFonts w:eastAsiaTheme="minorHAnsi"/>
          <w:lang w:eastAsia="en-US"/>
        </w:rPr>
        <w:t>(Symonds 2015).</w:t>
      </w:r>
      <w:r w:rsidRPr="00195F1A">
        <w:rPr>
          <w:rFonts w:eastAsiaTheme="minorHAnsi"/>
          <w:lang w:eastAsia="en-US"/>
        </w:rPr>
        <w:t xml:space="preserve"> This idea of achieving a higher level of SEWB can be likened to Maslow’s hierarchy of Needs (1954) whereby, to achieve a higher level of SEWB, </w:t>
      </w:r>
      <w:r w:rsidRPr="005F24E5">
        <w:rPr>
          <w:rFonts w:eastAsiaTheme="minorHAnsi"/>
          <w:lang w:eastAsia="en-US"/>
        </w:rPr>
        <w:t xml:space="preserve">one must first fulfil the lower level of one’s needs </w:t>
      </w:r>
      <w:r w:rsidRPr="00195F1A">
        <w:rPr>
          <w:rFonts w:eastAsiaTheme="minorHAnsi"/>
          <w:lang w:eastAsia="en-US"/>
        </w:rPr>
        <w:t xml:space="preserve">(Gorman 2010). </w:t>
      </w:r>
      <w:r>
        <w:rPr>
          <w:rFonts w:eastAsiaTheme="minorHAnsi"/>
          <w:lang w:eastAsia="en-US"/>
        </w:rPr>
        <w:t>This</w:t>
      </w:r>
      <w:r w:rsidRPr="00195F1A">
        <w:rPr>
          <w:rFonts w:eastAsiaTheme="minorHAnsi"/>
          <w:lang w:eastAsia="en-US"/>
        </w:rPr>
        <w:t xml:space="preserve"> </w:t>
      </w:r>
      <w:r>
        <w:rPr>
          <w:rFonts w:eastAsiaTheme="minorHAnsi"/>
          <w:lang w:eastAsia="en-US"/>
        </w:rPr>
        <w:t>may</w:t>
      </w:r>
      <w:r w:rsidRPr="00195F1A">
        <w:rPr>
          <w:rFonts w:eastAsiaTheme="minorHAnsi"/>
          <w:lang w:eastAsia="en-US"/>
        </w:rPr>
        <w:t xml:space="preserve"> </w:t>
      </w:r>
      <w:r>
        <w:rPr>
          <w:rFonts w:eastAsiaTheme="minorHAnsi"/>
          <w:lang w:eastAsia="en-US"/>
        </w:rPr>
        <w:t xml:space="preserve">also </w:t>
      </w:r>
      <w:r w:rsidRPr="00195F1A">
        <w:rPr>
          <w:rFonts w:eastAsiaTheme="minorHAnsi"/>
          <w:lang w:eastAsia="en-US"/>
        </w:rPr>
        <w:t xml:space="preserve">be applied to successful P16 transition; </w:t>
      </w:r>
      <w:r>
        <w:rPr>
          <w:rFonts w:eastAsiaTheme="minorHAnsi"/>
          <w:lang w:eastAsia="en-US"/>
        </w:rPr>
        <w:t>certain aspects of transition must be accomplished successfully to reach desired goals.</w:t>
      </w:r>
      <w:r w:rsidRPr="00195F1A">
        <w:rPr>
          <w:rFonts w:eastAsiaTheme="minorHAnsi"/>
          <w:lang w:eastAsia="en-US"/>
        </w:rPr>
        <w:t xml:space="preserve"> </w:t>
      </w:r>
      <w:r>
        <w:rPr>
          <w:rFonts w:eastAsiaTheme="minorHAnsi"/>
          <w:lang w:eastAsia="en-US"/>
        </w:rPr>
        <w:t xml:space="preserve">Thus, when considering this research question of supporting wellbeing during transition, one must consider how social and emotional wellbeing impacts on P16 transition experiences of YP. </w:t>
      </w:r>
    </w:p>
    <w:p w14:paraId="7166219B" w14:textId="77777777" w:rsidR="00421BB4" w:rsidRDefault="00421BB4" w:rsidP="00421BB4">
      <w:pPr>
        <w:pStyle w:val="paragraph"/>
        <w:spacing w:before="0" w:beforeAutospacing="0" w:after="0" w:afterAutospacing="0" w:line="360" w:lineRule="auto"/>
        <w:ind w:firstLine="720"/>
        <w:jc w:val="both"/>
        <w:textAlignment w:val="baseline"/>
        <w:rPr>
          <w:rFonts w:eastAsiaTheme="minorHAnsi"/>
          <w:lang w:eastAsia="en-US"/>
        </w:rPr>
      </w:pPr>
      <w:r>
        <w:rPr>
          <w:color w:val="000000" w:themeColor="text1"/>
        </w:rPr>
        <w:t xml:space="preserve">Notably, the term ‘wellbeing’, which is increasingly being used in policy and reform, is assigned overtly </w:t>
      </w:r>
      <w:r w:rsidRPr="00BF1755">
        <w:rPr>
          <w:color w:val="000000" w:themeColor="text1"/>
        </w:rPr>
        <w:t>positive connotations</w:t>
      </w:r>
      <w:r>
        <w:rPr>
          <w:color w:val="000000" w:themeColor="text1"/>
        </w:rPr>
        <w:t xml:space="preserve">; the adjective ‘well’ (wellbeing) preferable to its counterpart ‘ill’ (illbeing). However, some argue that opting for the term ‘wellbeing’ as opposed to ‘illbeing’, overlooks the challenges faced by the P16 sector, especially in the last two years (Kagan 2014). </w:t>
      </w:r>
      <w:r>
        <w:rPr>
          <w:color w:val="333333"/>
          <w:shd w:val="clear" w:color="auto" w:fill="FFFFFF"/>
        </w:rPr>
        <w:t>Over</w:t>
      </w:r>
      <w:r w:rsidRPr="00BF1755">
        <w:rPr>
          <w:color w:val="333333"/>
          <w:shd w:val="clear" w:color="auto" w:fill="FFFFFF"/>
        </w:rPr>
        <w:t xml:space="preserve"> the past </w:t>
      </w:r>
      <w:r>
        <w:rPr>
          <w:color w:val="333333"/>
          <w:shd w:val="clear" w:color="auto" w:fill="FFFFFF"/>
        </w:rPr>
        <w:t>two years</w:t>
      </w:r>
      <w:r w:rsidRPr="00BF1755">
        <w:rPr>
          <w:color w:val="333333"/>
          <w:shd w:val="clear" w:color="auto" w:fill="FFFFFF"/>
        </w:rPr>
        <w:t xml:space="preserve"> in Wales, </w:t>
      </w:r>
      <w:r>
        <w:rPr>
          <w:color w:val="333333"/>
          <w:shd w:val="clear" w:color="auto" w:fill="FFFFFF"/>
        </w:rPr>
        <w:t>P16 education has been significantly interrupted and YP</w:t>
      </w:r>
      <w:r w:rsidRPr="00BF1755">
        <w:rPr>
          <w:color w:val="333333"/>
          <w:shd w:val="clear" w:color="auto" w:fill="FFFFFF"/>
        </w:rPr>
        <w:t xml:space="preserve"> have faced</w:t>
      </w:r>
      <w:r>
        <w:rPr>
          <w:color w:val="333333"/>
          <w:shd w:val="clear" w:color="auto" w:fill="FFFFFF"/>
        </w:rPr>
        <w:t xml:space="preserve"> SEWB challenges as a result of</w:t>
      </w:r>
      <w:r w:rsidRPr="00BF1755">
        <w:rPr>
          <w:color w:val="333333"/>
          <w:shd w:val="clear" w:color="auto" w:fill="FFFFFF"/>
        </w:rPr>
        <w:t xml:space="preserve"> a lack of </w:t>
      </w:r>
      <w:r>
        <w:rPr>
          <w:color w:val="333333"/>
          <w:shd w:val="clear" w:color="auto" w:fill="FFFFFF"/>
        </w:rPr>
        <w:t>contact</w:t>
      </w:r>
      <w:r w:rsidRPr="00BF1755">
        <w:rPr>
          <w:color w:val="333333"/>
          <w:shd w:val="clear" w:color="auto" w:fill="FFFFFF"/>
        </w:rPr>
        <w:t>, difficulties in adjusting to online education and</w:t>
      </w:r>
      <w:r>
        <w:rPr>
          <w:color w:val="333333"/>
          <w:shd w:val="clear" w:color="auto" w:fill="FFFFFF"/>
        </w:rPr>
        <w:t xml:space="preserve"> the absence of o</w:t>
      </w:r>
      <w:r w:rsidRPr="001B3C47">
        <w:rPr>
          <w:color w:val="333333"/>
          <w:shd w:val="clear" w:color="auto" w:fill="FFFFFF"/>
        </w:rPr>
        <w:t>pportunit</w:t>
      </w:r>
      <w:r>
        <w:rPr>
          <w:color w:val="333333"/>
          <w:shd w:val="clear" w:color="auto" w:fill="FFFFFF"/>
        </w:rPr>
        <w:t>y</w:t>
      </w:r>
      <w:r w:rsidRPr="001B3C47">
        <w:rPr>
          <w:color w:val="333333"/>
          <w:shd w:val="clear" w:color="auto" w:fill="FFFFFF"/>
        </w:rPr>
        <w:t xml:space="preserve"> to acclimatise to new setting</w:t>
      </w:r>
      <w:r>
        <w:rPr>
          <w:color w:val="333333"/>
          <w:shd w:val="clear" w:color="auto" w:fill="FFFFFF"/>
        </w:rPr>
        <w:t>s</w:t>
      </w:r>
      <w:r w:rsidRPr="00BF1755">
        <w:rPr>
          <w:color w:val="333333"/>
          <w:shd w:val="clear" w:color="auto" w:fill="FFFFFF"/>
        </w:rPr>
        <w:t xml:space="preserve"> (</w:t>
      </w:r>
      <w:r w:rsidRPr="0064470E">
        <w:rPr>
          <w:bCs/>
        </w:rPr>
        <w:t>University and College Admissions Services</w:t>
      </w:r>
      <w:r>
        <w:rPr>
          <w:color w:val="333333"/>
          <w:shd w:val="clear" w:color="auto" w:fill="FFFFFF"/>
        </w:rPr>
        <w:t xml:space="preserve"> (UCAS), </w:t>
      </w:r>
      <w:r w:rsidRPr="007C4ABD">
        <w:rPr>
          <w:i/>
          <w:iCs/>
          <w:color w:val="333333"/>
          <w:shd w:val="clear" w:color="auto" w:fill="FFFFFF"/>
        </w:rPr>
        <w:t>cited in</w:t>
      </w:r>
      <w:r>
        <w:rPr>
          <w:color w:val="333333"/>
          <w:shd w:val="clear" w:color="auto" w:fill="FFFFFF"/>
        </w:rPr>
        <w:t xml:space="preserve"> </w:t>
      </w:r>
      <w:r w:rsidRPr="00BF1755">
        <w:rPr>
          <w:color w:val="333333"/>
          <w:shd w:val="clear" w:color="auto" w:fill="FFFFFF"/>
        </w:rPr>
        <w:t>Pownell</w:t>
      </w:r>
      <w:r>
        <w:rPr>
          <w:color w:val="333333"/>
          <w:shd w:val="clear" w:color="auto" w:fill="FFFFFF"/>
        </w:rPr>
        <w:t>, Harris and Blundell-Birtill</w:t>
      </w:r>
      <w:r w:rsidRPr="00BF1755">
        <w:rPr>
          <w:color w:val="333333"/>
          <w:shd w:val="clear" w:color="auto" w:fill="FFFFFF"/>
        </w:rPr>
        <w:t>, 2021; WG 2020</w:t>
      </w:r>
      <w:r>
        <w:rPr>
          <w:color w:val="333333"/>
          <w:shd w:val="clear" w:color="auto" w:fill="FFFFFF"/>
        </w:rPr>
        <w:t>d</w:t>
      </w:r>
      <w:r w:rsidRPr="00BF1755">
        <w:rPr>
          <w:color w:val="333333"/>
          <w:shd w:val="clear" w:color="auto" w:fill="FFFFFF"/>
        </w:rPr>
        <w:t>).</w:t>
      </w:r>
      <w:r w:rsidRPr="00F90541">
        <w:rPr>
          <w:rFonts w:eastAsiaTheme="minorHAnsi"/>
          <w:lang w:eastAsia="en-US"/>
        </w:rPr>
        <w:t xml:space="preserve"> </w:t>
      </w:r>
    </w:p>
    <w:p w14:paraId="76243B41" w14:textId="77777777" w:rsidR="00421BB4" w:rsidRPr="00257BA5" w:rsidRDefault="00421BB4" w:rsidP="00421BB4">
      <w:pPr>
        <w:pStyle w:val="paragraph"/>
        <w:spacing w:before="0" w:beforeAutospacing="0" w:after="0" w:afterAutospacing="0" w:line="360" w:lineRule="auto"/>
        <w:ind w:firstLine="720"/>
        <w:jc w:val="both"/>
        <w:textAlignment w:val="baseline"/>
        <w:rPr>
          <w:color w:val="A8D08D" w:themeColor="accent6" w:themeTint="99"/>
        </w:rPr>
      </w:pPr>
      <w:r w:rsidRPr="00BF1755">
        <w:rPr>
          <w:shd w:val="clear" w:color="auto" w:fill="FFFFFF"/>
        </w:rPr>
        <w:t>According to the findings provided by research carried out by</w:t>
      </w:r>
      <w:r>
        <w:rPr>
          <w:shd w:val="clear" w:color="auto" w:fill="FFFFFF"/>
        </w:rPr>
        <w:t xml:space="preserve"> the United Nations Children’s Fund</w:t>
      </w:r>
      <w:r w:rsidRPr="00BF1755">
        <w:rPr>
          <w:shd w:val="clear" w:color="auto" w:fill="FFFFFF"/>
        </w:rPr>
        <w:t xml:space="preserve"> </w:t>
      </w:r>
      <w:r>
        <w:rPr>
          <w:shd w:val="clear" w:color="auto" w:fill="FFFFFF"/>
        </w:rPr>
        <w:t>(</w:t>
      </w:r>
      <w:r w:rsidRPr="00BF1755">
        <w:rPr>
          <w:shd w:val="clear" w:color="auto" w:fill="FFFFFF"/>
        </w:rPr>
        <w:t>UNICEF</w:t>
      </w:r>
      <w:r>
        <w:rPr>
          <w:shd w:val="clear" w:color="auto" w:fill="FFFFFF"/>
        </w:rPr>
        <w:t>)</w:t>
      </w:r>
      <w:r w:rsidRPr="00BF1755">
        <w:rPr>
          <w:shd w:val="clear" w:color="auto" w:fill="FFFFFF"/>
        </w:rPr>
        <w:t xml:space="preserve"> during the pandemic, </w:t>
      </w:r>
      <w:r>
        <w:rPr>
          <w:shd w:val="clear" w:color="auto" w:fill="FFFFFF"/>
        </w:rPr>
        <w:t>YP</w:t>
      </w:r>
      <w:r w:rsidRPr="00BF1755">
        <w:rPr>
          <w:shd w:val="clear" w:color="auto" w:fill="FFFFFF"/>
        </w:rPr>
        <w:t xml:space="preserve"> were likely to suffer some negative effects to </w:t>
      </w:r>
      <w:r>
        <w:rPr>
          <w:shd w:val="clear" w:color="auto" w:fill="FFFFFF"/>
        </w:rPr>
        <w:t xml:space="preserve">their social and emotional </w:t>
      </w:r>
      <w:r w:rsidRPr="00BF1755">
        <w:rPr>
          <w:shd w:val="clear" w:color="auto" w:fill="FFFFFF"/>
        </w:rPr>
        <w:t>wellbeing due to the</w:t>
      </w:r>
      <w:r>
        <w:rPr>
          <w:shd w:val="clear" w:color="auto" w:fill="FFFFFF"/>
        </w:rPr>
        <w:t xml:space="preserve"> dramatic</w:t>
      </w:r>
      <w:r w:rsidRPr="00BF1755">
        <w:rPr>
          <w:shd w:val="clear" w:color="auto" w:fill="FFFFFF"/>
        </w:rPr>
        <w:t xml:space="preserve"> shift to </w:t>
      </w:r>
      <w:r w:rsidRPr="0061773B">
        <w:rPr>
          <w:shd w:val="clear" w:color="auto" w:fill="FFFFFF"/>
        </w:rPr>
        <w:t xml:space="preserve">online digital education, resulting in a lack of social interaction </w:t>
      </w:r>
      <w:r w:rsidRPr="00BF1755">
        <w:rPr>
          <w:shd w:val="clear" w:color="auto" w:fill="FFFFFF"/>
        </w:rPr>
        <w:t>(</w:t>
      </w:r>
      <w:r>
        <w:rPr>
          <w:shd w:val="clear" w:color="auto" w:fill="FFFFFF"/>
        </w:rPr>
        <w:t xml:space="preserve">UNICEF 2021, </w:t>
      </w:r>
      <w:r w:rsidRPr="007C4ABD">
        <w:rPr>
          <w:i/>
          <w:iCs/>
          <w:shd w:val="clear" w:color="auto" w:fill="FFFFFF"/>
        </w:rPr>
        <w:t>cited in</w:t>
      </w:r>
      <w:r>
        <w:rPr>
          <w:shd w:val="clear" w:color="auto" w:fill="FFFFFF"/>
        </w:rPr>
        <w:t xml:space="preserve"> </w:t>
      </w:r>
      <w:r w:rsidRPr="00BF1755">
        <w:rPr>
          <w:shd w:val="clear" w:color="auto" w:fill="FFFFFF"/>
        </w:rPr>
        <w:t>Adya, 2021).</w:t>
      </w:r>
      <w:r>
        <w:rPr>
          <w:shd w:val="clear" w:color="auto" w:fill="FFFFFF"/>
        </w:rPr>
        <w:t xml:space="preserve"> </w:t>
      </w:r>
      <w:r w:rsidRPr="00826F2A">
        <w:rPr>
          <w:color w:val="000000" w:themeColor="text1"/>
          <w:shd w:val="clear" w:color="auto" w:fill="FFFFFF"/>
        </w:rPr>
        <w:t xml:space="preserve">In a response to this, WG introduced </w:t>
      </w:r>
      <w:r w:rsidRPr="00826F2A">
        <w:rPr>
          <w:color w:val="000000" w:themeColor="text1"/>
        </w:rPr>
        <w:t>its ‘Renew and Reform; Post 16 Transitions Plan’ which aims to ‘further develop a resilient P16 education sector’ by improving overall wellbeing; linked directly to its preceding policy Wellbeing of Future Generations Act (WG</w:t>
      </w:r>
      <w:r>
        <w:rPr>
          <w:color w:val="000000" w:themeColor="text1"/>
        </w:rPr>
        <w:t xml:space="preserve"> </w:t>
      </w:r>
      <w:r w:rsidRPr="00826F2A">
        <w:rPr>
          <w:color w:val="000000" w:themeColor="text1"/>
        </w:rPr>
        <w:t>2022:2</w:t>
      </w:r>
      <w:r>
        <w:rPr>
          <w:color w:val="000000" w:themeColor="text1"/>
        </w:rPr>
        <w:t>d and WG 2015h</w:t>
      </w:r>
      <w:r w:rsidRPr="00826F2A">
        <w:rPr>
          <w:color w:val="000000" w:themeColor="text1"/>
        </w:rPr>
        <w:t>). While this P16 project aims to pilot improved learner information sharing to support transition arrangements, it does not explicitly state how transitions and wellbeing are going to be supported, nor does it identify the level of participation of the learner in this process.</w:t>
      </w:r>
    </w:p>
    <w:p w14:paraId="67023368" w14:textId="77777777" w:rsidR="00421BB4" w:rsidRDefault="00421BB4" w:rsidP="00421BB4">
      <w:pPr>
        <w:shd w:val="clear" w:color="auto" w:fill="FFFFFF"/>
        <w:spacing w:after="240" w:line="360" w:lineRule="auto"/>
        <w:ind w:firstLine="720"/>
        <w:jc w:val="both"/>
        <w:rPr>
          <w:i/>
          <w:iCs/>
          <w:color w:val="2E2E2E"/>
        </w:rPr>
      </w:pPr>
      <w:r w:rsidRPr="00BF1755">
        <w:rPr>
          <w:rFonts w:eastAsiaTheme="minorHAnsi"/>
          <w:lang w:eastAsia="en-US"/>
        </w:rPr>
        <w:t>A key argument in the justification of th</w:t>
      </w:r>
      <w:r>
        <w:rPr>
          <w:rFonts w:eastAsiaTheme="minorHAnsi"/>
          <w:lang w:eastAsia="en-US"/>
        </w:rPr>
        <w:t xml:space="preserve">e rise in interest in SEWB </w:t>
      </w:r>
      <w:r w:rsidRPr="00BF1755">
        <w:rPr>
          <w:rFonts w:eastAsiaTheme="minorHAnsi"/>
          <w:lang w:eastAsia="en-US"/>
        </w:rPr>
        <w:t xml:space="preserve">is that it is </w:t>
      </w:r>
      <w:r w:rsidRPr="009F1347">
        <w:rPr>
          <w:rFonts w:eastAsiaTheme="minorHAnsi"/>
          <w:lang w:eastAsia="en-US"/>
        </w:rPr>
        <w:t xml:space="preserve">seen </w:t>
      </w:r>
      <w:r>
        <w:rPr>
          <w:rFonts w:eastAsiaTheme="minorHAnsi"/>
          <w:lang w:eastAsia="en-US"/>
        </w:rPr>
        <w:t>b</w:t>
      </w:r>
      <w:r w:rsidRPr="009F1347">
        <w:rPr>
          <w:rFonts w:eastAsiaTheme="minorHAnsi"/>
          <w:lang w:eastAsia="en-US"/>
        </w:rPr>
        <w:t xml:space="preserve">as supporting YP through their educational journey as they are encouraged to develop traits such </w:t>
      </w:r>
      <w:r w:rsidRPr="009F1347">
        <w:rPr>
          <w:rFonts w:eastAsiaTheme="minorHAnsi"/>
          <w:lang w:eastAsia="en-US"/>
        </w:rPr>
        <w:lastRenderedPageBreak/>
        <w:t xml:space="preserve">as resilience and </w:t>
      </w:r>
      <w:r>
        <w:rPr>
          <w:rFonts w:eastAsiaTheme="minorHAnsi"/>
          <w:lang w:eastAsia="en-US"/>
        </w:rPr>
        <w:t>self-</w:t>
      </w:r>
      <w:r w:rsidRPr="009F1347">
        <w:rPr>
          <w:rFonts w:eastAsiaTheme="minorHAnsi"/>
          <w:lang w:eastAsia="en-US"/>
        </w:rPr>
        <w:t>determination</w:t>
      </w:r>
      <w:r>
        <w:rPr>
          <w:rFonts w:eastAsiaTheme="minorHAnsi"/>
          <w:lang w:eastAsia="en-US"/>
        </w:rPr>
        <w:t xml:space="preserve">. However, it is also worth noting that these traits are also beneficial to the state, </w:t>
      </w:r>
      <w:r w:rsidRPr="009F1347">
        <w:rPr>
          <w:rFonts w:eastAsiaTheme="minorHAnsi"/>
          <w:lang w:eastAsia="en-US"/>
        </w:rPr>
        <w:t xml:space="preserve">(Ryan and Deci 2017 and Arthur 2005 </w:t>
      </w:r>
      <w:r w:rsidRPr="009F1347">
        <w:rPr>
          <w:rFonts w:eastAsiaTheme="minorHAnsi"/>
          <w:i/>
          <w:iCs/>
          <w:lang w:eastAsia="en-US"/>
        </w:rPr>
        <w:t>cited in</w:t>
      </w:r>
      <w:r w:rsidRPr="009F1347">
        <w:rPr>
          <w:rFonts w:eastAsiaTheme="minorHAnsi"/>
          <w:lang w:eastAsia="en-US"/>
        </w:rPr>
        <w:t xml:space="preserve"> Spratt 2017)</w:t>
      </w:r>
      <w:r>
        <w:rPr>
          <w:rFonts w:eastAsiaTheme="minorHAnsi"/>
          <w:lang w:eastAsia="en-US"/>
        </w:rPr>
        <w:t>, thereby questioning the extent to which the state’s motive is self-serving</w:t>
      </w:r>
      <w:r w:rsidRPr="009F1347">
        <w:rPr>
          <w:rFonts w:eastAsiaTheme="minorHAnsi"/>
          <w:lang w:eastAsia="en-US"/>
        </w:rPr>
        <w:t>.</w:t>
      </w:r>
      <w:r w:rsidRPr="009F1347">
        <w:rPr>
          <w:b/>
        </w:rPr>
        <w:t xml:space="preserve"> </w:t>
      </w:r>
      <w:r>
        <w:rPr>
          <w:rFonts w:eastAsiaTheme="minorHAnsi"/>
          <w:lang w:eastAsia="en-US"/>
        </w:rPr>
        <w:t>In addition to this, l</w:t>
      </w:r>
      <w:r w:rsidRPr="00BF1755">
        <w:rPr>
          <w:rFonts w:eastAsiaTheme="minorHAnsi"/>
          <w:lang w:eastAsia="en-US"/>
        </w:rPr>
        <w:t xml:space="preserve">ife transitions are linked to the development </w:t>
      </w:r>
      <w:r>
        <w:rPr>
          <w:rFonts w:eastAsiaTheme="minorHAnsi"/>
          <w:lang w:eastAsia="en-US"/>
        </w:rPr>
        <w:t xml:space="preserve">of </w:t>
      </w:r>
      <w:r w:rsidRPr="00BF1755">
        <w:rPr>
          <w:rFonts w:eastAsiaTheme="minorHAnsi"/>
          <w:lang w:eastAsia="en-US"/>
        </w:rPr>
        <w:t>clinically depressive</w:t>
      </w:r>
      <w:r>
        <w:rPr>
          <w:rFonts w:eastAsiaTheme="minorHAnsi"/>
          <w:lang w:eastAsia="en-US"/>
        </w:rPr>
        <w:t>, emotional and social</w:t>
      </w:r>
      <w:r w:rsidRPr="00BF1755">
        <w:rPr>
          <w:rFonts w:eastAsiaTheme="minorHAnsi"/>
          <w:lang w:eastAsia="en-US"/>
        </w:rPr>
        <w:t xml:space="preserve"> disorders (Hammen, 2005; Paykel, 2003; Kendler </w:t>
      </w:r>
      <w:r w:rsidRPr="00062516">
        <w:rPr>
          <w:rFonts w:eastAsiaTheme="minorHAnsi"/>
          <w:i/>
          <w:iCs/>
          <w:lang w:eastAsia="en-US"/>
        </w:rPr>
        <w:t>et al</w:t>
      </w:r>
      <w:r w:rsidRPr="00BF1755">
        <w:rPr>
          <w:rFonts w:eastAsiaTheme="minorHAnsi"/>
          <w:lang w:eastAsia="en-US"/>
        </w:rPr>
        <w:t xml:space="preserve">., 1999 </w:t>
      </w:r>
      <w:r w:rsidRPr="00950806">
        <w:rPr>
          <w:rFonts w:eastAsiaTheme="minorHAnsi"/>
          <w:i/>
          <w:iCs/>
          <w:lang w:eastAsia="en-US"/>
        </w:rPr>
        <w:t xml:space="preserve">cited in </w:t>
      </w:r>
      <w:r w:rsidRPr="00BF1755">
        <w:rPr>
          <w:rFonts w:eastAsiaTheme="minorHAnsi"/>
          <w:lang w:eastAsia="en-US"/>
        </w:rPr>
        <w:t>P</w:t>
      </w:r>
      <w:r>
        <w:rPr>
          <w:rFonts w:eastAsiaTheme="minorHAnsi"/>
          <w:lang w:eastAsia="en-US"/>
        </w:rPr>
        <w:t>ra</w:t>
      </w:r>
      <w:r w:rsidRPr="00BF1755">
        <w:rPr>
          <w:rFonts w:eastAsiaTheme="minorHAnsi"/>
          <w:lang w:eastAsia="en-US"/>
        </w:rPr>
        <w:t>harso</w:t>
      </w:r>
      <w:r>
        <w:rPr>
          <w:rFonts w:eastAsiaTheme="minorHAnsi"/>
          <w:lang w:eastAsia="en-US"/>
        </w:rPr>
        <w:t>, Tear and Cruwys</w:t>
      </w:r>
      <w:r w:rsidRPr="00BF1755">
        <w:rPr>
          <w:rFonts w:eastAsiaTheme="minorHAnsi"/>
          <w:lang w:eastAsia="en-US"/>
        </w:rPr>
        <w:t xml:space="preserve"> 2016). Severe depression is not only one of the leading causes of disability worldwide</w:t>
      </w:r>
      <w:r>
        <w:rPr>
          <w:rFonts w:eastAsiaTheme="minorHAnsi"/>
          <w:lang w:eastAsia="en-US"/>
        </w:rPr>
        <w:t>,</w:t>
      </w:r>
      <w:r w:rsidRPr="00BF1755">
        <w:rPr>
          <w:rFonts w:eastAsiaTheme="minorHAnsi"/>
          <w:lang w:eastAsia="en-US"/>
        </w:rPr>
        <w:t xml:space="preserve"> but also presents a considerable economic burden (Ferrari </w:t>
      </w:r>
      <w:r w:rsidRPr="00062516">
        <w:rPr>
          <w:rFonts w:eastAsiaTheme="minorHAnsi"/>
          <w:i/>
          <w:iCs/>
          <w:lang w:eastAsia="en-US"/>
        </w:rPr>
        <w:t>et al</w:t>
      </w:r>
      <w:r w:rsidRPr="00BF1755">
        <w:rPr>
          <w:rFonts w:eastAsiaTheme="minorHAnsi"/>
          <w:lang w:eastAsia="en-US"/>
        </w:rPr>
        <w:t xml:space="preserve">., 2013, Mrazek </w:t>
      </w:r>
      <w:r w:rsidRPr="00062516">
        <w:rPr>
          <w:rFonts w:eastAsiaTheme="minorHAnsi"/>
          <w:i/>
          <w:iCs/>
          <w:lang w:eastAsia="en-US"/>
        </w:rPr>
        <w:t>et al</w:t>
      </w:r>
      <w:r w:rsidRPr="00BF1755">
        <w:rPr>
          <w:rFonts w:eastAsiaTheme="minorHAnsi"/>
          <w:lang w:eastAsia="en-US"/>
        </w:rPr>
        <w:t xml:space="preserve">., 2014, </w:t>
      </w:r>
      <w:r w:rsidRPr="00AB4DA0">
        <w:rPr>
          <w:rFonts w:eastAsiaTheme="minorHAnsi"/>
          <w:i/>
          <w:iCs/>
          <w:lang w:eastAsia="en-US"/>
        </w:rPr>
        <w:t>cited in</w:t>
      </w:r>
      <w:r w:rsidRPr="00BF1755">
        <w:rPr>
          <w:rFonts w:eastAsiaTheme="minorHAnsi"/>
          <w:lang w:eastAsia="en-US"/>
        </w:rPr>
        <w:t xml:space="preserve"> Praharso </w:t>
      </w:r>
      <w:r w:rsidRPr="00062516">
        <w:rPr>
          <w:rFonts w:eastAsiaTheme="minorHAnsi"/>
          <w:i/>
          <w:iCs/>
          <w:lang w:eastAsia="en-US"/>
        </w:rPr>
        <w:t>et al</w:t>
      </w:r>
      <w:r w:rsidRPr="00BF1755">
        <w:rPr>
          <w:rFonts w:eastAsiaTheme="minorHAnsi"/>
          <w:lang w:eastAsia="en-US"/>
        </w:rPr>
        <w:t xml:space="preserve"> 2016). Therefore, maintaining</w:t>
      </w:r>
      <w:r>
        <w:rPr>
          <w:rFonts w:eastAsiaTheme="minorHAnsi"/>
          <w:lang w:eastAsia="en-US"/>
        </w:rPr>
        <w:t xml:space="preserve"> social and emotional</w:t>
      </w:r>
      <w:r w:rsidRPr="00BF1755">
        <w:rPr>
          <w:rFonts w:eastAsiaTheme="minorHAnsi"/>
          <w:lang w:eastAsia="en-US"/>
        </w:rPr>
        <w:t xml:space="preserve"> wellbeing and preventing the onset of depression in response to such life transitions is a public health priority (Spratt 2017).</w:t>
      </w:r>
      <w:r>
        <w:rPr>
          <w:i/>
          <w:iCs/>
          <w:color w:val="2E2E2E"/>
        </w:rPr>
        <w:t xml:space="preserve"> </w:t>
      </w:r>
    </w:p>
    <w:p w14:paraId="5A7B144A" w14:textId="77777777" w:rsidR="00421BB4" w:rsidRDefault="00421BB4" w:rsidP="00421BB4">
      <w:pPr>
        <w:shd w:val="clear" w:color="auto" w:fill="FFFFFF"/>
        <w:spacing w:after="240" w:line="360" w:lineRule="auto"/>
        <w:ind w:firstLine="720"/>
        <w:jc w:val="both"/>
        <w:rPr>
          <w:rFonts w:eastAsiaTheme="minorHAnsi"/>
          <w:lang w:eastAsia="en-US"/>
        </w:rPr>
      </w:pPr>
      <w:r>
        <w:rPr>
          <w:shd w:val="clear" w:color="auto" w:fill="FFFFFF"/>
        </w:rPr>
        <w:t>While the Coronavirus</w:t>
      </w:r>
      <w:r w:rsidRPr="00BF1755">
        <w:rPr>
          <w:shd w:val="clear" w:color="auto" w:fill="FFFFFF"/>
        </w:rPr>
        <w:t xml:space="preserve"> forced people worldwide to </w:t>
      </w:r>
      <w:r>
        <w:rPr>
          <w:shd w:val="clear" w:color="auto" w:fill="FFFFFF"/>
        </w:rPr>
        <w:t xml:space="preserve">digitally </w:t>
      </w:r>
      <w:r w:rsidRPr="00BF1755">
        <w:rPr>
          <w:shd w:val="clear" w:color="auto" w:fill="FFFFFF"/>
        </w:rPr>
        <w:t>adapt</w:t>
      </w:r>
      <w:r>
        <w:rPr>
          <w:shd w:val="clear" w:color="auto" w:fill="FFFFFF"/>
        </w:rPr>
        <w:t xml:space="preserve"> and </w:t>
      </w:r>
      <w:r w:rsidRPr="00BF1755">
        <w:rPr>
          <w:shd w:val="clear" w:color="auto" w:fill="FFFFFF"/>
        </w:rPr>
        <w:t>restricted human interaction</w:t>
      </w:r>
      <w:r>
        <w:rPr>
          <w:shd w:val="clear" w:color="auto" w:fill="FFFFFF"/>
        </w:rPr>
        <w:t xml:space="preserve">, </w:t>
      </w:r>
      <w:r w:rsidRPr="00BF1755">
        <w:rPr>
          <w:shd w:val="clear" w:color="auto" w:fill="FFFFFF"/>
        </w:rPr>
        <w:t xml:space="preserve">it </w:t>
      </w:r>
      <w:r>
        <w:rPr>
          <w:shd w:val="clear" w:color="auto" w:fill="FFFFFF"/>
        </w:rPr>
        <w:t xml:space="preserve">was </w:t>
      </w:r>
      <w:r w:rsidRPr="00BF1755">
        <w:rPr>
          <w:shd w:val="clear" w:color="auto" w:fill="FFFFFF"/>
        </w:rPr>
        <w:t xml:space="preserve">widely believed that the shift to a digital world </w:t>
      </w:r>
      <w:r>
        <w:rPr>
          <w:shd w:val="clear" w:color="auto" w:fill="FFFFFF"/>
        </w:rPr>
        <w:t>would</w:t>
      </w:r>
      <w:r w:rsidRPr="00BF1755">
        <w:rPr>
          <w:shd w:val="clear" w:color="auto" w:fill="FFFFFF"/>
        </w:rPr>
        <w:t xml:space="preserve"> be easier for </w:t>
      </w:r>
      <w:r>
        <w:rPr>
          <w:shd w:val="clear" w:color="auto" w:fill="FFFFFF"/>
        </w:rPr>
        <w:t>YP</w:t>
      </w:r>
      <w:r w:rsidRPr="00BF1755">
        <w:rPr>
          <w:shd w:val="clear" w:color="auto" w:fill="FFFFFF"/>
        </w:rPr>
        <w:t xml:space="preserve"> than for adults</w:t>
      </w:r>
      <w:r>
        <w:rPr>
          <w:shd w:val="clear" w:color="auto" w:fill="FFFFFF"/>
        </w:rPr>
        <w:t>. However,</w:t>
      </w:r>
      <w:r w:rsidRPr="00BF1755">
        <w:rPr>
          <w:shd w:val="clear" w:color="auto" w:fill="FFFFFF"/>
        </w:rPr>
        <w:t xml:space="preserve"> </w:t>
      </w:r>
      <w:r>
        <w:rPr>
          <w:shd w:val="clear" w:color="auto" w:fill="FFFFFF"/>
        </w:rPr>
        <w:t xml:space="preserve">research </w:t>
      </w:r>
      <w:r w:rsidRPr="00BF1755">
        <w:rPr>
          <w:shd w:val="clear" w:color="auto" w:fill="FFFFFF"/>
        </w:rPr>
        <w:t xml:space="preserve">shows that </w:t>
      </w:r>
      <w:r>
        <w:rPr>
          <w:shd w:val="clear" w:color="auto" w:fill="FFFFFF"/>
        </w:rPr>
        <w:t>YP</w:t>
      </w:r>
      <w:r w:rsidRPr="00BF1755">
        <w:rPr>
          <w:shd w:val="clear" w:color="auto" w:fill="FFFFFF"/>
        </w:rPr>
        <w:t xml:space="preserve"> benefit greatly from physical</w:t>
      </w:r>
      <w:r>
        <w:rPr>
          <w:shd w:val="clear" w:color="auto" w:fill="FFFFFF"/>
        </w:rPr>
        <w:t xml:space="preserve"> and social</w:t>
      </w:r>
      <w:r w:rsidRPr="00BF1755">
        <w:rPr>
          <w:shd w:val="clear" w:color="auto" w:fill="FFFFFF"/>
        </w:rPr>
        <w:t xml:space="preserve"> interaction (Adya, 2021</w:t>
      </w:r>
      <w:r>
        <w:rPr>
          <w:shd w:val="clear" w:color="auto" w:fill="FFFFFF"/>
        </w:rPr>
        <w:t xml:space="preserve"> and </w:t>
      </w:r>
      <w:r w:rsidRPr="00BF1755">
        <w:rPr>
          <w:shd w:val="clear" w:color="auto" w:fill="FFFFFF"/>
        </w:rPr>
        <w:t>Spratt</w:t>
      </w:r>
      <w:r>
        <w:rPr>
          <w:shd w:val="clear" w:color="auto" w:fill="FFFFFF"/>
        </w:rPr>
        <w:t xml:space="preserve"> </w:t>
      </w:r>
      <w:r w:rsidRPr="00BF1755">
        <w:rPr>
          <w:shd w:val="clear" w:color="auto" w:fill="FFFFFF"/>
        </w:rPr>
        <w:t xml:space="preserve">2017). </w:t>
      </w:r>
      <w:r>
        <w:rPr>
          <w:shd w:val="clear" w:color="auto" w:fill="FFFFFF"/>
        </w:rPr>
        <w:t>Benefits</w:t>
      </w:r>
      <w:r w:rsidRPr="00BF1755">
        <w:rPr>
          <w:shd w:val="clear" w:color="auto" w:fill="FFFFFF"/>
        </w:rPr>
        <w:t xml:space="preserve"> gained from </w:t>
      </w:r>
      <w:r>
        <w:rPr>
          <w:shd w:val="clear" w:color="auto" w:fill="FFFFFF"/>
        </w:rPr>
        <w:t>retention in school and college, such as academic achievement, socialising</w:t>
      </w:r>
      <w:r w:rsidRPr="00BF1755">
        <w:rPr>
          <w:shd w:val="clear" w:color="auto" w:fill="FFFFFF"/>
        </w:rPr>
        <w:t xml:space="preserve"> with peers</w:t>
      </w:r>
      <w:r>
        <w:rPr>
          <w:shd w:val="clear" w:color="auto" w:fill="FFFFFF"/>
        </w:rPr>
        <w:t xml:space="preserve"> and </w:t>
      </w:r>
      <w:r w:rsidRPr="00BF1755">
        <w:rPr>
          <w:shd w:val="clear" w:color="auto" w:fill="FFFFFF"/>
        </w:rPr>
        <w:t xml:space="preserve">feeling a </w:t>
      </w:r>
      <w:r w:rsidRPr="0061773B">
        <w:rPr>
          <w:shd w:val="clear" w:color="auto" w:fill="FFFFFF"/>
        </w:rPr>
        <w:t xml:space="preserve">sense of belonging to a particular environment </w:t>
      </w:r>
      <w:r w:rsidRPr="00BF1755">
        <w:rPr>
          <w:shd w:val="clear" w:color="auto" w:fill="FFFFFF"/>
        </w:rPr>
        <w:t xml:space="preserve">are hugely beneficial </w:t>
      </w:r>
      <w:r>
        <w:rPr>
          <w:shd w:val="clear" w:color="auto" w:fill="FFFFFF"/>
        </w:rPr>
        <w:t>to</w:t>
      </w:r>
      <w:r w:rsidRPr="00BF1755">
        <w:rPr>
          <w:shd w:val="clear" w:color="auto" w:fill="FFFFFF"/>
        </w:rPr>
        <w:t xml:space="preserve"> wellbeing </w:t>
      </w:r>
      <w:r>
        <w:rPr>
          <w:shd w:val="clear" w:color="auto" w:fill="FFFFFF"/>
        </w:rPr>
        <w:t>and</w:t>
      </w:r>
      <w:r w:rsidRPr="00BF1755">
        <w:rPr>
          <w:shd w:val="clear" w:color="auto" w:fill="FFFFFF"/>
        </w:rPr>
        <w:t xml:space="preserve"> transition (Packer, 2021). </w:t>
      </w:r>
      <w:r>
        <w:rPr>
          <w:rFonts w:eastAsiaTheme="minorHAnsi"/>
          <w:lang w:eastAsia="en-US"/>
        </w:rPr>
        <w:t xml:space="preserve">During transition, learners </w:t>
      </w:r>
      <w:r w:rsidRPr="00BF1755">
        <w:rPr>
          <w:rFonts w:eastAsiaTheme="minorHAnsi"/>
          <w:lang w:eastAsia="en-US"/>
        </w:rPr>
        <w:t>need to develop new</w:t>
      </w:r>
      <w:r>
        <w:rPr>
          <w:rFonts w:eastAsiaTheme="minorHAnsi"/>
          <w:lang w:eastAsia="en-US"/>
        </w:rPr>
        <w:t xml:space="preserve"> relationships with adults</w:t>
      </w:r>
      <w:r w:rsidRPr="00BF1755">
        <w:rPr>
          <w:rFonts w:eastAsiaTheme="minorHAnsi"/>
          <w:lang w:eastAsia="en-US"/>
        </w:rPr>
        <w:t xml:space="preserve"> </w:t>
      </w:r>
      <w:r>
        <w:rPr>
          <w:rFonts w:eastAsiaTheme="minorHAnsi"/>
          <w:lang w:eastAsia="en-US"/>
        </w:rPr>
        <w:t>to</w:t>
      </w:r>
      <w:r w:rsidRPr="00BF1755">
        <w:rPr>
          <w:rFonts w:eastAsiaTheme="minorHAnsi"/>
          <w:lang w:eastAsia="en-US"/>
        </w:rPr>
        <w:t xml:space="preserve"> define their place in a new social hierarchy while </w:t>
      </w:r>
      <w:r>
        <w:rPr>
          <w:rFonts w:eastAsiaTheme="minorHAnsi"/>
          <w:lang w:eastAsia="en-US"/>
        </w:rPr>
        <w:t>simultaneously</w:t>
      </w:r>
      <w:r w:rsidRPr="00BF1755">
        <w:rPr>
          <w:rFonts w:eastAsiaTheme="minorHAnsi"/>
          <w:lang w:eastAsia="en-US"/>
        </w:rPr>
        <w:t xml:space="preserve"> </w:t>
      </w:r>
      <w:r w:rsidRPr="0061773B">
        <w:rPr>
          <w:rFonts w:eastAsiaTheme="minorHAnsi"/>
          <w:lang w:eastAsia="en-US"/>
        </w:rPr>
        <w:t>relying on friendships for social support</w:t>
      </w:r>
      <w:r w:rsidRPr="0061773B">
        <w:rPr>
          <w:rFonts w:eastAsiaTheme="minorHAnsi"/>
          <w:b/>
          <w:bCs/>
          <w:lang w:eastAsia="en-US"/>
        </w:rPr>
        <w:t xml:space="preserve"> </w:t>
      </w:r>
      <w:r w:rsidRPr="00BF1755">
        <w:rPr>
          <w:rFonts w:eastAsiaTheme="minorHAnsi"/>
          <w:lang w:eastAsia="en-US"/>
        </w:rPr>
        <w:t xml:space="preserve">(Pereira &amp; Pooley, 2007; Pellegrini &amp; Bartini, 2000, </w:t>
      </w:r>
      <w:r w:rsidRPr="004938BB">
        <w:rPr>
          <w:rFonts w:eastAsiaTheme="minorHAnsi"/>
          <w:i/>
          <w:iCs/>
          <w:lang w:eastAsia="en-US"/>
        </w:rPr>
        <w:t>cited in</w:t>
      </w:r>
      <w:r w:rsidRPr="00BF1755">
        <w:rPr>
          <w:rFonts w:eastAsiaTheme="minorHAnsi"/>
          <w:lang w:eastAsia="en-US"/>
        </w:rPr>
        <w:t xml:space="preserve"> Leister and Cross, 2015). Social factors which have also been identified as hugely important during the transition period include the opportunity </w:t>
      </w:r>
      <w:r>
        <w:rPr>
          <w:rFonts w:eastAsiaTheme="minorHAnsi"/>
          <w:lang w:eastAsia="en-US"/>
        </w:rPr>
        <w:t>to</w:t>
      </w:r>
      <w:r w:rsidRPr="00BF1755">
        <w:rPr>
          <w:rFonts w:eastAsiaTheme="minorHAnsi"/>
          <w:lang w:eastAsia="en-US"/>
        </w:rPr>
        <w:t xml:space="preserve"> develop a sense of belonging, connectedness with new setting</w:t>
      </w:r>
      <w:r>
        <w:rPr>
          <w:rFonts w:eastAsiaTheme="minorHAnsi"/>
          <w:lang w:eastAsia="en-US"/>
        </w:rPr>
        <w:t>s</w:t>
      </w:r>
      <w:r w:rsidRPr="00BF1755">
        <w:rPr>
          <w:rFonts w:eastAsiaTheme="minorHAnsi"/>
          <w:lang w:eastAsia="en-US"/>
        </w:rPr>
        <w:t xml:space="preserve"> and feeling safe; these experiences, of course, </w:t>
      </w:r>
      <w:r>
        <w:rPr>
          <w:rFonts w:eastAsiaTheme="minorHAnsi"/>
          <w:lang w:eastAsia="en-US"/>
        </w:rPr>
        <w:t>were</w:t>
      </w:r>
      <w:r w:rsidRPr="00BF1755">
        <w:rPr>
          <w:rFonts w:eastAsiaTheme="minorHAnsi"/>
          <w:lang w:eastAsia="en-US"/>
        </w:rPr>
        <w:t xml:space="preserve"> significantly reduced </w:t>
      </w:r>
      <w:r>
        <w:rPr>
          <w:rFonts w:eastAsiaTheme="minorHAnsi"/>
          <w:lang w:eastAsia="en-US"/>
        </w:rPr>
        <w:t xml:space="preserve">during the pandemic </w:t>
      </w:r>
      <w:r w:rsidRPr="00BF1755">
        <w:rPr>
          <w:rFonts w:eastAsiaTheme="minorHAnsi"/>
          <w:lang w:eastAsia="en-US"/>
        </w:rPr>
        <w:t>(Leister and Cross 2015</w:t>
      </w:r>
      <w:r>
        <w:rPr>
          <w:rFonts w:eastAsiaTheme="minorHAnsi"/>
          <w:lang w:eastAsia="en-US"/>
        </w:rPr>
        <w:t>;</w:t>
      </w:r>
      <w:r w:rsidRPr="00BF1755">
        <w:rPr>
          <w:rFonts w:eastAsiaTheme="minorHAnsi"/>
          <w:lang w:eastAsia="en-US"/>
        </w:rPr>
        <w:t xml:space="preserve"> WG, 202</w:t>
      </w:r>
      <w:r>
        <w:rPr>
          <w:rFonts w:eastAsiaTheme="minorHAnsi"/>
          <w:lang w:eastAsia="en-US"/>
        </w:rPr>
        <w:t>1f</w:t>
      </w:r>
      <w:r w:rsidRPr="00BF1755">
        <w:rPr>
          <w:rFonts w:eastAsiaTheme="minorHAnsi"/>
          <w:lang w:eastAsia="en-US"/>
        </w:rPr>
        <w:t xml:space="preserve">). </w:t>
      </w:r>
    </w:p>
    <w:p w14:paraId="3EC65039" w14:textId="77777777" w:rsidR="00421BB4" w:rsidRPr="003F1930" w:rsidRDefault="00421BB4" w:rsidP="00421BB4">
      <w:pPr>
        <w:spacing w:after="120" w:line="360" w:lineRule="auto"/>
        <w:ind w:firstLine="720"/>
        <w:jc w:val="both"/>
        <w:rPr>
          <w:color w:val="FF0000"/>
        </w:rPr>
      </w:pPr>
      <w:r w:rsidRPr="00BF1755">
        <w:rPr>
          <w:rFonts w:eastAsiaTheme="minorHAnsi"/>
          <w:lang w:eastAsia="en-US"/>
        </w:rPr>
        <w:t xml:space="preserve">As a response to the lack of physical interaction and experiences during transition, and </w:t>
      </w:r>
      <w:r>
        <w:rPr>
          <w:rFonts w:eastAsiaTheme="minorHAnsi"/>
          <w:lang w:eastAsia="en-US"/>
        </w:rPr>
        <w:t>consequently,</w:t>
      </w:r>
      <w:r w:rsidRPr="00BF1755">
        <w:rPr>
          <w:rFonts w:eastAsiaTheme="minorHAnsi"/>
          <w:lang w:eastAsia="en-US"/>
        </w:rPr>
        <w:t xml:space="preserve"> the increase in reports of mental health</w:t>
      </w:r>
      <w:r>
        <w:rPr>
          <w:rFonts w:eastAsiaTheme="minorHAnsi"/>
          <w:lang w:eastAsia="en-US"/>
        </w:rPr>
        <w:t>, social and emotional</w:t>
      </w:r>
      <w:r w:rsidRPr="00BF1755">
        <w:rPr>
          <w:rFonts w:eastAsiaTheme="minorHAnsi"/>
          <w:lang w:eastAsia="en-US"/>
        </w:rPr>
        <w:t xml:space="preserve"> issues such as </w:t>
      </w:r>
      <w:r>
        <w:rPr>
          <w:rFonts w:eastAsiaTheme="minorHAnsi"/>
          <w:lang w:eastAsia="en-US"/>
        </w:rPr>
        <w:t xml:space="preserve">depression and </w:t>
      </w:r>
      <w:r w:rsidRPr="00BF1755">
        <w:rPr>
          <w:rFonts w:eastAsiaTheme="minorHAnsi"/>
          <w:lang w:eastAsia="en-US"/>
        </w:rPr>
        <w:t>anxiety, the W</w:t>
      </w:r>
      <w:r>
        <w:rPr>
          <w:rFonts w:eastAsiaTheme="minorHAnsi"/>
          <w:lang w:eastAsia="en-US"/>
        </w:rPr>
        <w:t>G</w:t>
      </w:r>
      <w:r w:rsidRPr="00BF1755">
        <w:rPr>
          <w:rFonts w:eastAsiaTheme="minorHAnsi"/>
          <w:lang w:eastAsia="en-US"/>
        </w:rPr>
        <w:t xml:space="preserve"> allocated funding to each Local Authority to support the emotional and social wellbeing of </w:t>
      </w:r>
      <w:r>
        <w:rPr>
          <w:rFonts w:eastAsiaTheme="minorHAnsi"/>
          <w:lang w:eastAsia="en-US"/>
        </w:rPr>
        <w:t>CYP</w:t>
      </w:r>
      <w:r w:rsidRPr="00BF1755">
        <w:rPr>
          <w:rFonts w:eastAsiaTheme="minorHAnsi"/>
          <w:lang w:eastAsia="en-US"/>
        </w:rPr>
        <w:t xml:space="preserve"> as part of Covid Recovery and placed transition as a priority in Wales (WG 2021</w:t>
      </w:r>
      <w:r>
        <w:rPr>
          <w:rFonts w:eastAsiaTheme="minorHAnsi"/>
          <w:lang w:eastAsia="en-US"/>
        </w:rPr>
        <w:t>f</w:t>
      </w:r>
      <w:r w:rsidRPr="00BF1755">
        <w:rPr>
          <w:rFonts w:eastAsiaTheme="minorHAnsi"/>
          <w:lang w:eastAsia="en-US"/>
        </w:rPr>
        <w:t>).</w:t>
      </w:r>
      <w:r>
        <w:rPr>
          <w:rFonts w:eastAsiaTheme="minorHAnsi"/>
          <w:lang w:eastAsia="en-US"/>
        </w:rPr>
        <w:t xml:space="preserve"> </w:t>
      </w:r>
      <w:r w:rsidRPr="00BF1755">
        <w:rPr>
          <w:rFonts w:eastAsiaTheme="minorHAnsi"/>
          <w:lang w:eastAsia="en-US"/>
        </w:rPr>
        <w:t>The W</w:t>
      </w:r>
      <w:r>
        <w:rPr>
          <w:rFonts w:eastAsiaTheme="minorHAnsi"/>
          <w:lang w:eastAsia="en-US"/>
        </w:rPr>
        <w:t>G</w:t>
      </w:r>
      <w:r w:rsidRPr="00BF1755">
        <w:rPr>
          <w:rFonts w:eastAsiaTheme="minorHAnsi"/>
          <w:lang w:eastAsia="en-US"/>
        </w:rPr>
        <w:t xml:space="preserve"> prioritised </w:t>
      </w:r>
      <w:r>
        <w:rPr>
          <w:rFonts w:eastAsiaTheme="minorHAnsi"/>
          <w:lang w:eastAsia="en-US"/>
        </w:rPr>
        <w:t xml:space="preserve">this funding </w:t>
      </w:r>
      <w:r w:rsidRPr="00BF1755">
        <w:rPr>
          <w:rFonts w:eastAsiaTheme="minorHAnsi"/>
          <w:lang w:eastAsia="en-US"/>
        </w:rPr>
        <w:t xml:space="preserve">in secondary education, in particular the transition to tertiary education, </w:t>
      </w:r>
      <w:r w:rsidRPr="00294872">
        <w:rPr>
          <w:rFonts w:eastAsiaTheme="minorHAnsi"/>
          <w:lang w:eastAsia="en-US"/>
        </w:rPr>
        <w:t>as an attempt to support student</w:t>
      </w:r>
      <w:r>
        <w:rPr>
          <w:rFonts w:eastAsiaTheme="minorHAnsi"/>
          <w:lang w:eastAsia="en-US"/>
        </w:rPr>
        <w:t xml:space="preserve">s’ stress </w:t>
      </w:r>
      <w:r w:rsidRPr="00294872">
        <w:rPr>
          <w:rFonts w:eastAsiaTheme="minorHAnsi"/>
          <w:lang w:eastAsia="en-US"/>
        </w:rPr>
        <w:t xml:space="preserve">and </w:t>
      </w:r>
      <w:r>
        <w:rPr>
          <w:rFonts w:eastAsiaTheme="minorHAnsi"/>
          <w:lang w:eastAsia="en-US"/>
        </w:rPr>
        <w:t>increase their</w:t>
      </w:r>
      <w:r w:rsidRPr="00294872">
        <w:rPr>
          <w:rFonts w:eastAsiaTheme="minorHAnsi"/>
          <w:lang w:eastAsia="en-US"/>
        </w:rPr>
        <w:t xml:space="preserve"> wellbeing</w:t>
      </w:r>
      <w:r>
        <w:rPr>
          <w:rFonts w:eastAsiaTheme="minorHAnsi"/>
          <w:lang w:eastAsia="en-US"/>
        </w:rPr>
        <w:t xml:space="preserve"> </w:t>
      </w:r>
      <w:r w:rsidRPr="00BF1755">
        <w:rPr>
          <w:rFonts w:eastAsiaTheme="minorHAnsi"/>
          <w:lang w:eastAsia="en-US"/>
        </w:rPr>
        <w:t>(Salmela</w:t>
      </w:r>
      <w:r>
        <w:rPr>
          <w:rFonts w:eastAsiaTheme="minorHAnsi"/>
          <w:lang w:eastAsia="en-US"/>
        </w:rPr>
        <w:t>-</w:t>
      </w:r>
      <w:r w:rsidRPr="00BF1755">
        <w:rPr>
          <w:rFonts w:eastAsiaTheme="minorHAnsi"/>
          <w:lang w:eastAsia="en-US"/>
        </w:rPr>
        <w:t>Aro 2017 and WG 2021</w:t>
      </w:r>
      <w:r>
        <w:rPr>
          <w:rFonts w:eastAsiaTheme="minorHAnsi"/>
          <w:lang w:eastAsia="en-US"/>
        </w:rPr>
        <w:t>f</w:t>
      </w:r>
      <w:r w:rsidRPr="00BF1755">
        <w:rPr>
          <w:rFonts w:eastAsiaTheme="minorHAnsi"/>
          <w:lang w:eastAsia="en-US"/>
        </w:rPr>
        <w:t xml:space="preserve">). </w:t>
      </w:r>
      <w:r>
        <w:rPr>
          <w:rFonts w:eastAsiaTheme="minorHAnsi"/>
          <w:lang w:eastAsia="en-US"/>
        </w:rPr>
        <w:t xml:space="preserve">Despite schools having the freedom to utilise this support according to their wellbeing arrangements, some argue that wellbeing support </w:t>
      </w:r>
      <w:r w:rsidRPr="0061773B">
        <w:rPr>
          <w:rFonts w:eastAsiaTheme="minorHAnsi"/>
          <w:lang w:eastAsia="en-US"/>
        </w:rPr>
        <w:t xml:space="preserve">remains tokenistic and over generalised to be effective </w:t>
      </w:r>
      <w:r>
        <w:rPr>
          <w:rFonts w:eastAsiaTheme="minorHAnsi"/>
          <w:lang w:eastAsia="en-US"/>
        </w:rPr>
        <w:t>(Spratt 2015).</w:t>
      </w:r>
      <w:r w:rsidRPr="00055094">
        <w:t xml:space="preserve"> </w:t>
      </w:r>
      <w:r>
        <w:rPr>
          <w:rFonts w:eastAsiaTheme="minorHAnsi"/>
          <w:lang w:eastAsia="en-US"/>
        </w:rPr>
        <w:t xml:space="preserve">It </w:t>
      </w:r>
      <w:r w:rsidRPr="00BF1755">
        <w:t>must</w:t>
      </w:r>
      <w:r>
        <w:t xml:space="preserve"> </w:t>
      </w:r>
      <w:r>
        <w:lastRenderedPageBreak/>
        <w:t>also</w:t>
      </w:r>
      <w:r w:rsidRPr="00BF1755">
        <w:t xml:space="preserve"> be highlig</w:t>
      </w:r>
      <w:r>
        <w:t>hted</w:t>
      </w:r>
      <w:r w:rsidRPr="00BF1755">
        <w:t xml:space="preserve"> that, according to research carried out in Wales, one in ten </w:t>
      </w:r>
      <w:r>
        <w:t>CYP</w:t>
      </w:r>
      <w:r w:rsidRPr="00BF1755">
        <w:t xml:space="preserve"> had a clinically diagnosed mental health disorder or emotional</w:t>
      </w:r>
      <w:r>
        <w:t>, social</w:t>
      </w:r>
      <w:r w:rsidRPr="00BF1755">
        <w:t xml:space="preserve"> and behavioural problems</w:t>
      </w:r>
      <w:r>
        <w:t xml:space="preserve"> prior to the pandemic, indicating this was a pre-existing concern</w:t>
      </w:r>
      <w:r w:rsidRPr="00BF1755">
        <w:t xml:space="preserve"> (Beynon 2019). </w:t>
      </w:r>
    </w:p>
    <w:p w14:paraId="59005F6A" w14:textId="77777777" w:rsidR="00421BB4" w:rsidRPr="008F4DAA" w:rsidRDefault="00421BB4" w:rsidP="00421BB4">
      <w:pPr>
        <w:spacing w:after="160" w:line="360" w:lineRule="auto"/>
        <w:jc w:val="both"/>
        <w:rPr>
          <w:rFonts w:eastAsiaTheme="minorHAnsi"/>
          <w:b/>
          <w:bCs/>
          <w:color w:val="00B050"/>
          <w:u w:val="single"/>
          <w:shd w:val="clear" w:color="auto" w:fill="FFFFFF"/>
          <w:lang w:eastAsia="en-US"/>
        </w:rPr>
      </w:pPr>
      <w:bookmarkStart w:id="10" w:name="Supportingwellebing"/>
      <w:r w:rsidRPr="008F4DAA">
        <w:rPr>
          <w:rFonts w:eastAsiaTheme="minorHAnsi"/>
          <w:b/>
          <w:bCs/>
          <w:u w:val="single"/>
          <w:shd w:val="clear" w:color="auto" w:fill="FFFFFF"/>
          <w:lang w:eastAsia="en-US"/>
        </w:rPr>
        <w:t>2.5 – Supporting wellbeing during transition through pupil voice</w:t>
      </w:r>
    </w:p>
    <w:p w14:paraId="7E5954FF" w14:textId="77777777" w:rsidR="00421BB4" w:rsidRDefault="00421BB4" w:rsidP="00421BB4">
      <w:pPr>
        <w:spacing w:line="360" w:lineRule="auto"/>
        <w:ind w:firstLine="720"/>
        <w:jc w:val="both"/>
      </w:pPr>
      <w:bookmarkStart w:id="11" w:name="_Hlk88918942"/>
      <w:bookmarkEnd w:id="10"/>
      <w:r>
        <w:t>To address the research topic regarding the opportunities available for supporting wellbeing during P16 transitions, it was possible to draw understanding from research that focuses on the perception of YP on transition and wellbeing. A report by the Childhood Wellbeing Research Centre in 2012,</w:t>
      </w:r>
      <w:r w:rsidRPr="006F3CE8">
        <w:t xml:space="preserve"> </w:t>
      </w:r>
      <w:r>
        <w:t xml:space="preserve">‘Children’s and Young People’s Voices’, contains findings from a literature search on CYP’s understanding of their own wellbeing. It identifies </w:t>
      </w:r>
      <w:r w:rsidRPr="0061773B">
        <w:t xml:space="preserve">a three-category framework of wellbeing components: quality of relationships, quality of the environment and self and freedoms (Dex and Hollingworth 2012). A study carried out in Wales conducted to ascertain CYP’s views on what they considered important to their wellbeing was particularly interested in exploring how prioritising wellbeing can help learners cope better with transitional periods of life (Beynon 2019). </w:t>
      </w:r>
      <w:r w:rsidRPr="0061773B">
        <w:rPr>
          <w:rFonts w:eastAsiaTheme="minorHAnsi"/>
          <w:lang w:eastAsia="en-US"/>
        </w:rPr>
        <w:t>This study, similar to that of the Childhood Wellbeing Research Centre’s, found that the most frequently raised themes on transitional wellbeing included encouraging good relationships based on respect, having a effective pupil voice and prioritising wellbeing (Beynon 2019).</w:t>
      </w:r>
      <w:r w:rsidRPr="0061773B">
        <w:t xml:space="preserve"> </w:t>
      </w:r>
    </w:p>
    <w:p w14:paraId="441EC5A1" w14:textId="77777777" w:rsidR="00421BB4" w:rsidRDefault="00421BB4" w:rsidP="00421BB4">
      <w:pPr>
        <w:spacing w:line="360" w:lineRule="auto"/>
        <w:ind w:firstLine="720"/>
        <w:jc w:val="both"/>
        <w:rPr>
          <w:shd w:val="clear" w:color="auto" w:fill="FFFFFF"/>
        </w:rPr>
      </w:pPr>
      <w:r w:rsidRPr="00C84805">
        <w:t>Even though the introduction of</w:t>
      </w:r>
      <w:r>
        <w:t xml:space="preserve"> the</w:t>
      </w:r>
      <w:r w:rsidRPr="00C84805">
        <w:t xml:space="preserve"> Curriculum for Wales</w:t>
      </w:r>
      <w:r>
        <w:t xml:space="preserve"> in 2022 will</w:t>
      </w:r>
      <w:r w:rsidRPr="00C84805">
        <w:t xml:space="preserve"> place statutory responsibility on state‐funded schools to support pupils' wellbeing by devoting an area of learning to </w:t>
      </w:r>
      <w:r>
        <w:t>it</w:t>
      </w:r>
      <w:r w:rsidRPr="00C84805">
        <w:t>, evidence suggests many staff feel ill‐equipped to manage this (WG 201</w:t>
      </w:r>
      <w:r>
        <w:t>9g</w:t>
      </w:r>
      <w:r w:rsidRPr="00C84805">
        <w:t>; Education Support, 2019</w:t>
      </w:r>
      <w:r>
        <w:t xml:space="preserve"> and </w:t>
      </w:r>
      <w:r w:rsidRPr="00713FF2">
        <w:t>Jayman and Baginsky, 2021).</w:t>
      </w:r>
      <w:r w:rsidRPr="0018426F">
        <w:t xml:space="preserve"> Whilst in theory th</w:t>
      </w:r>
      <w:r>
        <w:t>is may suggest</w:t>
      </w:r>
      <w:r w:rsidRPr="0018426F">
        <w:t xml:space="preserve"> plac</w:t>
      </w:r>
      <w:r>
        <w:t>ing</w:t>
      </w:r>
      <w:r w:rsidRPr="0018426F">
        <w:t xml:space="preserve"> greater emphasis on the </w:t>
      </w:r>
      <w:r>
        <w:t>CYP</w:t>
      </w:r>
      <w:r w:rsidRPr="0018426F">
        <w:t>’s</w:t>
      </w:r>
      <w:r>
        <w:t xml:space="preserve"> wellbeing</w:t>
      </w:r>
      <w:r w:rsidRPr="0018426F">
        <w:t xml:space="preserve"> needs, tensions may surface when </w:t>
      </w:r>
      <w:r w:rsidRPr="0018426F">
        <w:rPr>
          <w:shd w:val="clear" w:color="auto" w:fill="FFFFFF"/>
        </w:rPr>
        <w:t>the curriculum provides schools and teachers with the</w:t>
      </w:r>
      <w:r>
        <w:rPr>
          <w:shd w:val="clear" w:color="auto" w:fill="FFFFFF"/>
        </w:rPr>
        <w:t xml:space="preserve"> increased</w:t>
      </w:r>
      <w:r w:rsidRPr="0018426F">
        <w:rPr>
          <w:shd w:val="clear" w:color="auto" w:fill="FFFFFF"/>
        </w:rPr>
        <w:t xml:space="preserve"> autonomy to make school-level decisions (WG 2019</w:t>
      </w:r>
      <w:r>
        <w:rPr>
          <w:shd w:val="clear" w:color="auto" w:fill="FFFFFF"/>
        </w:rPr>
        <w:t>g</w:t>
      </w:r>
      <w:r w:rsidRPr="0018426F">
        <w:rPr>
          <w:shd w:val="clear" w:color="auto" w:fill="FFFFFF"/>
        </w:rPr>
        <w:t xml:space="preserve">). </w:t>
      </w:r>
    </w:p>
    <w:p w14:paraId="6B90893A" w14:textId="77777777" w:rsidR="00421BB4" w:rsidRDefault="00421BB4" w:rsidP="00421BB4">
      <w:pPr>
        <w:spacing w:line="360" w:lineRule="auto"/>
        <w:ind w:firstLine="720"/>
        <w:jc w:val="both"/>
        <w:rPr>
          <w:rFonts w:eastAsiaTheme="minorHAnsi"/>
          <w:lang w:eastAsia="en-US"/>
        </w:rPr>
      </w:pPr>
      <w:r w:rsidRPr="00BF1755">
        <w:t>Concepts, for example, that aim to improve citizenship to enhance overall development of</w:t>
      </w:r>
      <w:r>
        <w:t xml:space="preserve"> learner</w:t>
      </w:r>
      <w:r w:rsidRPr="00BF1755">
        <w:t xml:space="preserve"> autonomy which is fundamental to the Curriculum for Wales based on the legislation outlined in the United Nations Convention on the Rights of the Child</w:t>
      </w:r>
      <w:r>
        <w:t>, may counteract the added responsibility placed on teachers</w:t>
      </w:r>
      <w:r w:rsidRPr="00BF1755">
        <w:t xml:space="preserve"> (W</w:t>
      </w:r>
      <w:r>
        <w:t>G</w:t>
      </w:r>
      <w:r w:rsidRPr="00BF1755">
        <w:t xml:space="preserve"> 20</w:t>
      </w:r>
      <w:r>
        <w:t>19g</w:t>
      </w:r>
      <w:r w:rsidRPr="00BF1755">
        <w:t xml:space="preserve"> and </w:t>
      </w:r>
      <w:r>
        <w:t>WG 2022j</w:t>
      </w:r>
      <w:r w:rsidRPr="00BF1755">
        <w:t xml:space="preserve">). </w:t>
      </w:r>
      <w:r>
        <w:rPr>
          <w:shd w:val="clear" w:color="auto" w:fill="FFFFFF"/>
        </w:rPr>
        <w:t>Such</w:t>
      </w:r>
      <w:r w:rsidRPr="0018426F">
        <w:rPr>
          <w:shd w:val="clear" w:color="auto" w:fill="FFFFFF"/>
        </w:rPr>
        <w:t xml:space="preserve"> </w:t>
      </w:r>
      <w:r>
        <w:rPr>
          <w:shd w:val="clear" w:color="auto" w:fill="FFFFFF"/>
        </w:rPr>
        <w:t>responsibility increases the</w:t>
      </w:r>
      <w:r w:rsidRPr="0018426F">
        <w:rPr>
          <w:shd w:val="clear" w:color="auto" w:fill="FFFFFF"/>
        </w:rPr>
        <w:t xml:space="preserve"> </w:t>
      </w:r>
      <w:r>
        <w:rPr>
          <w:shd w:val="clear" w:color="auto" w:fill="FFFFFF"/>
        </w:rPr>
        <w:t>expectation</w:t>
      </w:r>
      <w:r w:rsidRPr="0018426F">
        <w:rPr>
          <w:shd w:val="clear" w:color="auto" w:fill="FFFFFF"/>
        </w:rPr>
        <w:t xml:space="preserve"> on schools and teachers to decide</w:t>
      </w:r>
      <w:r>
        <w:rPr>
          <w:shd w:val="clear" w:color="auto" w:fill="FFFFFF"/>
        </w:rPr>
        <w:t xml:space="preserve"> on</w:t>
      </w:r>
      <w:r w:rsidRPr="0018426F">
        <w:rPr>
          <w:shd w:val="clear" w:color="auto" w:fill="FFFFFF"/>
        </w:rPr>
        <w:t xml:space="preserve"> how to implement the curriculum</w:t>
      </w:r>
      <w:r>
        <w:rPr>
          <w:shd w:val="clear" w:color="auto" w:fill="FFFFFF"/>
        </w:rPr>
        <w:t xml:space="preserve"> and does not indicate the level of YP involvement in matters concerning their own transition and wellbeing</w:t>
      </w:r>
      <w:r w:rsidRPr="0018426F">
        <w:rPr>
          <w:shd w:val="clear" w:color="auto" w:fill="FFFFFF"/>
        </w:rPr>
        <w:t xml:space="preserve"> (Gately 2020). </w:t>
      </w:r>
      <w:r w:rsidRPr="00C84805">
        <w:rPr>
          <w:shd w:val="clear" w:color="auto" w:fill="FFFFFF"/>
        </w:rPr>
        <w:t xml:space="preserve">In addition to this, some argue that </w:t>
      </w:r>
      <w:r w:rsidRPr="00C84805">
        <w:rPr>
          <w:rFonts w:eastAsiaTheme="minorHAnsi"/>
          <w:lang w:eastAsia="en-US"/>
        </w:rPr>
        <w:t xml:space="preserve">changing the curriculum to devote timetabled lessons to ‘therapeutic’ subjects such as health and wellbeing is diluting subject </w:t>
      </w:r>
      <w:r w:rsidRPr="00C84805">
        <w:rPr>
          <w:rFonts w:eastAsiaTheme="minorHAnsi"/>
          <w:lang w:eastAsia="en-US"/>
        </w:rPr>
        <w:lastRenderedPageBreak/>
        <w:t xml:space="preserve">content and resulting in failing to educate YP properly (Eccleston and Hayes 2009, </w:t>
      </w:r>
      <w:r w:rsidRPr="00C84805">
        <w:rPr>
          <w:rFonts w:eastAsiaTheme="minorHAnsi"/>
          <w:i/>
          <w:iCs/>
          <w:lang w:eastAsia="en-US"/>
        </w:rPr>
        <w:t>cited in</w:t>
      </w:r>
      <w:r w:rsidRPr="00C84805">
        <w:rPr>
          <w:rFonts w:eastAsiaTheme="minorHAnsi"/>
          <w:lang w:eastAsia="en-US"/>
        </w:rPr>
        <w:t xml:space="preserve"> Spratt 2017:45). </w:t>
      </w:r>
    </w:p>
    <w:p w14:paraId="22ED6AD0" w14:textId="77777777" w:rsidR="00421BB4" w:rsidRPr="00FA7EAC" w:rsidRDefault="00421BB4" w:rsidP="00421BB4">
      <w:pPr>
        <w:spacing w:line="360" w:lineRule="auto"/>
        <w:ind w:firstLine="720"/>
        <w:jc w:val="both"/>
        <w:rPr>
          <w:rFonts w:eastAsiaTheme="minorHAnsi"/>
          <w:lang w:eastAsia="en-US"/>
        </w:rPr>
      </w:pPr>
      <w:r w:rsidRPr="00713FF2">
        <w:t xml:space="preserve">That said, listening </w:t>
      </w:r>
      <w:r>
        <w:t>to, and acting on,</w:t>
      </w:r>
      <w:r w:rsidRPr="00713FF2">
        <w:t xml:space="preserve"> the voices of YP is imperative </w:t>
      </w:r>
      <w:r>
        <w:t xml:space="preserve">as it </w:t>
      </w:r>
      <w:r w:rsidRPr="00713FF2">
        <w:t>regard</w:t>
      </w:r>
      <w:r>
        <w:t>s</w:t>
      </w:r>
      <w:r w:rsidRPr="00713FF2">
        <w:t xml:space="preserve"> issues affect</w:t>
      </w:r>
      <w:r>
        <w:t>ing</w:t>
      </w:r>
      <w:r w:rsidRPr="00713FF2">
        <w:t xml:space="preserve"> them</w:t>
      </w:r>
      <w:r>
        <w:t xml:space="preserve"> </w:t>
      </w:r>
      <w:r w:rsidRPr="00713FF2">
        <w:t xml:space="preserve">(Dex and Hollingworth, 2012, </w:t>
      </w:r>
      <w:r w:rsidRPr="00950806">
        <w:rPr>
          <w:i/>
          <w:iCs/>
        </w:rPr>
        <w:t>cited in</w:t>
      </w:r>
      <w:r w:rsidRPr="00713FF2">
        <w:t xml:space="preserve"> Jayman and Baginsky, 2021). </w:t>
      </w:r>
      <w:r>
        <w:t>Despite the rise in s</w:t>
      </w:r>
      <w:r w:rsidRPr="00713FF2">
        <w:t>chool-based programmes to support wellbeing</w:t>
      </w:r>
      <w:r>
        <w:t xml:space="preserve"> as a result of increasing</w:t>
      </w:r>
      <w:r w:rsidRPr="00713FF2">
        <w:t xml:space="preserve"> interest in</w:t>
      </w:r>
      <w:r>
        <w:t xml:space="preserve"> resilience,</w:t>
      </w:r>
      <w:r w:rsidRPr="00713FF2">
        <w:t xml:space="preserve"> </w:t>
      </w:r>
      <w:r w:rsidRPr="00057144">
        <w:t xml:space="preserve">emotional literacy </w:t>
      </w:r>
      <w:r>
        <w:t xml:space="preserve">and its </w:t>
      </w:r>
      <w:r w:rsidRPr="0061773B">
        <w:t>role in managing and regulating emotions, YP are often not consulted, and instead, outcomes pertaining to these matters are determined by adults (Waterhouse 2019 and Spratt 2017). Furthermore, programmes</w:t>
      </w:r>
      <w:r w:rsidRPr="0061773B">
        <w:rPr>
          <w:rFonts w:eastAsiaTheme="minorHAnsi"/>
          <w:lang w:eastAsia="en-US"/>
        </w:rPr>
        <w:t xml:space="preserve"> of professional wellbeing intervention in the social and emotional lives of YP carries assumptions of a universal deficit which portrays YP as weak and vulnerable; arguably undermining their agency (Eccleston and Hayes 2009 </w:t>
      </w:r>
      <w:r w:rsidRPr="0061773B">
        <w:rPr>
          <w:rFonts w:eastAsiaTheme="minorHAnsi"/>
          <w:i/>
          <w:iCs/>
          <w:lang w:eastAsia="en-US"/>
        </w:rPr>
        <w:t>cited in</w:t>
      </w:r>
      <w:r w:rsidRPr="0061773B">
        <w:rPr>
          <w:rFonts w:eastAsiaTheme="minorHAnsi"/>
          <w:lang w:eastAsia="en-US"/>
        </w:rPr>
        <w:t xml:space="preserve"> Spratt 2017). </w:t>
      </w:r>
    </w:p>
    <w:p w14:paraId="0927610B" w14:textId="77777777" w:rsidR="00421BB4" w:rsidRDefault="00421BB4" w:rsidP="00421BB4">
      <w:pPr>
        <w:spacing w:line="360" w:lineRule="auto"/>
        <w:ind w:firstLine="720"/>
        <w:jc w:val="both"/>
        <w:rPr>
          <w:rFonts w:eastAsiaTheme="minorHAnsi"/>
          <w:lang w:eastAsia="en-US"/>
        </w:rPr>
      </w:pPr>
      <w:r w:rsidRPr="00713FF2">
        <w:t xml:space="preserve">A concept of wellbeing has therefore been developed that </w:t>
      </w:r>
      <w:r>
        <w:t xml:space="preserve">does not account for </w:t>
      </w:r>
      <w:r w:rsidRPr="00713FF2">
        <w:t>YP</w:t>
      </w:r>
      <w:r>
        <w:t>s’</w:t>
      </w:r>
      <w:r w:rsidRPr="00713FF2">
        <w:t xml:space="preserve"> experience</w:t>
      </w:r>
      <w:r>
        <w:t>s nor understanding their</w:t>
      </w:r>
      <w:r w:rsidRPr="00713FF2">
        <w:t xml:space="preserve"> wellbeing</w:t>
      </w:r>
      <w:r>
        <w:rPr>
          <w:rFonts w:eastAsiaTheme="minorHAnsi"/>
          <w:lang w:eastAsia="en-US"/>
        </w:rPr>
        <w:t>. As a result of this,</w:t>
      </w:r>
      <w:r w:rsidRPr="00713FF2">
        <w:rPr>
          <w:rFonts w:eastAsiaTheme="minorHAnsi"/>
          <w:lang w:eastAsia="en-US"/>
        </w:rPr>
        <w:t xml:space="preserve"> some argue that the discourse of wellbeing is a medium through which those in power can extend their power </w:t>
      </w:r>
      <w:r>
        <w:rPr>
          <w:rFonts w:eastAsiaTheme="minorHAnsi"/>
          <w:lang w:eastAsia="en-US"/>
        </w:rPr>
        <w:t>in controlling the lives of YP</w:t>
      </w:r>
      <w:r w:rsidRPr="00713FF2">
        <w:rPr>
          <w:rFonts w:eastAsiaTheme="minorHAnsi"/>
          <w:lang w:eastAsia="en-US"/>
        </w:rPr>
        <w:t xml:space="preserve"> (Spratt 2017 and </w:t>
      </w:r>
      <w:r w:rsidRPr="00713FF2">
        <w:t xml:space="preserve">Coppock 2010, </w:t>
      </w:r>
      <w:r w:rsidRPr="00950806">
        <w:rPr>
          <w:i/>
          <w:iCs/>
        </w:rPr>
        <w:t>cited in</w:t>
      </w:r>
      <w:r w:rsidRPr="00713FF2">
        <w:t xml:space="preserve"> Spratt 2017). </w:t>
      </w:r>
      <w:r>
        <w:t xml:space="preserve">Echoing this sentiment, </w:t>
      </w:r>
      <w:r w:rsidRPr="00713FF2">
        <w:t>Jayman and Baginsky</w:t>
      </w:r>
      <w:r>
        <w:t xml:space="preserve"> (2021)</w:t>
      </w:r>
      <w:r w:rsidRPr="00713FF2">
        <w:t xml:space="preserve"> outline examples of CYP's negative experiences of wellbeing assessments, </w:t>
      </w:r>
      <w:r>
        <w:t>which reveals that often</w:t>
      </w:r>
      <w:r w:rsidRPr="00713FF2">
        <w:t>,</w:t>
      </w:r>
      <w:r>
        <w:t xml:space="preserve"> YP</w:t>
      </w:r>
      <w:r w:rsidRPr="0061773B">
        <w:t xml:space="preserve"> have no introduction or explanation of the purpose of these wellbeing assessments. </w:t>
      </w:r>
      <w:r w:rsidRPr="00713FF2">
        <w:t xml:space="preserve">Asking YP how they would like to engage with wellbeing support </w:t>
      </w:r>
      <w:r>
        <w:t>may</w:t>
      </w:r>
      <w:r w:rsidRPr="00713FF2">
        <w:t xml:space="preserve"> benefit the transition process as research s</w:t>
      </w:r>
      <w:r>
        <w:t>hows</w:t>
      </w:r>
      <w:r w:rsidRPr="00713FF2">
        <w:t xml:space="preserve"> that YP </w:t>
      </w:r>
      <w:r>
        <w:t>desire active agency</w:t>
      </w:r>
      <w:r w:rsidRPr="00713FF2">
        <w:t xml:space="preserve"> </w:t>
      </w:r>
      <w:r>
        <w:t>and participation</w:t>
      </w:r>
      <w:r w:rsidRPr="00713FF2">
        <w:t xml:space="preserve"> in </w:t>
      </w:r>
      <w:r>
        <w:t xml:space="preserve">matters concerning them </w:t>
      </w:r>
      <w:r w:rsidRPr="00713FF2">
        <w:t>(Children's Commissioner, 2017).</w:t>
      </w:r>
      <w:r w:rsidRPr="00713FF2">
        <w:rPr>
          <w:rFonts w:eastAsiaTheme="minorHAnsi"/>
          <w:lang w:eastAsia="en-US"/>
        </w:rPr>
        <w:t xml:space="preserve"> </w:t>
      </w:r>
    </w:p>
    <w:p w14:paraId="46C28E4E" w14:textId="77777777" w:rsidR="00421BB4" w:rsidRPr="00713FF2" w:rsidRDefault="00421BB4" w:rsidP="00421BB4">
      <w:pPr>
        <w:spacing w:line="360" w:lineRule="auto"/>
        <w:ind w:firstLine="720"/>
        <w:jc w:val="both"/>
        <w:rPr>
          <w:rFonts w:eastAsiaTheme="minorHAnsi"/>
          <w:lang w:eastAsia="en-US"/>
        </w:rPr>
      </w:pPr>
      <w:r w:rsidRPr="00713FF2">
        <w:rPr>
          <w:rFonts w:eastAsiaTheme="minorHAnsi"/>
          <w:lang w:eastAsia="en-US"/>
        </w:rPr>
        <w:t>There is the danger</w:t>
      </w:r>
      <w:r>
        <w:rPr>
          <w:rFonts w:eastAsiaTheme="minorHAnsi"/>
          <w:lang w:eastAsia="en-US"/>
        </w:rPr>
        <w:t xml:space="preserve"> to</w:t>
      </w:r>
      <w:r w:rsidRPr="00713FF2">
        <w:rPr>
          <w:rFonts w:eastAsiaTheme="minorHAnsi"/>
          <w:lang w:eastAsia="en-US"/>
        </w:rPr>
        <w:t xml:space="preserve"> introducing wellbeing</w:t>
      </w:r>
      <w:r>
        <w:rPr>
          <w:rFonts w:eastAsiaTheme="minorHAnsi"/>
          <w:lang w:eastAsia="en-US"/>
        </w:rPr>
        <w:t xml:space="preserve"> criteria</w:t>
      </w:r>
      <w:r w:rsidRPr="00713FF2">
        <w:rPr>
          <w:rFonts w:eastAsiaTheme="minorHAnsi"/>
          <w:lang w:eastAsia="en-US"/>
        </w:rPr>
        <w:t xml:space="preserve"> into school policy</w:t>
      </w:r>
      <w:r>
        <w:rPr>
          <w:rFonts w:eastAsiaTheme="minorHAnsi"/>
          <w:lang w:eastAsia="en-US"/>
        </w:rPr>
        <w:t xml:space="preserve"> which </w:t>
      </w:r>
      <w:r w:rsidRPr="00713FF2">
        <w:rPr>
          <w:rFonts w:eastAsiaTheme="minorHAnsi"/>
          <w:lang w:eastAsia="en-US"/>
        </w:rPr>
        <w:t>it i</w:t>
      </w:r>
      <w:r>
        <w:rPr>
          <w:rFonts w:eastAsiaTheme="minorHAnsi"/>
          <w:lang w:eastAsia="en-US"/>
        </w:rPr>
        <w:t xml:space="preserve">s </w:t>
      </w:r>
      <w:r w:rsidRPr="00713FF2">
        <w:rPr>
          <w:rFonts w:eastAsiaTheme="minorHAnsi"/>
          <w:lang w:eastAsia="en-US"/>
        </w:rPr>
        <w:t xml:space="preserve">dominated by the conception of an individualised set of physical, social and emotional skills </w:t>
      </w:r>
      <w:r>
        <w:rPr>
          <w:rFonts w:eastAsiaTheme="minorHAnsi"/>
          <w:lang w:eastAsia="en-US"/>
        </w:rPr>
        <w:t>as it imposes expectations on YP; thereby problematising wellbeing on the grounds of vast generalisations</w:t>
      </w:r>
      <w:r w:rsidRPr="00713FF2">
        <w:rPr>
          <w:rFonts w:eastAsiaTheme="minorHAnsi"/>
          <w:lang w:eastAsia="en-US"/>
        </w:rPr>
        <w:t xml:space="preserve"> </w:t>
      </w:r>
      <w:r>
        <w:rPr>
          <w:rFonts w:eastAsiaTheme="minorHAnsi"/>
          <w:lang w:eastAsia="en-US"/>
        </w:rPr>
        <w:t xml:space="preserve">(Watson, </w:t>
      </w:r>
      <w:r>
        <w:rPr>
          <w:rFonts w:eastAsiaTheme="minorHAnsi"/>
          <w:color w:val="3A3A3A"/>
          <w:shd w:val="clear" w:color="auto" w:fill="FFFFFF"/>
          <w:lang w:eastAsia="en-US"/>
        </w:rPr>
        <w:t xml:space="preserve">Emery and Baylis </w:t>
      </w:r>
      <w:r>
        <w:rPr>
          <w:rFonts w:eastAsiaTheme="minorHAnsi"/>
          <w:lang w:eastAsia="en-US"/>
        </w:rPr>
        <w:t>2012)</w:t>
      </w:r>
      <w:r w:rsidRPr="00713FF2">
        <w:rPr>
          <w:rFonts w:eastAsiaTheme="minorHAnsi"/>
          <w:lang w:eastAsia="en-US"/>
        </w:rPr>
        <w:t>. This approach carries assumptions of a one size fits all as it portrays one correct way of feeling and being</w:t>
      </w:r>
      <w:r>
        <w:rPr>
          <w:rFonts w:eastAsiaTheme="minorHAnsi"/>
          <w:lang w:eastAsia="en-US"/>
        </w:rPr>
        <w:t xml:space="preserve"> whilst</w:t>
      </w:r>
      <w:r w:rsidRPr="00713FF2">
        <w:rPr>
          <w:rFonts w:eastAsiaTheme="minorHAnsi"/>
          <w:lang w:eastAsia="en-US"/>
        </w:rPr>
        <w:t xml:space="preserve"> ignoring individual, cultural and experiential differences between YP (Spratt 2017). In this way, the operationalised approach to wellbeing can be seen as a coercive agenda</w:t>
      </w:r>
      <w:r>
        <w:rPr>
          <w:rFonts w:eastAsiaTheme="minorHAnsi"/>
          <w:lang w:eastAsia="en-US"/>
        </w:rPr>
        <w:t xml:space="preserve"> </w:t>
      </w:r>
      <w:r w:rsidRPr="00713FF2">
        <w:rPr>
          <w:rFonts w:eastAsiaTheme="minorHAnsi"/>
          <w:lang w:eastAsia="en-US"/>
        </w:rPr>
        <w:t xml:space="preserve">in which caring vocabulary is used to normalise directing development towards </w:t>
      </w:r>
      <w:r>
        <w:rPr>
          <w:rFonts w:eastAsiaTheme="minorHAnsi"/>
          <w:lang w:eastAsia="en-US"/>
        </w:rPr>
        <w:t>a</w:t>
      </w:r>
      <w:r w:rsidRPr="00713FF2">
        <w:rPr>
          <w:rFonts w:eastAsiaTheme="minorHAnsi"/>
          <w:lang w:eastAsia="en-US"/>
        </w:rPr>
        <w:t xml:space="preserve"> </w:t>
      </w:r>
      <w:r w:rsidRPr="0061773B">
        <w:rPr>
          <w:rFonts w:eastAsiaTheme="minorHAnsi"/>
          <w:lang w:eastAsia="en-US"/>
        </w:rPr>
        <w:t xml:space="preserve">state way of thinking </w:t>
      </w:r>
      <w:r w:rsidRPr="00713FF2">
        <w:rPr>
          <w:rFonts w:eastAsiaTheme="minorHAnsi"/>
          <w:lang w:eastAsia="en-US"/>
        </w:rPr>
        <w:t>(Spratt 2017).</w:t>
      </w:r>
      <w:bookmarkEnd w:id="11"/>
    </w:p>
    <w:p w14:paraId="30DA1FBA" w14:textId="77777777" w:rsidR="00421BB4" w:rsidRDefault="00421BB4" w:rsidP="00421BB4">
      <w:pPr>
        <w:spacing w:after="160" w:line="360" w:lineRule="auto"/>
        <w:jc w:val="both"/>
        <w:rPr>
          <w:b/>
          <w:u w:val="single"/>
        </w:rPr>
      </w:pPr>
    </w:p>
    <w:p w14:paraId="3AFFF0CC" w14:textId="77777777" w:rsidR="00421BB4" w:rsidRPr="008F4DAA" w:rsidRDefault="00421BB4" w:rsidP="00421BB4">
      <w:pPr>
        <w:spacing w:after="160" w:line="360" w:lineRule="auto"/>
        <w:jc w:val="both"/>
        <w:rPr>
          <w:b/>
          <w:color w:val="FF0000"/>
          <w:u w:val="single"/>
        </w:rPr>
      </w:pPr>
      <w:bookmarkStart w:id="12" w:name="Conclusion"/>
      <w:r w:rsidRPr="008F4DAA">
        <w:rPr>
          <w:b/>
          <w:u w:val="single"/>
        </w:rPr>
        <w:t>2.6 – Conclusion</w:t>
      </w:r>
    </w:p>
    <w:bookmarkEnd w:id="12"/>
    <w:p w14:paraId="07C58DDE" w14:textId="77777777" w:rsidR="00421BB4" w:rsidRPr="006F6865" w:rsidRDefault="00421BB4" w:rsidP="00421BB4">
      <w:pPr>
        <w:shd w:val="clear" w:color="auto" w:fill="FFFFFF"/>
        <w:spacing w:after="240" w:line="360" w:lineRule="auto"/>
        <w:ind w:firstLine="720"/>
        <w:jc w:val="both"/>
        <w:rPr>
          <w:rFonts w:eastAsiaTheme="minorHAnsi"/>
          <w:lang w:eastAsia="en-US"/>
        </w:rPr>
      </w:pPr>
      <w:r w:rsidRPr="00AB6B50">
        <w:rPr>
          <w:shd w:val="clear" w:color="auto" w:fill="FFFFFF"/>
        </w:rPr>
        <w:t xml:space="preserve">As the aftermath of the </w:t>
      </w:r>
      <w:r>
        <w:rPr>
          <w:shd w:val="clear" w:color="auto" w:fill="FFFFFF"/>
        </w:rPr>
        <w:t>pandemic</w:t>
      </w:r>
      <w:r w:rsidRPr="00AB6B50">
        <w:rPr>
          <w:shd w:val="clear" w:color="auto" w:fill="FFFFFF"/>
        </w:rPr>
        <w:t xml:space="preserve"> continues to disrupt P16 education provision</w:t>
      </w:r>
      <w:r>
        <w:rPr>
          <w:shd w:val="clear" w:color="auto" w:fill="FFFFFF"/>
        </w:rPr>
        <w:t>,</w:t>
      </w:r>
      <w:r w:rsidRPr="00AB6B50">
        <w:rPr>
          <w:shd w:val="clear" w:color="auto" w:fill="FFFFFF"/>
        </w:rPr>
        <w:t xml:space="preserve"> urgent consideration was asked to be given to how best to support the 2021–2022 cohort of P16 learners to further and higher education (Pownell </w:t>
      </w:r>
      <w:r w:rsidRPr="001B6060">
        <w:rPr>
          <w:i/>
          <w:iCs/>
          <w:shd w:val="clear" w:color="auto" w:fill="FFFFFF"/>
        </w:rPr>
        <w:t>et al.,</w:t>
      </w:r>
      <w:r w:rsidRPr="00AB6B50">
        <w:rPr>
          <w:shd w:val="clear" w:color="auto" w:fill="FFFFFF"/>
        </w:rPr>
        <w:t xml:space="preserve"> 2021). </w:t>
      </w:r>
      <w:r w:rsidRPr="00AB6B50">
        <w:rPr>
          <w:rFonts w:eastAsiaTheme="minorHAnsi"/>
          <w:shd w:val="clear" w:color="auto" w:fill="FFFFFF"/>
          <w:lang w:eastAsia="en-US"/>
        </w:rPr>
        <w:t>While it is clear</w:t>
      </w:r>
      <w:r>
        <w:rPr>
          <w:rFonts w:eastAsiaTheme="minorHAnsi"/>
          <w:shd w:val="clear" w:color="auto" w:fill="FFFFFF"/>
          <w:lang w:eastAsia="en-US"/>
        </w:rPr>
        <w:t>,</w:t>
      </w:r>
      <w:r w:rsidRPr="00AB6B50">
        <w:rPr>
          <w:rFonts w:eastAsiaTheme="minorHAnsi"/>
          <w:shd w:val="clear" w:color="auto" w:fill="FFFFFF"/>
          <w:lang w:eastAsia="en-US"/>
        </w:rPr>
        <w:t xml:space="preserve"> from th</w:t>
      </w:r>
      <w:r>
        <w:rPr>
          <w:rFonts w:eastAsiaTheme="minorHAnsi"/>
          <w:shd w:val="clear" w:color="auto" w:fill="FFFFFF"/>
          <w:lang w:eastAsia="en-US"/>
        </w:rPr>
        <w:t>is</w:t>
      </w:r>
      <w:r w:rsidRPr="00AB6B50">
        <w:rPr>
          <w:rFonts w:eastAsiaTheme="minorHAnsi"/>
          <w:shd w:val="clear" w:color="auto" w:fill="FFFFFF"/>
          <w:lang w:eastAsia="en-US"/>
        </w:rPr>
        <w:t xml:space="preserve"> body </w:t>
      </w:r>
      <w:r w:rsidRPr="00AB6B50">
        <w:rPr>
          <w:rFonts w:eastAsiaTheme="minorHAnsi"/>
          <w:shd w:val="clear" w:color="auto" w:fill="FFFFFF"/>
          <w:lang w:eastAsia="en-US"/>
        </w:rPr>
        <w:lastRenderedPageBreak/>
        <w:t xml:space="preserve">of research and </w:t>
      </w:r>
      <w:r w:rsidRPr="0061773B">
        <w:rPr>
          <w:rFonts w:eastAsiaTheme="minorHAnsi"/>
          <w:shd w:val="clear" w:color="auto" w:fill="FFFFFF"/>
          <w:lang w:eastAsia="en-US"/>
        </w:rPr>
        <w:t xml:space="preserve">the literature explored, that successful transitions play an important part in the social and emotional wellbeing of YP, it must also be acknowledged that there is still a need to establish an increased interest in the status of transition and the challenges it can create in order to understand how best to support YP (Galton, </w:t>
      </w:r>
      <w:r w:rsidRPr="0061773B">
        <w:rPr>
          <w:rFonts w:eastAsiaTheme="minorHAnsi"/>
          <w:i/>
          <w:iCs/>
          <w:shd w:val="clear" w:color="auto" w:fill="FFFFFF"/>
          <w:lang w:eastAsia="en-US"/>
        </w:rPr>
        <w:t>cited in</w:t>
      </w:r>
      <w:r w:rsidRPr="0061773B">
        <w:rPr>
          <w:rFonts w:eastAsiaTheme="minorHAnsi"/>
          <w:shd w:val="clear" w:color="auto" w:fill="FFFFFF"/>
          <w:lang w:eastAsia="en-US"/>
        </w:rPr>
        <w:t xml:space="preserve"> Symonds vii). </w:t>
      </w:r>
      <w:r w:rsidRPr="0061773B">
        <w:rPr>
          <w:rFonts w:eastAsiaTheme="minorHAnsi"/>
          <w:lang w:eastAsia="en-US"/>
        </w:rPr>
        <w:t>Research shows that an increase in self-esteem, a sense of security and sense of belonging not only permits a smoother transition resulting in a decrease in emotional and social difficulties but also future retention, resilience</w:t>
      </w:r>
      <w:r w:rsidRPr="00F73974">
        <w:rPr>
          <w:rFonts w:eastAsiaTheme="minorHAnsi"/>
          <w:color w:val="00B050"/>
          <w:lang w:eastAsia="en-US"/>
        </w:rPr>
        <w:t xml:space="preserve"> </w:t>
      </w:r>
      <w:r>
        <w:rPr>
          <w:rFonts w:eastAsiaTheme="minorHAnsi"/>
          <w:lang w:eastAsia="en-US"/>
        </w:rPr>
        <w:t>and</w:t>
      </w:r>
      <w:r w:rsidRPr="00AB6B50">
        <w:rPr>
          <w:rFonts w:eastAsiaTheme="minorHAnsi"/>
          <w:lang w:eastAsia="en-US"/>
        </w:rPr>
        <w:t xml:space="preserve"> </w:t>
      </w:r>
      <w:r>
        <w:rPr>
          <w:rFonts w:eastAsiaTheme="minorHAnsi"/>
          <w:lang w:eastAsia="en-US"/>
        </w:rPr>
        <w:t xml:space="preserve">overall </w:t>
      </w:r>
      <w:r w:rsidRPr="00AB6B50">
        <w:rPr>
          <w:rFonts w:eastAsiaTheme="minorHAnsi"/>
          <w:lang w:eastAsia="en-US"/>
        </w:rPr>
        <w:t xml:space="preserve">achievement (Blum, 2005, </w:t>
      </w:r>
      <w:r w:rsidRPr="00AB6B50">
        <w:rPr>
          <w:rFonts w:eastAsiaTheme="minorHAnsi"/>
          <w:i/>
          <w:iCs/>
          <w:lang w:eastAsia="en-US"/>
        </w:rPr>
        <w:t>cited in</w:t>
      </w:r>
      <w:r w:rsidRPr="00AB6B50">
        <w:rPr>
          <w:rFonts w:eastAsiaTheme="minorHAnsi"/>
          <w:lang w:eastAsia="en-US"/>
        </w:rPr>
        <w:t xml:space="preserve"> Leister and Cross 2015 and Robinson 2015).</w:t>
      </w:r>
      <w:r w:rsidRPr="00B577CA">
        <w:rPr>
          <w:rFonts w:eastAsiaTheme="minorHAnsi"/>
          <w:lang w:eastAsia="en-US"/>
        </w:rPr>
        <w:t xml:space="preserve"> For smoothness to occur within transition, certain components are found to support with this such as practical experiences, socialisation, friendships and pupil voice </w:t>
      </w:r>
      <w:r w:rsidRPr="00D82EEC">
        <w:rPr>
          <w:rFonts w:eastAsiaTheme="minorHAnsi"/>
          <w:lang w:eastAsia="en-US"/>
        </w:rPr>
        <w:t xml:space="preserve">(Kolb </w:t>
      </w:r>
      <w:r>
        <w:rPr>
          <w:rFonts w:eastAsiaTheme="minorHAnsi"/>
          <w:lang w:eastAsia="en-US"/>
        </w:rPr>
        <w:t>2015</w:t>
      </w:r>
      <w:r w:rsidRPr="00D82EEC">
        <w:rPr>
          <w:rFonts w:eastAsiaTheme="minorHAnsi"/>
          <w:lang w:eastAsia="en-US"/>
        </w:rPr>
        <w:t>;</w:t>
      </w:r>
      <w:r>
        <w:rPr>
          <w:rFonts w:eastAsiaTheme="minorHAnsi"/>
          <w:lang w:eastAsia="en-US"/>
        </w:rPr>
        <w:t xml:space="preserve"> Packer 2021).</w:t>
      </w:r>
      <w:r w:rsidRPr="007A5F03">
        <w:rPr>
          <w:rFonts w:eastAsiaTheme="minorHAnsi"/>
          <w:color w:val="FF0000"/>
          <w:lang w:eastAsia="en-US"/>
        </w:rPr>
        <w:t xml:space="preserve"> </w:t>
      </w:r>
      <w:r w:rsidRPr="00F32675">
        <w:rPr>
          <w:shd w:val="clear" w:color="auto" w:fill="FFFFFF"/>
        </w:rPr>
        <w:t xml:space="preserve">Radical reform in policy and legislation in Wales, placing the YP’s wellbeing </w:t>
      </w:r>
      <w:r>
        <w:rPr>
          <w:shd w:val="clear" w:color="auto" w:fill="FFFFFF"/>
        </w:rPr>
        <w:t xml:space="preserve">at the centre </w:t>
      </w:r>
      <w:r w:rsidRPr="00F32675">
        <w:rPr>
          <w:shd w:val="clear" w:color="auto" w:fill="FFFFFF"/>
        </w:rPr>
        <w:t xml:space="preserve">of their educational learning journey, </w:t>
      </w:r>
      <w:r>
        <w:rPr>
          <w:shd w:val="clear" w:color="auto" w:fill="FFFFFF"/>
        </w:rPr>
        <w:t>supports a</w:t>
      </w:r>
      <w:r w:rsidRPr="00F32675">
        <w:rPr>
          <w:shd w:val="clear" w:color="auto" w:fill="FFFFFF"/>
        </w:rPr>
        <w:t xml:space="preserve"> rights-based approach that allows their individual skills and voices to be </w:t>
      </w:r>
      <w:r>
        <w:rPr>
          <w:shd w:val="clear" w:color="auto" w:fill="FFFFFF"/>
        </w:rPr>
        <w:t>heard</w:t>
      </w:r>
      <w:r w:rsidRPr="00F32675">
        <w:rPr>
          <w:shd w:val="clear" w:color="auto" w:fill="FFFFFF"/>
        </w:rPr>
        <w:t xml:space="preserve"> (WG 20</w:t>
      </w:r>
      <w:r>
        <w:rPr>
          <w:shd w:val="clear" w:color="auto" w:fill="FFFFFF"/>
        </w:rPr>
        <w:t>19g</w:t>
      </w:r>
      <w:r w:rsidRPr="00F32675">
        <w:rPr>
          <w:shd w:val="clear" w:color="auto" w:fill="FFFFFF"/>
        </w:rPr>
        <w:t xml:space="preserve">). </w:t>
      </w:r>
    </w:p>
    <w:p w14:paraId="40E02343" w14:textId="77777777" w:rsidR="00421BB4" w:rsidRPr="00D53DF7" w:rsidRDefault="00421BB4" w:rsidP="00421BB4">
      <w:pPr>
        <w:shd w:val="clear" w:color="auto" w:fill="FFFFFF"/>
        <w:spacing w:after="240" w:line="360" w:lineRule="auto"/>
        <w:ind w:firstLine="720"/>
        <w:jc w:val="both"/>
        <w:rPr>
          <w:rFonts w:eastAsiaTheme="minorHAnsi"/>
          <w:shd w:val="clear" w:color="auto" w:fill="FFFFFF"/>
          <w:lang w:eastAsia="en-US"/>
        </w:rPr>
      </w:pPr>
      <w:r w:rsidRPr="00BF1755">
        <w:t>When</w:t>
      </w:r>
      <w:r>
        <w:t xml:space="preserve"> P16</w:t>
      </w:r>
      <w:r w:rsidRPr="00BF1755">
        <w:t xml:space="preserve"> </w:t>
      </w:r>
      <w:r>
        <w:t>learners</w:t>
      </w:r>
      <w:r w:rsidRPr="00BF1755">
        <w:t xml:space="preserve"> </w:t>
      </w:r>
      <w:r>
        <w:t>transition</w:t>
      </w:r>
      <w:r w:rsidRPr="00BF1755">
        <w:t xml:space="preserve"> from one setting to </w:t>
      </w:r>
      <w:r>
        <w:t>another</w:t>
      </w:r>
      <w:r w:rsidRPr="00BF1755">
        <w:t xml:space="preserve">, they often </w:t>
      </w:r>
      <w:r>
        <w:t>gain</w:t>
      </w:r>
      <w:r w:rsidRPr="00BF1755">
        <w:t xml:space="preserve"> a new </w:t>
      </w:r>
      <w:r>
        <w:t xml:space="preserve">environment, </w:t>
      </w:r>
      <w:r w:rsidRPr="00BF1755">
        <w:t>peer group,</w:t>
      </w:r>
      <w:r>
        <w:t xml:space="preserve"> </w:t>
      </w:r>
      <w:r w:rsidRPr="00BF1755">
        <w:t>new teachers, and face a more multifaceted social organisation</w:t>
      </w:r>
      <w:r>
        <w:t>. T</w:t>
      </w:r>
      <w:r w:rsidRPr="00BF1755">
        <w:t xml:space="preserve">herefore, it is important that they receive support not just from the school but from </w:t>
      </w:r>
      <w:r w:rsidRPr="00E91656">
        <w:t xml:space="preserve">significant others such as family and friends: </w:t>
      </w:r>
      <w:r>
        <w:t>concepts fundamental to the theories of Vygotsky (1978) and Bronfenbrenner (1976)</w:t>
      </w:r>
      <w:r w:rsidRPr="00A738B1">
        <w:t xml:space="preserve">. </w:t>
      </w:r>
      <w:r>
        <w:rPr>
          <w:rFonts w:eastAsiaTheme="minorHAnsi"/>
          <w:shd w:val="clear" w:color="auto" w:fill="FFFFFF"/>
          <w:lang w:eastAsia="en-US"/>
        </w:rPr>
        <w:t>As r</w:t>
      </w:r>
      <w:r w:rsidRPr="00BF1755">
        <w:rPr>
          <w:rFonts w:eastAsiaTheme="minorHAnsi"/>
          <w:shd w:val="clear" w:color="auto" w:fill="FFFFFF"/>
          <w:lang w:eastAsia="en-US"/>
        </w:rPr>
        <w:t xml:space="preserve">eports show a significant rise in negative behaviours of </w:t>
      </w:r>
      <w:r>
        <w:rPr>
          <w:rFonts w:eastAsiaTheme="minorHAnsi"/>
          <w:shd w:val="clear" w:color="auto" w:fill="FFFFFF"/>
          <w:lang w:eastAsia="en-US"/>
        </w:rPr>
        <w:t>YP</w:t>
      </w:r>
      <w:r w:rsidRPr="00BF1755">
        <w:rPr>
          <w:rFonts w:eastAsiaTheme="minorHAnsi"/>
          <w:shd w:val="clear" w:color="auto" w:fill="FFFFFF"/>
          <w:lang w:eastAsia="en-US"/>
        </w:rPr>
        <w:t xml:space="preserve"> in school since returning following lockdown</w:t>
      </w:r>
      <w:r>
        <w:rPr>
          <w:rFonts w:eastAsiaTheme="minorHAnsi"/>
          <w:shd w:val="clear" w:color="auto" w:fill="FFFFFF"/>
          <w:lang w:eastAsia="en-US"/>
        </w:rPr>
        <w:t xml:space="preserve">, </w:t>
      </w:r>
      <w:r w:rsidRPr="00BF1755">
        <w:rPr>
          <w:rFonts w:eastAsiaTheme="minorHAnsi"/>
          <w:shd w:val="clear" w:color="auto" w:fill="FFFFFF"/>
          <w:lang w:eastAsia="en-US"/>
        </w:rPr>
        <w:t>additional support with</w:t>
      </w:r>
      <w:r>
        <w:rPr>
          <w:rFonts w:eastAsiaTheme="minorHAnsi"/>
          <w:shd w:val="clear" w:color="auto" w:fill="FFFFFF"/>
          <w:lang w:eastAsia="en-US"/>
        </w:rPr>
        <w:t xml:space="preserve"> not only</w:t>
      </w:r>
      <w:r w:rsidRPr="00BF1755">
        <w:rPr>
          <w:rFonts w:eastAsiaTheme="minorHAnsi"/>
          <w:shd w:val="clear" w:color="auto" w:fill="FFFFFF"/>
          <w:lang w:eastAsia="en-US"/>
        </w:rPr>
        <w:t xml:space="preserve"> transition</w:t>
      </w:r>
      <w:r>
        <w:rPr>
          <w:rFonts w:eastAsiaTheme="minorHAnsi"/>
          <w:shd w:val="clear" w:color="auto" w:fill="FFFFFF"/>
          <w:lang w:eastAsia="en-US"/>
        </w:rPr>
        <w:t>, but wellbeing,</w:t>
      </w:r>
      <w:r w:rsidRPr="00BF1755">
        <w:rPr>
          <w:rFonts w:eastAsiaTheme="minorHAnsi"/>
          <w:shd w:val="clear" w:color="auto" w:fill="FFFFFF"/>
          <w:lang w:eastAsia="en-US"/>
        </w:rPr>
        <w:t xml:space="preserve"> </w:t>
      </w:r>
      <w:r>
        <w:rPr>
          <w:rFonts w:eastAsiaTheme="minorHAnsi"/>
          <w:shd w:val="clear" w:color="auto" w:fill="FFFFFF"/>
          <w:lang w:eastAsia="en-US"/>
        </w:rPr>
        <w:t>are</w:t>
      </w:r>
      <w:r w:rsidRPr="00BF1755">
        <w:rPr>
          <w:rFonts w:eastAsiaTheme="minorHAnsi"/>
          <w:shd w:val="clear" w:color="auto" w:fill="FFFFFF"/>
          <w:lang w:eastAsia="en-US"/>
        </w:rPr>
        <w:t xml:space="preserve"> seen as </w:t>
      </w:r>
      <w:r>
        <w:rPr>
          <w:rFonts w:eastAsiaTheme="minorHAnsi"/>
          <w:shd w:val="clear" w:color="auto" w:fill="FFFFFF"/>
          <w:lang w:eastAsia="en-US"/>
        </w:rPr>
        <w:t>high on the agenda of</w:t>
      </w:r>
      <w:r w:rsidRPr="00BF1755">
        <w:rPr>
          <w:rFonts w:eastAsiaTheme="minorHAnsi"/>
          <w:shd w:val="clear" w:color="auto" w:fill="FFFFFF"/>
          <w:lang w:eastAsia="en-US"/>
        </w:rPr>
        <w:t xml:space="preserve"> priorit</w:t>
      </w:r>
      <w:r>
        <w:rPr>
          <w:rFonts w:eastAsiaTheme="minorHAnsi"/>
          <w:shd w:val="clear" w:color="auto" w:fill="FFFFFF"/>
          <w:lang w:eastAsia="en-US"/>
        </w:rPr>
        <w:t>ies</w:t>
      </w:r>
      <w:r w:rsidRPr="00BF1755">
        <w:rPr>
          <w:rFonts w:eastAsiaTheme="minorHAnsi"/>
          <w:shd w:val="clear" w:color="auto" w:fill="FFFFFF"/>
          <w:lang w:eastAsia="en-US"/>
        </w:rPr>
        <w:t xml:space="preserve"> in schools and FEIs (WG, 2021</w:t>
      </w:r>
      <w:r w:rsidRPr="007748DF">
        <w:rPr>
          <w:rFonts w:eastAsiaTheme="minorHAnsi"/>
          <w:shd w:val="clear" w:color="auto" w:fill="FFFFFF"/>
          <w:lang w:eastAsia="en-US"/>
        </w:rPr>
        <w:t xml:space="preserve">a). </w:t>
      </w:r>
      <w:r w:rsidRPr="00BF1755">
        <w:rPr>
          <w:rFonts w:eastAsiaTheme="minorHAnsi"/>
          <w:shd w:val="clear" w:color="auto" w:fill="FFFFFF"/>
          <w:lang w:eastAsia="en-US"/>
        </w:rPr>
        <w:t xml:space="preserve">It cannot be ignored however, that while concern </w:t>
      </w:r>
      <w:r>
        <w:rPr>
          <w:rFonts w:eastAsiaTheme="minorHAnsi"/>
          <w:shd w:val="clear" w:color="auto" w:fill="FFFFFF"/>
          <w:lang w:eastAsia="en-US"/>
        </w:rPr>
        <w:t>regarding learners</w:t>
      </w:r>
      <w:r w:rsidRPr="00BF1755">
        <w:rPr>
          <w:rFonts w:eastAsiaTheme="minorHAnsi"/>
          <w:shd w:val="clear" w:color="auto" w:fill="FFFFFF"/>
          <w:lang w:eastAsia="en-US"/>
        </w:rPr>
        <w:t xml:space="preserve"> may have contributed to the rising interest in transition</w:t>
      </w:r>
      <w:r>
        <w:rPr>
          <w:rFonts w:eastAsiaTheme="minorHAnsi"/>
          <w:shd w:val="clear" w:color="auto" w:fill="FFFFFF"/>
          <w:lang w:eastAsia="en-US"/>
        </w:rPr>
        <w:t xml:space="preserve"> and wellbeing support</w:t>
      </w:r>
      <w:r w:rsidRPr="00BF1755">
        <w:rPr>
          <w:rFonts w:eastAsiaTheme="minorHAnsi"/>
          <w:shd w:val="clear" w:color="auto" w:fill="FFFFFF"/>
          <w:lang w:eastAsia="en-US"/>
        </w:rPr>
        <w:t xml:space="preserve">, this interest is also hugely significant to policy makers as, inevitably, the experiences </w:t>
      </w:r>
      <w:r>
        <w:rPr>
          <w:rFonts w:eastAsiaTheme="minorHAnsi"/>
          <w:shd w:val="clear" w:color="auto" w:fill="FFFFFF"/>
          <w:lang w:eastAsia="en-US"/>
        </w:rPr>
        <w:t>of learners</w:t>
      </w:r>
      <w:r w:rsidRPr="00BF1755">
        <w:rPr>
          <w:rFonts w:eastAsiaTheme="minorHAnsi"/>
          <w:shd w:val="clear" w:color="auto" w:fill="FFFFFF"/>
          <w:lang w:eastAsia="en-US"/>
        </w:rPr>
        <w:t xml:space="preserve"> </w:t>
      </w:r>
      <w:r>
        <w:rPr>
          <w:rFonts w:eastAsiaTheme="minorHAnsi"/>
          <w:shd w:val="clear" w:color="auto" w:fill="FFFFFF"/>
          <w:lang w:eastAsia="en-US"/>
        </w:rPr>
        <w:t>also</w:t>
      </w:r>
      <w:r w:rsidRPr="00BF1755">
        <w:rPr>
          <w:rFonts w:eastAsiaTheme="minorHAnsi"/>
          <w:shd w:val="clear" w:color="auto" w:fill="FFFFFF"/>
          <w:lang w:eastAsia="en-US"/>
        </w:rPr>
        <w:t xml:space="preserve"> </w:t>
      </w:r>
      <w:r>
        <w:rPr>
          <w:rFonts w:eastAsiaTheme="minorHAnsi"/>
          <w:shd w:val="clear" w:color="auto" w:fill="FFFFFF"/>
          <w:lang w:eastAsia="en-US"/>
        </w:rPr>
        <w:t xml:space="preserve">have socio-economic </w:t>
      </w:r>
      <w:r w:rsidRPr="00BF1755">
        <w:rPr>
          <w:rFonts w:eastAsiaTheme="minorHAnsi"/>
          <w:shd w:val="clear" w:color="auto" w:fill="FFFFFF"/>
          <w:lang w:eastAsia="en-US"/>
        </w:rPr>
        <w:t>impact</w:t>
      </w:r>
      <w:r>
        <w:rPr>
          <w:rFonts w:eastAsiaTheme="minorHAnsi"/>
          <w:shd w:val="clear" w:color="auto" w:fill="FFFFFF"/>
          <w:lang w:eastAsia="en-US"/>
        </w:rPr>
        <w:t>s</w:t>
      </w:r>
      <w:r w:rsidRPr="00BF1755">
        <w:rPr>
          <w:rFonts w:eastAsiaTheme="minorHAnsi"/>
          <w:shd w:val="clear" w:color="auto" w:fill="FFFFFF"/>
          <w:lang w:eastAsia="en-US"/>
        </w:rPr>
        <w:t xml:space="preserve"> (Eccleston, 2007).</w:t>
      </w:r>
    </w:p>
    <w:p w14:paraId="71B5A238" w14:textId="77777777" w:rsidR="00421BB4" w:rsidRDefault="00421BB4" w:rsidP="00421BB4">
      <w:pPr>
        <w:pStyle w:val="NormalWeb"/>
        <w:shd w:val="clear" w:color="auto" w:fill="FFFFFF"/>
        <w:spacing w:before="0" w:beforeAutospacing="0" w:after="240" w:afterAutospacing="0" w:line="360" w:lineRule="auto"/>
        <w:ind w:firstLine="720"/>
        <w:jc w:val="both"/>
        <w:rPr>
          <w:rFonts w:eastAsiaTheme="minorHAnsi"/>
          <w:lang w:eastAsia="en-US"/>
        </w:rPr>
      </w:pPr>
      <w:r w:rsidRPr="00BF1755">
        <w:rPr>
          <w:color w:val="2E2E2E"/>
        </w:rPr>
        <w:t xml:space="preserve">Harvey and Taylor (2013) suggest that </w:t>
      </w:r>
      <w:r>
        <w:rPr>
          <w:color w:val="2E2E2E"/>
        </w:rPr>
        <w:t xml:space="preserve">one </w:t>
      </w:r>
      <w:r w:rsidRPr="00BF1755">
        <w:rPr>
          <w:color w:val="2E2E2E"/>
        </w:rPr>
        <w:t>of the most important tasks we have as a society is to promote</w:t>
      </w:r>
      <w:r>
        <w:rPr>
          <w:color w:val="2E2E2E"/>
        </w:rPr>
        <w:t xml:space="preserve"> and support</w:t>
      </w:r>
      <w:r w:rsidRPr="00BF1755">
        <w:rPr>
          <w:color w:val="2E2E2E"/>
        </w:rPr>
        <w:t xml:space="preserve"> the wellbeing of our</w:t>
      </w:r>
      <w:r>
        <w:rPr>
          <w:color w:val="2E2E2E"/>
        </w:rPr>
        <w:t xml:space="preserve"> YP</w:t>
      </w:r>
      <w:r w:rsidRPr="00BF1755">
        <w:rPr>
          <w:color w:val="2E2E2E"/>
        </w:rPr>
        <w:t xml:space="preserve">. To do this, </w:t>
      </w:r>
      <w:r>
        <w:rPr>
          <w:color w:val="2E2E2E"/>
        </w:rPr>
        <w:t xml:space="preserve">they suggest that </w:t>
      </w:r>
      <w:r w:rsidRPr="00BF1755">
        <w:rPr>
          <w:color w:val="2E2E2E"/>
        </w:rPr>
        <w:t xml:space="preserve">we must first </w:t>
      </w:r>
      <w:r>
        <w:rPr>
          <w:color w:val="2E2E2E"/>
        </w:rPr>
        <w:t>possess adequate</w:t>
      </w:r>
      <w:r w:rsidRPr="00BF1755">
        <w:rPr>
          <w:color w:val="2E2E2E"/>
        </w:rPr>
        <w:t xml:space="preserve"> understanding of the</w:t>
      </w:r>
      <w:r>
        <w:rPr>
          <w:color w:val="2E2E2E"/>
        </w:rPr>
        <w:t>ir</w:t>
      </w:r>
      <w:r w:rsidRPr="00BF1755">
        <w:rPr>
          <w:color w:val="2E2E2E"/>
        </w:rPr>
        <w:t xml:space="preserve"> needs and</w:t>
      </w:r>
      <w:r>
        <w:rPr>
          <w:color w:val="2E2E2E"/>
        </w:rPr>
        <w:t xml:space="preserve"> they</w:t>
      </w:r>
      <w:r w:rsidRPr="00BF1755">
        <w:rPr>
          <w:color w:val="2E2E2E"/>
        </w:rPr>
        <w:t xml:space="preserve"> highlight that this is not just about </w:t>
      </w:r>
      <w:r>
        <w:rPr>
          <w:color w:val="2E2E2E"/>
        </w:rPr>
        <w:t>gathering data,</w:t>
      </w:r>
      <w:r w:rsidRPr="00BF1755">
        <w:rPr>
          <w:color w:val="2E2E2E"/>
        </w:rPr>
        <w:t xml:space="preserve"> but </w:t>
      </w:r>
      <w:r>
        <w:rPr>
          <w:color w:val="2E2E2E"/>
        </w:rPr>
        <w:t xml:space="preserve">also </w:t>
      </w:r>
      <w:r w:rsidRPr="00BF1755">
        <w:rPr>
          <w:color w:val="2E2E2E"/>
        </w:rPr>
        <w:t xml:space="preserve">being </w:t>
      </w:r>
      <w:r w:rsidRPr="00E91656">
        <w:t>involved in meaningful dialogue about their perceptions of need (Harvey and Taylor, 2013). It has been suggested therefore that the first and most important way to make sense of how wellbeing is used in contemporary policy is the understanding that wellbeing is a social construct (Harvey and Taylor, 2013). The meaning of wellbeing, as established, is therefore based on the YP’s perception. Therefore, l</w:t>
      </w:r>
      <w:r w:rsidRPr="00E91656">
        <w:rPr>
          <w:rFonts w:eastAsiaTheme="minorHAnsi"/>
          <w:lang w:eastAsia="en-US"/>
        </w:rPr>
        <w:t xml:space="preserve">istening to the </w:t>
      </w:r>
      <w:r w:rsidRPr="00E91656">
        <w:rPr>
          <w:rFonts w:eastAsiaTheme="minorHAnsi"/>
          <w:lang w:eastAsia="en-US"/>
        </w:rPr>
        <w:lastRenderedPageBreak/>
        <w:t xml:space="preserve">voices of YP, by applying a person-centred approach, </w:t>
      </w:r>
      <w:r w:rsidRPr="00BF1755">
        <w:rPr>
          <w:rFonts w:eastAsiaTheme="minorHAnsi"/>
          <w:lang w:eastAsia="en-US"/>
        </w:rPr>
        <w:t>is imperative regarding issues that affect them, including</w:t>
      </w:r>
      <w:r>
        <w:rPr>
          <w:rFonts w:eastAsiaTheme="minorHAnsi"/>
          <w:lang w:eastAsia="en-US"/>
        </w:rPr>
        <w:t xml:space="preserve"> transition and</w:t>
      </w:r>
      <w:r w:rsidRPr="00BF1755">
        <w:rPr>
          <w:rFonts w:eastAsiaTheme="minorHAnsi"/>
          <w:lang w:eastAsia="en-US"/>
        </w:rPr>
        <w:t xml:space="preserve"> wellbeing </w:t>
      </w:r>
      <w:r>
        <w:rPr>
          <w:rFonts w:eastAsiaTheme="minorHAnsi"/>
          <w:lang w:eastAsia="en-US"/>
        </w:rPr>
        <w:t xml:space="preserve">support as this research aims to achieve. </w:t>
      </w:r>
    </w:p>
    <w:p w14:paraId="601D3939" w14:textId="77777777" w:rsidR="00421BB4" w:rsidRDefault="00421BB4" w:rsidP="00421BB4">
      <w:pPr>
        <w:spacing w:line="360" w:lineRule="auto"/>
        <w:jc w:val="center"/>
        <w:rPr>
          <w:b/>
          <w:iCs/>
          <w:sz w:val="28"/>
          <w:szCs w:val="28"/>
          <w:u w:val="single"/>
        </w:rPr>
      </w:pPr>
    </w:p>
    <w:p w14:paraId="5C293BB6" w14:textId="77777777" w:rsidR="00421BB4" w:rsidRDefault="00421BB4" w:rsidP="00421BB4">
      <w:pPr>
        <w:spacing w:line="360" w:lineRule="auto"/>
        <w:jc w:val="center"/>
        <w:rPr>
          <w:b/>
          <w:iCs/>
          <w:sz w:val="28"/>
          <w:szCs w:val="28"/>
          <w:u w:val="single"/>
        </w:rPr>
      </w:pPr>
    </w:p>
    <w:p w14:paraId="34E4A68F" w14:textId="77777777" w:rsidR="00421BB4" w:rsidRDefault="00421BB4" w:rsidP="00421BB4">
      <w:pPr>
        <w:spacing w:line="360" w:lineRule="auto"/>
        <w:jc w:val="center"/>
        <w:rPr>
          <w:b/>
          <w:iCs/>
          <w:sz w:val="28"/>
          <w:szCs w:val="28"/>
          <w:u w:val="single"/>
        </w:rPr>
      </w:pPr>
    </w:p>
    <w:p w14:paraId="42D695F0" w14:textId="77777777" w:rsidR="00421BB4" w:rsidRDefault="00421BB4" w:rsidP="00421BB4">
      <w:pPr>
        <w:spacing w:line="360" w:lineRule="auto"/>
        <w:jc w:val="center"/>
        <w:rPr>
          <w:b/>
          <w:iCs/>
          <w:sz w:val="28"/>
          <w:szCs w:val="28"/>
          <w:u w:val="single"/>
        </w:rPr>
      </w:pPr>
    </w:p>
    <w:p w14:paraId="3D42F7CC" w14:textId="77777777" w:rsidR="00421BB4" w:rsidRDefault="00421BB4" w:rsidP="00421BB4">
      <w:pPr>
        <w:spacing w:line="360" w:lineRule="auto"/>
        <w:jc w:val="center"/>
        <w:rPr>
          <w:b/>
          <w:iCs/>
          <w:sz w:val="28"/>
          <w:szCs w:val="28"/>
          <w:u w:val="single"/>
        </w:rPr>
      </w:pPr>
    </w:p>
    <w:p w14:paraId="4D291E42" w14:textId="77777777" w:rsidR="00421BB4" w:rsidRDefault="00421BB4" w:rsidP="00421BB4">
      <w:pPr>
        <w:spacing w:line="360" w:lineRule="auto"/>
        <w:jc w:val="center"/>
        <w:rPr>
          <w:b/>
          <w:iCs/>
          <w:sz w:val="28"/>
          <w:szCs w:val="28"/>
          <w:u w:val="single"/>
        </w:rPr>
      </w:pPr>
    </w:p>
    <w:p w14:paraId="3D7A98F4" w14:textId="77777777" w:rsidR="00421BB4" w:rsidRDefault="00421BB4" w:rsidP="00421BB4">
      <w:pPr>
        <w:spacing w:line="360" w:lineRule="auto"/>
        <w:jc w:val="center"/>
        <w:rPr>
          <w:b/>
          <w:iCs/>
          <w:sz w:val="28"/>
          <w:szCs w:val="28"/>
          <w:u w:val="single"/>
        </w:rPr>
      </w:pPr>
    </w:p>
    <w:p w14:paraId="234A8D5A" w14:textId="77777777" w:rsidR="00421BB4" w:rsidRDefault="00421BB4" w:rsidP="00421BB4">
      <w:pPr>
        <w:spacing w:line="360" w:lineRule="auto"/>
        <w:jc w:val="center"/>
        <w:rPr>
          <w:b/>
          <w:iCs/>
          <w:sz w:val="28"/>
          <w:szCs w:val="28"/>
          <w:u w:val="single"/>
        </w:rPr>
      </w:pPr>
    </w:p>
    <w:p w14:paraId="7E1D7ED2" w14:textId="77777777" w:rsidR="00421BB4" w:rsidRDefault="00421BB4" w:rsidP="00421BB4">
      <w:pPr>
        <w:spacing w:line="360" w:lineRule="auto"/>
        <w:jc w:val="center"/>
        <w:rPr>
          <w:b/>
          <w:iCs/>
          <w:sz w:val="28"/>
          <w:szCs w:val="28"/>
          <w:u w:val="single"/>
        </w:rPr>
      </w:pPr>
    </w:p>
    <w:p w14:paraId="4C974948" w14:textId="77777777" w:rsidR="00421BB4" w:rsidRDefault="00421BB4" w:rsidP="00421BB4">
      <w:pPr>
        <w:spacing w:line="360" w:lineRule="auto"/>
        <w:jc w:val="center"/>
        <w:rPr>
          <w:b/>
          <w:iCs/>
          <w:sz w:val="28"/>
          <w:szCs w:val="28"/>
          <w:u w:val="single"/>
        </w:rPr>
      </w:pPr>
    </w:p>
    <w:p w14:paraId="62E326E5" w14:textId="77777777" w:rsidR="00421BB4" w:rsidRDefault="00421BB4" w:rsidP="00421BB4">
      <w:pPr>
        <w:spacing w:line="360" w:lineRule="auto"/>
        <w:jc w:val="center"/>
        <w:rPr>
          <w:b/>
          <w:iCs/>
          <w:sz w:val="28"/>
          <w:szCs w:val="28"/>
          <w:u w:val="single"/>
        </w:rPr>
      </w:pPr>
    </w:p>
    <w:p w14:paraId="3F5813EE" w14:textId="77777777" w:rsidR="00421BB4" w:rsidRDefault="00421BB4" w:rsidP="00421BB4">
      <w:pPr>
        <w:spacing w:line="360" w:lineRule="auto"/>
        <w:jc w:val="center"/>
        <w:rPr>
          <w:b/>
          <w:iCs/>
          <w:sz w:val="28"/>
          <w:szCs w:val="28"/>
          <w:u w:val="single"/>
        </w:rPr>
      </w:pPr>
    </w:p>
    <w:p w14:paraId="31016B27" w14:textId="77777777" w:rsidR="00421BB4" w:rsidRDefault="00421BB4" w:rsidP="00421BB4">
      <w:pPr>
        <w:spacing w:line="360" w:lineRule="auto"/>
        <w:jc w:val="center"/>
        <w:rPr>
          <w:b/>
          <w:iCs/>
          <w:sz w:val="28"/>
          <w:szCs w:val="28"/>
          <w:u w:val="single"/>
        </w:rPr>
      </w:pPr>
    </w:p>
    <w:p w14:paraId="1E787AE8" w14:textId="77777777" w:rsidR="00421BB4" w:rsidRDefault="00421BB4" w:rsidP="00421BB4">
      <w:pPr>
        <w:spacing w:line="360" w:lineRule="auto"/>
        <w:jc w:val="center"/>
        <w:rPr>
          <w:b/>
          <w:iCs/>
          <w:sz w:val="28"/>
          <w:szCs w:val="28"/>
          <w:u w:val="single"/>
        </w:rPr>
      </w:pPr>
    </w:p>
    <w:p w14:paraId="0F0FD18E" w14:textId="77777777" w:rsidR="00421BB4" w:rsidRDefault="00421BB4" w:rsidP="00421BB4">
      <w:pPr>
        <w:spacing w:line="360" w:lineRule="auto"/>
        <w:jc w:val="center"/>
        <w:rPr>
          <w:b/>
          <w:iCs/>
          <w:sz w:val="28"/>
          <w:szCs w:val="28"/>
          <w:u w:val="single"/>
        </w:rPr>
      </w:pPr>
    </w:p>
    <w:p w14:paraId="6CE6DBB2" w14:textId="77777777" w:rsidR="00421BB4" w:rsidRDefault="00421BB4" w:rsidP="00421BB4">
      <w:pPr>
        <w:spacing w:line="360" w:lineRule="auto"/>
        <w:jc w:val="center"/>
        <w:rPr>
          <w:b/>
          <w:iCs/>
          <w:sz w:val="28"/>
          <w:szCs w:val="28"/>
          <w:u w:val="single"/>
        </w:rPr>
      </w:pPr>
    </w:p>
    <w:p w14:paraId="6F8734D2" w14:textId="77777777" w:rsidR="00421BB4" w:rsidRDefault="00421BB4" w:rsidP="00421BB4">
      <w:pPr>
        <w:spacing w:line="360" w:lineRule="auto"/>
        <w:jc w:val="center"/>
        <w:rPr>
          <w:b/>
          <w:iCs/>
          <w:sz w:val="28"/>
          <w:szCs w:val="28"/>
          <w:u w:val="single"/>
        </w:rPr>
      </w:pPr>
    </w:p>
    <w:p w14:paraId="3102518E" w14:textId="77777777" w:rsidR="00421BB4" w:rsidRDefault="00421BB4" w:rsidP="00421BB4">
      <w:pPr>
        <w:spacing w:line="360" w:lineRule="auto"/>
        <w:jc w:val="center"/>
        <w:rPr>
          <w:b/>
          <w:iCs/>
          <w:sz w:val="28"/>
          <w:szCs w:val="28"/>
          <w:u w:val="single"/>
        </w:rPr>
      </w:pPr>
    </w:p>
    <w:p w14:paraId="40FF7267" w14:textId="77777777" w:rsidR="00421BB4" w:rsidRDefault="00421BB4" w:rsidP="00421BB4">
      <w:pPr>
        <w:spacing w:line="360" w:lineRule="auto"/>
        <w:jc w:val="center"/>
        <w:rPr>
          <w:b/>
          <w:iCs/>
          <w:sz w:val="28"/>
          <w:szCs w:val="28"/>
          <w:u w:val="single"/>
        </w:rPr>
      </w:pPr>
    </w:p>
    <w:p w14:paraId="22D4ADA4" w14:textId="77777777" w:rsidR="00421BB4" w:rsidRDefault="00421BB4" w:rsidP="00421BB4">
      <w:pPr>
        <w:spacing w:line="360" w:lineRule="auto"/>
        <w:jc w:val="center"/>
        <w:rPr>
          <w:b/>
          <w:iCs/>
          <w:sz w:val="28"/>
          <w:szCs w:val="28"/>
          <w:u w:val="single"/>
        </w:rPr>
      </w:pPr>
    </w:p>
    <w:p w14:paraId="54162659" w14:textId="77777777" w:rsidR="00421BB4" w:rsidRDefault="00421BB4" w:rsidP="00421BB4">
      <w:pPr>
        <w:spacing w:line="360" w:lineRule="auto"/>
        <w:jc w:val="center"/>
        <w:rPr>
          <w:b/>
          <w:iCs/>
          <w:sz w:val="28"/>
          <w:szCs w:val="28"/>
          <w:u w:val="single"/>
        </w:rPr>
      </w:pPr>
    </w:p>
    <w:p w14:paraId="70C9FFE4" w14:textId="77777777" w:rsidR="00421BB4" w:rsidRDefault="00421BB4" w:rsidP="00421BB4">
      <w:pPr>
        <w:spacing w:line="360" w:lineRule="auto"/>
        <w:jc w:val="center"/>
        <w:rPr>
          <w:b/>
          <w:iCs/>
          <w:sz w:val="28"/>
          <w:szCs w:val="28"/>
          <w:u w:val="single"/>
        </w:rPr>
      </w:pPr>
    </w:p>
    <w:p w14:paraId="106ACCAF" w14:textId="77777777" w:rsidR="00421BB4" w:rsidRDefault="00421BB4" w:rsidP="00421BB4">
      <w:pPr>
        <w:spacing w:line="360" w:lineRule="auto"/>
        <w:jc w:val="center"/>
        <w:rPr>
          <w:b/>
          <w:iCs/>
          <w:sz w:val="28"/>
          <w:szCs w:val="28"/>
          <w:u w:val="single"/>
        </w:rPr>
      </w:pPr>
    </w:p>
    <w:p w14:paraId="6C3B1CFA" w14:textId="77777777" w:rsidR="00421BB4" w:rsidRDefault="00421BB4" w:rsidP="00421BB4">
      <w:pPr>
        <w:spacing w:line="360" w:lineRule="auto"/>
        <w:jc w:val="center"/>
        <w:rPr>
          <w:b/>
          <w:iCs/>
          <w:sz w:val="28"/>
          <w:szCs w:val="28"/>
          <w:u w:val="single"/>
        </w:rPr>
      </w:pPr>
    </w:p>
    <w:p w14:paraId="32D3A6FF" w14:textId="77777777" w:rsidR="00421BB4" w:rsidRDefault="00421BB4" w:rsidP="00421BB4">
      <w:pPr>
        <w:spacing w:line="360" w:lineRule="auto"/>
        <w:jc w:val="center"/>
        <w:rPr>
          <w:b/>
          <w:iCs/>
          <w:sz w:val="28"/>
          <w:szCs w:val="28"/>
          <w:u w:val="single"/>
        </w:rPr>
      </w:pPr>
    </w:p>
    <w:p w14:paraId="7CBA47FE" w14:textId="77777777" w:rsidR="00421BB4" w:rsidRDefault="00421BB4" w:rsidP="00421BB4">
      <w:pPr>
        <w:spacing w:line="360" w:lineRule="auto"/>
        <w:jc w:val="center"/>
        <w:rPr>
          <w:b/>
          <w:iCs/>
          <w:sz w:val="28"/>
          <w:szCs w:val="28"/>
          <w:u w:val="single"/>
        </w:rPr>
      </w:pPr>
    </w:p>
    <w:p w14:paraId="1168E6CB" w14:textId="77777777" w:rsidR="00421BB4" w:rsidRDefault="00421BB4" w:rsidP="00421BB4">
      <w:pPr>
        <w:spacing w:line="360" w:lineRule="auto"/>
        <w:jc w:val="center"/>
        <w:rPr>
          <w:b/>
          <w:iCs/>
          <w:sz w:val="28"/>
          <w:szCs w:val="28"/>
          <w:u w:val="single"/>
        </w:rPr>
      </w:pPr>
    </w:p>
    <w:p w14:paraId="006AB59E" w14:textId="77777777" w:rsidR="00421BB4" w:rsidRPr="00E70A57" w:rsidRDefault="00421BB4" w:rsidP="00421BB4">
      <w:pPr>
        <w:spacing w:line="360" w:lineRule="auto"/>
        <w:jc w:val="center"/>
        <w:rPr>
          <w:b/>
          <w:iCs/>
          <w:sz w:val="28"/>
          <w:szCs w:val="28"/>
          <w:u w:val="single"/>
        </w:rPr>
      </w:pPr>
      <w:bookmarkStart w:id="13" w:name="Chapter3Methodology"/>
      <w:r w:rsidRPr="00E70A57">
        <w:rPr>
          <w:b/>
          <w:iCs/>
          <w:sz w:val="28"/>
          <w:szCs w:val="28"/>
          <w:u w:val="single"/>
        </w:rPr>
        <w:lastRenderedPageBreak/>
        <w:t>CHAPTER 3</w:t>
      </w:r>
    </w:p>
    <w:p w14:paraId="18C626E6" w14:textId="77777777" w:rsidR="00421BB4" w:rsidRPr="00E70A57" w:rsidRDefault="00421BB4" w:rsidP="00421BB4">
      <w:pPr>
        <w:spacing w:line="360" w:lineRule="auto"/>
        <w:jc w:val="center"/>
        <w:outlineLvl w:val="1"/>
        <w:rPr>
          <w:rFonts w:eastAsiaTheme="minorHAnsi"/>
          <w:b/>
          <w:sz w:val="28"/>
          <w:szCs w:val="28"/>
          <w:u w:val="single"/>
          <w:lang w:eastAsia="en-US"/>
        </w:rPr>
      </w:pPr>
      <w:r w:rsidRPr="00E70A57">
        <w:rPr>
          <w:rFonts w:eastAsiaTheme="minorHAnsi"/>
          <w:b/>
          <w:sz w:val="28"/>
          <w:szCs w:val="28"/>
          <w:u w:val="single"/>
          <w:lang w:eastAsia="en-US"/>
        </w:rPr>
        <w:t>METHODOLOGY</w:t>
      </w:r>
    </w:p>
    <w:bookmarkEnd w:id="13"/>
    <w:p w14:paraId="04CEF763" w14:textId="77777777" w:rsidR="00421BB4" w:rsidRPr="00BE1E28" w:rsidRDefault="00421BB4" w:rsidP="00421BB4">
      <w:pPr>
        <w:spacing w:line="360" w:lineRule="auto"/>
        <w:outlineLvl w:val="1"/>
        <w:rPr>
          <w:rFonts w:eastAsiaTheme="minorHAnsi"/>
          <w:b/>
          <w:u w:val="single"/>
          <w:lang w:eastAsia="en-US"/>
        </w:rPr>
      </w:pPr>
      <w:r w:rsidRPr="00BE1E28">
        <w:rPr>
          <w:rFonts w:eastAsiaTheme="minorHAnsi"/>
          <w:b/>
          <w:u w:val="single"/>
          <w:lang w:eastAsia="en-US"/>
        </w:rPr>
        <w:t>Introduction</w:t>
      </w:r>
    </w:p>
    <w:p w14:paraId="12F547EE" w14:textId="77777777" w:rsidR="00421BB4" w:rsidRPr="00676447" w:rsidRDefault="00421BB4" w:rsidP="00421BB4">
      <w:pPr>
        <w:spacing w:after="200" w:line="360" w:lineRule="auto"/>
        <w:ind w:firstLine="720"/>
        <w:jc w:val="both"/>
        <w:rPr>
          <w:rFonts w:eastAsiaTheme="minorHAnsi"/>
          <w:lang w:eastAsia="en-US"/>
        </w:rPr>
      </w:pPr>
      <w:r>
        <w:rPr>
          <w:rFonts w:eastAsiaTheme="minorHAnsi"/>
          <w:lang w:eastAsia="en-US"/>
        </w:rPr>
        <w:t>T</w:t>
      </w:r>
      <w:r w:rsidRPr="00BF1755">
        <w:rPr>
          <w:rFonts w:eastAsiaTheme="minorHAnsi"/>
          <w:lang w:eastAsia="en-US"/>
        </w:rPr>
        <w:t>he motivation for the focus of this research</w:t>
      </w:r>
      <w:r>
        <w:rPr>
          <w:rFonts w:eastAsiaTheme="minorHAnsi"/>
          <w:lang w:eastAsia="en-US"/>
        </w:rPr>
        <w:t xml:space="preserve"> study (what are the opportunities for wellbeing support during P16 transition)</w:t>
      </w:r>
      <w:r w:rsidRPr="00BF1755">
        <w:rPr>
          <w:rFonts w:eastAsiaTheme="minorHAnsi"/>
          <w:lang w:eastAsia="en-US"/>
        </w:rPr>
        <w:t xml:space="preserve"> is </w:t>
      </w:r>
      <w:r>
        <w:rPr>
          <w:rFonts w:eastAsiaTheme="minorHAnsi"/>
          <w:lang w:eastAsia="en-US"/>
        </w:rPr>
        <w:t>based on the gap identified in the literature around P16 transition and the wellbeing support provided during transfer</w:t>
      </w:r>
      <w:r w:rsidRPr="002F6FA5">
        <w:rPr>
          <w:rFonts w:eastAsiaTheme="minorHAnsi"/>
          <w:shd w:val="clear" w:color="auto" w:fill="FFFFFF"/>
          <w:lang w:eastAsia="en-US"/>
        </w:rPr>
        <w:t xml:space="preserve"> </w:t>
      </w:r>
      <w:r>
        <w:rPr>
          <w:rFonts w:eastAsiaTheme="minorHAnsi"/>
          <w:shd w:val="clear" w:color="auto" w:fill="FFFFFF"/>
          <w:lang w:eastAsia="en-US"/>
        </w:rPr>
        <w:t>(</w:t>
      </w:r>
      <w:r w:rsidRPr="00BF1755">
        <w:rPr>
          <w:rFonts w:eastAsiaTheme="minorHAnsi"/>
          <w:shd w:val="clear" w:color="auto" w:fill="FFFFFF"/>
          <w:lang w:eastAsia="en-US"/>
        </w:rPr>
        <w:t>Packer 2021</w:t>
      </w:r>
      <w:r>
        <w:rPr>
          <w:rFonts w:eastAsiaTheme="minorHAnsi"/>
          <w:shd w:val="clear" w:color="auto" w:fill="FFFFFF"/>
          <w:lang w:eastAsia="en-US"/>
        </w:rPr>
        <w:t>; Packer and Thomas 2021).</w:t>
      </w:r>
      <w:r>
        <w:rPr>
          <w:rFonts w:eastAsiaTheme="minorHAnsi"/>
          <w:lang w:eastAsia="en-US"/>
        </w:rPr>
        <w:t xml:space="preserve"> </w:t>
      </w:r>
      <w:r w:rsidRPr="00BF1755">
        <w:rPr>
          <w:rFonts w:eastAsiaTheme="minorHAnsi"/>
          <w:lang w:eastAsia="en-US"/>
        </w:rPr>
        <w:t xml:space="preserve">This chapter provides an outline of how the data was collated by firstly examining the methodology, research methods and justification for the sample selection. Within this chapter, </w:t>
      </w:r>
      <w:r>
        <w:rPr>
          <w:rFonts w:eastAsiaTheme="minorHAnsi"/>
          <w:lang w:eastAsia="en-US"/>
        </w:rPr>
        <w:t xml:space="preserve">how the data was analysed, </w:t>
      </w:r>
      <w:r w:rsidRPr="00BF1755">
        <w:rPr>
          <w:rFonts w:eastAsiaTheme="minorHAnsi"/>
          <w:lang w:eastAsia="en-US"/>
        </w:rPr>
        <w:t>limitations to this research study and the barriers faced will also be addressed.</w:t>
      </w:r>
      <w:r w:rsidRPr="007600DB">
        <w:rPr>
          <w:rFonts w:eastAsiaTheme="minorHAnsi"/>
          <w:lang w:eastAsia="en-US"/>
        </w:rPr>
        <w:t xml:space="preserve"> </w:t>
      </w:r>
    </w:p>
    <w:p w14:paraId="66D51EB5" w14:textId="77777777" w:rsidR="00421BB4" w:rsidRDefault="00421BB4" w:rsidP="00421BB4">
      <w:pPr>
        <w:spacing w:after="200" w:line="360" w:lineRule="auto"/>
        <w:ind w:firstLine="360"/>
        <w:jc w:val="both"/>
        <w:rPr>
          <w:rFonts w:eastAsiaTheme="minorHAnsi"/>
          <w:shd w:val="clear" w:color="auto" w:fill="FFFFFF"/>
          <w:lang w:eastAsia="en-US"/>
        </w:rPr>
      </w:pPr>
      <w:r>
        <w:rPr>
          <w:rFonts w:eastAsiaTheme="minorHAnsi"/>
          <w:lang w:eastAsia="en-US"/>
        </w:rPr>
        <w:t>To</w:t>
      </w:r>
      <w:r w:rsidRPr="00BF1755">
        <w:rPr>
          <w:rFonts w:eastAsiaTheme="minorHAnsi"/>
          <w:lang w:eastAsia="en-US"/>
        </w:rPr>
        <w:t xml:space="preserve"> understand</w:t>
      </w:r>
      <w:r>
        <w:rPr>
          <w:rFonts w:eastAsiaTheme="minorHAnsi"/>
          <w:lang w:eastAsia="en-US"/>
        </w:rPr>
        <w:t xml:space="preserve"> </w:t>
      </w:r>
      <w:r w:rsidRPr="00BF1755">
        <w:rPr>
          <w:rFonts w:eastAsiaTheme="minorHAnsi"/>
          <w:lang w:eastAsia="en-US"/>
        </w:rPr>
        <w:t xml:space="preserve">and develop the theory and research position which best suited </w:t>
      </w:r>
      <w:r w:rsidRPr="00F11F86">
        <w:rPr>
          <w:rFonts w:eastAsiaTheme="minorHAnsi"/>
          <w:lang w:eastAsia="en-US"/>
        </w:rPr>
        <w:t xml:space="preserve">this research question, it was necessary to consider the aims and objectives of this research </w:t>
      </w:r>
      <w:r>
        <w:rPr>
          <w:rFonts w:eastAsiaTheme="minorHAnsi"/>
          <w:lang w:eastAsia="en-US"/>
        </w:rPr>
        <w:t>topic:</w:t>
      </w:r>
      <w:r w:rsidRPr="00F11F86">
        <w:rPr>
          <w:rFonts w:eastAsiaTheme="minorHAnsi"/>
          <w:lang w:eastAsia="en-US"/>
        </w:rPr>
        <w:t xml:space="preserve"> </w:t>
      </w:r>
      <w:r>
        <w:rPr>
          <w:rFonts w:eastAsiaTheme="minorHAnsi"/>
          <w:lang w:eastAsia="en-US"/>
        </w:rPr>
        <w:t xml:space="preserve">the </w:t>
      </w:r>
      <w:r w:rsidRPr="00F11F86">
        <w:rPr>
          <w:rFonts w:eastAsiaTheme="minorHAnsi"/>
          <w:lang w:eastAsia="en-US"/>
        </w:rPr>
        <w:t>opportunities for wellbeing support during P16 transition</w:t>
      </w:r>
      <w:r>
        <w:rPr>
          <w:rFonts w:eastAsiaTheme="minorHAnsi"/>
          <w:lang w:eastAsia="en-US"/>
        </w:rPr>
        <w:t>s</w:t>
      </w:r>
      <w:r w:rsidRPr="00F11F86">
        <w:rPr>
          <w:rFonts w:eastAsiaTheme="minorHAnsi"/>
          <w:lang w:eastAsia="en-US"/>
        </w:rPr>
        <w:t xml:space="preserve">; the perspectives of YP </w:t>
      </w:r>
      <w:r w:rsidRPr="00BF1755">
        <w:rPr>
          <w:rFonts w:eastAsiaTheme="minorHAnsi"/>
          <w:lang w:eastAsia="en-US"/>
        </w:rPr>
        <w:t xml:space="preserve">(Denzin and Lincoln 1998, </w:t>
      </w:r>
      <w:r w:rsidRPr="00950806">
        <w:rPr>
          <w:rFonts w:eastAsiaTheme="minorHAnsi"/>
          <w:i/>
          <w:iCs/>
          <w:lang w:eastAsia="en-US"/>
        </w:rPr>
        <w:t>cited in</w:t>
      </w:r>
      <w:r w:rsidRPr="00BF1755">
        <w:rPr>
          <w:rFonts w:eastAsiaTheme="minorHAnsi"/>
          <w:lang w:eastAsia="en-US"/>
        </w:rPr>
        <w:t xml:space="preserve"> Rashid</w:t>
      </w:r>
      <w:r w:rsidRPr="0063077A">
        <w:rPr>
          <w:rFonts w:eastAsiaTheme="minorHAnsi"/>
          <w:shd w:val="clear" w:color="auto" w:fill="FFFFFF"/>
          <w:lang w:eastAsia="en-US"/>
        </w:rPr>
        <w:t xml:space="preserve">, </w:t>
      </w:r>
      <w:r w:rsidRPr="00BF1755">
        <w:rPr>
          <w:rFonts w:eastAsiaTheme="minorHAnsi"/>
          <w:lang w:eastAsia="en-US"/>
        </w:rPr>
        <w:t>Rashid, Warraich, Sabir and Waseem 2019). As this research study is primarily interested in th</w:t>
      </w:r>
      <w:r>
        <w:rPr>
          <w:rFonts w:eastAsiaTheme="minorHAnsi"/>
          <w:lang w:eastAsia="en-US"/>
        </w:rPr>
        <w:t>e</w:t>
      </w:r>
      <w:r w:rsidRPr="00BF1755">
        <w:rPr>
          <w:rFonts w:eastAsiaTheme="minorHAnsi"/>
          <w:lang w:eastAsia="en-US"/>
        </w:rPr>
        <w:t xml:space="preserve"> perspectives</w:t>
      </w:r>
      <w:r>
        <w:rPr>
          <w:rFonts w:eastAsiaTheme="minorHAnsi"/>
          <w:lang w:eastAsia="en-US"/>
        </w:rPr>
        <w:t xml:space="preserve">, experiences and </w:t>
      </w:r>
      <w:r w:rsidRPr="00BF1755">
        <w:rPr>
          <w:rFonts w:eastAsiaTheme="minorHAnsi"/>
          <w:lang w:eastAsia="en-US"/>
        </w:rPr>
        <w:t>knowledge</w:t>
      </w:r>
      <w:r>
        <w:rPr>
          <w:rFonts w:eastAsiaTheme="minorHAnsi"/>
          <w:lang w:eastAsia="en-US"/>
        </w:rPr>
        <w:t xml:space="preserve"> </w:t>
      </w:r>
      <w:r w:rsidRPr="00BF1755">
        <w:rPr>
          <w:rFonts w:eastAsiaTheme="minorHAnsi"/>
          <w:lang w:eastAsia="en-US"/>
        </w:rPr>
        <w:t xml:space="preserve">of </w:t>
      </w:r>
      <w:r>
        <w:rPr>
          <w:rFonts w:eastAsiaTheme="minorHAnsi"/>
          <w:lang w:eastAsia="en-US"/>
        </w:rPr>
        <w:t xml:space="preserve">YP during P16 transition, </w:t>
      </w:r>
      <w:r w:rsidRPr="00BF1755">
        <w:rPr>
          <w:rFonts w:eastAsiaTheme="minorHAnsi"/>
          <w:lang w:eastAsia="en-US"/>
        </w:rPr>
        <w:t xml:space="preserve">it </w:t>
      </w:r>
      <w:r>
        <w:rPr>
          <w:rFonts w:eastAsiaTheme="minorHAnsi"/>
          <w:lang w:eastAsia="en-US"/>
        </w:rPr>
        <w:t>therefore stems</w:t>
      </w:r>
      <w:r w:rsidRPr="00BF1755">
        <w:rPr>
          <w:rFonts w:eastAsiaTheme="minorHAnsi"/>
          <w:lang w:eastAsia="en-US"/>
        </w:rPr>
        <w:t xml:space="preserve"> from </w:t>
      </w:r>
      <w:r>
        <w:rPr>
          <w:rFonts w:eastAsiaTheme="minorHAnsi"/>
          <w:lang w:eastAsia="en-US"/>
        </w:rPr>
        <w:t xml:space="preserve">epistemology </w:t>
      </w:r>
      <w:r w:rsidRPr="00BF1755">
        <w:rPr>
          <w:rFonts w:eastAsiaTheme="minorHAnsi"/>
          <w:shd w:val="clear" w:color="auto" w:fill="FFFFFF"/>
          <w:lang w:eastAsia="en-US"/>
        </w:rPr>
        <w:t>(Denscombe 2021).</w:t>
      </w:r>
      <w:r>
        <w:rPr>
          <w:rFonts w:eastAsiaTheme="minorHAnsi"/>
          <w:shd w:val="clear" w:color="auto" w:fill="FFFFFF"/>
          <w:lang w:eastAsia="en-US"/>
        </w:rPr>
        <w:t xml:space="preserve"> </w:t>
      </w:r>
    </w:p>
    <w:p w14:paraId="1907F284" w14:textId="77777777" w:rsidR="00421BB4" w:rsidRPr="00BE1E28" w:rsidRDefault="00421BB4" w:rsidP="00421BB4">
      <w:pPr>
        <w:spacing w:line="360" w:lineRule="auto"/>
        <w:outlineLvl w:val="1"/>
        <w:rPr>
          <w:rFonts w:eastAsiaTheme="minorHAnsi"/>
          <w:b/>
          <w:u w:val="single"/>
          <w:lang w:eastAsia="en-US"/>
        </w:rPr>
      </w:pPr>
      <w:r w:rsidRPr="00BE1E28">
        <w:rPr>
          <w:rFonts w:eastAsiaTheme="minorHAnsi"/>
          <w:b/>
          <w:lang w:eastAsia="en-US"/>
        </w:rPr>
        <w:t xml:space="preserve"> </w:t>
      </w:r>
      <w:bookmarkStart w:id="14" w:name="Paradigms"/>
      <w:r w:rsidRPr="00BE1E28">
        <w:rPr>
          <w:rFonts w:eastAsiaTheme="minorHAnsi"/>
          <w:b/>
          <w:u w:val="single"/>
          <w:lang w:eastAsia="en-US"/>
        </w:rPr>
        <w:t>3.1 - Paradigms of this research study</w:t>
      </w:r>
      <w:bookmarkEnd w:id="14"/>
    </w:p>
    <w:p w14:paraId="60EF6B32" w14:textId="77777777" w:rsidR="00421BB4" w:rsidRPr="00164B9D" w:rsidRDefault="00421BB4" w:rsidP="00421BB4">
      <w:pPr>
        <w:spacing w:after="200" w:line="360" w:lineRule="auto"/>
        <w:ind w:firstLine="360"/>
        <w:jc w:val="both"/>
        <w:rPr>
          <w:rFonts w:eastAsiaTheme="minorHAnsi"/>
          <w:color w:val="00B050"/>
          <w:lang w:eastAsia="en-US"/>
        </w:rPr>
      </w:pPr>
      <w:r>
        <w:rPr>
          <w:rFonts w:eastAsiaTheme="minorHAnsi"/>
          <w:lang w:eastAsia="en-US"/>
        </w:rPr>
        <w:t>U</w:t>
      </w:r>
      <w:r w:rsidRPr="00BF1755">
        <w:rPr>
          <w:rFonts w:eastAsiaTheme="minorHAnsi"/>
          <w:lang w:eastAsia="en-US"/>
        </w:rPr>
        <w:t>nderpin</w:t>
      </w:r>
      <w:r>
        <w:rPr>
          <w:rFonts w:eastAsiaTheme="minorHAnsi"/>
          <w:lang w:eastAsia="en-US"/>
        </w:rPr>
        <w:t xml:space="preserve">ning </w:t>
      </w:r>
      <w:r w:rsidRPr="00BF1755">
        <w:rPr>
          <w:rFonts w:eastAsiaTheme="minorHAnsi"/>
          <w:lang w:eastAsia="en-US"/>
        </w:rPr>
        <w:t>this epistemological framewor</w:t>
      </w:r>
      <w:r>
        <w:rPr>
          <w:rFonts w:eastAsiaTheme="minorHAnsi"/>
          <w:lang w:eastAsia="en-US"/>
        </w:rPr>
        <w:t>k</w:t>
      </w:r>
      <w:r w:rsidRPr="00BF1755">
        <w:rPr>
          <w:rFonts w:eastAsiaTheme="minorHAnsi"/>
          <w:lang w:eastAsia="en-US"/>
        </w:rPr>
        <w:t xml:space="preserve"> </w:t>
      </w:r>
      <w:r>
        <w:rPr>
          <w:rFonts w:eastAsiaTheme="minorHAnsi"/>
          <w:lang w:eastAsia="en-US"/>
        </w:rPr>
        <w:t xml:space="preserve">is the research paradigm of </w:t>
      </w:r>
      <w:r w:rsidRPr="00BF1755">
        <w:rPr>
          <w:rFonts w:eastAsiaTheme="minorHAnsi"/>
          <w:lang w:eastAsia="en-US"/>
        </w:rPr>
        <w:t>interpretivism and social constructivism</w:t>
      </w:r>
      <w:r>
        <w:rPr>
          <w:rFonts w:eastAsiaTheme="minorHAnsi"/>
          <w:lang w:eastAsia="en-US"/>
        </w:rPr>
        <w:t xml:space="preserve"> (Denscombe 2021). I</w:t>
      </w:r>
      <w:r w:rsidRPr="00BF1755">
        <w:rPr>
          <w:rFonts w:eastAsiaTheme="minorHAnsi"/>
          <w:lang w:eastAsia="en-US"/>
        </w:rPr>
        <w:t xml:space="preserve">nterpretivism </w:t>
      </w:r>
      <w:r>
        <w:rPr>
          <w:rFonts w:eastAsiaTheme="minorHAnsi"/>
          <w:lang w:eastAsia="en-US"/>
        </w:rPr>
        <w:t>allowed</w:t>
      </w:r>
      <w:r w:rsidRPr="00BF1755">
        <w:rPr>
          <w:rFonts w:eastAsiaTheme="minorHAnsi"/>
          <w:lang w:eastAsia="en-US"/>
        </w:rPr>
        <w:t xml:space="preserve"> the researcher to have multiple views </w:t>
      </w:r>
      <w:r>
        <w:rPr>
          <w:rFonts w:eastAsiaTheme="minorHAnsi"/>
          <w:lang w:eastAsia="en-US"/>
        </w:rPr>
        <w:t>surrounding the research focus and to view</w:t>
      </w:r>
      <w:r w:rsidRPr="00BF1755">
        <w:rPr>
          <w:rFonts w:eastAsiaTheme="minorHAnsi"/>
          <w:lang w:eastAsia="en-US"/>
        </w:rPr>
        <w:t xml:space="preserve"> the world through the </w:t>
      </w:r>
      <w:r>
        <w:rPr>
          <w:rFonts w:eastAsiaTheme="minorHAnsi"/>
          <w:lang w:eastAsia="en-US"/>
        </w:rPr>
        <w:t>lens</w:t>
      </w:r>
      <w:r w:rsidRPr="00BF1755">
        <w:rPr>
          <w:rFonts w:eastAsiaTheme="minorHAnsi"/>
          <w:lang w:eastAsia="en-US"/>
        </w:rPr>
        <w:t xml:space="preserve"> of the participants</w:t>
      </w:r>
      <w:r>
        <w:rPr>
          <w:rFonts w:eastAsiaTheme="minorHAnsi"/>
          <w:lang w:eastAsia="en-US"/>
        </w:rPr>
        <w:t xml:space="preserve">, therefore </w:t>
      </w:r>
      <w:r w:rsidRPr="00BF1755">
        <w:rPr>
          <w:rFonts w:eastAsiaTheme="minorHAnsi"/>
          <w:lang w:eastAsia="en-US"/>
        </w:rPr>
        <w:t>placing emphasis on</w:t>
      </w:r>
      <w:r>
        <w:rPr>
          <w:rFonts w:eastAsiaTheme="minorHAnsi"/>
          <w:lang w:eastAsia="en-US"/>
        </w:rPr>
        <w:t xml:space="preserve"> their</w:t>
      </w:r>
      <w:r w:rsidRPr="00BF1755">
        <w:rPr>
          <w:rFonts w:eastAsiaTheme="minorHAnsi"/>
          <w:lang w:eastAsia="en-US"/>
        </w:rPr>
        <w:t xml:space="preserve"> social contexts</w:t>
      </w:r>
      <w:r>
        <w:rPr>
          <w:rFonts w:eastAsiaTheme="minorHAnsi"/>
          <w:lang w:eastAsia="en-US"/>
        </w:rPr>
        <w:t xml:space="preserve">, which in this case is wellbeing in relation to their transition </w:t>
      </w:r>
      <w:r w:rsidRPr="00BF1755">
        <w:rPr>
          <w:rFonts w:eastAsiaTheme="minorHAnsi"/>
          <w:lang w:eastAsia="en-US"/>
        </w:rPr>
        <w:t xml:space="preserve">(Greener 2008 </w:t>
      </w:r>
      <w:r w:rsidRPr="00950806">
        <w:rPr>
          <w:rFonts w:eastAsiaTheme="minorHAnsi"/>
          <w:i/>
          <w:iCs/>
          <w:lang w:eastAsia="en-US"/>
        </w:rPr>
        <w:t xml:space="preserve">cited in </w:t>
      </w:r>
      <w:r w:rsidRPr="00BF1755">
        <w:rPr>
          <w:rFonts w:eastAsiaTheme="minorHAnsi"/>
          <w:lang w:eastAsia="en-US"/>
        </w:rPr>
        <w:t xml:space="preserve">Rashid </w:t>
      </w:r>
      <w:r w:rsidRPr="004F7C28">
        <w:rPr>
          <w:rFonts w:eastAsiaTheme="minorHAnsi"/>
          <w:i/>
          <w:iCs/>
          <w:lang w:eastAsia="en-US"/>
        </w:rPr>
        <w:t>et al</w:t>
      </w:r>
      <w:r w:rsidRPr="00BF1755">
        <w:rPr>
          <w:rFonts w:eastAsiaTheme="minorHAnsi"/>
          <w:lang w:eastAsia="en-US"/>
        </w:rPr>
        <w:t xml:space="preserve"> 2019). </w:t>
      </w:r>
      <w:r>
        <w:rPr>
          <w:rFonts w:eastAsiaTheme="minorHAnsi"/>
          <w:lang w:eastAsia="en-US"/>
        </w:rPr>
        <w:t>T</w:t>
      </w:r>
      <w:r w:rsidRPr="00BF1755">
        <w:rPr>
          <w:rFonts w:eastAsiaTheme="minorHAnsi"/>
          <w:lang w:eastAsia="en-US"/>
        </w:rPr>
        <w:t>he interpretive approach to</w:t>
      </w:r>
      <w:r>
        <w:rPr>
          <w:rFonts w:eastAsiaTheme="minorHAnsi"/>
          <w:lang w:eastAsia="en-US"/>
        </w:rPr>
        <w:t xml:space="preserve"> this</w:t>
      </w:r>
      <w:r w:rsidRPr="00BF1755">
        <w:rPr>
          <w:rFonts w:eastAsiaTheme="minorHAnsi"/>
          <w:lang w:eastAsia="en-US"/>
        </w:rPr>
        <w:t xml:space="preserve"> research is not without criticism </w:t>
      </w:r>
      <w:r>
        <w:rPr>
          <w:rFonts w:eastAsiaTheme="minorHAnsi"/>
          <w:lang w:eastAsia="en-US"/>
        </w:rPr>
        <w:t>however, as</w:t>
      </w:r>
      <w:r w:rsidRPr="00BF1755">
        <w:rPr>
          <w:rFonts w:eastAsiaTheme="minorHAnsi"/>
          <w:lang w:eastAsia="en-US"/>
        </w:rPr>
        <w:t xml:space="preserve"> </w:t>
      </w:r>
      <w:r>
        <w:rPr>
          <w:rFonts w:eastAsiaTheme="minorHAnsi"/>
          <w:lang w:eastAsia="en-US"/>
        </w:rPr>
        <w:t>withdrawing</w:t>
      </w:r>
      <w:r w:rsidRPr="00BF1755">
        <w:rPr>
          <w:rFonts w:eastAsiaTheme="minorHAnsi"/>
          <w:lang w:eastAsia="en-US"/>
        </w:rPr>
        <w:t xml:space="preserve"> from</w:t>
      </w:r>
      <w:r>
        <w:rPr>
          <w:rFonts w:eastAsiaTheme="minorHAnsi"/>
          <w:lang w:eastAsia="en-US"/>
        </w:rPr>
        <w:t xml:space="preserve"> a</w:t>
      </w:r>
      <w:r w:rsidRPr="00BF1755">
        <w:rPr>
          <w:rFonts w:eastAsiaTheme="minorHAnsi"/>
          <w:lang w:eastAsia="en-US"/>
        </w:rPr>
        <w:t xml:space="preserve"> more scientifically based stud</w:t>
      </w:r>
      <w:r>
        <w:rPr>
          <w:rFonts w:eastAsiaTheme="minorHAnsi"/>
          <w:lang w:eastAsia="en-US"/>
        </w:rPr>
        <w:t>y</w:t>
      </w:r>
      <w:r w:rsidRPr="00BF1755">
        <w:rPr>
          <w:rFonts w:eastAsiaTheme="minorHAnsi"/>
          <w:lang w:eastAsia="en-US"/>
        </w:rPr>
        <w:t xml:space="preserve"> </w:t>
      </w:r>
      <w:r>
        <w:rPr>
          <w:rFonts w:eastAsiaTheme="minorHAnsi"/>
          <w:lang w:eastAsia="en-US"/>
        </w:rPr>
        <w:t>towards a</w:t>
      </w:r>
      <w:r w:rsidRPr="00BF1755">
        <w:rPr>
          <w:rFonts w:eastAsiaTheme="minorHAnsi"/>
          <w:lang w:eastAsia="en-US"/>
        </w:rPr>
        <w:t xml:space="preserve"> more generalised</w:t>
      </w:r>
      <w:r>
        <w:rPr>
          <w:rFonts w:eastAsiaTheme="minorHAnsi"/>
          <w:lang w:eastAsia="en-US"/>
        </w:rPr>
        <w:t>,</w:t>
      </w:r>
      <w:r w:rsidRPr="00BF1755">
        <w:rPr>
          <w:rFonts w:eastAsiaTheme="minorHAnsi"/>
          <w:lang w:eastAsia="en-US"/>
        </w:rPr>
        <w:t xml:space="preserve"> opinion based </w:t>
      </w:r>
      <w:r>
        <w:rPr>
          <w:rFonts w:eastAsiaTheme="minorHAnsi"/>
          <w:lang w:eastAsia="en-US"/>
        </w:rPr>
        <w:t>one may be seen as</w:t>
      </w:r>
      <w:r w:rsidRPr="00BF1755">
        <w:rPr>
          <w:rFonts w:eastAsiaTheme="minorHAnsi"/>
          <w:lang w:eastAsia="en-US"/>
        </w:rPr>
        <w:t xml:space="preserve"> less controlled</w:t>
      </w:r>
      <w:r>
        <w:rPr>
          <w:rFonts w:eastAsiaTheme="minorHAnsi"/>
          <w:lang w:eastAsia="en-US"/>
        </w:rPr>
        <w:t xml:space="preserve"> and therefore holding less </w:t>
      </w:r>
      <w:r w:rsidRPr="00BF1755">
        <w:rPr>
          <w:rFonts w:eastAsiaTheme="minorHAnsi"/>
          <w:lang w:eastAsia="en-US"/>
        </w:rPr>
        <w:t>validity</w:t>
      </w:r>
      <w:r>
        <w:rPr>
          <w:rFonts w:eastAsiaTheme="minorHAnsi"/>
          <w:lang w:eastAsia="en-US"/>
        </w:rPr>
        <w:t xml:space="preserve"> and rigour</w:t>
      </w:r>
      <w:r w:rsidRPr="00BF1755">
        <w:rPr>
          <w:rFonts w:eastAsiaTheme="minorHAnsi"/>
          <w:lang w:eastAsia="en-US"/>
        </w:rPr>
        <w:t xml:space="preserve"> (Cohen</w:t>
      </w:r>
      <w:r>
        <w:rPr>
          <w:rFonts w:eastAsiaTheme="minorHAnsi"/>
          <w:lang w:eastAsia="en-US"/>
        </w:rPr>
        <w:t>, Manion and Morrison</w:t>
      </w:r>
      <w:r w:rsidRPr="00BF1755">
        <w:rPr>
          <w:rFonts w:eastAsiaTheme="minorHAnsi"/>
          <w:lang w:eastAsia="en-US"/>
        </w:rPr>
        <w:t xml:space="preserve"> 2018).</w:t>
      </w:r>
      <w:r>
        <w:rPr>
          <w:rFonts w:eastAsiaTheme="minorHAnsi"/>
          <w:lang w:eastAsia="en-US"/>
        </w:rPr>
        <w:t xml:space="preserve"> </w:t>
      </w:r>
    </w:p>
    <w:p w14:paraId="5BF054AC" w14:textId="77777777" w:rsidR="00421BB4" w:rsidRPr="00BE1E28" w:rsidRDefault="00421BB4" w:rsidP="00421BB4">
      <w:pPr>
        <w:spacing w:after="200" w:line="360" w:lineRule="auto"/>
        <w:jc w:val="both"/>
        <w:rPr>
          <w:rFonts w:eastAsiaTheme="minorHAnsi"/>
          <w:b/>
          <w:bCs/>
          <w:u w:val="single"/>
          <w:shd w:val="clear" w:color="auto" w:fill="FFFFFF"/>
          <w:lang w:eastAsia="en-US"/>
        </w:rPr>
      </w:pPr>
      <w:bookmarkStart w:id="15" w:name="Theoretical"/>
      <w:r w:rsidRPr="00BE1E28">
        <w:rPr>
          <w:rFonts w:eastAsiaTheme="minorHAnsi"/>
          <w:b/>
          <w:bCs/>
          <w:u w:val="single"/>
          <w:shd w:val="clear" w:color="auto" w:fill="FFFFFF"/>
          <w:lang w:eastAsia="en-US"/>
        </w:rPr>
        <w:t>3.2 - Theoretical framework and perspective of this study</w:t>
      </w:r>
    </w:p>
    <w:bookmarkEnd w:id="15"/>
    <w:p w14:paraId="2DED3FD3" w14:textId="77777777" w:rsidR="00421BB4" w:rsidRDefault="00421BB4" w:rsidP="00421BB4">
      <w:pPr>
        <w:spacing w:after="200" w:line="360" w:lineRule="auto"/>
        <w:ind w:firstLine="720"/>
        <w:jc w:val="both"/>
        <w:rPr>
          <w:rFonts w:eastAsiaTheme="minorHAnsi"/>
          <w:lang w:eastAsia="en-US"/>
        </w:rPr>
      </w:pPr>
      <w:r w:rsidRPr="00BF1755">
        <w:rPr>
          <w:rFonts w:eastAsiaTheme="minorHAnsi"/>
          <w:lang w:eastAsia="en-US"/>
        </w:rPr>
        <w:t xml:space="preserve"> </w:t>
      </w:r>
      <w:r w:rsidRPr="00BF1755">
        <w:rPr>
          <w:rFonts w:eastAsiaTheme="minorHAnsi"/>
          <w:shd w:val="clear" w:color="auto" w:fill="FFFFFF"/>
          <w:lang w:eastAsia="en-US"/>
        </w:rPr>
        <w:t xml:space="preserve">The theoretical perspectives of this empirical research study </w:t>
      </w:r>
      <w:r w:rsidRPr="00BF1755">
        <w:rPr>
          <w:rFonts w:eastAsiaTheme="minorHAnsi"/>
          <w:lang w:eastAsia="en-US"/>
        </w:rPr>
        <w:t>is based upon</w:t>
      </w:r>
      <w:r>
        <w:rPr>
          <w:rFonts w:eastAsiaTheme="minorHAnsi"/>
          <w:lang w:eastAsia="en-US"/>
        </w:rPr>
        <w:t xml:space="preserve"> is</w:t>
      </w:r>
      <w:r w:rsidRPr="00BF1755">
        <w:rPr>
          <w:rFonts w:eastAsiaTheme="minorHAnsi"/>
          <w:lang w:eastAsia="en-US"/>
        </w:rPr>
        <w:t xml:space="preserve"> social constructivism theory as it focuses on the personal, lived experiences of </w:t>
      </w:r>
      <w:r>
        <w:rPr>
          <w:rFonts w:eastAsiaTheme="minorHAnsi"/>
          <w:lang w:eastAsia="en-US"/>
        </w:rPr>
        <w:t>YP</w:t>
      </w:r>
      <w:r w:rsidRPr="00BF1755">
        <w:rPr>
          <w:rFonts w:eastAsiaTheme="minorHAnsi"/>
          <w:lang w:eastAsia="en-US"/>
        </w:rPr>
        <w:t xml:space="preserve"> and the ways in which their experiences are influenced by culture and interaction with others</w:t>
      </w:r>
      <w:r>
        <w:rPr>
          <w:rFonts w:eastAsiaTheme="minorHAnsi"/>
          <w:lang w:eastAsia="en-US"/>
        </w:rPr>
        <w:t xml:space="preserve"> (Biggam 2021). As outlined in the literature review, </w:t>
      </w:r>
      <w:r w:rsidRPr="00BF1755">
        <w:rPr>
          <w:rFonts w:eastAsiaTheme="minorHAnsi"/>
          <w:lang w:eastAsia="en-US"/>
        </w:rPr>
        <w:t>Bronfenbrenner’s ecological systems</w:t>
      </w:r>
      <w:r>
        <w:rPr>
          <w:rFonts w:eastAsiaTheme="minorHAnsi"/>
          <w:lang w:eastAsia="en-US"/>
        </w:rPr>
        <w:t xml:space="preserve"> (1979)</w:t>
      </w:r>
      <w:r w:rsidRPr="00BF1755">
        <w:rPr>
          <w:rFonts w:eastAsiaTheme="minorHAnsi"/>
          <w:lang w:eastAsia="en-US"/>
        </w:rPr>
        <w:t xml:space="preserve"> and Vygosky’s sociocultural theory of cognitive development</w:t>
      </w:r>
      <w:r>
        <w:rPr>
          <w:rFonts w:eastAsiaTheme="minorHAnsi"/>
          <w:lang w:eastAsia="en-US"/>
        </w:rPr>
        <w:t xml:space="preserve"> (1978)</w:t>
      </w:r>
      <w:r w:rsidRPr="00BF1755">
        <w:rPr>
          <w:rFonts w:eastAsiaTheme="minorHAnsi"/>
          <w:lang w:eastAsia="en-US"/>
        </w:rPr>
        <w:t xml:space="preserve"> </w:t>
      </w:r>
      <w:r>
        <w:rPr>
          <w:rFonts w:eastAsiaTheme="minorHAnsi"/>
          <w:lang w:eastAsia="en-US"/>
        </w:rPr>
        <w:t xml:space="preserve">help to frame the </w:t>
      </w:r>
      <w:r>
        <w:rPr>
          <w:rFonts w:eastAsiaTheme="minorHAnsi"/>
          <w:lang w:eastAsia="en-US"/>
        </w:rPr>
        <w:lastRenderedPageBreak/>
        <w:t>methodology of this study as they reinforce that the learner does not exist in isolation (</w:t>
      </w:r>
      <w:r w:rsidRPr="00BF1755">
        <w:rPr>
          <w:rFonts w:eastAsiaTheme="minorHAnsi"/>
          <w:lang w:eastAsia="en-US"/>
        </w:rPr>
        <w:t xml:space="preserve">Denscombe 2014). </w:t>
      </w:r>
    </w:p>
    <w:p w14:paraId="01B6465E" w14:textId="77777777" w:rsidR="00421BB4" w:rsidRPr="00BF1755" w:rsidRDefault="00421BB4" w:rsidP="00421BB4">
      <w:pPr>
        <w:spacing w:after="200" w:line="360" w:lineRule="auto"/>
        <w:ind w:firstLine="720"/>
        <w:jc w:val="both"/>
        <w:rPr>
          <w:rFonts w:eastAsiaTheme="minorHAnsi"/>
          <w:lang w:eastAsia="en-US"/>
        </w:rPr>
      </w:pPr>
      <w:r>
        <w:rPr>
          <w:rFonts w:eastAsiaTheme="minorHAnsi"/>
          <w:lang w:eastAsia="en-US"/>
        </w:rPr>
        <w:t xml:space="preserve">Bronfenbrenner’s (1979) Ecological model, as discussed in </w:t>
      </w:r>
      <w:r w:rsidRPr="00D951BF">
        <w:rPr>
          <w:rFonts w:eastAsiaTheme="minorHAnsi"/>
          <w:lang w:eastAsia="en-US"/>
        </w:rPr>
        <w:t xml:space="preserve">Chapter 2 </w:t>
      </w:r>
      <w:r>
        <w:rPr>
          <w:rFonts w:eastAsiaTheme="minorHAnsi"/>
          <w:lang w:eastAsia="en-US"/>
        </w:rPr>
        <w:t xml:space="preserve">offers scope to explore the roles and influences of all stakeholders on the YP learning journey. </w:t>
      </w:r>
      <w:r w:rsidRPr="00BF1755">
        <w:rPr>
          <w:rFonts w:eastAsiaTheme="minorHAnsi"/>
          <w:lang w:eastAsia="en-US"/>
        </w:rPr>
        <w:t>This means</w:t>
      </w:r>
      <w:r>
        <w:rPr>
          <w:rFonts w:eastAsiaTheme="minorHAnsi"/>
          <w:lang w:eastAsia="en-US"/>
        </w:rPr>
        <w:t xml:space="preserve">, </w:t>
      </w:r>
      <w:r w:rsidRPr="00BF1755">
        <w:rPr>
          <w:rFonts w:eastAsiaTheme="minorHAnsi"/>
          <w:lang w:eastAsia="en-US"/>
        </w:rPr>
        <w:t>when supporting wellbeing in P16 transition, it is necessary for practitioners to understand the YP in multiple environmental contexts</w:t>
      </w:r>
      <w:r>
        <w:rPr>
          <w:rFonts w:eastAsiaTheme="minorHAnsi"/>
          <w:lang w:eastAsia="en-US"/>
        </w:rPr>
        <w:t xml:space="preserve"> which only further illustrates the complexities and various levels of influence that need to be considered when supporting wellbeing during transition</w:t>
      </w:r>
      <w:r w:rsidRPr="00BF1755">
        <w:rPr>
          <w:rFonts w:eastAsiaTheme="minorHAnsi"/>
          <w:lang w:eastAsia="en-US"/>
        </w:rPr>
        <w:t xml:space="preserve"> (Packer</w:t>
      </w:r>
      <w:r>
        <w:rPr>
          <w:rFonts w:eastAsiaTheme="minorHAnsi"/>
          <w:lang w:eastAsia="en-US"/>
        </w:rPr>
        <w:t xml:space="preserve"> and Thomas</w:t>
      </w:r>
      <w:r w:rsidRPr="00BF1755">
        <w:rPr>
          <w:rFonts w:eastAsiaTheme="minorHAnsi"/>
          <w:lang w:eastAsia="en-US"/>
        </w:rPr>
        <w:t xml:space="preserve"> 2021).</w:t>
      </w:r>
      <w:r>
        <w:rPr>
          <w:rFonts w:eastAsiaTheme="minorHAnsi"/>
          <w:lang w:eastAsia="en-US"/>
        </w:rPr>
        <w:t xml:space="preserve"> </w:t>
      </w:r>
      <w:r w:rsidRPr="00BF1755">
        <w:rPr>
          <w:rFonts w:eastAsiaTheme="minorHAnsi"/>
          <w:lang w:eastAsia="en-US"/>
        </w:rPr>
        <w:t>Similar</w:t>
      </w:r>
      <w:r>
        <w:rPr>
          <w:rFonts w:eastAsiaTheme="minorHAnsi"/>
          <w:lang w:eastAsia="en-US"/>
        </w:rPr>
        <w:t>ly</w:t>
      </w:r>
      <w:r w:rsidRPr="00BF1755">
        <w:rPr>
          <w:rFonts w:eastAsiaTheme="minorHAnsi"/>
          <w:lang w:eastAsia="en-US"/>
        </w:rPr>
        <w:t>, when considering Vygotsky’s sociocultural theory of cognitive development, social interactions play a fundamental role in the development of knowledge</w:t>
      </w:r>
      <w:r>
        <w:rPr>
          <w:rFonts w:eastAsiaTheme="minorHAnsi"/>
          <w:lang w:eastAsia="en-US"/>
        </w:rPr>
        <w:t xml:space="preserve"> and cognition </w:t>
      </w:r>
      <w:r w:rsidRPr="00BF1755">
        <w:rPr>
          <w:rFonts w:eastAsiaTheme="minorHAnsi"/>
          <w:lang w:eastAsia="en-US"/>
        </w:rPr>
        <w:t>through the Zone of Proximal Development (ZPD)</w:t>
      </w:r>
      <w:r>
        <w:rPr>
          <w:rFonts w:eastAsiaTheme="minorHAnsi"/>
          <w:lang w:eastAsia="en-US"/>
        </w:rPr>
        <w:t xml:space="preserve">. When we consider the transitional experiences and </w:t>
      </w:r>
      <w:r w:rsidRPr="00BF1755">
        <w:rPr>
          <w:rFonts w:eastAsiaTheme="minorHAnsi"/>
          <w:lang w:eastAsia="en-US"/>
        </w:rPr>
        <w:t>wellbeing of YP</w:t>
      </w:r>
      <w:r>
        <w:rPr>
          <w:rFonts w:eastAsiaTheme="minorHAnsi"/>
          <w:lang w:eastAsia="en-US"/>
        </w:rPr>
        <w:t xml:space="preserve">, it is possible to draw comparison from Vygotsky’s theory as stakeholders can also provide support by </w:t>
      </w:r>
      <w:r w:rsidRPr="00BF1755">
        <w:rPr>
          <w:rFonts w:eastAsiaTheme="minorHAnsi"/>
          <w:lang w:eastAsia="en-US"/>
        </w:rPr>
        <w:t>scaffolding</w:t>
      </w:r>
      <w:r>
        <w:rPr>
          <w:rFonts w:eastAsiaTheme="minorHAnsi"/>
          <w:lang w:eastAsia="en-US"/>
        </w:rPr>
        <w:t xml:space="preserve"> YP </w:t>
      </w:r>
      <w:r w:rsidRPr="00BF1755">
        <w:rPr>
          <w:rFonts w:eastAsiaTheme="minorHAnsi"/>
          <w:lang w:eastAsia="en-US"/>
        </w:rPr>
        <w:t xml:space="preserve">(Vygotsky 1978 and Packer 2021). </w:t>
      </w:r>
    </w:p>
    <w:p w14:paraId="48B626EA" w14:textId="77777777" w:rsidR="00421BB4" w:rsidRPr="00F202AA" w:rsidRDefault="00421BB4" w:rsidP="00421BB4">
      <w:pPr>
        <w:spacing w:after="200" w:line="360" w:lineRule="auto"/>
        <w:ind w:firstLine="720"/>
        <w:jc w:val="both"/>
        <w:rPr>
          <w:rFonts w:eastAsiaTheme="minorHAnsi"/>
          <w:lang w:eastAsia="en-US"/>
        </w:rPr>
      </w:pPr>
      <w:r w:rsidRPr="00F202AA">
        <w:rPr>
          <w:rFonts w:eastAsiaTheme="minorHAnsi"/>
          <w:lang w:eastAsia="en-US"/>
        </w:rPr>
        <w:t xml:space="preserve">Social constructivism maintains that individuals seek to </w:t>
      </w:r>
      <w:r>
        <w:rPr>
          <w:rFonts w:eastAsiaTheme="minorHAnsi"/>
          <w:lang w:eastAsia="en-US"/>
        </w:rPr>
        <w:t>find</w:t>
      </w:r>
      <w:r w:rsidRPr="00F202AA">
        <w:rPr>
          <w:rFonts w:eastAsiaTheme="minorHAnsi"/>
          <w:lang w:eastAsia="en-US"/>
        </w:rPr>
        <w:t xml:space="preserve"> meaning of their social worlds and</w:t>
      </w:r>
      <w:r>
        <w:rPr>
          <w:rFonts w:eastAsiaTheme="minorHAnsi"/>
          <w:lang w:eastAsia="en-US"/>
        </w:rPr>
        <w:t xml:space="preserve"> so, an understanding of this</w:t>
      </w:r>
      <w:r w:rsidRPr="00F202AA">
        <w:rPr>
          <w:rFonts w:eastAsiaTheme="minorHAnsi"/>
          <w:lang w:eastAsia="en-US"/>
        </w:rPr>
        <w:t xml:space="preserve"> constructivism </w:t>
      </w:r>
      <w:r>
        <w:rPr>
          <w:rFonts w:eastAsiaTheme="minorHAnsi"/>
          <w:lang w:eastAsia="en-US"/>
        </w:rPr>
        <w:t xml:space="preserve">was </w:t>
      </w:r>
      <w:r w:rsidRPr="00F202AA">
        <w:rPr>
          <w:rFonts w:eastAsiaTheme="minorHAnsi"/>
          <w:lang w:eastAsia="en-US"/>
        </w:rPr>
        <w:t>require</w:t>
      </w:r>
      <w:r>
        <w:rPr>
          <w:rFonts w:eastAsiaTheme="minorHAnsi"/>
          <w:lang w:eastAsia="en-US"/>
        </w:rPr>
        <w:t>d for</w:t>
      </w:r>
      <w:r w:rsidRPr="00F202AA">
        <w:rPr>
          <w:rFonts w:eastAsiaTheme="minorHAnsi"/>
          <w:lang w:eastAsia="en-US"/>
        </w:rPr>
        <w:t xml:space="preserve"> the researcher </w:t>
      </w:r>
      <w:r>
        <w:rPr>
          <w:rFonts w:eastAsiaTheme="minorHAnsi"/>
          <w:lang w:eastAsia="en-US"/>
        </w:rPr>
        <w:t>to</w:t>
      </w:r>
      <w:r w:rsidRPr="00F202AA">
        <w:rPr>
          <w:rFonts w:eastAsiaTheme="minorHAnsi"/>
          <w:lang w:eastAsia="en-US"/>
        </w:rPr>
        <w:t xml:space="preserve"> focus on the processes that lead to the construction of </w:t>
      </w:r>
      <w:r>
        <w:rPr>
          <w:rFonts w:eastAsiaTheme="minorHAnsi"/>
          <w:lang w:eastAsia="en-US"/>
        </w:rPr>
        <w:t xml:space="preserve">YPs’ </w:t>
      </w:r>
      <w:r w:rsidRPr="00F202AA">
        <w:rPr>
          <w:rFonts w:eastAsiaTheme="minorHAnsi"/>
          <w:lang w:eastAsia="en-US"/>
        </w:rPr>
        <w:t xml:space="preserve">worlds (Hammersley 2013, </w:t>
      </w:r>
      <w:r w:rsidRPr="00F202AA">
        <w:rPr>
          <w:rFonts w:eastAsiaTheme="minorHAnsi"/>
          <w:i/>
          <w:iCs/>
          <w:lang w:eastAsia="en-US"/>
        </w:rPr>
        <w:t>cited in</w:t>
      </w:r>
      <w:r w:rsidRPr="00F202AA">
        <w:rPr>
          <w:rFonts w:eastAsiaTheme="minorHAnsi"/>
          <w:lang w:eastAsia="en-US"/>
        </w:rPr>
        <w:t xml:space="preserve"> Cohen </w:t>
      </w:r>
      <w:r w:rsidRPr="00F202AA">
        <w:rPr>
          <w:rFonts w:eastAsiaTheme="minorHAnsi"/>
          <w:i/>
          <w:iCs/>
          <w:lang w:eastAsia="en-US"/>
        </w:rPr>
        <w:t>et al.</w:t>
      </w:r>
      <w:r w:rsidRPr="00F202AA">
        <w:rPr>
          <w:rFonts w:eastAsiaTheme="minorHAnsi"/>
          <w:lang w:eastAsia="en-US"/>
        </w:rPr>
        <w:t xml:space="preserve"> 2018). The justification for the methodology and theory chosen for this research project is therefore twofold</w:t>
      </w:r>
      <w:r>
        <w:rPr>
          <w:rFonts w:eastAsiaTheme="minorHAnsi"/>
          <w:lang w:eastAsia="en-US"/>
        </w:rPr>
        <w:t>:</w:t>
      </w:r>
      <w:r w:rsidRPr="00F202AA">
        <w:rPr>
          <w:rFonts w:eastAsiaTheme="minorHAnsi"/>
          <w:lang w:eastAsia="en-US"/>
        </w:rPr>
        <w:t xml:space="preserve"> i) transition experiences do not happen in isolation and </w:t>
      </w:r>
      <w:r>
        <w:rPr>
          <w:rFonts w:eastAsiaTheme="minorHAnsi"/>
          <w:lang w:eastAsia="en-US"/>
        </w:rPr>
        <w:t xml:space="preserve">require </w:t>
      </w:r>
      <w:r w:rsidRPr="00F202AA">
        <w:rPr>
          <w:rFonts w:eastAsiaTheme="minorHAnsi"/>
          <w:lang w:eastAsia="en-US"/>
        </w:rPr>
        <w:t xml:space="preserve">communication and social interaction with others for them to be successful ii) a level of communication and social interaction is required to support the wellbeing of pupils during transition.  </w:t>
      </w:r>
    </w:p>
    <w:p w14:paraId="0EFFC3A4" w14:textId="77777777" w:rsidR="00421BB4" w:rsidRPr="00BE1E28" w:rsidRDefault="00421BB4" w:rsidP="00421BB4">
      <w:pPr>
        <w:spacing w:after="200" w:line="360" w:lineRule="auto"/>
        <w:jc w:val="both"/>
        <w:rPr>
          <w:rFonts w:eastAsiaTheme="minorHAnsi"/>
          <w:b/>
          <w:bCs/>
          <w:u w:val="single"/>
          <w:lang w:eastAsia="en-US"/>
        </w:rPr>
      </w:pPr>
      <w:bookmarkStart w:id="16" w:name="Researchmethod"/>
      <w:r w:rsidRPr="00BE1E28">
        <w:rPr>
          <w:rFonts w:eastAsiaTheme="minorHAnsi"/>
          <w:b/>
          <w:bCs/>
          <w:u w:val="single"/>
          <w:lang w:eastAsia="en-US"/>
        </w:rPr>
        <w:t>3.3</w:t>
      </w:r>
      <w:bookmarkStart w:id="17" w:name="_Toc45110174"/>
      <w:r w:rsidRPr="00BE1E28">
        <w:rPr>
          <w:rFonts w:eastAsiaTheme="minorHAnsi"/>
          <w:b/>
          <w:bCs/>
          <w:u w:val="single"/>
          <w:lang w:eastAsia="en-US"/>
        </w:rPr>
        <w:t xml:space="preserve"> - Research method - </w:t>
      </w:r>
      <w:r>
        <w:rPr>
          <w:rFonts w:eastAsiaTheme="minorHAnsi"/>
          <w:b/>
          <w:bCs/>
          <w:u w:val="single"/>
          <w:lang w:eastAsia="en-US"/>
        </w:rPr>
        <w:t>c</w:t>
      </w:r>
      <w:r w:rsidRPr="00BE1E28">
        <w:rPr>
          <w:rFonts w:eastAsiaTheme="minorHAnsi"/>
          <w:b/>
          <w:bCs/>
          <w:u w:val="single"/>
          <w:lang w:eastAsia="en-US"/>
        </w:rPr>
        <w:t xml:space="preserve">ase </w:t>
      </w:r>
      <w:r>
        <w:rPr>
          <w:rFonts w:eastAsiaTheme="minorHAnsi"/>
          <w:b/>
          <w:bCs/>
          <w:u w:val="single"/>
          <w:lang w:eastAsia="en-US"/>
        </w:rPr>
        <w:t>s</w:t>
      </w:r>
      <w:r w:rsidRPr="00BE1E28">
        <w:rPr>
          <w:rFonts w:eastAsiaTheme="minorHAnsi"/>
          <w:b/>
          <w:bCs/>
          <w:u w:val="single"/>
          <w:lang w:eastAsia="en-US"/>
        </w:rPr>
        <w:t>tudy</w:t>
      </w:r>
      <w:bookmarkEnd w:id="17"/>
    </w:p>
    <w:bookmarkEnd w:id="16"/>
    <w:p w14:paraId="050132E3" w14:textId="77777777" w:rsidR="00421BB4" w:rsidRPr="00BF1755" w:rsidRDefault="00421BB4" w:rsidP="00421BB4">
      <w:pPr>
        <w:spacing w:after="200" w:line="360" w:lineRule="auto"/>
        <w:ind w:firstLine="720"/>
        <w:jc w:val="both"/>
        <w:rPr>
          <w:rFonts w:eastAsiaTheme="minorHAnsi"/>
          <w:lang w:eastAsia="en-US"/>
        </w:rPr>
      </w:pPr>
      <w:r>
        <w:rPr>
          <w:rFonts w:eastAsiaTheme="minorHAnsi"/>
          <w:lang w:eastAsia="en-US"/>
        </w:rPr>
        <w:t>C</w:t>
      </w:r>
      <w:r w:rsidRPr="00BF1755">
        <w:rPr>
          <w:rFonts w:eastAsiaTheme="minorHAnsi"/>
          <w:lang w:eastAsia="en-US"/>
        </w:rPr>
        <w:t>ontrolled methods</w:t>
      </w:r>
      <w:r>
        <w:rPr>
          <w:rFonts w:eastAsiaTheme="minorHAnsi"/>
          <w:lang w:eastAsia="en-US"/>
        </w:rPr>
        <w:t xml:space="preserve"> such as wider survey,</w:t>
      </w:r>
      <w:r w:rsidRPr="00BF1755">
        <w:rPr>
          <w:rFonts w:eastAsiaTheme="minorHAnsi"/>
          <w:lang w:eastAsia="en-US"/>
        </w:rPr>
        <w:t xml:space="preserve"> longitudinal</w:t>
      </w:r>
      <w:r>
        <w:rPr>
          <w:rFonts w:eastAsiaTheme="minorHAnsi"/>
          <w:lang w:eastAsia="en-US"/>
        </w:rPr>
        <w:t xml:space="preserve"> research </w:t>
      </w:r>
      <w:r w:rsidRPr="00BF1755">
        <w:rPr>
          <w:rFonts w:eastAsiaTheme="minorHAnsi"/>
          <w:lang w:eastAsia="en-US"/>
        </w:rPr>
        <w:t>and action research were investigated</w:t>
      </w:r>
      <w:r>
        <w:rPr>
          <w:rFonts w:eastAsiaTheme="minorHAnsi"/>
          <w:lang w:eastAsia="en-US"/>
        </w:rPr>
        <w:t xml:space="preserve"> p</w:t>
      </w:r>
      <w:r w:rsidRPr="00BF1755">
        <w:rPr>
          <w:rFonts w:eastAsiaTheme="minorHAnsi"/>
          <w:lang w:eastAsia="en-US"/>
        </w:rPr>
        <w:t xml:space="preserve">rior to deciding on the most appropriate method for this research study. </w:t>
      </w:r>
      <w:r>
        <w:rPr>
          <w:rFonts w:eastAsiaTheme="minorHAnsi"/>
          <w:lang w:eastAsia="en-US"/>
        </w:rPr>
        <w:t>A limited timeframe</w:t>
      </w:r>
      <w:r w:rsidRPr="00BF1755">
        <w:rPr>
          <w:rFonts w:eastAsiaTheme="minorHAnsi"/>
          <w:lang w:eastAsia="en-US"/>
        </w:rPr>
        <w:t xml:space="preserve"> and</w:t>
      </w:r>
      <w:r>
        <w:rPr>
          <w:rFonts w:eastAsiaTheme="minorHAnsi"/>
          <w:lang w:eastAsia="en-US"/>
        </w:rPr>
        <w:t xml:space="preserve"> general</w:t>
      </w:r>
      <w:r w:rsidRPr="00BF1755">
        <w:rPr>
          <w:rFonts w:eastAsiaTheme="minorHAnsi"/>
          <w:lang w:eastAsia="en-US"/>
        </w:rPr>
        <w:t xml:space="preserve"> lack of access to participants due to </w:t>
      </w:r>
      <w:r>
        <w:rPr>
          <w:rFonts w:eastAsiaTheme="minorHAnsi"/>
          <w:lang w:eastAsia="en-US"/>
        </w:rPr>
        <w:t xml:space="preserve">prolonged </w:t>
      </w:r>
      <w:r w:rsidRPr="00BF1755">
        <w:rPr>
          <w:rFonts w:eastAsiaTheme="minorHAnsi"/>
          <w:lang w:eastAsia="en-US"/>
        </w:rPr>
        <w:t>Co</w:t>
      </w:r>
      <w:r>
        <w:rPr>
          <w:rFonts w:eastAsiaTheme="minorHAnsi"/>
          <w:lang w:eastAsia="en-US"/>
        </w:rPr>
        <w:t>ronavirus</w:t>
      </w:r>
      <w:r w:rsidRPr="00BF1755">
        <w:rPr>
          <w:rFonts w:eastAsiaTheme="minorHAnsi"/>
          <w:lang w:eastAsia="en-US"/>
        </w:rPr>
        <w:t xml:space="preserve"> restrictions would </w:t>
      </w:r>
      <w:r>
        <w:rPr>
          <w:rFonts w:eastAsiaTheme="minorHAnsi"/>
          <w:lang w:eastAsia="en-US"/>
        </w:rPr>
        <w:t xml:space="preserve">have </w:t>
      </w:r>
      <w:r w:rsidRPr="00BF1755">
        <w:rPr>
          <w:rFonts w:eastAsiaTheme="minorHAnsi"/>
          <w:lang w:eastAsia="en-US"/>
        </w:rPr>
        <w:t>present</w:t>
      </w:r>
      <w:r>
        <w:rPr>
          <w:rFonts w:eastAsiaTheme="minorHAnsi"/>
          <w:lang w:eastAsia="en-US"/>
        </w:rPr>
        <w:t xml:space="preserve">ed </w:t>
      </w:r>
      <w:r w:rsidRPr="00BF1755">
        <w:rPr>
          <w:rFonts w:eastAsiaTheme="minorHAnsi"/>
          <w:lang w:eastAsia="en-US"/>
        </w:rPr>
        <w:t xml:space="preserve">challenges </w:t>
      </w:r>
      <w:r>
        <w:rPr>
          <w:rFonts w:eastAsiaTheme="minorHAnsi"/>
          <w:lang w:eastAsia="en-US"/>
        </w:rPr>
        <w:t>in conducting a survey or</w:t>
      </w:r>
      <w:r w:rsidRPr="00BF1755">
        <w:rPr>
          <w:rFonts w:eastAsiaTheme="minorHAnsi"/>
          <w:lang w:eastAsia="en-US"/>
        </w:rPr>
        <w:t xml:space="preserve"> longitudinal study</w:t>
      </w:r>
      <w:r>
        <w:rPr>
          <w:rFonts w:eastAsiaTheme="minorHAnsi"/>
          <w:lang w:eastAsia="en-US"/>
        </w:rPr>
        <w:t>. T</w:t>
      </w:r>
      <w:r w:rsidRPr="00BF1755">
        <w:rPr>
          <w:rFonts w:eastAsiaTheme="minorHAnsi"/>
          <w:lang w:eastAsia="en-US"/>
        </w:rPr>
        <w:t>hese methods were</w:t>
      </w:r>
      <w:r>
        <w:rPr>
          <w:rFonts w:eastAsiaTheme="minorHAnsi"/>
          <w:lang w:eastAsia="en-US"/>
        </w:rPr>
        <w:t xml:space="preserve"> also</w:t>
      </w:r>
      <w:r w:rsidRPr="00BF1755">
        <w:rPr>
          <w:rFonts w:eastAsiaTheme="minorHAnsi"/>
          <w:lang w:eastAsia="en-US"/>
        </w:rPr>
        <w:t xml:space="preserve"> outside of the requirements of this project due to time constraints</w:t>
      </w:r>
      <w:r>
        <w:rPr>
          <w:rFonts w:eastAsiaTheme="minorHAnsi"/>
          <w:lang w:eastAsia="en-US"/>
        </w:rPr>
        <w:t xml:space="preserve"> and an extensive</w:t>
      </w:r>
      <w:r w:rsidRPr="00BF1755">
        <w:rPr>
          <w:rFonts w:eastAsiaTheme="minorHAnsi"/>
          <w:lang w:eastAsia="en-US"/>
        </w:rPr>
        <w:t xml:space="preserve"> sample</w:t>
      </w:r>
      <w:r>
        <w:rPr>
          <w:rFonts w:eastAsiaTheme="minorHAnsi"/>
          <w:lang w:eastAsia="en-US"/>
        </w:rPr>
        <w:t xml:space="preserve"> size was not a specified requirement for this study</w:t>
      </w:r>
      <w:r w:rsidRPr="00BF1755">
        <w:rPr>
          <w:rFonts w:eastAsiaTheme="minorHAnsi"/>
          <w:lang w:eastAsia="en-US"/>
        </w:rPr>
        <w:t xml:space="preserve">. </w:t>
      </w:r>
      <w:r>
        <w:rPr>
          <w:rFonts w:eastAsiaTheme="minorHAnsi"/>
          <w:lang w:eastAsia="en-US"/>
        </w:rPr>
        <w:t xml:space="preserve">As a case study examines the research question and aims to develop a fuller understanding of a particular case in detail, it was </w:t>
      </w:r>
      <w:r w:rsidRPr="00BF1755">
        <w:rPr>
          <w:rFonts w:eastAsiaTheme="minorHAnsi"/>
          <w:lang w:eastAsia="en-US"/>
        </w:rPr>
        <w:t xml:space="preserve">felt that </w:t>
      </w:r>
      <w:r>
        <w:rPr>
          <w:rFonts w:eastAsiaTheme="minorHAnsi"/>
          <w:lang w:eastAsia="en-US"/>
        </w:rPr>
        <w:t>this</w:t>
      </w:r>
      <w:r w:rsidRPr="00BF1755">
        <w:rPr>
          <w:rFonts w:eastAsiaTheme="minorHAnsi"/>
          <w:lang w:eastAsia="en-US"/>
        </w:rPr>
        <w:t xml:space="preserve"> approach was better suited to gain a more</w:t>
      </w:r>
      <w:r>
        <w:rPr>
          <w:rFonts w:eastAsiaTheme="minorHAnsi"/>
          <w:lang w:eastAsia="en-US"/>
        </w:rPr>
        <w:t xml:space="preserve"> thorough and</w:t>
      </w:r>
      <w:r w:rsidRPr="00BF1755">
        <w:rPr>
          <w:rFonts w:eastAsiaTheme="minorHAnsi"/>
          <w:lang w:eastAsia="en-US"/>
        </w:rPr>
        <w:t xml:space="preserve"> personal view </w:t>
      </w:r>
      <w:r>
        <w:rPr>
          <w:rFonts w:eastAsiaTheme="minorHAnsi"/>
          <w:lang w:eastAsia="en-US"/>
        </w:rPr>
        <w:t xml:space="preserve">of P16 transition experiences </w:t>
      </w:r>
      <w:r w:rsidRPr="00BF1755">
        <w:rPr>
          <w:rFonts w:eastAsiaTheme="minorHAnsi"/>
          <w:lang w:eastAsia="en-US"/>
        </w:rPr>
        <w:t xml:space="preserve">(Orlikowski &amp; Baroudi, 1991 </w:t>
      </w:r>
      <w:r w:rsidRPr="00AB4DA0">
        <w:rPr>
          <w:rFonts w:eastAsiaTheme="minorHAnsi"/>
          <w:i/>
          <w:iCs/>
          <w:lang w:eastAsia="en-US"/>
        </w:rPr>
        <w:t>cited in</w:t>
      </w:r>
      <w:r w:rsidRPr="00BF1755">
        <w:rPr>
          <w:rFonts w:eastAsiaTheme="minorHAnsi"/>
          <w:lang w:eastAsia="en-US"/>
        </w:rPr>
        <w:t xml:space="preserve"> Rashid </w:t>
      </w:r>
      <w:r w:rsidRPr="00F42E3F">
        <w:rPr>
          <w:rFonts w:eastAsiaTheme="minorHAnsi"/>
          <w:i/>
          <w:iCs/>
          <w:lang w:eastAsia="en-US"/>
        </w:rPr>
        <w:t>et al</w:t>
      </w:r>
      <w:r w:rsidRPr="00BF1755">
        <w:rPr>
          <w:rFonts w:eastAsiaTheme="minorHAnsi"/>
          <w:lang w:eastAsia="en-US"/>
        </w:rPr>
        <w:t xml:space="preserve"> 2019</w:t>
      </w:r>
      <w:r>
        <w:rPr>
          <w:rFonts w:eastAsiaTheme="minorHAnsi"/>
          <w:lang w:eastAsia="en-US"/>
        </w:rPr>
        <w:t xml:space="preserve">; Silverman 2013 and </w:t>
      </w:r>
      <w:r w:rsidRPr="00BF1755">
        <w:rPr>
          <w:rFonts w:eastAsiaTheme="minorHAnsi"/>
          <w:lang w:eastAsia="en-US"/>
        </w:rPr>
        <w:t xml:space="preserve">Cohen </w:t>
      </w:r>
      <w:r w:rsidRPr="009F1144">
        <w:rPr>
          <w:rFonts w:eastAsiaTheme="minorHAnsi"/>
          <w:i/>
          <w:iCs/>
          <w:lang w:eastAsia="en-US"/>
        </w:rPr>
        <w:t>et al</w:t>
      </w:r>
      <w:r w:rsidRPr="00BF1755">
        <w:rPr>
          <w:rFonts w:eastAsiaTheme="minorHAnsi"/>
          <w:lang w:eastAsia="en-US"/>
        </w:rPr>
        <w:t xml:space="preserve"> 201</w:t>
      </w:r>
      <w:r>
        <w:rPr>
          <w:rFonts w:eastAsiaTheme="minorHAnsi"/>
          <w:lang w:eastAsia="en-US"/>
        </w:rPr>
        <w:t>8</w:t>
      </w:r>
      <w:r w:rsidRPr="00BF1755">
        <w:rPr>
          <w:rFonts w:eastAsiaTheme="minorHAnsi"/>
          <w:lang w:eastAsia="en-US"/>
        </w:rPr>
        <w:t xml:space="preserve">). </w:t>
      </w:r>
    </w:p>
    <w:p w14:paraId="1A09ECCF" w14:textId="77777777" w:rsidR="00421BB4" w:rsidRDefault="00421BB4" w:rsidP="00421BB4">
      <w:pPr>
        <w:spacing w:after="200" w:line="360" w:lineRule="auto"/>
        <w:ind w:firstLine="720"/>
        <w:jc w:val="both"/>
        <w:rPr>
          <w:rFonts w:eastAsiaTheme="minorHAnsi"/>
          <w:lang w:eastAsia="en-US"/>
        </w:rPr>
      </w:pPr>
      <w:r>
        <w:rPr>
          <w:rFonts w:eastAsiaTheme="minorHAnsi"/>
          <w:lang w:eastAsia="en-US"/>
        </w:rPr>
        <w:lastRenderedPageBreak/>
        <w:t>This case study is small in scale, and therefore not without its limitations. Findings are difficult to cross-reference and generalise to other P16 experiences as this would require similar variables and significant features such as academic ability and subject choice, gender, social class, size of secondary school and similar aspirations (Bell and Waters 2018). In light of this, t</w:t>
      </w:r>
      <w:r w:rsidRPr="00BF1755">
        <w:rPr>
          <w:rFonts w:eastAsiaTheme="minorHAnsi"/>
          <w:lang w:eastAsia="en-US"/>
        </w:rPr>
        <w:t xml:space="preserve">o ensure that this was the most appropriate approach a case study checklist was utilised </w:t>
      </w:r>
      <w:r w:rsidRPr="00E91656">
        <w:rPr>
          <w:rFonts w:eastAsiaTheme="minorHAnsi"/>
          <w:lang w:eastAsia="en-US"/>
        </w:rPr>
        <w:t xml:space="preserve">(see Appendix 2) </w:t>
      </w:r>
      <w:r w:rsidRPr="00BF1755">
        <w:rPr>
          <w:rFonts w:eastAsiaTheme="minorHAnsi"/>
          <w:lang w:eastAsia="en-US"/>
        </w:rPr>
        <w:t>as recommended by Denscombe</w:t>
      </w:r>
      <w:r>
        <w:rPr>
          <w:rFonts w:eastAsiaTheme="minorHAnsi"/>
          <w:lang w:eastAsia="en-US"/>
        </w:rPr>
        <w:t>. This validated the</w:t>
      </w:r>
      <w:r w:rsidRPr="00BF1755">
        <w:rPr>
          <w:rFonts w:eastAsiaTheme="minorHAnsi"/>
          <w:lang w:eastAsia="en-US"/>
        </w:rPr>
        <w:t xml:space="preserve"> </w:t>
      </w:r>
      <w:r>
        <w:rPr>
          <w:rFonts w:eastAsiaTheme="minorHAnsi"/>
          <w:lang w:eastAsia="en-US"/>
        </w:rPr>
        <w:t xml:space="preserve">appropriateness of the </w:t>
      </w:r>
      <w:r w:rsidRPr="00BF1755">
        <w:rPr>
          <w:rFonts w:eastAsiaTheme="minorHAnsi"/>
          <w:lang w:eastAsia="en-US"/>
        </w:rPr>
        <w:t>type of research</w:t>
      </w:r>
      <w:r>
        <w:rPr>
          <w:rFonts w:eastAsiaTheme="minorHAnsi"/>
          <w:lang w:eastAsia="en-US"/>
        </w:rPr>
        <w:t xml:space="preserve"> method the study</w:t>
      </w:r>
      <w:r w:rsidRPr="00BF1755">
        <w:rPr>
          <w:rFonts w:eastAsiaTheme="minorHAnsi"/>
          <w:lang w:eastAsia="en-US"/>
        </w:rPr>
        <w:t xml:space="preserve">. </w:t>
      </w:r>
      <w:r>
        <w:rPr>
          <w:rFonts w:eastAsiaTheme="minorHAnsi"/>
          <w:lang w:eastAsia="en-US"/>
        </w:rPr>
        <w:t>Feeling</w:t>
      </w:r>
      <w:r w:rsidRPr="00BF1755">
        <w:rPr>
          <w:rFonts w:eastAsiaTheme="minorHAnsi"/>
          <w:lang w:eastAsia="en-US"/>
        </w:rPr>
        <w:t xml:space="preserve"> satisfied with the outcomes of the checklist, it was necessary to explore the tools most suitable for this approach</w:t>
      </w:r>
      <w:r>
        <w:rPr>
          <w:rFonts w:eastAsiaTheme="minorHAnsi"/>
          <w:lang w:eastAsia="en-US"/>
        </w:rPr>
        <w:t xml:space="preserve"> (Denscombe 2021).</w:t>
      </w:r>
    </w:p>
    <w:p w14:paraId="09CE7979" w14:textId="77777777" w:rsidR="00421BB4" w:rsidRPr="00056CFF" w:rsidRDefault="00421BB4" w:rsidP="00421BB4">
      <w:pPr>
        <w:spacing w:after="200" w:line="360" w:lineRule="auto"/>
        <w:jc w:val="both"/>
        <w:rPr>
          <w:rFonts w:eastAsiaTheme="minorHAnsi"/>
          <w:lang w:eastAsia="en-US"/>
        </w:rPr>
      </w:pPr>
      <w:bookmarkStart w:id="18" w:name="Researchtools"/>
      <w:r w:rsidRPr="00BE1E28">
        <w:rPr>
          <w:rFonts w:eastAsiaTheme="minorHAnsi"/>
          <w:b/>
          <w:bCs/>
          <w:u w:val="single"/>
          <w:lang w:eastAsia="en-US"/>
        </w:rPr>
        <w:t>3.4 - Research tools</w:t>
      </w:r>
    </w:p>
    <w:bookmarkEnd w:id="18"/>
    <w:p w14:paraId="5116DA3E" w14:textId="77777777" w:rsidR="00421BB4" w:rsidRPr="00BB382D" w:rsidRDefault="00421BB4" w:rsidP="00421BB4">
      <w:pPr>
        <w:spacing w:after="200" w:line="360" w:lineRule="auto"/>
        <w:ind w:firstLine="720"/>
        <w:jc w:val="both"/>
        <w:rPr>
          <w:color w:val="FF0000"/>
        </w:rPr>
      </w:pPr>
      <w:r w:rsidRPr="00BF1755">
        <w:rPr>
          <w:rFonts w:eastAsiaTheme="minorHAnsi"/>
          <w:lang w:eastAsia="en-US"/>
        </w:rPr>
        <w:t xml:space="preserve">As </w:t>
      </w:r>
      <w:r>
        <w:rPr>
          <w:rFonts w:eastAsiaTheme="minorHAnsi"/>
          <w:lang w:eastAsia="en-US"/>
        </w:rPr>
        <w:t>this</w:t>
      </w:r>
      <w:r w:rsidRPr="00BF1755">
        <w:rPr>
          <w:rFonts w:eastAsiaTheme="minorHAnsi"/>
          <w:lang w:eastAsia="en-US"/>
        </w:rPr>
        <w:t xml:space="preserve"> case study </w:t>
      </w:r>
      <w:r>
        <w:rPr>
          <w:rFonts w:eastAsiaTheme="minorHAnsi"/>
          <w:lang w:eastAsia="en-US"/>
        </w:rPr>
        <w:t>was</w:t>
      </w:r>
      <w:r w:rsidRPr="00BF1755">
        <w:rPr>
          <w:rFonts w:eastAsiaTheme="minorHAnsi"/>
          <w:lang w:eastAsia="en-US"/>
        </w:rPr>
        <w:t xml:space="preserve"> concerned with close observation of how a particular population group </w:t>
      </w:r>
      <w:r>
        <w:rPr>
          <w:rFonts w:eastAsiaTheme="minorHAnsi"/>
          <w:lang w:eastAsia="en-US"/>
        </w:rPr>
        <w:t xml:space="preserve">belonging to a </w:t>
      </w:r>
      <w:r w:rsidRPr="00BF1755">
        <w:rPr>
          <w:rFonts w:eastAsiaTheme="minorHAnsi"/>
          <w:lang w:eastAsia="en-US"/>
        </w:rPr>
        <w:t xml:space="preserve">particular setting behave within a particular context, and it was feasible to incorporate the use of either qualitative, quantitative or both (mixed) methods within this study (Cohen </w:t>
      </w:r>
      <w:r w:rsidRPr="00C34696">
        <w:rPr>
          <w:rFonts w:eastAsiaTheme="minorHAnsi"/>
          <w:i/>
          <w:iCs/>
          <w:lang w:eastAsia="en-US"/>
        </w:rPr>
        <w:t>et al.</w:t>
      </w:r>
      <w:r w:rsidRPr="00BF1755">
        <w:rPr>
          <w:rFonts w:eastAsiaTheme="minorHAnsi"/>
          <w:lang w:eastAsia="en-US"/>
        </w:rPr>
        <w:t xml:space="preserve"> 2018). While</w:t>
      </w:r>
      <w:r>
        <w:rPr>
          <w:rFonts w:eastAsiaTheme="minorHAnsi"/>
          <w:lang w:eastAsia="en-US"/>
        </w:rPr>
        <w:t xml:space="preserve"> </w:t>
      </w:r>
      <w:r w:rsidRPr="00BF1755">
        <w:rPr>
          <w:rFonts w:eastAsiaTheme="minorHAnsi"/>
          <w:lang w:eastAsia="en-US"/>
        </w:rPr>
        <w:t>the use of a questionnaire and an interview in a mixed method approach help</w:t>
      </w:r>
      <w:r>
        <w:rPr>
          <w:rFonts w:eastAsiaTheme="minorHAnsi"/>
          <w:lang w:eastAsia="en-US"/>
        </w:rPr>
        <w:t>ed</w:t>
      </w:r>
      <w:r w:rsidRPr="00BF1755">
        <w:rPr>
          <w:rFonts w:eastAsiaTheme="minorHAnsi"/>
          <w:lang w:eastAsia="en-US"/>
        </w:rPr>
        <w:t xml:space="preserve"> to create a more detailed account, </w:t>
      </w:r>
      <w:r>
        <w:rPr>
          <w:rFonts w:eastAsiaTheme="minorHAnsi"/>
          <w:lang w:eastAsia="en-US"/>
        </w:rPr>
        <w:t>as opposed to</w:t>
      </w:r>
      <w:r w:rsidRPr="00BF1755">
        <w:rPr>
          <w:rFonts w:eastAsiaTheme="minorHAnsi"/>
          <w:lang w:eastAsia="en-US"/>
        </w:rPr>
        <w:t xml:space="preserve"> solely producing a quantitative compilation of data based on numbers, it was first </w:t>
      </w:r>
      <w:r>
        <w:rPr>
          <w:rFonts w:eastAsiaTheme="minorHAnsi"/>
          <w:lang w:eastAsia="en-US"/>
        </w:rPr>
        <w:t>useful</w:t>
      </w:r>
      <w:r w:rsidRPr="00BF1755">
        <w:rPr>
          <w:rFonts w:eastAsiaTheme="minorHAnsi"/>
          <w:lang w:eastAsia="en-US"/>
        </w:rPr>
        <w:t xml:space="preserve"> to design the mixed method approach sequence prior to commencement of data collection</w:t>
      </w:r>
      <w:r>
        <w:rPr>
          <w:rFonts w:eastAsiaTheme="minorHAnsi"/>
          <w:lang w:eastAsia="en-US"/>
        </w:rPr>
        <w:t xml:space="preserve"> </w:t>
      </w:r>
      <w:r w:rsidRPr="00E91656">
        <w:rPr>
          <w:rFonts w:eastAsiaTheme="minorHAnsi"/>
          <w:lang w:eastAsia="en-US"/>
        </w:rPr>
        <w:t xml:space="preserve">(see Appendix 9) </w:t>
      </w:r>
      <w:r w:rsidRPr="001E5048">
        <w:rPr>
          <w:rFonts w:eastAsiaTheme="minorHAnsi"/>
          <w:lang w:eastAsia="en-US"/>
        </w:rPr>
        <w:t>(</w:t>
      </w:r>
      <w:r w:rsidRPr="00BF1755">
        <w:rPr>
          <w:rFonts w:eastAsiaTheme="minorHAnsi"/>
          <w:lang w:eastAsia="en-US"/>
        </w:rPr>
        <w:t xml:space="preserve">Denscombe 2021). </w:t>
      </w:r>
      <w:r>
        <w:rPr>
          <w:rFonts w:eastAsiaTheme="minorHAnsi"/>
          <w:lang w:eastAsia="en-US"/>
        </w:rPr>
        <w:t>T</w:t>
      </w:r>
      <w:r w:rsidRPr="00BF1755">
        <w:t xml:space="preserve">his case study therefore takes a qualitative approach in the main in the form of an in depth semi structured interview </w:t>
      </w:r>
      <w:r w:rsidRPr="004324CD">
        <w:t>(see Appendix 3) and utilises quantitative measures in the form of a questionnaire (see Appendix 4),</w:t>
      </w:r>
    </w:p>
    <w:p w14:paraId="74BF5AB5" w14:textId="77777777" w:rsidR="00421BB4" w:rsidRPr="007A5EE2" w:rsidRDefault="00421BB4" w:rsidP="00421BB4">
      <w:pPr>
        <w:spacing w:after="200" w:line="360" w:lineRule="auto"/>
        <w:jc w:val="both"/>
        <w:rPr>
          <w:rFonts w:eastAsiaTheme="minorHAnsi"/>
          <w:color w:val="201F1E"/>
          <w:u w:val="single"/>
          <w:bdr w:val="none" w:sz="0" w:space="0" w:color="auto" w:frame="1"/>
          <w:lang w:eastAsia="en-US"/>
        </w:rPr>
      </w:pPr>
      <w:bookmarkStart w:id="19" w:name="Questionnairedesign"/>
      <w:r>
        <w:rPr>
          <w:rFonts w:eastAsiaTheme="minorHAnsi"/>
          <w:color w:val="201F1E"/>
          <w:u w:val="single"/>
          <w:bdr w:val="none" w:sz="0" w:space="0" w:color="auto" w:frame="1"/>
          <w:lang w:eastAsia="en-US"/>
        </w:rPr>
        <w:t xml:space="preserve">3.4.1- </w:t>
      </w:r>
      <w:r w:rsidRPr="007A5EE2">
        <w:rPr>
          <w:rFonts w:eastAsiaTheme="minorHAnsi"/>
          <w:color w:val="201F1E"/>
          <w:u w:val="single"/>
          <w:bdr w:val="none" w:sz="0" w:space="0" w:color="auto" w:frame="1"/>
          <w:lang w:eastAsia="en-US"/>
        </w:rPr>
        <w:t>Questionnaire design</w:t>
      </w:r>
      <w:r>
        <w:rPr>
          <w:rFonts w:eastAsiaTheme="minorHAnsi"/>
          <w:color w:val="201F1E"/>
          <w:u w:val="single"/>
          <w:bdr w:val="none" w:sz="0" w:space="0" w:color="auto" w:frame="1"/>
          <w:lang w:eastAsia="en-US"/>
        </w:rPr>
        <w:t xml:space="preserve"> and reflection</w:t>
      </w:r>
    </w:p>
    <w:bookmarkEnd w:id="19"/>
    <w:p w14:paraId="6C07B7F4" w14:textId="77777777" w:rsidR="00421BB4" w:rsidRDefault="00421BB4" w:rsidP="00421BB4">
      <w:pPr>
        <w:spacing w:after="120" w:line="360" w:lineRule="auto"/>
        <w:ind w:firstLine="720"/>
        <w:jc w:val="both"/>
        <w:rPr>
          <w:rFonts w:ascii="Poppins" w:hAnsi="Poppins" w:cs="Poppins"/>
          <w:shd w:val="clear" w:color="auto" w:fill="FFFFFF"/>
        </w:rPr>
      </w:pPr>
      <w:r w:rsidRPr="00BF1755">
        <w:t xml:space="preserve">It must be noted that using a questionnaire as a research tool </w:t>
      </w:r>
      <w:r>
        <w:t xml:space="preserve">is not without </w:t>
      </w:r>
      <w:r w:rsidRPr="00BF1755">
        <w:t>its s</w:t>
      </w:r>
      <w:r>
        <w:t>hortcomings</w:t>
      </w:r>
      <w:r w:rsidRPr="00BF1755">
        <w:t xml:space="preserve">. For example, when designing </w:t>
      </w:r>
      <w:r>
        <w:t>the</w:t>
      </w:r>
      <w:r w:rsidRPr="00BF1755">
        <w:t xml:space="preserve"> questionnaire, it </w:t>
      </w:r>
      <w:r>
        <w:t>was</w:t>
      </w:r>
      <w:r w:rsidRPr="00BF1755">
        <w:t xml:space="preserve"> necessary to consider</w:t>
      </w:r>
      <w:r>
        <w:t xml:space="preserve"> both</w:t>
      </w:r>
      <w:r w:rsidRPr="00BF1755">
        <w:t xml:space="preserve"> ranking </w:t>
      </w:r>
      <w:r>
        <w:t>and</w:t>
      </w:r>
      <w:r w:rsidRPr="00BF1755">
        <w:t xml:space="preserve"> rating scales as a measure of response. While ranking scales in questionnaires are useful in indicating a degree of response, they do not allow a deeper, sophisticated statistical analysis (Ovadia 2004 </w:t>
      </w:r>
      <w:r w:rsidRPr="00AB4DA0">
        <w:rPr>
          <w:i/>
          <w:iCs/>
        </w:rPr>
        <w:t>cited in</w:t>
      </w:r>
      <w:r w:rsidRPr="00BF1755">
        <w:t xml:space="preserve"> Cohen </w:t>
      </w:r>
      <w:r w:rsidRPr="0075461C">
        <w:rPr>
          <w:i/>
          <w:iCs/>
        </w:rPr>
        <w:t>et al</w:t>
      </w:r>
      <w:r w:rsidRPr="00BF1755">
        <w:t xml:space="preserve"> 2018 p. 479). </w:t>
      </w:r>
      <w:r>
        <w:t>Thus</w:t>
      </w:r>
      <w:r w:rsidRPr="00BF1755">
        <w:t>, it was essential to consider how this might be overc</w:t>
      </w:r>
      <w:r>
        <w:t>ome</w:t>
      </w:r>
      <w:r w:rsidRPr="00BF1755">
        <w:t xml:space="preserve"> by including more </w:t>
      </w:r>
      <w:r w:rsidRPr="007600DB">
        <w:t>open-ended</w:t>
      </w:r>
      <w:r w:rsidRPr="00BF1755">
        <w:t xml:space="preserve"> questions (Biggam 2021)</w:t>
      </w:r>
      <w:r>
        <w:t xml:space="preserve">. </w:t>
      </w:r>
      <w:r w:rsidRPr="00BF1755">
        <w:t xml:space="preserve">Rating scales such as a Likert scale, while essentially a form of a ranking scale, </w:t>
      </w:r>
      <w:r>
        <w:t>was</w:t>
      </w:r>
      <w:r w:rsidRPr="00BF1755">
        <w:t xml:space="preserve"> useful as they not only provide</w:t>
      </w:r>
      <w:r>
        <w:t>d</w:t>
      </w:r>
      <w:r w:rsidRPr="00BF1755">
        <w:t xml:space="preserve"> a degree of response, but they allow</w:t>
      </w:r>
      <w:r>
        <w:t>ed</w:t>
      </w:r>
      <w:r w:rsidRPr="00BF1755">
        <w:t xml:space="preserve"> a greater measure of response by asking </w:t>
      </w:r>
      <w:r w:rsidRPr="00BF1755">
        <w:rPr>
          <w:shd w:val="clear" w:color="auto" w:fill="FFFFFF"/>
        </w:rPr>
        <w:t xml:space="preserve">participants to select answers ranging across a spectrum of choices to gain deeper insight </w:t>
      </w:r>
      <w:r>
        <w:rPr>
          <w:shd w:val="clear" w:color="auto" w:fill="FFFFFF"/>
        </w:rPr>
        <w:t>into</w:t>
      </w:r>
      <w:r w:rsidRPr="00BF1755">
        <w:rPr>
          <w:shd w:val="clear" w:color="auto" w:fill="FFFFFF"/>
        </w:rPr>
        <w:t xml:space="preserve"> attitudes</w:t>
      </w:r>
      <w:r>
        <w:rPr>
          <w:shd w:val="clear" w:color="auto" w:fill="FFFFFF"/>
        </w:rPr>
        <w:t xml:space="preserve"> and</w:t>
      </w:r>
      <w:r w:rsidRPr="00BF1755">
        <w:rPr>
          <w:shd w:val="clear" w:color="auto" w:fill="FFFFFF"/>
        </w:rPr>
        <w:t xml:space="preserve"> opinions (Silverman 201</w:t>
      </w:r>
      <w:r>
        <w:rPr>
          <w:shd w:val="clear" w:color="auto" w:fill="FFFFFF"/>
        </w:rPr>
        <w:t>3</w:t>
      </w:r>
      <w:r w:rsidRPr="00BF1755">
        <w:rPr>
          <w:shd w:val="clear" w:color="auto" w:fill="FFFFFF"/>
        </w:rPr>
        <w:t xml:space="preserve">). </w:t>
      </w:r>
      <w:r w:rsidRPr="00BF1755">
        <w:rPr>
          <w:rFonts w:ascii="Poppins" w:hAnsi="Poppins" w:cs="Poppins"/>
          <w:shd w:val="clear" w:color="auto" w:fill="FFFFFF"/>
        </w:rPr>
        <w:t> </w:t>
      </w:r>
    </w:p>
    <w:p w14:paraId="7F29028C" w14:textId="77777777" w:rsidR="00421BB4" w:rsidRDefault="00421BB4" w:rsidP="00421BB4">
      <w:pPr>
        <w:spacing w:after="120" w:line="360" w:lineRule="auto"/>
        <w:ind w:firstLine="720"/>
        <w:jc w:val="both"/>
      </w:pPr>
      <w:r w:rsidRPr="00BF1755">
        <w:lastRenderedPageBreak/>
        <w:t>The questionnaire designed for this study therefore include</w:t>
      </w:r>
      <w:r>
        <w:t>d</w:t>
      </w:r>
      <w:r w:rsidRPr="00BF1755">
        <w:t xml:space="preserve"> a Likert rating scale with 5 degrees of intensity</w:t>
      </w:r>
      <w:r>
        <w:t xml:space="preserve"> </w:t>
      </w:r>
      <w:r w:rsidRPr="00E91656">
        <w:t xml:space="preserve">(see Appendix </w:t>
      </w:r>
      <w:r>
        <w:t>4</w:t>
      </w:r>
      <w:r w:rsidRPr="00E91656">
        <w:t xml:space="preserve">) </w:t>
      </w:r>
      <w:r w:rsidRPr="00BF1755">
        <w:t xml:space="preserve">(Cohen </w:t>
      </w:r>
      <w:r w:rsidRPr="00E91C2C">
        <w:rPr>
          <w:i/>
          <w:iCs/>
        </w:rPr>
        <w:t>et al</w:t>
      </w:r>
      <w:r w:rsidRPr="00BF1755">
        <w:t>. 2018).</w:t>
      </w:r>
      <w:r w:rsidRPr="00BF1755">
        <w:rPr>
          <w:i/>
          <w:iCs/>
        </w:rPr>
        <w:t xml:space="preserve"> </w:t>
      </w:r>
      <w:r w:rsidRPr="00BF1755">
        <w:t xml:space="preserve">This type of rating scale was useful as not only was it </w:t>
      </w:r>
      <w:r>
        <w:t>straightforward</w:t>
      </w:r>
      <w:r w:rsidRPr="00BF1755">
        <w:t xml:space="preserve"> to interpret the findings, </w:t>
      </w:r>
      <w:r>
        <w:t>but it</w:t>
      </w:r>
      <w:r w:rsidRPr="00BF1755">
        <w:t xml:space="preserve"> also allowed the researcher to include</w:t>
      </w:r>
      <w:r>
        <w:t xml:space="preserve"> </w:t>
      </w:r>
      <w:r w:rsidRPr="00BF1755">
        <w:t>a level of differentiation</w:t>
      </w:r>
      <w:r>
        <w:t xml:space="preserve"> and sensitivity</w:t>
      </w:r>
      <w:r w:rsidRPr="00BF1755">
        <w:t xml:space="preserve"> for response </w:t>
      </w:r>
      <w:r>
        <w:t>and also to</w:t>
      </w:r>
      <w:r w:rsidRPr="00BF1755">
        <w:t xml:space="preserve"> move away from closed ended questions (Biggam 2021). </w:t>
      </w:r>
      <w:r>
        <w:t>All participants were provided with the same questionnaire to maintain rigour.</w:t>
      </w:r>
    </w:p>
    <w:p w14:paraId="6353BF40" w14:textId="77777777" w:rsidR="00421BB4" w:rsidRDefault="00421BB4" w:rsidP="00421BB4">
      <w:pPr>
        <w:spacing w:after="120" w:line="360" w:lineRule="auto"/>
        <w:ind w:firstLine="720"/>
        <w:jc w:val="both"/>
      </w:pPr>
      <w:r>
        <w:t>U</w:t>
      </w:r>
      <w:r w:rsidRPr="00BF1755">
        <w:t>tilising both</w:t>
      </w:r>
      <w:r>
        <w:t xml:space="preserve"> approaches</w:t>
      </w:r>
      <w:r w:rsidRPr="00BF1755">
        <w:t xml:space="preserve"> not only helped to gain a more </w:t>
      </w:r>
      <w:r>
        <w:t>detailed</w:t>
      </w:r>
      <w:r w:rsidRPr="00BF1755">
        <w:t xml:space="preserve"> understanding of the perceptions of the participants, but also provided the participants </w:t>
      </w:r>
      <w:r>
        <w:t>with the</w:t>
      </w:r>
      <w:r w:rsidRPr="00BF1755">
        <w:t xml:space="preserve"> opportunity to consider the concept of wellbeing </w:t>
      </w:r>
      <w:r>
        <w:t xml:space="preserve">even </w:t>
      </w:r>
      <w:r w:rsidRPr="00BF1755">
        <w:t xml:space="preserve">prior to the interview. The justification for this, as mentioned in the literature review, is that wellbeing, though discussed in many domains, remains an elusive concept which is open to many interpretations and not easy to define (Spratt 2017). </w:t>
      </w:r>
      <w:r>
        <w:t>The feedback received from the participants favoured this decision because h</w:t>
      </w:r>
      <w:r w:rsidRPr="00BF1755">
        <w:t>aving</w:t>
      </w:r>
      <w:r>
        <w:t xml:space="preserve"> prior </w:t>
      </w:r>
      <w:r w:rsidRPr="00BF1755">
        <w:t xml:space="preserve">access to questions pertaining to wellbeing </w:t>
      </w:r>
      <w:r>
        <w:t>allowed</w:t>
      </w:r>
      <w:r w:rsidRPr="00BF1755">
        <w:t xml:space="preserve"> the</w:t>
      </w:r>
      <w:r>
        <w:t>m</w:t>
      </w:r>
      <w:r w:rsidRPr="00BF1755">
        <w:t xml:space="preserve"> increased ownership of their </w:t>
      </w:r>
      <w:r>
        <w:t>own sense of wellbeing which reflected in their contributions in the</w:t>
      </w:r>
      <w:r w:rsidRPr="00BF1755">
        <w:t xml:space="preserve"> interview</w:t>
      </w:r>
      <w:r>
        <w:t>s</w:t>
      </w:r>
      <w:r w:rsidRPr="00BF1755">
        <w:t xml:space="preserve"> (Cohen </w:t>
      </w:r>
      <w:r w:rsidRPr="00DE1C84">
        <w:rPr>
          <w:i/>
          <w:iCs/>
        </w:rPr>
        <w:t>et al</w:t>
      </w:r>
      <w:r w:rsidRPr="00BF1755">
        <w:t>, 201</w:t>
      </w:r>
      <w:r>
        <w:t>8</w:t>
      </w:r>
      <w:r w:rsidRPr="00BF1755">
        <w:t xml:space="preserve"> and Creswell, 2012</w:t>
      </w:r>
      <w:r>
        <w:t>).</w:t>
      </w:r>
    </w:p>
    <w:p w14:paraId="1EDCE6F9" w14:textId="77777777" w:rsidR="00421BB4" w:rsidRPr="00237B0B" w:rsidRDefault="00421BB4" w:rsidP="00421BB4">
      <w:pPr>
        <w:spacing w:after="120" w:line="360" w:lineRule="auto"/>
        <w:jc w:val="both"/>
        <w:rPr>
          <w:u w:val="single"/>
        </w:rPr>
      </w:pPr>
      <w:bookmarkStart w:id="20" w:name="Semistructuredinterviews"/>
      <w:r>
        <w:rPr>
          <w:u w:val="single"/>
        </w:rPr>
        <w:t xml:space="preserve">3.4.2 - </w:t>
      </w:r>
      <w:r w:rsidRPr="00237B0B">
        <w:rPr>
          <w:u w:val="single"/>
        </w:rPr>
        <w:t xml:space="preserve">Semi-structured interviews and </w:t>
      </w:r>
      <w:r>
        <w:rPr>
          <w:u w:val="single"/>
        </w:rPr>
        <w:t>reflection</w:t>
      </w:r>
    </w:p>
    <w:bookmarkEnd w:id="20"/>
    <w:p w14:paraId="1B95A771" w14:textId="77777777" w:rsidR="00421BB4" w:rsidRDefault="00421BB4" w:rsidP="00421BB4">
      <w:pPr>
        <w:spacing w:after="120" w:line="360" w:lineRule="auto"/>
        <w:ind w:firstLine="720"/>
        <w:jc w:val="both"/>
        <w:rPr>
          <w:rFonts w:eastAsiaTheme="minorHAnsi"/>
          <w:lang w:eastAsia="en-US"/>
        </w:rPr>
      </w:pPr>
      <w:r>
        <w:rPr>
          <w:rFonts w:eastAsiaTheme="minorHAnsi"/>
          <w:lang w:eastAsia="en-US"/>
        </w:rPr>
        <w:t>T</w:t>
      </w:r>
      <w:r w:rsidRPr="00BF1755">
        <w:rPr>
          <w:rFonts w:eastAsiaTheme="minorHAnsi"/>
          <w:lang w:eastAsia="en-US"/>
        </w:rPr>
        <w:t>he semi structured interviews were constructed around the analysis of the findings from the questionnaire</w:t>
      </w:r>
      <w:r>
        <w:rPr>
          <w:rFonts w:eastAsiaTheme="minorHAnsi"/>
          <w:lang w:eastAsia="en-US"/>
        </w:rPr>
        <w:t xml:space="preserve"> which </w:t>
      </w:r>
      <w:r w:rsidRPr="00BF1755">
        <w:rPr>
          <w:rFonts w:eastAsiaTheme="minorHAnsi"/>
          <w:lang w:eastAsia="en-US"/>
        </w:rPr>
        <w:t xml:space="preserve">consisted of five open ended </w:t>
      </w:r>
      <w:r w:rsidRPr="008F25BA">
        <w:rPr>
          <w:rFonts w:eastAsiaTheme="minorHAnsi"/>
          <w:lang w:eastAsia="en-US"/>
        </w:rPr>
        <w:t>questions for</w:t>
      </w:r>
      <w:r w:rsidRPr="00BF1755">
        <w:rPr>
          <w:rFonts w:eastAsiaTheme="minorHAnsi"/>
          <w:lang w:eastAsia="en-US"/>
        </w:rPr>
        <w:t xml:space="preserve"> each participant</w:t>
      </w:r>
      <w:r>
        <w:rPr>
          <w:rFonts w:eastAsiaTheme="minorHAnsi"/>
          <w:lang w:eastAsia="en-US"/>
        </w:rPr>
        <w:t>. These</w:t>
      </w:r>
      <w:r w:rsidRPr="00BF1755">
        <w:rPr>
          <w:rFonts w:eastAsiaTheme="minorHAnsi"/>
          <w:lang w:eastAsia="en-US"/>
        </w:rPr>
        <w:t xml:space="preserve"> allowed for further probing with the option to </w:t>
      </w:r>
      <w:r>
        <w:rPr>
          <w:rFonts w:eastAsiaTheme="minorHAnsi"/>
          <w:lang w:eastAsia="en-US"/>
        </w:rPr>
        <w:t>draw on previous</w:t>
      </w:r>
      <w:r w:rsidRPr="00BF1755">
        <w:rPr>
          <w:rFonts w:eastAsiaTheme="minorHAnsi"/>
          <w:lang w:eastAsia="en-US"/>
        </w:rPr>
        <w:t xml:space="preserve"> responses.</w:t>
      </w:r>
      <w:r w:rsidRPr="00BF1755">
        <w:rPr>
          <w:rFonts w:eastAsiaTheme="minorHAnsi"/>
          <w:color w:val="FF0000"/>
          <w:lang w:eastAsia="en-US"/>
        </w:rPr>
        <w:t xml:space="preserve"> </w:t>
      </w:r>
      <w:r w:rsidRPr="00BF1755">
        <w:t xml:space="preserve">All participants were asked the same questions </w:t>
      </w:r>
      <w:r w:rsidRPr="00E91656">
        <w:t xml:space="preserve">(see Appendix 3) </w:t>
      </w:r>
      <w:r w:rsidRPr="00BF1755">
        <w:t>to maintain rigour</w:t>
      </w:r>
      <w:r>
        <w:t xml:space="preserve">, </w:t>
      </w:r>
      <w:r w:rsidRPr="00BF1755">
        <w:t>credibility</w:t>
      </w:r>
      <w:r>
        <w:t xml:space="preserve"> and consistency</w:t>
      </w:r>
      <w:r w:rsidRPr="00BF1755">
        <w:t xml:space="preserve"> within the research (Cohen </w:t>
      </w:r>
      <w:r w:rsidRPr="007C3B5B">
        <w:rPr>
          <w:i/>
          <w:iCs/>
        </w:rPr>
        <w:t>et al</w:t>
      </w:r>
      <w:r w:rsidRPr="00BF1755">
        <w:t xml:space="preserve"> 201</w:t>
      </w:r>
      <w:r>
        <w:t>8</w:t>
      </w:r>
      <w:r w:rsidRPr="00BF1755">
        <w:t xml:space="preserve">). </w:t>
      </w:r>
    </w:p>
    <w:p w14:paraId="57454A61" w14:textId="77777777" w:rsidR="00421BB4" w:rsidRDefault="00421BB4" w:rsidP="00421BB4">
      <w:pPr>
        <w:spacing w:after="200" w:line="360" w:lineRule="auto"/>
        <w:ind w:firstLine="720"/>
        <w:jc w:val="both"/>
        <w:rPr>
          <w:rFonts w:eastAsiaTheme="minorHAnsi"/>
          <w:lang w:eastAsia="en-US"/>
        </w:rPr>
      </w:pPr>
      <w:r w:rsidRPr="00BF1755">
        <w:rPr>
          <w:rFonts w:eastAsiaTheme="minorHAnsi"/>
          <w:lang w:eastAsia="en-US"/>
        </w:rPr>
        <w:t xml:space="preserve">While opportunities for more in-depth discussion </w:t>
      </w:r>
      <w:r>
        <w:rPr>
          <w:rFonts w:eastAsiaTheme="minorHAnsi"/>
          <w:lang w:eastAsia="en-US"/>
        </w:rPr>
        <w:t>and</w:t>
      </w:r>
      <w:r w:rsidRPr="00BF1755">
        <w:rPr>
          <w:rFonts w:eastAsiaTheme="minorHAnsi"/>
          <w:lang w:eastAsia="en-US"/>
        </w:rPr>
        <w:t xml:space="preserve"> personal stories could be explored during the</w:t>
      </w:r>
      <w:r>
        <w:rPr>
          <w:rFonts w:eastAsiaTheme="minorHAnsi"/>
          <w:lang w:eastAsia="en-US"/>
        </w:rPr>
        <w:t xml:space="preserve"> semi-structured</w:t>
      </w:r>
      <w:r w:rsidRPr="00BF1755">
        <w:rPr>
          <w:rFonts w:eastAsiaTheme="minorHAnsi"/>
          <w:lang w:eastAsia="en-US"/>
        </w:rPr>
        <w:t xml:space="preserve"> interview</w:t>
      </w:r>
      <w:r>
        <w:rPr>
          <w:rFonts w:eastAsiaTheme="minorHAnsi"/>
          <w:lang w:eastAsia="en-US"/>
        </w:rPr>
        <w:t>s</w:t>
      </w:r>
      <w:r w:rsidRPr="00BF1755">
        <w:rPr>
          <w:rFonts w:eastAsiaTheme="minorHAnsi"/>
          <w:lang w:eastAsia="en-US"/>
        </w:rPr>
        <w:t xml:space="preserve">, </w:t>
      </w:r>
      <w:r>
        <w:rPr>
          <w:rFonts w:eastAsiaTheme="minorHAnsi"/>
          <w:lang w:eastAsia="en-US"/>
        </w:rPr>
        <w:t xml:space="preserve">it must be highlighted that </w:t>
      </w:r>
      <w:r w:rsidRPr="00BF1755">
        <w:rPr>
          <w:rFonts w:eastAsiaTheme="minorHAnsi"/>
          <w:lang w:eastAsia="en-US"/>
        </w:rPr>
        <w:t>interviews are contrived activiti</w:t>
      </w:r>
      <w:r>
        <w:rPr>
          <w:rFonts w:eastAsiaTheme="minorHAnsi"/>
          <w:lang w:eastAsia="en-US"/>
        </w:rPr>
        <w:t>es as they</w:t>
      </w:r>
      <w:r w:rsidRPr="00BF1755">
        <w:rPr>
          <w:rFonts w:eastAsiaTheme="minorHAnsi"/>
          <w:lang w:eastAsia="en-US"/>
        </w:rPr>
        <w:t xml:space="preserve"> do not form part of ‘normal’ daily </w:t>
      </w:r>
      <w:r>
        <w:rPr>
          <w:rFonts w:eastAsiaTheme="minorHAnsi"/>
          <w:lang w:eastAsia="en-US"/>
        </w:rPr>
        <w:t>activity</w:t>
      </w:r>
      <w:r w:rsidRPr="00BF1755">
        <w:rPr>
          <w:rFonts w:eastAsiaTheme="minorHAnsi"/>
          <w:lang w:eastAsia="en-US"/>
        </w:rPr>
        <w:t>, and as in this case, a non-normal activity enlisted on the participants based on the researcher’s ow</w:t>
      </w:r>
      <w:r>
        <w:rPr>
          <w:rFonts w:eastAsiaTheme="minorHAnsi"/>
          <w:lang w:eastAsia="en-US"/>
        </w:rPr>
        <w:t>n agenda</w:t>
      </w:r>
      <w:r w:rsidRPr="00BF1755">
        <w:rPr>
          <w:rFonts w:eastAsiaTheme="minorHAnsi"/>
          <w:lang w:eastAsia="en-US"/>
        </w:rPr>
        <w:t xml:space="preserve"> (Cohen </w:t>
      </w:r>
      <w:r w:rsidRPr="00E91C2C">
        <w:rPr>
          <w:rFonts w:eastAsiaTheme="minorHAnsi"/>
          <w:i/>
          <w:iCs/>
          <w:lang w:eastAsia="en-US"/>
        </w:rPr>
        <w:t>et al</w:t>
      </w:r>
      <w:r w:rsidRPr="00BF1755">
        <w:rPr>
          <w:rFonts w:eastAsiaTheme="minorHAnsi"/>
          <w:lang w:eastAsia="en-US"/>
        </w:rPr>
        <w:t xml:space="preserve"> 2018). Essentially, the framing and shaping of the situation w</w:t>
      </w:r>
      <w:r>
        <w:rPr>
          <w:rFonts w:eastAsiaTheme="minorHAnsi"/>
          <w:lang w:eastAsia="en-US"/>
        </w:rPr>
        <w:t>as</w:t>
      </w:r>
      <w:r w:rsidRPr="00BF1755">
        <w:rPr>
          <w:rFonts w:eastAsiaTheme="minorHAnsi"/>
          <w:lang w:eastAsia="en-US"/>
        </w:rPr>
        <w:t xml:space="preserve"> guided through the direction of the researche</w:t>
      </w:r>
      <w:r>
        <w:rPr>
          <w:rFonts w:eastAsiaTheme="minorHAnsi"/>
          <w:lang w:eastAsia="en-US"/>
        </w:rPr>
        <w:t xml:space="preserve">r who </w:t>
      </w:r>
      <w:r w:rsidRPr="00BF1755">
        <w:rPr>
          <w:rFonts w:eastAsiaTheme="minorHAnsi"/>
          <w:lang w:eastAsia="en-US"/>
        </w:rPr>
        <w:t>ask</w:t>
      </w:r>
      <w:r>
        <w:rPr>
          <w:rFonts w:eastAsiaTheme="minorHAnsi"/>
          <w:lang w:eastAsia="en-US"/>
        </w:rPr>
        <w:t>ed</w:t>
      </w:r>
      <w:r w:rsidRPr="00BF1755">
        <w:rPr>
          <w:rFonts w:eastAsiaTheme="minorHAnsi"/>
          <w:lang w:eastAsia="en-US"/>
        </w:rPr>
        <w:t xml:space="preserve"> for second-hand information. Even though these factors were considered to ensure a smooth process, it was important to remember that the quality of the investigation was still very much dependent on the participants being willing to freely share their </w:t>
      </w:r>
      <w:r>
        <w:rPr>
          <w:rFonts w:eastAsiaTheme="minorHAnsi"/>
          <w:lang w:eastAsia="en-US"/>
        </w:rPr>
        <w:t xml:space="preserve">thoughts and </w:t>
      </w:r>
      <w:r w:rsidRPr="00BF1755">
        <w:rPr>
          <w:rFonts w:eastAsiaTheme="minorHAnsi"/>
          <w:lang w:eastAsia="en-US"/>
        </w:rPr>
        <w:t xml:space="preserve">opinions (Ashbrook 2012). </w:t>
      </w:r>
    </w:p>
    <w:p w14:paraId="18434B26" w14:textId="77777777" w:rsidR="00421BB4" w:rsidRPr="007F027C" w:rsidRDefault="00421BB4" w:rsidP="00421BB4">
      <w:pPr>
        <w:spacing w:after="200" w:line="360" w:lineRule="auto"/>
        <w:ind w:firstLine="720"/>
        <w:jc w:val="both"/>
        <w:rPr>
          <w:rFonts w:eastAsiaTheme="minorHAnsi"/>
          <w:color w:val="FF0000"/>
          <w:lang w:eastAsia="en-US"/>
        </w:rPr>
      </w:pPr>
      <w:r>
        <w:t>E</w:t>
      </w:r>
      <w:r w:rsidRPr="00BF1755">
        <w:t xml:space="preserve">ach interview lasted approximately forty minutes, </w:t>
      </w:r>
      <w:r>
        <w:t xml:space="preserve">though ensuring that the interviews remained within the timeframe allocated </w:t>
      </w:r>
      <w:r w:rsidRPr="00BF1755">
        <w:t xml:space="preserve">did prove challenging. This was mainly due to the </w:t>
      </w:r>
      <w:r>
        <w:lastRenderedPageBreak/>
        <w:t>researcher’s eagerness</w:t>
      </w:r>
      <w:r w:rsidRPr="00BF1755">
        <w:t xml:space="preserve"> </w:t>
      </w:r>
      <w:r>
        <w:t>explore the</w:t>
      </w:r>
      <w:r w:rsidRPr="00BF1755">
        <w:t xml:space="preserve"> transition and wellbeing experiences of the participants even further. As rich qualitative data was being obtained, it felt more ethically appropriate to attempt to adhere to the agreed approximate timing of forty minutes </w:t>
      </w:r>
      <w:r>
        <w:t xml:space="preserve">not only </w:t>
      </w:r>
      <w:r w:rsidRPr="00BF1755">
        <w:t xml:space="preserve">out of respect for </w:t>
      </w:r>
      <w:r>
        <w:t xml:space="preserve">the </w:t>
      </w:r>
      <w:r w:rsidRPr="00BF1755">
        <w:t>participant’s</w:t>
      </w:r>
      <w:r>
        <w:t xml:space="preserve"> shared</w:t>
      </w:r>
      <w:r w:rsidRPr="00BF1755">
        <w:t xml:space="preserve"> time</w:t>
      </w:r>
      <w:r>
        <w:t xml:space="preserve">, but to avoid the risk of </w:t>
      </w:r>
      <w:r w:rsidRPr="00BF1755">
        <w:t>over analysing responses (Cohen and Manion 2013).</w:t>
      </w:r>
    </w:p>
    <w:p w14:paraId="68A6B776" w14:textId="77777777" w:rsidR="00421BB4" w:rsidRPr="002F4824" w:rsidRDefault="00421BB4" w:rsidP="00421BB4">
      <w:pPr>
        <w:spacing w:after="120" w:line="360" w:lineRule="auto"/>
        <w:jc w:val="both"/>
        <w:rPr>
          <w:b/>
          <w:bCs/>
          <w:u w:val="single"/>
        </w:rPr>
      </w:pPr>
      <w:bookmarkStart w:id="21" w:name="Piloting"/>
      <w:r w:rsidRPr="002F4824">
        <w:rPr>
          <w:b/>
          <w:bCs/>
          <w:u w:val="single"/>
        </w:rPr>
        <w:t>3.5 - Piloting</w:t>
      </w:r>
    </w:p>
    <w:bookmarkEnd w:id="21"/>
    <w:p w14:paraId="5ED90EB8" w14:textId="77777777" w:rsidR="00421BB4" w:rsidRDefault="00421BB4" w:rsidP="00421BB4">
      <w:pPr>
        <w:spacing w:after="120" w:line="360" w:lineRule="auto"/>
        <w:ind w:firstLine="720"/>
        <w:jc w:val="both"/>
      </w:pPr>
      <w:r w:rsidRPr="00BF1755">
        <w:t>It was necessary to pilot the questionnaire to ensure it met with the ethical standards of the research study (discussed in greater depth later in this chapter) for clarity of understanding</w:t>
      </w:r>
      <w:r>
        <w:t xml:space="preserve"> from the original questionnaire (see </w:t>
      </w:r>
      <w:r w:rsidRPr="00E91656">
        <w:t xml:space="preserve">Appendix 5). </w:t>
      </w:r>
      <w:r>
        <w:t xml:space="preserve">This was carried out by asking three YP, each connected by their relation to the researcher, who have previously transitioned to complete the draft questionnaire. </w:t>
      </w:r>
      <w:r w:rsidRPr="00BF1755">
        <w:t xml:space="preserve">Some amendments were </w:t>
      </w:r>
      <w:r>
        <w:t xml:space="preserve">then </w:t>
      </w:r>
      <w:r w:rsidRPr="00BF1755">
        <w:t xml:space="preserve">made to the questions as the feedback suggested greater clarity </w:t>
      </w:r>
      <w:r>
        <w:t xml:space="preserve">in some areas was needed. The option to select </w:t>
      </w:r>
      <w:r w:rsidRPr="00BF1755">
        <w:t xml:space="preserve">‘don’t know’ was purposefully </w:t>
      </w:r>
      <w:r>
        <w:t xml:space="preserve">omitted on the researcher’s part </w:t>
      </w:r>
      <w:r w:rsidRPr="00BF1755">
        <w:t xml:space="preserve">as </w:t>
      </w:r>
      <w:r>
        <w:t xml:space="preserve">it was acknowledged that </w:t>
      </w:r>
      <w:r w:rsidRPr="00BF1755">
        <w:t>participants may use this option if they are unsur</w:t>
      </w:r>
      <w:r>
        <w:t xml:space="preserve">e, indecisive or simply wished to avoid a specific question </w:t>
      </w:r>
      <w:r w:rsidRPr="00BF1755">
        <w:t xml:space="preserve">(Chapman 2014 </w:t>
      </w:r>
      <w:r w:rsidRPr="00AB4DA0">
        <w:rPr>
          <w:i/>
          <w:iCs/>
        </w:rPr>
        <w:t>cited in</w:t>
      </w:r>
      <w:r w:rsidRPr="00BF1755">
        <w:t xml:space="preserve"> Cohen 2018).</w:t>
      </w:r>
      <w:r>
        <w:t xml:space="preserve"> The amended questionnaire, according to the feedback from the pilot group (see </w:t>
      </w:r>
      <w:r w:rsidRPr="00E91656">
        <w:t xml:space="preserve">Appendix </w:t>
      </w:r>
      <w:r>
        <w:t>4</w:t>
      </w:r>
      <w:r w:rsidRPr="00E91656">
        <w:t xml:space="preserve">) </w:t>
      </w:r>
      <w:r>
        <w:t xml:space="preserve">was then returned for revaluation and a final approval. </w:t>
      </w:r>
      <w:r w:rsidRPr="00BF1755">
        <w:t xml:space="preserve"> </w:t>
      </w:r>
    </w:p>
    <w:p w14:paraId="4816956A" w14:textId="77777777" w:rsidR="00421BB4" w:rsidRPr="00BE1E28" w:rsidRDefault="00421BB4" w:rsidP="00421BB4">
      <w:pPr>
        <w:spacing w:after="200" w:line="360" w:lineRule="auto"/>
        <w:jc w:val="both"/>
        <w:rPr>
          <w:rFonts w:eastAsiaTheme="minorHAnsi"/>
          <w:b/>
          <w:lang w:eastAsia="en-US"/>
        </w:rPr>
      </w:pPr>
      <w:bookmarkStart w:id="22" w:name="Population"/>
      <w:r w:rsidRPr="00BE1E28">
        <w:rPr>
          <w:rFonts w:eastAsiaTheme="minorHAnsi"/>
          <w:b/>
          <w:u w:val="single"/>
          <w:lang w:eastAsia="en-US"/>
        </w:rPr>
        <w:t>3.6 - Population and sample</w:t>
      </w:r>
    </w:p>
    <w:bookmarkEnd w:id="22"/>
    <w:p w14:paraId="256EE4EB" w14:textId="77777777" w:rsidR="00421BB4" w:rsidRPr="00BF1755" w:rsidRDefault="00421BB4" w:rsidP="00421BB4">
      <w:pPr>
        <w:spacing w:after="200" w:line="360" w:lineRule="auto"/>
        <w:ind w:firstLine="360"/>
        <w:jc w:val="both"/>
        <w:rPr>
          <w:rFonts w:eastAsiaTheme="minorHAnsi"/>
          <w:lang w:eastAsia="en-US"/>
        </w:rPr>
      </w:pPr>
      <w:r w:rsidRPr="00BF1755">
        <w:rPr>
          <w:rFonts w:eastAsiaTheme="minorHAnsi"/>
          <w:lang w:eastAsia="en-US"/>
        </w:rPr>
        <w:t>A goal-directed and purposive sampling approach was used when selecting the sample for this investigation as the researcher already knew information regarding the participants</w:t>
      </w:r>
      <w:r>
        <w:rPr>
          <w:rFonts w:eastAsiaTheme="minorHAnsi"/>
          <w:lang w:eastAsia="en-US"/>
        </w:rPr>
        <w:t>. These participants’ characteristics</w:t>
      </w:r>
      <w:r w:rsidRPr="00BF1755">
        <w:rPr>
          <w:rFonts w:eastAsiaTheme="minorHAnsi"/>
          <w:lang w:eastAsia="en-US"/>
        </w:rPr>
        <w:t xml:space="preserve"> were</w:t>
      </w:r>
      <w:r>
        <w:rPr>
          <w:rFonts w:eastAsiaTheme="minorHAnsi"/>
          <w:lang w:eastAsia="en-US"/>
        </w:rPr>
        <w:t xml:space="preserve"> both</w:t>
      </w:r>
      <w:r w:rsidRPr="00BF1755">
        <w:rPr>
          <w:rFonts w:eastAsiaTheme="minorHAnsi"/>
          <w:lang w:eastAsia="en-US"/>
        </w:rPr>
        <w:t xml:space="preserve"> relevant</w:t>
      </w:r>
      <w:r>
        <w:rPr>
          <w:rFonts w:eastAsiaTheme="minorHAnsi"/>
          <w:lang w:eastAsia="en-US"/>
        </w:rPr>
        <w:t xml:space="preserve"> and useful</w:t>
      </w:r>
      <w:r w:rsidRPr="00BF1755">
        <w:rPr>
          <w:rFonts w:eastAsiaTheme="minorHAnsi"/>
          <w:lang w:eastAsia="en-US"/>
        </w:rPr>
        <w:t xml:space="preserve"> to the study </w:t>
      </w:r>
      <w:r>
        <w:rPr>
          <w:rFonts w:eastAsiaTheme="minorHAnsi"/>
          <w:lang w:eastAsia="en-US"/>
        </w:rPr>
        <w:t>as they were</w:t>
      </w:r>
      <w:r w:rsidRPr="00BF1755">
        <w:rPr>
          <w:rFonts w:eastAsiaTheme="minorHAnsi"/>
          <w:lang w:eastAsia="en-US"/>
        </w:rPr>
        <w:t xml:space="preserve"> most likely to produce valuable data according to th</w:t>
      </w:r>
      <w:r>
        <w:rPr>
          <w:rFonts w:eastAsiaTheme="minorHAnsi"/>
          <w:lang w:eastAsia="en-US"/>
        </w:rPr>
        <w:t xml:space="preserve">e focus of the topic </w:t>
      </w:r>
      <w:r w:rsidRPr="00BF1755">
        <w:rPr>
          <w:rFonts w:eastAsiaTheme="minorHAnsi"/>
          <w:lang w:eastAsia="en-US"/>
        </w:rPr>
        <w:t>(Denscombe 1998) While the researcher was already indirectly familiar with the participants through work colleagues</w:t>
      </w:r>
      <w:r>
        <w:rPr>
          <w:rFonts w:eastAsiaTheme="minorHAnsi"/>
          <w:lang w:eastAsia="en-US"/>
        </w:rPr>
        <w:t>,</w:t>
      </w:r>
      <w:r w:rsidRPr="00BF1755">
        <w:rPr>
          <w:rFonts w:eastAsiaTheme="minorHAnsi"/>
          <w:lang w:eastAsia="en-US"/>
        </w:rPr>
        <w:t xml:space="preserve"> the sample approach was purposive with an element of convenience sampling as a subsidiary (Denscombe 2021). </w:t>
      </w:r>
    </w:p>
    <w:p w14:paraId="2A50C3F2" w14:textId="77777777" w:rsidR="00421BB4" w:rsidRPr="007D55FF" w:rsidRDefault="00421BB4" w:rsidP="00421BB4">
      <w:pPr>
        <w:widowControl w:val="0"/>
        <w:overflowPunct w:val="0"/>
        <w:autoSpaceDE w:val="0"/>
        <w:autoSpaceDN w:val="0"/>
        <w:adjustRightInd w:val="0"/>
        <w:spacing w:line="360" w:lineRule="auto"/>
        <w:ind w:firstLine="360"/>
        <w:jc w:val="both"/>
        <w:rPr>
          <w:rFonts w:eastAsiaTheme="minorHAnsi"/>
          <w:color w:val="00B050"/>
          <w:lang w:eastAsia="en-US"/>
        </w:rPr>
      </w:pPr>
      <w:r w:rsidRPr="00BF1755">
        <w:rPr>
          <w:rFonts w:eastAsiaTheme="minorHAnsi"/>
          <w:lang w:eastAsia="en-US"/>
        </w:rPr>
        <w:t>The participants were specifically chosen and identified as they fit the chosen criteria of investigation</w:t>
      </w:r>
      <w:r>
        <w:rPr>
          <w:rFonts w:eastAsiaTheme="minorHAnsi"/>
          <w:lang w:eastAsia="en-US"/>
        </w:rPr>
        <w:t xml:space="preserve">; </w:t>
      </w:r>
      <w:r w:rsidRPr="00BF1755">
        <w:rPr>
          <w:rFonts w:eastAsiaTheme="minorHAnsi"/>
          <w:lang w:eastAsia="en-US"/>
        </w:rPr>
        <w:t xml:space="preserve">a </w:t>
      </w:r>
      <w:r>
        <w:rPr>
          <w:rFonts w:eastAsiaTheme="minorHAnsi"/>
          <w:lang w:eastAsia="en-US"/>
        </w:rPr>
        <w:t>P16</w:t>
      </w:r>
      <w:r w:rsidRPr="00BF1755">
        <w:rPr>
          <w:rFonts w:eastAsiaTheme="minorHAnsi"/>
          <w:lang w:eastAsia="en-US"/>
        </w:rPr>
        <w:t xml:space="preserve"> pupil who has transitioned from secondary school onto college, a </w:t>
      </w:r>
      <w:r>
        <w:rPr>
          <w:rFonts w:eastAsiaTheme="minorHAnsi"/>
          <w:lang w:eastAsia="en-US"/>
        </w:rPr>
        <w:t>P</w:t>
      </w:r>
      <w:r w:rsidRPr="00BF1755">
        <w:rPr>
          <w:rFonts w:eastAsiaTheme="minorHAnsi"/>
          <w:lang w:eastAsia="en-US"/>
        </w:rPr>
        <w:t xml:space="preserve">16 pupil who has transitioned into </w:t>
      </w:r>
      <w:r>
        <w:rPr>
          <w:rFonts w:eastAsiaTheme="minorHAnsi"/>
          <w:lang w:eastAsia="en-US"/>
        </w:rPr>
        <w:t>sixth</w:t>
      </w:r>
      <w:r w:rsidRPr="00BF1755">
        <w:rPr>
          <w:rFonts w:eastAsiaTheme="minorHAnsi"/>
          <w:lang w:eastAsia="en-US"/>
        </w:rPr>
        <w:t xml:space="preserve"> form at the same secondary school, and a </w:t>
      </w:r>
      <w:r>
        <w:rPr>
          <w:rFonts w:eastAsiaTheme="minorHAnsi"/>
          <w:lang w:eastAsia="en-US"/>
        </w:rPr>
        <w:t>P1</w:t>
      </w:r>
      <w:r w:rsidRPr="00BF1755">
        <w:rPr>
          <w:rFonts w:eastAsiaTheme="minorHAnsi"/>
          <w:lang w:eastAsia="en-US"/>
        </w:rPr>
        <w:t>6 pupil who has transitioned to university. All participants attended secondary schools in the same Local Authority</w:t>
      </w:r>
      <w:r>
        <w:rPr>
          <w:rFonts w:eastAsiaTheme="minorHAnsi"/>
          <w:lang w:eastAsia="en-US"/>
        </w:rPr>
        <w:t xml:space="preserve"> in Southwest Wales</w:t>
      </w:r>
      <w:r w:rsidRPr="00BF1755">
        <w:rPr>
          <w:rFonts w:eastAsiaTheme="minorHAnsi"/>
          <w:lang w:eastAsia="en-US"/>
        </w:rPr>
        <w:t xml:space="preserve"> and all three </w:t>
      </w:r>
      <w:r>
        <w:rPr>
          <w:rFonts w:eastAsiaTheme="minorHAnsi"/>
          <w:lang w:eastAsia="en-US"/>
        </w:rPr>
        <w:t xml:space="preserve">were </w:t>
      </w:r>
      <w:r w:rsidRPr="00BF1755">
        <w:rPr>
          <w:rFonts w:eastAsiaTheme="minorHAnsi"/>
          <w:lang w:eastAsia="en-US"/>
        </w:rPr>
        <w:t>from separate secondary schools.</w:t>
      </w:r>
      <w:r>
        <w:rPr>
          <w:rFonts w:eastAsiaTheme="minorHAnsi"/>
          <w:lang w:eastAsia="en-US"/>
        </w:rPr>
        <w:t xml:space="preserve"> All three participants achieved ten GCSEs and have similar attainment levels.</w:t>
      </w:r>
      <w:r w:rsidRPr="00BF1755">
        <w:rPr>
          <w:rFonts w:eastAsiaTheme="minorHAnsi"/>
          <w:lang w:eastAsia="en-US"/>
        </w:rPr>
        <w:t xml:space="preserve"> The chosen participants are not pupils that the researcher has worked directly with in the past and were </w:t>
      </w:r>
      <w:r>
        <w:rPr>
          <w:rFonts w:eastAsiaTheme="minorHAnsi"/>
          <w:lang w:eastAsia="en-US"/>
        </w:rPr>
        <w:t xml:space="preserve">instead </w:t>
      </w:r>
      <w:r w:rsidRPr="00BF1755">
        <w:rPr>
          <w:rFonts w:eastAsiaTheme="minorHAnsi"/>
          <w:lang w:eastAsia="en-US"/>
        </w:rPr>
        <w:t xml:space="preserve">identified through discussion with former colleagues and friends. </w:t>
      </w:r>
    </w:p>
    <w:p w14:paraId="7779D3B5" w14:textId="77777777" w:rsidR="00421BB4" w:rsidRDefault="00421BB4" w:rsidP="00421BB4">
      <w:pPr>
        <w:spacing w:line="360" w:lineRule="auto"/>
        <w:outlineLvl w:val="1"/>
        <w:rPr>
          <w:rFonts w:eastAsiaTheme="minorHAnsi"/>
          <w:b/>
          <w:bCs/>
          <w:u w:val="single"/>
          <w:lang w:eastAsia="en-US"/>
        </w:rPr>
      </w:pPr>
    </w:p>
    <w:p w14:paraId="17BBBAD2" w14:textId="77777777" w:rsidR="00421BB4" w:rsidRPr="00BE1E28" w:rsidRDefault="00421BB4" w:rsidP="00421BB4">
      <w:pPr>
        <w:spacing w:line="360" w:lineRule="auto"/>
        <w:outlineLvl w:val="1"/>
        <w:rPr>
          <w:rFonts w:eastAsiaTheme="minorHAnsi"/>
          <w:b/>
          <w:bCs/>
          <w:u w:val="single"/>
          <w:lang w:eastAsia="en-US"/>
        </w:rPr>
      </w:pPr>
      <w:bookmarkStart w:id="23" w:name="Ethicalconsiderations"/>
      <w:r w:rsidRPr="00BE1E28">
        <w:rPr>
          <w:rFonts w:eastAsiaTheme="minorHAnsi"/>
          <w:b/>
          <w:bCs/>
          <w:u w:val="single"/>
          <w:lang w:eastAsia="en-US"/>
        </w:rPr>
        <w:t>3.7 - Ethical considerations</w:t>
      </w:r>
    </w:p>
    <w:bookmarkEnd w:id="23"/>
    <w:p w14:paraId="17FACBB4"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Pr>
          <w:rFonts w:eastAsiaTheme="minorHAnsi"/>
          <w:lang w:eastAsia="en-US"/>
        </w:rPr>
        <w:t>In order to comply with c</w:t>
      </w:r>
      <w:r w:rsidRPr="00BF1755">
        <w:rPr>
          <w:rFonts w:eastAsiaTheme="minorHAnsi"/>
          <w:lang w:eastAsia="en-US"/>
        </w:rPr>
        <w:t>ase study protoco</w:t>
      </w:r>
      <w:r>
        <w:rPr>
          <w:rFonts w:eastAsiaTheme="minorHAnsi"/>
          <w:lang w:eastAsia="en-US"/>
        </w:rPr>
        <w:t>l</w:t>
      </w:r>
      <w:r w:rsidRPr="00094A82">
        <w:rPr>
          <w:rFonts w:eastAsiaTheme="minorHAnsi"/>
          <w:lang w:eastAsia="en-US"/>
        </w:rPr>
        <w:t xml:space="preserve"> </w:t>
      </w:r>
      <w:r w:rsidRPr="00BF1755">
        <w:rPr>
          <w:rFonts w:eastAsiaTheme="minorHAnsi"/>
          <w:lang w:eastAsia="en-US"/>
        </w:rPr>
        <w:t>(Yin 2016)</w:t>
      </w:r>
      <w:r>
        <w:rPr>
          <w:rFonts w:eastAsiaTheme="minorHAnsi"/>
          <w:lang w:eastAsia="en-US"/>
        </w:rPr>
        <w:t>, this case study fulfils</w:t>
      </w:r>
      <w:r w:rsidRPr="00BF1755">
        <w:rPr>
          <w:rFonts w:eastAsiaTheme="minorHAnsi"/>
          <w:lang w:eastAsia="en-US"/>
        </w:rPr>
        <w:t xml:space="preserve"> the requirements of the University Ethics Committee, </w:t>
      </w:r>
      <w:r>
        <w:rPr>
          <w:rFonts w:eastAsiaTheme="minorHAnsi"/>
          <w:lang w:eastAsia="en-US"/>
        </w:rPr>
        <w:t xml:space="preserve">which </w:t>
      </w:r>
      <w:r w:rsidRPr="00BF1755">
        <w:rPr>
          <w:rFonts w:eastAsiaTheme="minorHAnsi"/>
          <w:lang w:eastAsia="en-US"/>
        </w:rPr>
        <w:t xml:space="preserve">prior to the investigation, included applying for ethical authorisation which was successfully </w:t>
      </w:r>
      <w:r w:rsidRPr="00E91656">
        <w:rPr>
          <w:rFonts w:eastAsiaTheme="minorHAnsi"/>
          <w:lang w:eastAsia="en-US"/>
        </w:rPr>
        <w:t xml:space="preserve">approved (see Appendix 6). Familiarisation with General Data Protection Regulation (GDPR) and the British Educational Research Association (BERA) ethical guidelines as well as obtaining approval from the University Ethics Committee meant that acquiring permission to interview the participants could take place, which was sought and obtained from the YP themselves (UWTSD 2021). Consent was obtained through a detailed letter of consent shared with all participants and an additional consent form approved by UWTSD (see Appendix 7 and 8). </w:t>
      </w:r>
    </w:p>
    <w:p w14:paraId="0B6581D3" w14:textId="77777777" w:rsidR="00421BB4" w:rsidRPr="007D55FF" w:rsidRDefault="00421BB4" w:rsidP="00421BB4">
      <w:pPr>
        <w:widowControl w:val="0"/>
        <w:overflowPunct w:val="0"/>
        <w:autoSpaceDE w:val="0"/>
        <w:autoSpaceDN w:val="0"/>
        <w:adjustRightInd w:val="0"/>
        <w:spacing w:line="360" w:lineRule="auto"/>
        <w:jc w:val="both"/>
        <w:rPr>
          <w:rFonts w:eastAsiaTheme="minorHAnsi"/>
          <w:u w:val="single"/>
          <w:lang w:eastAsia="en-US"/>
        </w:rPr>
      </w:pPr>
      <w:bookmarkStart w:id="24" w:name="Participantrecruitment"/>
      <w:r>
        <w:rPr>
          <w:rFonts w:eastAsiaTheme="minorHAnsi"/>
          <w:u w:val="single"/>
          <w:lang w:eastAsia="en-US"/>
        </w:rPr>
        <w:t xml:space="preserve">3.7.1 - </w:t>
      </w:r>
      <w:r w:rsidRPr="007D55FF">
        <w:rPr>
          <w:rFonts w:eastAsiaTheme="minorHAnsi"/>
          <w:u w:val="single"/>
          <w:lang w:eastAsia="en-US"/>
        </w:rPr>
        <w:t>Participant recruitment and context</w:t>
      </w:r>
    </w:p>
    <w:bookmarkEnd w:id="24"/>
    <w:p w14:paraId="50322F6D" w14:textId="77777777" w:rsidR="00421BB4" w:rsidRPr="00BF1755"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Pr>
          <w:rFonts w:eastAsiaTheme="minorHAnsi"/>
          <w:lang w:eastAsia="en-US"/>
        </w:rPr>
        <w:t xml:space="preserve">Planning and preparation included a meeting with the participants that took place in their homes. </w:t>
      </w:r>
      <w:r w:rsidRPr="00BA19AC">
        <w:rPr>
          <w:rFonts w:eastAsiaTheme="minorHAnsi"/>
          <w:lang w:eastAsia="en-US"/>
        </w:rPr>
        <w:t>All participants chose to meet face to face</w:t>
      </w:r>
      <w:r>
        <w:rPr>
          <w:rFonts w:eastAsiaTheme="minorHAnsi"/>
          <w:lang w:eastAsia="en-US"/>
        </w:rPr>
        <w:t>, indoors at their homes for initial discussions</w:t>
      </w:r>
      <w:r w:rsidRPr="00BA19AC">
        <w:rPr>
          <w:rFonts w:eastAsiaTheme="minorHAnsi"/>
          <w:lang w:eastAsia="en-US"/>
        </w:rPr>
        <w:t xml:space="preserve"> and it was during this time that the participants were provided with a detailed overview of the research project’s aims and objectives</w:t>
      </w:r>
      <w:r>
        <w:rPr>
          <w:rFonts w:eastAsiaTheme="minorHAnsi"/>
          <w:lang w:eastAsia="en-US"/>
        </w:rPr>
        <w:t>. They were given</w:t>
      </w:r>
      <w:r w:rsidRPr="00BA19AC">
        <w:rPr>
          <w:rFonts w:eastAsiaTheme="minorHAnsi"/>
          <w:lang w:eastAsia="en-US"/>
        </w:rPr>
        <w:t xml:space="preserve"> a cover letter (see </w:t>
      </w:r>
      <w:r w:rsidRPr="00E91656">
        <w:rPr>
          <w:rFonts w:eastAsiaTheme="minorHAnsi"/>
          <w:lang w:eastAsia="en-US"/>
        </w:rPr>
        <w:t xml:space="preserve">Appendix 7) </w:t>
      </w:r>
      <w:r w:rsidRPr="00BA19AC">
        <w:rPr>
          <w:rFonts w:eastAsiaTheme="minorHAnsi"/>
          <w:lang w:eastAsia="en-US"/>
        </w:rPr>
        <w:t>of consent explaining the research project.</w:t>
      </w:r>
      <w:r>
        <w:rPr>
          <w:rFonts w:eastAsiaTheme="minorHAnsi"/>
          <w:lang w:eastAsia="en-US"/>
        </w:rPr>
        <w:t xml:space="preserve"> In order to maintain safeguarding requirements, parents of all participants were in close proximity in the adjoining room. </w:t>
      </w:r>
      <w:r w:rsidRPr="0032166F">
        <w:rPr>
          <w:rFonts w:eastAsiaTheme="minorHAnsi"/>
          <w:lang w:eastAsia="en-US"/>
        </w:rPr>
        <w:t>Prep</w:t>
      </w:r>
      <w:r>
        <w:rPr>
          <w:rFonts w:eastAsiaTheme="minorHAnsi"/>
          <w:lang w:eastAsia="en-US"/>
        </w:rPr>
        <w:t xml:space="preserve">lanning </w:t>
      </w:r>
      <w:r w:rsidRPr="0032166F">
        <w:rPr>
          <w:rFonts w:eastAsiaTheme="minorHAnsi"/>
          <w:lang w:eastAsia="en-US"/>
        </w:rPr>
        <w:t>considerations such as the importance of building rapport with the participants, maintain</w:t>
      </w:r>
      <w:r>
        <w:rPr>
          <w:rFonts w:eastAsiaTheme="minorHAnsi"/>
          <w:lang w:eastAsia="en-US"/>
        </w:rPr>
        <w:t>ing</w:t>
      </w:r>
      <w:r w:rsidRPr="0032166F">
        <w:rPr>
          <w:rFonts w:eastAsiaTheme="minorHAnsi"/>
          <w:lang w:eastAsia="en-US"/>
        </w:rPr>
        <w:t xml:space="preserve"> rigour and further ethical considerations are included within </w:t>
      </w:r>
      <w:r w:rsidRPr="00E91656">
        <w:rPr>
          <w:rFonts w:eastAsiaTheme="minorHAnsi"/>
          <w:lang w:eastAsia="en-US"/>
        </w:rPr>
        <w:t xml:space="preserve">Appendix 9.  </w:t>
      </w:r>
      <w:r w:rsidRPr="0032166F">
        <w:rPr>
          <w:rFonts w:eastAsiaTheme="minorHAnsi"/>
          <w:lang w:eastAsia="en-US"/>
        </w:rPr>
        <w:t>Following the obtainment of consent, the interviews were</w:t>
      </w:r>
      <w:r>
        <w:rPr>
          <w:rFonts w:eastAsiaTheme="minorHAnsi"/>
          <w:lang w:eastAsia="en-US"/>
        </w:rPr>
        <w:t xml:space="preserve"> then</w:t>
      </w:r>
      <w:r w:rsidRPr="0032166F">
        <w:rPr>
          <w:rFonts w:eastAsiaTheme="minorHAnsi"/>
          <w:lang w:eastAsia="en-US"/>
        </w:rPr>
        <w:t xml:space="preserve"> scheduled to take place in their homes. The YP were involved in this study</w:t>
      </w:r>
      <w:r>
        <w:rPr>
          <w:rFonts w:eastAsiaTheme="minorHAnsi"/>
          <w:lang w:eastAsia="en-US"/>
        </w:rPr>
        <w:t xml:space="preserve"> entirely</w:t>
      </w:r>
      <w:r w:rsidRPr="0032166F">
        <w:rPr>
          <w:rFonts w:eastAsiaTheme="minorHAnsi"/>
          <w:lang w:eastAsia="en-US"/>
        </w:rPr>
        <w:t xml:space="preserve"> separately and did not communicate or confer on any matters discussed.</w:t>
      </w:r>
    </w:p>
    <w:p w14:paraId="30525625" w14:textId="77777777" w:rsidR="00421BB4" w:rsidRPr="00D94BF5" w:rsidRDefault="00421BB4" w:rsidP="00421BB4">
      <w:pPr>
        <w:spacing w:after="200" w:line="360" w:lineRule="auto"/>
        <w:jc w:val="both"/>
        <w:rPr>
          <w:rFonts w:eastAsiaTheme="minorHAnsi"/>
          <w:lang w:eastAsia="en-US"/>
        </w:rPr>
      </w:pPr>
      <w:bookmarkStart w:id="25" w:name="Pupilparticipation"/>
      <w:r>
        <w:rPr>
          <w:rFonts w:eastAsiaTheme="minorHAnsi"/>
          <w:u w:val="single"/>
          <w:lang w:eastAsia="en-US"/>
        </w:rPr>
        <w:t xml:space="preserve">3.7.2 - </w:t>
      </w:r>
      <w:r w:rsidRPr="00D94BF5">
        <w:rPr>
          <w:rFonts w:eastAsiaTheme="minorHAnsi"/>
          <w:u w:val="single"/>
          <w:lang w:eastAsia="en-US"/>
        </w:rPr>
        <w:t>Pupil participation and voice</w:t>
      </w:r>
    </w:p>
    <w:bookmarkEnd w:id="25"/>
    <w:p w14:paraId="61BF9258" w14:textId="77777777" w:rsidR="00421BB4" w:rsidRDefault="00421BB4" w:rsidP="00421BB4">
      <w:pPr>
        <w:spacing w:after="120" w:line="360" w:lineRule="auto"/>
        <w:ind w:firstLine="720"/>
        <w:jc w:val="both"/>
      </w:pPr>
      <w:r w:rsidRPr="00BF1755">
        <w:t xml:space="preserve">As schools claim to support the wellbeing of </w:t>
      </w:r>
      <w:r>
        <w:t>YP</w:t>
      </w:r>
      <w:r w:rsidRPr="00BF1755">
        <w:t xml:space="preserve"> during their transition experiences, this set about a personal curiosity to </w:t>
      </w:r>
      <w:r>
        <w:t>examine</w:t>
      </w:r>
      <w:r w:rsidRPr="00BF1755">
        <w:t xml:space="preserve"> what this actually means in practice, which </w:t>
      </w:r>
      <w:r>
        <w:t>as already established is the</w:t>
      </w:r>
      <w:r w:rsidRPr="00BF1755">
        <w:t xml:space="preserve"> overarching motivation for this study (Todd 2007, </w:t>
      </w:r>
      <w:r w:rsidRPr="00AB4DA0">
        <w:rPr>
          <w:i/>
          <w:iCs/>
        </w:rPr>
        <w:t>cited in</w:t>
      </w:r>
      <w:r w:rsidRPr="00BF1755">
        <w:t xml:space="preserve"> Hall 2010). It must be noted, however, that this research study proved to be multi layered in terms of its </w:t>
      </w:r>
      <w:r>
        <w:t xml:space="preserve">often-complex </w:t>
      </w:r>
      <w:r w:rsidRPr="00BF1755">
        <w:t>content</w:t>
      </w:r>
      <w:r>
        <w:t xml:space="preserve"> and themes</w:t>
      </w:r>
      <w:r w:rsidRPr="00BF1755">
        <w:t xml:space="preserve">. The topic of transition, as outlined in </w:t>
      </w:r>
      <w:r>
        <w:t>Chapter 2</w:t>
      </w:r>
      <w:r w:rsidRPr="00BF1755">
        <w:t xml:space="preserve">, is multi layered and complex and still remains hard to define (Symonds 2018 and Spratt 2017). As well navigating the complexities associated with exploring two very intricate topics simultaneously, both topics are inextricably linked to pupil participation and voice, which could have been a research topic within its own right. </w:t>
      </w:r>
    </w:p>
    <w:p w14:paraId="0D5E300F" w14:textId="77777777" w:rsidR="00421BB4" w:rsidRPr="00BF1755" w:rsidRDefault="00421BB4" w:rsidP="00421BB4">
      <w:pPr>
        <w:spacing w:after="120" w:line="360" w:lineRule="auto"/>
        <w:ind w:firstLine="720"/>
        <w:jc w:val="both"/>
      </w:pPr>
      <w:r w:rsidRPr="00BF1755">
        <w:lastRenderedPageBreak/>
        <w:t xml:space="preserve">This research study therefore could not exclude or ignore the complexities surrounding participation and voice when exploring the perceptions of the participants, especially when considering key concepts derived from legislation that advocate </w:t>
      </w:r>
      <w:r>
        <w:t>YP</w:t>
      </w:r>
      <w:r w:rsidRPr="00BF1755">
        <w:t xml:space="preserve">’s participation. It was necessary to consider the ethics involved specifically when doing research with </w:t>
      </w:r>
      <w:r>
        <w:t>CYP</w:t>
      </w:r>
      <w:r w:rsidRPr="00BF1755">
        <w:t xml:space="preserve"> before proceeding with the study</w:t>
      </w:r>
      <w:r>
        <w:t xml:space="preserve"> as, despite</w:t>
      </w:r>
      <w:r w:rsidRPr="00BF1755">
        <w:t xml:space="preserve"> recent research in the UK indicat</w:t>
      </w:r>
      <w:r>
        <w:t>ing</w:t>
      </w:r>
      <w:r w:rsidRPr="00BF1755">
        <w:t xml:space="preserve"> an increase</w:t>
      </w:r>
      <w:r>
        <w:t xml:space="preserve">d awareness </w:t>
      </w:r>
      <w:r w:rsidRPr="00BF1755">
        <w:t>of the importance of pupil participation for overall wellbeing,</w:t>
      </w:r>
      <w:r>
        <w:t xml:space="preserve"> </w:t>
      </w:r>
      <w:r w:rsidRPr="00BF1755">
        <w:t xml:space="preserve">the majority of research on pupil participation </w:t>
      </w:r>
      <w:r>
        <w:t>remains</w:t>
      </w:r>
      <w:r w:rsidRPr="00BF1755">
        <w:t xml:space="preserve"> tokenistic in nature (Spratt 2017 and Todd 2007, </w:t>
      </w:r>
      <w:r w:rsidRPr="00AB4DA0">
        <w:rPr>
          <w:i/>
          <w:iCs/>
        </w:rPr>
        <w:t>cited in</w:t>
      </w:r>
      <w:r w:rsidRPr="00BF1755">
        <w:t xml:space="preserve"> Hall 2010). </w:t>
      </w:r>
      <w:r w:rsidRPr="00BF1755">
        <w:rPr>
          <w:color w:val="FF0000"/>
        </w:rPr>
        <w:t xml:space="preserve"> </w:t>
      </w:r>
      <w:r w:rsidRPr="00BF1755">
        <w:t xml:space="preserve"> </w:t>
      </w:r>
    </w:p>
    <w:p w14:paraId="71666D1D" w14:textId="77777777" w:rsidR="00421BB4" w:rsidRDefault="00421BB4" w:rsidP="00421BB4">
      <w:pPr>
        <w:spacing w:after="120" w:line="360" w:lineRule="auto"/>
        <w:ind w:firstLine="720"/>
        <w:jc w:val="both"/>
        <w:rPr>
          <w:rFonts w:eastAsiaTheme="minorHAnsi"/>
          <w:lang w:eastAsia="en-US"/>
        </w:rPr>
      </w:pPr>
      <w:r w:rsidRPr="00D30509">
        <w:t xml:space="preserve">Being </w:t>
      </w:r>
      <w:r>
        <w:t>mainly</w:t>
      </w:r>
      <w:r w:rsidRPr="00D30509">
        <w:t xml:space="preserve"> qualitative, with an interpretive stance, the involvement of the researcher in the process of material generation and interpretation is crucial (Yin 2016). Concerns over the researcher effect and positionality had to be considered when utilising these tools (Denscombe 2021 and Robinson and Kellett 2004). This </w:t>
      </w:r>
      <w:r w:rsidRPr="00F2318F">
        <w:t>w</w:t>
      </w:r>
      <w:r>
        <w:t>as</w:t>
      </w:r>
      <w:r w:rsidRPr="00F2318F">
        <w:t xml:space="preserve"> especially significant given th</w:t>
      </w:r>
      <w:r>
        <w:t>at the</w:t>
      </w:r>
      <w:r w:rsidRPr="00F2318F">
        <w:t xml:space="preserve"> researcher gathering the data is </w:t>
      </w:r>
      <w:r>
        <w:t>holds the</w:t>
      </w:r>
      <w:r w:rsidRPr="00F2318F">
        <w:t xml:space="preserve"> position of power</w:t>
      </w:r>
      <w:r>
        <w:t>; each</w:t>
      </w:r>
      <w:r w:rsidRPr="00F2318F">
        <w:t xml:space="preserve"> participant </w:t>
      </w:r>
      <w:r>
        <w:t>was</w:t>
      </w:r>
      <w:r w:rsidRPr="00F2318F">
        <w:t xml:space="preserve"> familiar with the researcher’s role as a LA P16TO and</w:t>
      </w:r>
      <w:r>
        <w:t xml:space="preserve"> former</w:t>
      </w:r>
      <w:r w:rsidRPr="00F2318F">
        <w:t xml:space="preserve"> secondary school teacher (Denscombe, 2008). </w:t>
      </w:r>
      <w:r w:rsidRPr="00BF1755">
        <w:rPr>
          <w:rFonts w:eastAsiaTheme="minorHAnsi"/>
          <w:lang w:eastAsia="en-US"/>
        </w:rPr>
        <w:t xml:space="preserve">It was necessary for the researcher to acknowledge that people in positions of power can often construct characteristics as ‘caregivers and protectors of children and young people’ during research which can result in them seeing </w:t>
      </w:r>
      <w:r>
        <w:rPr>
          <w:rFonts w:eastAsiaTheme="minorHAnsi"/>
          <w:lang w:eastAsia="en-US"/>
        </w:rPr>
        <w:t>YP</w:t>
      </w:r>
      <w:r w:rsidRPr="00BF1755">
        <w:rPr>
          <w:rFonts w:eastAsiaTheme="minorHAnsi"/>
          <w:lang w:eastAsia="en-US"/>
        </w:rPr>
        <w:t xml:space="preserve"> as vulnerable and even passive (Ruddock &amp; Flutter 2004, </w:t>
      </w:r>
      <w:r w:rsidRPr="00AB4DA0">
        <w:rPr>
          <w:rFonts w:eastAsiaTheme="minorHAnsi"/>
          <w:i/>
          <w:iCs/>
          <w:lang w:eastAsia="en-US"/>
        </w:rPr>
        <w:t>cited in</w:t>
      </w:r>
      <w:r w:rsidRPr="00BF1755">
        <w:rPr>
          <w:rFonts w:eastAsiaTheme="minorHAnsi"/>
          <w:lang w:eastAsia="en-US"/>
        </w:rPr>
        <w:t xml:space="preserve"> Leach and Lewis 2012</w:t>
      </w:r>
      <w:r>
        <w:rPr>
          <w:rFonts w:eastAsiaTheme="minorHAnsi"/>
          <w:lang w:eastAsia="en-US"/>
        </w:rPr>
        <w:t xml:space="preserve">; </w:t>
      </w:r>
      <w:r w:rsidRPr="00BF1755">
        <w:rPr>
          <w:rFonts w:eastAsiaTheme="minorHAnsi"/>
          <w:lang w:eastAsia="en-US"/>
        </w:rPr>
        <w:t>Bragg 2007</w:t>
      </w:r>
      <w:r>
        <w:rPr>
          <w:rFonts w:eastAsiaTheme="minorHAnsi"/>
          <w:lang w:eastAsia="en-US"/>
        </w:rPr>
        <w:t xml:space="preserve"> and Coe, Warning, Hedges and Arthur 2017</w:t>
      </w:r>
      <w:r w:rsidRPr="00BF1755">
        <w:rPr>
          <w:rFonts w:eastAsiaTheme="minorHAnsi"/>
          <w:lang w:eastAsia="en-US"/>
        </w:rPr>
        <w:t xml:space="preserve">). </w:t>
      </w:r>
    </w:p>
    <w:p w14:paraId="0174DE2F" w14:textId="77777777" w:rsidR="00421BB4" w:rsidRPr="00531158" w:rsidRDefault="00421BB4" w:rsidP="00421BB4">
      <w:pPr>
        <w:spacing w:after="120" w:line="360" w:lineRule="auto"/>
        <w:ind w:firstLine="720"/>
        <w:jc w:val="both"/>
      </w:pPr>
      <w:r w:rsidRPr="00BF1755">
        <w:rPr>
          <w:rFonts w:eastAsiaTheme="minorHAnsi"/>
          <w:lang w:eastAsia="en-US"/>
        </w:rPr>
        <w:t>Bragg</w:t>
      </w:r>
      <w:r>
        <w:rPr>
          <w:rFonts w:eastAsiaTheme="minorHAnsi"/>
          <w:lang w:eastAsia="en-US"/>
        </w:rPr>
        <w:t xml:space="preserve"> (2007)</w:t>
      </w:r>
      <w:r w:rsidRPr="00BF1755">
        <w:rPr>
          <w:rFonts w:eastAsiaTheme="minorHAnsi"/>
          <w:lang w:eastAsia="en-US"/>
        </w:rPr>
        <w:t xml:space="preserve"> continues to identify that beliefs and unconscious bias might be profoundly questioned by </w:t>
      </w:r>
      <w:r>
        <w:rPr>
          <w:rFonts w:eastAsiaTheme="minorHAnsi"/>
          <w:lang w:eastAsia="en-US"/>
        </w:rPr>
        <w:t>listening</w:t>
      </w:r>
      <w:r w:rsidRPr="00BF1755">
        <w:rPr>
          <w:rFonts w:eastAsiaTheme="minorHAnsi"/>
          <w:lang w:eastAsia="en-US"/>
        </w:rPr>
        <w:t xml:space="preserve"> alongside rather than on behalf of pupil</w:t>
      </w:r>
      <w:r>
        <w:rPr>
          <w:rFonts w:eastAsiaTheme="minorHAnsi"/>
          <w:lang w:eastAsia="en-US"/>
        </w:rPr>
        <w:t xml:space="preserve">s. </w:t>
      </w:r>
      <w:r w:rsidRPr="00BF1755">
        <w:rPr>
          <w:rFonts w:eastAsiaTheme="minorHAnsi"/>
          <w:lang w:eastAsia="en-US"/>
        </w:rPr>
        <w:t>Prior to the commencement of each interview, it was therefore important that the researcher acknowledge</w:t>
      </w:r>
      <w:r>
        <w:rPr>
          <w:rFonts w:eastAsiaTheme="minorHAnsi"/>
          <w:lang w:eastAsia="en-US"/>
        </w:rPr>
        <w:t xml:space="preserve"> </w:t>
      </w:r>
      <w:r w:rsidRPr="00BF1755">
        <w:rPr>
          <w:rFonts w:eastAsiaTheme="minorHAnsi"/>
          <w:lang w:eastAsia="en-US"/>
        </w:rPr>
        <w:t>their bias’s and remove</w:t>
      </w:r>
      <w:r>
        <w:rPr>
          <w:rFonts w:eastAsiaTheme="minorHAnsi"/>
          <w:lang w:eastAsia="en-US"/>
        </w:rPr>
        <w:t xml:space="preserve"> </w:t>
      </w:r>
      <w:r w:rsidRPr="00BF1755">
        <w:rPr>
          <w:rFonts w:eastAsiaTheme="minorHAnsi"/>
          <w:lang w:eastAsia="en-US"/>
        </w:rPr>
        <w:t xml:space="preserve">themselves from their ‘work’ role, </w:t>
      </w:r>
      <w:r>
        <w:rPr>
          <w:rFonts w:eastAsiaTheme="minorHAnsi"/>
          <w:lang w:eastAsia="en-US"/>
        </w:rPr>
        <w:t xml:space="preserve">an </w:t>
      </w:r>
      <w:r w:rsidRPr="00BF1755">
        <w:rPr>
          <w:rFonts w:eastAsiaTheme="minorHAnsi"/>
          <w:lang w:eastAsia="en-US"/>
        </w:rPr>
        <w:t>arguably more ‘powerful’ role, and</w:t>
      </w:r>
      <w:r>
        <w:rPr>
          <w:rFonts w:eastAsiaTheme="minorHAnsi"/>
          <w:lang w:eastAsia="en-US"/>
        </w:rPr>
        <w:t xml:space="preserve"> instead</w:t>
      </w:r>
      <w:r w:rsidRPr="00BF1755">
        <w:rPr>
          <w:rFonts w:eastAsiaTheme="minorHAnsi"/>
          <w:lang w:eastAsia="en-US"/>
        </w:rPr>
        <w:t xml:space="preserve"> position themselves into </w:t>
      </w:r>
      <w:r>
        <w:rPr>
          <w:rFonts w:eastAsiaTheme="minorHAnsi"/>
          <w:lang w:eastAsia="en-US"/>
        </w:rPr>
        <w:t>a</w:t>
      </w:r>
      <w:r w:rsidRPr="00BF1755">
        <w:rPr>
          <w:rFonts w:eastAsiaTheme="minorHAnsi"/>
          <w:lang w:eastAsia="en-US"/>
        </w:rPr>
        <w:t xml:space="preserve"> ‘student’ role, the </w:t>
      </w:r>
      <w:r>
        <w:rPr>
          <w:rFonts w:eastAsiaTheme="minorHAnsi"/>
          <w:lang w:eastAsia="en-US"/>
        </w:rPr>
        <w:t xml:space="preserve">conventionally </w:t>
      </w:r>
      <w:r w:rsidRPr="00BF1755">
        <w:rPr>
          <w:rFonts w:eastAsiaTheme="minorHAnsi"/>
          <w:lang w:eastAsia="en-US"/>
        </w:rPr>
        <w:t>‘weaker’ role.</w:t>
      </w:r>
      <w:r>
        <w:rPr>
          <w:rFonts w:eastAsiaTheme="minorHAnsi"/>
          <w:lang w:eastAsia="en-US"/>
        </w:rPr>
        <w:t xml:space="preserve"> </w:t>
      </w:r>
      <w:r w:rsidRPr="00F96BFC">
        <w:rPr>
          <w:rFonts w:eastAsiaTheme="minorHAnsi"/>
          <w:lang w:eastAsia="en-US"/>
        </w:rPr>
        <w:t xml:space="preserve">That said, researcher subjectivity </w:t>
      </w:r>
      <w:r>
        <w:rPr>
          <w:rFonts w:eastAsiaTheme="minorHAnsi"/>
          <w:lang w:eastAsia="en-US"/>
        </w:rPr>
        <w:t>was</w:t>
      </w:r>
      <w:r w:rsidRPr="00F96BFC">
        <w:rPr>
          <w:rFonts w:eastAsiaTheme="minorHAnsi"/>
          <w:lang w:eastAsia="en-US"/>
        </w:rPr>
        <w:t xml:space="preserve"> viewed </w:t>
      </w:r>
      <w:r>
        <w:rPr>
          <w:rFonts w:eastAsiaTheme="minorHAnsi"/>
          <w:lang w:eastAsia="en-US"/>
        </w:rPr>
        <w:t xml:space="preserve">a </w:t>
      </w:r>
      <w:r w:rsidRPr="00F96BFC">
        <w:rPr>
          <w:rFonts w:eastAsiaTheme="minorHAnsi"/>
          <w:lang w:eastAsia="en-US"/>
        </w:rPr>
        <w:t>resource in this case as presuppositions were used to enhanced understanding of the impact of P16 transition (Braun and Clarke 2021 and Packer and Thomas 2021).</w:t>
      </w:r>
    </w:p>
    <w:p w14:paraId="7B7C733C" w14:textId="77777777" w:rsidR="00421BB4" w:rsidRPr="00D94BF5" w:rsidRDefault="00421BB4" w:rsidP="00421BB4">
      <w:pPr>
        <w:widowControl w:val="0"/>
        <w:overflowPunct w:val="0"/>
        <w:autoSpaceDE w:val="0"/>
        <w:autoSpaceDN w:val="0"/>
        <w:adjustRightInd w:val="0"/>
        <w:spacing w:line="360" w:lineRule="auto"/>
        <w:jc w:val="both"/>
        <w:rPr>
          <w:rFonts w:eastAsiaTheme="minorHAnsi"/>
          <w:u w:val="single"/>
          <w:lang w:eastAsia="en-US"/>
        </w:rPr>
      </w:pPr>
      <w:bookmarkStart w:id="26" w:name="Consent"/>
      <w:r>
        <w:rPr>
          <w:rFonts w:eastAsiaTheme="minorHAnsi"/>
          <w:u w:val="single"/>
          <w:lang w:eastAsia="en-US"/>
        </w:rPr>
        <w:t xml:space="preserve">3.7.3 - </w:t>
      </w:r>
      <w:r w:rsidRPr="00D94BF5">
        <w:rPr>
          <w:rFonts w:eastAsiaTheme="minorHAnsi"/>
          <w:u w:val="single"/>
          <w:lang w:eastAsia="en-US"/>
        </w:rPr>
        <w:t>Consent, confidentiality, and anonymity</w:t>
      </w:r>
    </w:p>
    <w:bookmarkEnd w:id="26"/>
    <w:p w14:paraId="705DAD8C" w14:textId="77777777" w:rsidR="00421BB4" w:rsidRPr="00BF1755"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 xml:space="preserve">Ethically, </w:t>
      </w:r>
      <w:r>
        <w:rPr>
          <w:rFonts w:eastAsiaTheme="minorHAnsi"/>
          <w:lang w:eastAsia="en-US"/>
        </w:rPr>
        <w:t>consideration was given to</w:t>
      </w:r>
      <w:r w:rsidRPr="00BF1755">
        <w:rPr>
          <w:rFonts w:eastAsiaTheme="minorHAnsi"/>
          <w:lang w:eastAsia="en-US"/>
        </w:rPr>
        <w:t xml:space="preserve"> inform</w:t>
      </w:r>
      <w:r>
        <w:rPr>
          <w:rFonts w:eastAsiaTheme="minorHAnsi"/>
          <w:lang w:eastAsia="en-US"/>
        </w:rPr>
        <w:t>ing</w:t>
      </w:r>
      <w:r w:rsidRPr="00BF1755">
        <w:rPr>
          <w:rFonts w:eastAsiaTheme="minorHAnsi"/>
          <w:lang w:eastAsia="en-US"/>
        </w:rPr>
        <w:t xml:space="preserve"> the parents of the </w:t>
      </w:r>
      <w:r>
        <w:rPr>
          <w:rFonts w:eastAsiaTheme="minorHAnsi"/>
          <w:lang w:eastAsia="en-US"/>
        </w:rPr>
        <w:t>two</w:t>
      </w:r>
      <w:r w:rsidRPr="00BF1755">
        <w:rPr>
          <w:rFonts w:eastAsiaTheme="minorHAnsi"/>
          <w:lang w:eastAsia="en-US"/>
        </w:rPr>
        <w:t xml:space="preserve"> participants under 18 years of age of the objectives of the research project and this decision was made irrespective of the </w:t>
      </w:r>
      <w:r>
        <w:rPr>
          <w:rFonts w:eastAsiaTheme="minorHAnsi"/>
          <w:lang w:eastAsia="en-US"/>
        </w:rPr>
        <w:t>YP</w:t>
      </w:r>
      <w:r w:rsidRPr="00BF1755">
        <w:rPr>
          <w:rFonts w:eastAsiaTheme="minorHAnsi"/>
          <w:lang w:eastAsia="en-US"/>
        </w:rPr>
        <w:t xml:space="preserve"> being able to provide consent</w:t>
      </w:r>
      <w:r>
        <w:rPr>
          <w:rFonts w:eastAsiaTheme="minorHAnsi"/>
          <w:lang w:eastAsia="en-US"/>
        </w:rPr>
        <w:t xml:space="preserve"> </w:t>
      </w:r>
      <w:r w:rsidRPr="00E91656">
        <w:rPr>
          <w:rFonts w:eastAsiaTheme="minorHAnsi"/>
          <w:lang w:eastAsia="en-US"/>
        </w:rPr>
        <w:t xml:space="preserve">(see Appendix 10). </w:t>
      </w:r>
      <w:r w:rsidRPr="00BF1755">
        <w:rPr>
          <w:rFonts w:eastAsiaTheme="minorHAnsi"/>
          <w:lang w:eastAsia="en-US"/>
        </w:rPr>
        <w:t xml:space="preserve">Also, a letter was written to the Heads of each of the schools explaining that research would be undertaken surrounding transition experiences of former pupils in their school. The letter assured them that </w:t>
      </w:r>
      <w:r w:rsidRPr="00BF1755">
        <w:rPr>
          <w:rFonts w:eastAsiaTheme="minorHAnsi"/>
          <w:lang w:eastAsia="en-US"/>
        </w:rPr>
        <w:lastRenderedPageBreak/>
        <w:t>the names of past pupils, the schools and other educational institutions would be omitted from this study. While consent was not necessary in this instance as no interviews or research methods would be carried out in the school</w:t>
      </w:r>
      <w:r>
        <w:rPr>
          <w:rFonts w:eastAsiaTheme="minorHAnsi"/>
          <w:lang w:eastAsia="en-US"/>
        </w:rPr>
        <w:t>s</w:t>
      </w:r>
      <w:r w:rsidRPr="00BF1755">
        <w:rPr>
          <w:rFonts w:eastAsiaTheme="minorHAnsi"/>
          <w:lang w:eastAsia="en-US"/>
        </w:rPr>
        <w:t xml:space="preserve">, ethically it was considered </w:t>
      </w:r>
      <w:r>
        <w:rPr>
          <w:rFonts w:eastAsiaTheme="minorHAnsi"/>
          <w:lang w:eastAsia="en-US"/>
        </w:rPr>
        <w:t xml:space="preserve">courteous and </w:t>
      </w:r>
      <w:r w:rsidRPr="00BF1755">
        <w:rPr>
          <w:rFonts w:eastAsiaTheme="minorHAnsi"/>
          <w:lang w:eastAsia="en-US"/>
        </w:rPr>
        <w:t xml:space="preserve">good practice </w:t>
      </w:r>
      <w:r w:rsidRPr="00E91656">
        <w:rPr>
          <w:rFonts w:eastAsiaTheme="minorHAnsi"/>
          <w:lang w:eastAsia="en-US"/>
        </w:rPr>
        <w:t>(see Appendix 11).</w:t>
      </w:r>
    </w:p>
    <w:p w14:paraId="54D7B6B0" w14:textId="77777777" w:rsidR="00421BB4" w:rsidRPr="00BF1755"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 xml:space="preserve">All participants were fully informed of the purpose and nature of the investigation in order to ‘reduce the legal liability as the researcher’ (Blaxter 2002, </w:t>
      </w:r>
      <w:r w:rsidRPr="00AB4DA0">
        <w:rPr>
          <w:rFonts w:eastAsiaTheme="minorHAnsi"/>
          <w:i/>
          <w:iCs/>
          <w:lang w:eastAsia="en-US"/>
        </w:rPr>
        <w:t>cited in</w:t>
      </w:r>
      <w:r w:rsidRPr="00BF1755">
        <w:rPr>
          <w:rFonts w:eastAsiaTheme="minorHAnsi"/>
          <w:lang w:eastAsia="en-US"/>
        </w:rPr>
        <w:t xml:space="preserve"> Bell and Waters 2018, p.67). Participants, parents, and school Heads were informed of the reason for the research via letter and how the data would be utilised (Denscombe 2014). Reassurance was also given </w:t>
      </w:r>
      <w:r>
        <w:rPr>
          <w:rFonts w:eastAsiaTheme="minorHAnsi"/>
          <w:lang w:eastAsia="en-US"/>
        </w:rPr>
        <w:t>to the participants which made clear that</w:t>
      </w:r>
      <w:r w:rsidRPr="00BF1755">
        <w:rPr>
          <w:rFonts w:eastAsiaTheme="minorHAnsi"/>
          <w:lang w:eastAsia="en-US"/>
        </w:rPr>
        <w:t xml:space="preserve"> they were under no obligation to take part in the research and that</w:t>
      </w:r>
      <w:r>
        <w:rPr>
          <w:rFonts w:eastAsiaTheme="minorHAnsi"/>
          <w:lang w:eastAsia="en-US"/>
        </w:rPr>
        <w:t xml:space="preserve"> their</w:t>
      </w:r>
      <w:r w:rsidRPr="00BF1755">
        <w:rPr>
          <w:rFonts w:eastAsiaTheme="minorHAnsi"/>
          <w:lang w:eastAsia="en-US"/>
        </w:rPr>
        <w:t xml:space="preserve"> </w:t>
      </w:r>
      <w:r>
        <w:rPr>
          <w:rFonts w:eastAsiaTheme="minorHAnsi"/>
          <w:lang w:eastAsia="en-US"/>
        </w:rPr>
        <w:t>answers would remain confidential (</w:t>
      </w:r>
      <w:r w:rsidRPr="006D30F9">
        <w:rPr>
          <w:rFonts w:eastAsiaTheme="minorHAnsi"/>
          <w:lang w:eastAsia="en-US"/>
        </w:rPr>
        <w:t xml:space="preserve">see Appendix 9 </w:t>
      </w:r>
      <w:r>
        <w:rPr>
          <w:rFonts w:eastAsiaTheme="minorHAnsi"/>
          <w:lang w:eastAsia="en-US"/>
        </w:rPr>
        <w:t>for further ethical considerations addressed within this study).</w:t>
      </w:r>
      <w:r w:rsidRPr="00BF1755">
        <w:rPr>
          <w:rFonts w:eastAsiaTheme="minorHAnsi"/>
          <w:lang w:eastAsia="en-US"/>
        </w:rPr>
        <w:t xml:space="preserve"> All participants were verbally offered the opportunity to withdraw from the project at any time and for any reason during the initial stages of discussion and the use of pseudonyms</w:t>
      </w:r>
      <w:r>
        <w:rPr>
          <w:rFonts w:eastAsiaTheme="minorHAnsi"/>
          <w:lang w:eastAsia="en-US"/>
        </w:rPr>
        <w:t xml:space="preserve"> (in the form of codes)</w:t>
      </w:r>
      <w:r w:rsidRPr="00BF1755">
        <w:rPr>
          <w:rFonts w:eastAsiaTheme="minorHAnsi"/>
          <w:lang w:eastAsia="en-US"/>
        </w:rPr>
        <w:t xml:space="preserve"> will be used throughout to preserve anonymity and to safeguard confidentiality (Silverman, 201</w:t>
      </w:r>
      <w:r>
        <w:rPr>
          <w:rFonts w:eastAsiaTheme="minorHAnsi"/>
          <w:lang w:eastAsia="en-US"/>
        </w:rPr>
        <w:t>3</w:t>
      </w:r>
      <w:r w:rsidRPr="00BF1755">
        <w:rPr>
          <w:rFonts w:eastAsiaTheme="minorHAnsi"/>
          <w:lang w:eastAsia="en-US"/>
        </w:rPr>
        <w:t xml:space="preserve">, p. 30).  </w:t>
      </w:r>
    </w:p>
    <w:p w14:paraId="72886E41" w14:textId="77777777" w:rsidR="00421BB4" w:rsidRDefault="00421BB4" w:rsidP="00421BB4">
      <w:pPr>
        <w:spacing w:after="200" w:line="360" w:lineRule="auto"/>
        <w:jc w:val="both"/>
        <w:rPr>
          <w:rFonts w:eastAsiaTheme="minorHAnsi"/>
          <w:b/>
          <w:u w:val="single"/>
          <w:lang w:eastAsia="en-US"/>
        </w:rPr>
      </w:pPr>
    </w:p>
    <w:p w14:paraId="76FA982A" w14:textId="77777777" w:rsidR="00421BB4" w:rsidRDefault="00421BB4" w:rsidP="00421BB4">
      <w:pPr>
        <w:spacing w:after="200" w:line="360" w:lineRule="auto"/>
        <w:jc w:val="both"/>
        <w:rPr>
          <w:rFonts w:eastAsiaTheme="minorHAnsi"/>
          <w:b/>
          <w:u w:val="single"/>
          <w:lang w:eastAsia="en-US"/>
        </w:rPr>
      </w:pPr>
      <w:bookmarkStart w:id="27" w:name="Datacollection"/>
      <w:r w:rsidRPr="00BE1E28">
        <w:rPr>
          <w:rFonts w:eastAsiaTheme="minorHAnsi"/>
          <w:b/>
          <w:u w:val="single"/>
          <w:lang w:eastAsia="en-US"/>
        </w:rPr>
        <w:t>3.8 - Data collection and analysis</w:t>
      </w:r>
    </w:p>
    <w:p w14:paraId="06AC7A79" w14:textId="77777777" w:rsidR="00421BB4" w:rsidRPr="00231DFF" w:rsidRDefault="00421BB4" w:rsidP="00421BB4">
      <w:pPr>
        <w:spacing w:after="200" w:line="360" w:lineRule="auto"/>
        <w:jc w:val="both"/>
        <w:rPr>
          <w:rFonts w:eastAsiaTheme="minorHAnsi"/>
          <w:bCs/>
          <w:i/>
          <w:iCs/>
          <w:color w:val="FF0000"/>
          <w:u w:val="single"/>
          <w:lang w:eastAsia="en-US"/>
        </w:rPr>
      </w:pPr>
      <w:bookmarkStart w:id="28" w:name="Rationale"/>
      <w:bookmarkEnd w:id="27"/>
      <w:r>
        <w:rPr>
          <w:rFonts w:eastAsiaTheme="minorHAnsi"/>
          <w:bCs/>
          <w:u w:val="single"/>
          <w:lang w:eastAsia="en-US"/>
        </w:rPr>
        <w:t xml:space="preserve">3.8.1 - </w:t>
      </w:r>
      <w:r w:rsidRPr="00231DFF">
        <w:rPr>
          <w:rFonts w:eastAsiaTheme="minorHAnsi"/>
          <w:bCs/>
          <w:u w:val="single"/>
          <w:lang w:eastAsia="en-US"/>
        </w:rPr>
        <w:t>Rationale for data analysis</w:t>
      </w:r>
    </w:p>
    <w:bookmarkEnd w:id="28"/>
    <w:p w14:paraId="21E32723" w14:textId="77777777" w:rsidR="00421BB4" w:rsidRDefault="00421BB4" w:rsidP="00421BB4">
      <w:pPr>
        <w:spacing w:after="200" w:line="360" w:lineRule="auto"/>
        <w:ind w:firstLine="720"/>
        <w:jc w:val="both"/>
      </w:pPr>
      <w:r w:rsidRPr="00BF1755">
        <w:t>Phenomenological thematic analysis was employed for the purpose of data analysis using the Braun and Clarke</w:t>
      </w:r>
      <w:r>
        <w:t xml:space="preserve"> (2021)</w:t>
      </w:r>
      <w:r w:rsidRPr="00BF1755">
        <w:t xml:space="preserve"> thematic seven step analysis approach which aimed to uncover, describe, structure and organise the most significant themes found in the data.</w:t>
      </w:r>
      <w:r>
        <w:t xml:space="preserve"> Each step is explored in more depth during the next chapter and how the data impacted on the creation of the final themes is also outlined.</w:t>
      </w:r>
      <w:r w:rsidRPr="00BF1755">
        <w:rPr>
          <w:rFonts w:ascii="Arial" w:eastAsiaTheme="minorHAnsi" w:hAnsi="Arial" w:cs="Arial"/>
          <w:shd w:val="clear" w:color="auto" w:fill="FFFFFF"/>
          <w:lang w:eastAsia="en-US"/>
        </w:rPr>
        <w:t xml:space="preserve"> </w:t>
      </w:r>
      <w:r>
        <w:t xml:space="preserve">Since the research question of this study sought to explore the perceptions of YP in relation to wellbeing support during P16 transitions, thematic analysis was deemed a suitable method. </w:t>
      </w:r>
    </w:p>
    <w:p w14:paraId="22611F84" w14:textId="77777777" w:rsidR="00421BB4" w:rsidRPr="00FD2DE4" w:rsidRDefault="00421BB4" w:rsidP="00421BB4">
      <w:pPr>
        <w:spacing w:after="200" w:line="360" w:lineRule="auto"/>
        <w:ind w:firstLine="720"/>
        <w:jc w:val="both"/>
        <w:rPr>
          <w:rFonts w:ascii="Arial" w:eastAsiaTheme="minorHAnsi" w:hAnsi="Arial" w:cs="Arial"/>
          <w:shd w:val="clear" w:color="auto" w:fill="FFFFFF"/>
          <w:lang w:eastAsia="en-US"/>
        </w:rPr>
      </w:pPr>
      <w:r>
        <w:t>Other types of analysis were explored for this study including Grounded Theory (GT). However, GT was not deemed a suitable method as the intention during this study did not set out to generate a theory from the data. Similarly, narrative and discourse analysis was also rejected due to the research questions seeking to explore what the participants said rather than how it was constructed</w:t>
      </w:r>
      <w:r w:rsidRPr="006D30F9">
        <w:t xml:space="preserve"> (Cohen and Manion 2013).</w:t>
      </w:r>
      <w:r w:rsidRPr="006D30F9">
        <w:rPr>
          <w:rFonts w:ascii="Arial" w:eastAsiaTheme="minorHAnsi" w:hAnsi="Arial" w:cs="Arial"/>
          <w:shd w:val="clear" w:color="auto" w:fill="FFFFFF"/>
          <w:lang w:eastAsia="en-US"/>
        </w:rPr>
        <w:t xml:space="preserve"> </w:t>
      </w:r>
      <w:r>
        <w:rPr>
          <w:rFonts w:eastAsiaTheme="minorHAnsi"/>
          <w:shd w:val="clear" w:color="auto" w:fill="FFFFFF"/>
          <w:lang w:eastAsia="en-US"/>
        </w:rPr>
        <w:t>W</w:t>
      </w:r>
      <w:r w:rsidRPr="00FD2DE4">
        <w:rPr>
          <w:rFonts w:eastAsiaTheme="minorHAnsi"/>
          <w:shd w:val="clear" w:color="auto" w:fill="FFFFFF"/>
          <w:lang w:eastAsia="en-US"/>
        </w:rPr>
        <w:t>hile</w:t>
      </w:r>
      <w:r w:rsidRPr="00BF1755">
        <w:rPr>
          <w:rFonts w:eastAsiaTheme="minorHAnsi"/>
          <w:shd w:val="clear" w:color="auto" w:fill="FFFFFF"/>
          <w:lang w:eastAsia="en-US"/>
        </w:rPr>
        <w:t xml:space="preserve"> it was hoped that rich detail would be uncovered by allowing the data, through an inductive approach, </w:t>
      </w:r>
      <w:r>
        <w:rPr>
          <w:rFonts w:eastAsiaTheme="minorHAnsi"/>
          <w:shd w:val="clear" w:color="auto" w:fill="FFFFFF"/>
          <w:lang w:eastAsia="en-US"/>
        </w:rPr>
        <w:t xml:space="preserve">to </w:t>
      </w:r>
      <w:r w:rsidRPr="00BF1755">
        <w:rPr>
          <w:rFonts w:eastAsiaTheme="minorHAnsi"/>
          <w:shd w:val="clear" w:color="auto" w:fill="FFFFFF"/>
          <w:lang w:eastAsia="en-US"/>
        </w:rPr>
        <w:t xml:space="preserve">determine the themes, it must be acknowledged however that the researcher approached the data with preconceived ideas regarding the themes expected to find within this type of research (Cohen and Manion </w:t>
      </w:r>
      <w:r w:rsidRPr="006D30F9">
        <w:rPr>
          <w:rFonts w:eastAsiaTheme="minorHAnsi"/>
          <w:shd w:val="clear" w:color="auto" w:fill="FFFFFF"/>
          <w:lang w:eastAsia="en-US"/>
        </w:rPr>
        <w:lastRenderedPageBreak/>
        <w:t>2013).</w:t>
      </w:r>
      <w:r w:rsidRPr="006D30F9">
        <w:t xml:space="preserve"> </w:t>
      </w:r>
      <w:r w:rsidRPr="00BF1755">
        <w:rPr>
          <w:rFonts w:eastAsiaTheme="minorHAnsi"/>
          <w:shd w:val="clear" w:color="auto" w:fill="FFFFFF"/>
          <w:lang w:eastAsia="en-US"/>
        </w:rPr>
        <w:t xml:space="preserve">It was necessary to adopt a semantic approach by remaining focused on the explicit meanings of the data as opposed to searching for anything beyond what has been said </w:t>
      </w:r>
      <w:r>
        <w:rPr>
          <w:rFonts w:eastAsiaTheme="minorHAnsi"/>
          <w:shd w:val="clear" w:color="auto" w:fill="FFFFFF"/>
          <w:lang w:eastAsia="en-US"/>
        </w:rPr>
        <w:t xml:space="preserve">as </w:t>
      </w:r>
      <w:r w:rsidRPr="00BF1755">
        <w:rPr>
          <w:rFonts w:eastAsiaTheme="minorHAnsi"/>
          <w:shd w:val="clear" w:color="auto" w:fill="FFFFFF"/>
          <w:lang w:eastAsia="en-US"/>
        </w:rPr>
        <w:t>to lessen the risk of misinterpretation (Silverman 201</w:t>
      </w:r>
      <w:r>
        <w:rPr>
          <w:rFonts w:eastAsiaTheme="minorHAnsi"/>
          <w:shd w:val="clear" w:color="auto" w:fill="FFFFFF"/>
          <w:lang w:eastAsia="en-US"/>
        </w:rPr>
        <w:t>3</w:t>
      </w:r>
      <w:r w:rsidRPr="00BF1755">
        <w:rPr>
          <w:rFonts w:eastAsiaTheme="minorHAnsi"/>
          <w:shd w:val="clear" w:color="auto" w:fill="FFFFFF"/>
          <w:lang w:eastAsia="en-US"/>
        </w:rPr>
        <w:t>).</w:t>
      </w:r>
      <w:r>
        <w:rPr>
          <w:rFonts w:eastAsiaTheme="minorHAnsi"/>
          <w:shd w:val="clear" w:color="auto" w:fill="FFFFFF"/>
          <w:lang w:eastAsia="en-US"/>
        </w:rPr>
        <w:t xml:space="preserve"> This will be discussed further in Chapter 4.</w:t>
      </w:r>
    </w:p>
    <w:p w14:paraId="0302CE78" w14:textId="77777777" w:rsidR="00421BB4" w:rsidRDefault="00421BB4" w:rsidP="00421BB4">
      <w:pPr>
        <w:spacing w:after="200" w:line="360" w:lineRule="auto"/>
        <w:ind w:firstLine="720"/>
        <w:jc w:val="both"/>
        <w:rPr>
          <w:rFonts w:eastAsiaTheme="minorHAnsi"/>
          <w:shd w:val="clear" w:color="auto" w:fill="FFFFFF"/>
          <w:lang w:eastAsia="en-US"/>
        </w:rPr>
      </w:pPr>
      <w:r>
        <w:t>Braun and Clarke (2021) note some limitations of the use of thematic analysis as firstly, it has been argued that it is difficult to provide continuity; with contradictions across individual accounts of thematic analysis potentially leading to the erasure of individual voice. That said, as this study used a small sample of participants, there is more opportunity within the findings for individual voices to be heard. It has also been argued that there is a lack of concrete guidance and clarity in the procedures used (Holloway &amp; Todres, 2003). However, Braun and Clarke (2021) have created a clear and replicable model which addresses these concerns, and it is this model has been chosen to support the process of analysis for this research.</w:t>
      </w:r>
    </w:p>
    <w:p w14:paraId="1DB777F6" w14:textId="77777777" w:rsidR="00421BB4" w:rsidRPr="00231DFF" w:rsidRDefault="00421BB4" w:rsidP="00421BB4">
      <w:pPr>
        <w:spacing w:after="200" w:line="360" w:lineRule="auto"/>
        <w:jc w:val="both"/>
        <w:rPr>
          <w:rFonts w:eastAsiaTheme="minorHAnsi"/>
          <w:bCs/>
          <w:u w:val="single"/>
          <w:lang w:eastAsia="en-US"/>
        </w:rPr>
      </w:pPr>
      <w:bookmarkStart w:id="29" w:name="Processofanalysis"/>
      <w:r>
        <w:rPr>
          <w:rFonts w:eastAsiaTheme="minorHAnsi"/>
          <w:u w:val="single"/>
          <w:shd w:val="clear" w:color="auto" w:fill="FFFFFF"/>
          <w:lang w:eastAsia="en-US"/>
        </w:rPr>
        <w:t xml:space="preserve">3.8.2 - </w:t>
      </w:r>
      <w:r w:rsidRPr="00231DFF">
        <w:rPr>
          <w:rFonts w:eastAsiaTheme="minorHAnsi"/>
          <w:u w:val="single"/>
          <w:shd w:val="clear" w:color="auto" w:fill="FFFFFF"/>
          <w:lang w:eastAsia="en-US"/>
        </w:rPr>
        <w:t>Process of analysis</w:t>
      </w:r>
    </w:p>
    <w:bookmarkEnd w:id="29"/>
    <w:p w14:paraId="2281CBD9" w14:textId="77777777" w:rsidR="00421BB4" w:rsidRPr="00BF1755" w:rsidRDefault="00421BB4" w:rsidP="00421BB4">
      <w:pPr>
        <w:spacing w:after="200" w:line="360" w:lineRule="auto"/>
        <w:ind w:firstLine="720"/>
        <w:jc w:val="both"/>
        <w:rPr>
          <w:rFonts w:eastAsiaTheme="minorHAnsi"/>
          <w:lang w:eastAsia="en-US"/>
        </w:rPr>
      </w:pPr>
      <w:r>
        <w:rPr>
          <w:rFonts w:eastAsiaTheme="minorHAnsi"/>
          <w:lang w:eastAsia="en-US"/>
        </w:rPr>
        <w:t>For the first step in this process, it</w:t>
      </w:r>
      <w:r w:rsidRPr="00BF1755">
        <w:rPr>
          <w:rFonts w:eastAsiaTheme="minorHAnsi"/>
          <w:lang w:eastAsia="en-US"/>
        </w:rPr>
        <w:t xml:space="preserve"> was necessary to be fully ready to</w:t>
      </w:r>
      <w:r>
        <w:rPr>
          <w:rFonts w:eastAsiaTheme="minorHAnsi"/>
          <w:lang w:eastAsia="en-US"/>
        </w:rPr>
        <w:t xml:space="preserve"> capture and</w:t>
      </w:r>
      <w:r w:rsidRPr="00BF1755">
        <w:rPr>
          <w:rFonts w:eastAsiaTheme="minorHAnsi"/>
          <w:lang w:eastAsia="en-US"/>
        </w:rPr>
        <w:t xml:space="preserve"> record the material as this</w:t>
      </w:r>
      <w:r>
        <w:rPr>
          <w:rFonts w:eastAsiaTheme="minorHAnsi"/>
          <w:lang w:eastAsia="en-US"/>
        </w:rPr>
        <w:t xml:space="preserve"> is</w:t>
      </w:r>
      <w:r w:rsidRPr="00BF1755">
        <w:rPr>
          <w:rFonts w:eastAsiaTheme="minorHAnsi"/>
          <w:lang w:eastAsia="en-US"/>
        </w:rPr>
        <w:t xml:space="preserve"> </w:t>
      </w:r>
      <w:r>
        <w:rPr>
          <w:rFonts w:eastAsiaTheme="minorHAnsi"/>
          <w:lang w:eastAsia="en-US"/>
        </w:rPr>
        <w:t xml:space="preserve">fundamental to the </w:t>
      </w:r>
      <w:r w:rsidRPr="001D461E">
        <w:rPr>
          <w:rFonts w:eastAsiaTheme="minorHAnsi"/>
          <w:lang w:eastAsia="en-US"/>
        </w:rPr>
        <w:t>first of the seven steps of thematic analysis</w:t>
      </w:r>
      <w:r>
        <w:rPr>
          <w:rFonts w:eastAsiaTheme="minorHAnsi"/>
          <w:lang w:eastAsia="en-US"/>
        </w:rPr>
        <w:t>. Th</w:t>
      </w:r>
      <w:r w:rsidRPr="00BF1755">
        <w:rPr>
          <w:rFonts w:eastAsiaTheme="minorHAnsi"/>
          <w:lang w:eastAsia="en-US"/>
        </w:rPr>
        <w:t xml:space="preserve">is was achieved by using a transcribing app, Speech Notes, on the researcher’s mobile phone (Perecman &amp; Curran, 2006, </w:t>
      </w:r>
      <w:r w:rsidRPr="00AB4DA0">
        <w:rPr>
          <w:rFonts w:eastAsiaTheme="minorHAnsi"/>
          <w:i/>
          <w:iCs/>
          <w:lang w:eastAsia="en-US"/>
        </w:rPr>
        <w:t>cited in</w:t>
      </w:r>
      <w:r w:rsidRPr="00BF1755">
        <w:rPr>
          <w:rFonts w:eastAsiaTheme="minorHAnsi"/>
          <w:lang w:eastAsia="en-US"/>
        </w:rPr>
        <w:t xml:space="preserve"> Rashid </w:t>
      </w:r>
      <w:r w:rsidRPr="007C4ABD">
        <w:rPr>
          <w:rFonts w:eastAsiaTheme="minorHAnsi"/>
          <w:i/>
          <w:iCs/>
          <w:lang w:eastAsia="en-US"/>
        </w:rPr>
        <w:t>et al</w:t>
      </w:r>
      <w:r w:rsidRPr="00BF1755">
        <w:rPr>
          <w:rFonts w:eastAsiaTheme="minorHAnsi"/>
          <w:lang w:eastAsia="en-US"/>
        </w:rPr>
        <w:t>. 2019</w:t>
      </w:r>
      <w:r>
        <w:rPr>
          <w:rFonts w:eastAsiaTheme="minorHAnsi"/>
          <w:lang w:eastAsia="en-US"/>
        </w:rPr>
        <w:t xml:space="preserve"> and Braun and Clarke 2021</w:t>
      </w:r>
      <w:r w:rsidRPr="00BF1755">
        <w:rPr>
          <w:rFonts w:eastAsiaTheme="minorHAnsi"/>
          <w:lang w:eastAsia="en-US"/>
        </w:rPr>
        <w:t>). This method was not without its challenges such as needing an element of skill to check the device for accuracy whilst undertaking the interview</w:t>
      </w:r>
      <w:r>
        <w:rPr>
          <w:rFonts w:eastAsiaTheme="minorHAnsi"/>
          <w:lang w:eastAsia="en-US"/>
        </w:rPr>
        <w:t xml:space="preserve"> and ethically, storing confidential and important material on a personal device posed a risk</w:t>
      </w:r>
      <w:r w:rsidRPr="00BF1755">
        <w:rPr>
          <w:rFonts w:eastAsiaTheme="minorHAnsi"/>
          <w:lang w:eastAsia="en-US"/>
        </w:rPr>
        <w:t xml:space="preserve">. </w:t>
      </w:r>
      <w:r>
        <w:rPr>
          <w:rFonts w:eastAsiaTheme="minorHAnsi"/>
          <w:lang w:eastAsia="en-US"/>
        </w:rPr>
        <w:t>These issues were overcome however by checking the information following each question and longer pauses as well as uploading the using encryption, uploading information immediately after each interview and then deleting it from the personal device. Despite having to check for accuracy, this method was however</w:t>
      </w:r>
      <w:r w:rsidRPr="00BF1755">
        <w:rPr>
          <w:rFonts w:eastAsiaTheme="minorHAnsi"/>
          <w:lang w:eastAsia="en-US"/>
        </w:rPr>
        <w:t xml:space="preserve"> far less time consuming than audio recording and then transcribing. </w:t>
      </w:r>
      <w:r>
        <w:rPr>
          <w:rFonts w:eastAsiaTheme="minorHAnsi"/>
          <w:lang w:eastAsia="en-US"/>
        </w:rPr>
        <w:t xml:space="preserve">That said, upon reflection, trialling alternative applications during pilot interviews may have helped to avoid this. </w:t>
      </w:r>
      <w:r w:rsidRPr="00BF1755">
        <w:rPr>
          <w:rFonts w:eastAsiaTheme="minorHAnsi"/>
          <w:lang w:eastAsia="en-US"/>
        </w:rPr>
        <w:t xml:space="preserve"> </w:t>
      </w:r>
    </w:p>
    <w:p w14:paraId="68760624" w14:textId="77777777" w:rsidR="00421BB4" w:rsidRPr="00FB189C" w:rsidRDefault="00421BB4" w:rsidP="00421BB4">
      <w:pPr>
        <w:spacing w:after="200" w:line="360" w:lineRule="auto"/>
        <w:jc w:val="both"/>
        <w:rPr>
          <w:rFonts w:eastAsiaTheme="minorHAnsi"/>
          <w:lang w:eastAsia="en-US"/>
        </w:rPr>
      </w:pPr>
      <w:r w:rsidRPr="00BF1755">
        <w:rPr>
          <w:rFonts w:eastAsiaTheme="minorHAnsi"/>
          <w:lang w:eastAsia="en-US"/>
        </w:rPr>
        <w:tab/>
      </w:r>
      <w:r w:rsidRPr="00BF1755">
        <w:rPr>
          <w:rFonts w:eastAsiaTheme="minorHAnsi"/>
          <w:shd w:val="clear" w:color="auto" w:fill="FFFFFF"/>
          <w:lang w:eastAsia="en-US"/>
        </w:rPr>
        <w:t>The process of becoming familiar with the data</w:t>
      </w:r>
      <w:r>
        <w:rPr>
          <w:rFonts w:eastAsiaTheme="minorHAnsi"/>
          <w:shd w:val="clear" w:color="auto" w:fill="FFFFFF"/>
          <w:lang w:eastAsia="en-US"/>
        </w:rPr>
        <w:t>, step two of the process,</w:t>
      </w:r>
      <w:r w:rsidRPr="00BF1755">
        <w:rPr>
          <w:rFonts w:eastAsiaTheme="minorHAnsi"/>
          <w:shd w:val="clear" w:color="auto" w:fill="FFFFFF"/>
          <w:lang w:eastAsia="en-US"/>
        </w:rPr>
        <w:t xml:space="preserve"> was achieved not only through transcribing and r</w:t>
      </w:r>
      <w:r>
        <w:rPr>
          <w:rFonts w:eastAsiaTheme="minorHAnsi"/>
          <w:shd w:val="clear" w:color="auto" w:fill="FFFFFF"/>
          <w:lang w:eastAsia="en-US"/>
        </w:rPr>
        <w:t>e-</w:t>
      </w:r>
      <w:r w:rsidRPr="00BF1755">
        <w:rPr>
          <w:rFonts w:eastAsiaTheme="minorHAnsi"/>
          <w:shd w:val="clear" w:color="auto" w:fill="FFFFFF"/>
          <w:lang w:eastAsia="en-US"/>
        </w:rPr>
        <w:t>reading</w:t>
      </w:r>
      <w:r>
        <w:rPr>
          <w:rFonts w:eastAsiaTheme="minorHAnsi"/>
          <w:shd w:val="clear" w:color="auto" w:fill="FFFFFF"/>
          <w:lang w:eastAsia="en-US"/>
        </w:rPr>
        <w:t>,</w:t>
      </w:r>
      <w:r w:rsidRPr="00BF1755">
        <w:rPr>
          <w:rFonts w:eastAsiaTheme="minorHAnsi"/>
          <w:shd w:val="clear" w:color="auto" w:fill="FFFFFF"/>
          <w:lang w:eastAsia="en-US"/>
        </w:rPr>
        <w:t xml:space="preserve"> but also by using Chapter 2 as a foundation to clearly understand the ways in which the topic has been researched, presented, and analysed in the past. </w:t>
      </w:r>
      <w:r>
        <w:rPr>
          <w:rFonts w:eastAsiaTheme="minorHAnsi"/>
          <w:shd w:val="clear" w:color="auto" w:fill="FFFFFF"/>
          <w:lang w:eastAsia="en-US"/>
        </w:rPr>
        <w:t>Chapter 2</w:t>
      </w:r>
      <w:r w:rsidRPr="00BF1755">
        <w:rPr>
          <w:rFonts w:eastAsiaTheme="minorHAnsi"/>
          <w:shd w:val="clear" w:color="auto" w:fill="FFFFFF"/>
          <w:lang w:eastAsia="en-US"/>
        </w:rPr>
        <w:t xml:space="preserve"> was therefore reread in order to re-examine and re-explore the most pertinent issues surrounding wellbeing and </w:t>
      </w:r>
      <w:r>
        <w:rPr>
          <w:rFonts w:eastAsiaTheme="minorHAnsi"/>
          <w:shd w:val="clear" w:color="auto" w:fill="FFFFFF"/>
          <w:lang w:eastAsia="en-US"/>
        </w:rPr>
        <w:t xml:space="preserve">P16 </w:t>
      </w:r>
      <w:r w:rsidRPr="00BF1755">
        <w:rPr>
          <w:rFonts w:eastAsiaTheme="minorHAnsi"/>
          <w:shd w:val="clear" w:color="auto" w:fill="FFFFFF"/>
          <w:lang w:eastAsia="en-US"/>
        </w:rPr>
        <w:t xml:space="preserve">transition </w:t>
      </w:r>
      <w:r w:rsidRPr="00921F1A">
        <w:rPr>
          <w:rFonts w:eastAsiaTheme="minorHAnsi"/>
          <w:shd w:val="clear" w:color="auto" w:fill="FFFFFF"/>
          <w:lang w:eastAsia="en-US"/>
        </w:rPr>
        <w:t>(</w:t>
      </w:r>
      <w:r>
        <w:rPr>
          <w:rFonts w:eastAsiaTheme="minorHAnsi"/>
          <w:shd w:val="clear" w:color="auto" w:fill="FFFFFF"/>
          <w:lang w:eastAsia="en-US"/>
        </w:rPr>
        <w:t>Symonds 2015 and Packer 2021</w:t>
      </w:r>
      <w:r w:rsidRPr="00921F1A">
        <w:rPr>
          <w:rFonts w:eastAsiaTheme="minorHAnsi"/>
          <w:shd w:val="clear" w:color="auto" w:fill="FFFFFF"/>
          <w:lang w:eastAsia="en-US"/>
        </w:rPr>
        <w:t>).</w:t>
      </w:r>
      <w:r>
        <w:rPr>
          <w:rFonts w:eastAsiaTheme="minorHAnsi"/>
          <w:lang w:eastAsia="en-US"/>
        </w:rPr>
        <w:t xml:space="preserve"> </w:t>
      </w:r>
      <w:r w:rsidRPr="00BF1755">
        <w:rPr>
          <w:rFonts w:eastAsiaTheme="minorHAnsi"/>
          <w:shd w:val="clear" w:color="auto" w:fill="FFFFFF"/>
          <w:lang w:eastAsia="en-US"/>
        </w:rPr>
        <w:t>The method of grouping the data</w:t>
      </w:r>
      <w:r>
        <w:rPr>
          <w:rFonts w:eastAsiaTheme="minorHAnsi"/>
          <w:shd w:val="clear" w:color="auto" w:fill="FFFFFF"/>
          <w:lang w:eastAsia="en-US"/>
        </w:rPr>
        <w:t xml:space="preserve"> together</w:t>
      </w:r>
      <w:r w:rsidRPr="00BF1755">
        <w:rPr>
          <w:rFonts w:eastAsiaTheme="minorHAnsi"/>
          <w:shd w:val="clear" w:color="auto" w:fill="FFFFFF"/>
          <w:lang w:eastAsia="en-US"/>
        </w:rPr>
        <w:t xml:space="preserve"> </w:t>
      </w:r>
      <w:r>
        <w:rPr>
          <w:rFonts w:eastAsiaTheme="minorHAnsi"/>
          <w:shd w:val="clear" w:color="auto" w:fill="FFFFFF"/>
          <w:lang w:eastAsia="en-US"/>
        </w:rPr>
        <w:t xml:space="preserve">using </w:t>
      </w:r>
      <w:r w:rsidRPr="00BF1755">
        <w:rPr>
          <w:rFonts w:eastAsiaTheme="minorHAnsi"/>
          <w:shd w:val="clear" w:color="auto" w:fill="FFFFFF"/>
          <w:lang w:eastAsia="en-US"/>
        </w:rPr>
        <w:t>a process of coding was employed as this an essential step in thematic analysis (Attride-Stirling 2001). Coding</w:t>
      </w:r>
      <w:r>
        <w:rPr>
          <w:rFonts w:eastAsiaTheme="minorHAnsi"/>
          <w:shd w:val="clear" w:color="auto" w:fill="FFFFFF"/>
          <w:lang w:eastAsia="en-US"/>
        </w:rPr>
        <w:t>, by</w:t>
      </w:r>
      <w:r w:rsidRPr="00BF1755">
        <w:rPr>
          <w:rFonts w:eastAsiaTheme="minorHAnsi"/>
          <w:shd w:val="clear" w:color="auto" w:fill="FFFFFF"/>
          <w:lang w:eastAsia="en-US"/>
        </w:rPr>
        <w:t xml:space="preserve"> which the data </w:t>
      </w:r>
      <w:r>
        <w:rPr>
          <w:rFonts w:eastAsiaTheme="minorHAnsi"/>
          <w:shd w:val="clear" w:color="auto" w:fill="FFFFFF"/>
          <w:lang w:eastAsia="en-US"/>
        </w:rPr>
        <w:t>was</w:t>
      </w:r>
      <w:r w:rsidRPr="00BF1755">
        <w:rPr>
          <w:rFonts w:eastAsiaTheme="minorHAnsi"/>
          <w:shd w:val="clear" w:color="auto" w:fill="FFFFFF"/>
          <w:lang w:eastAsia="en-US"/>
        </w:rPr>
        <w:t xml:space="preserve"> </w:t>
      </w:r>
      <w:r w:rsidRPr="00BF1755">
        <w:rPr>
          <w:rFonts w:eastAsiaTheme="minorHAnsi"/>
          <w:shd w:val="clear" w:color="auto" w:fill="FFFFFF"/>
          <w:lang w:eastAsia="en-US"/>
        </w:rPr>
        <w:lastRenderedPageBreak/>
        <w:t xml:space="preserve">divided into smaller parts and data with similar information </w:t>
      </w:r>
      <w:r>
        <w:rPr>
          <w:rFonts w:eastAsiaTheme="minorHAnsi"/>
          <w:shd w:val="clear" w:color="auto" w:fill="FFFFFF"/>
          <w:lang w:eastAsia="en-US"/>
        </w:rPr>
        <w:t>was</w:t>
      </w:r>
      <w:r w:rsidRPr="00BF1755">
        <w:rPr>
          <w:rFonts w:eastAsiaTheme="minorHAnsi"/>
          <w:shd w:val="clear" w:color="auto" w:fill="FFFFFF"/>
          <w:lang w:eastAsia="en-US"/>
        </w:rPr>
        <w:t xml:space="preserve"> gathered together into sections</w:t>
      </w:r>
      <w:r>
        <w:rPr>
          <w:rFonts w:eastAsiaTheme="minorHAnsi"/>
          <w:shd w:val="clear" w:color="auto" w:fill="FFFFFF"/>
          <w:lang w:eastAsia="en-US"/>
        </w:rPr>
        <w:t xml:space="preserve"> took place as the third step in the process </w:t>
      </w:r>
      <w:r w:rsidRPr="00BF1755">
        <w:rPr>
          <w:rFonts w:eastAsiaTheme="minorHAnsi"/>
          <w:shd w:val="clear" w:color="auto" w:fill="FFFFFF"/>
          <w:lang w:eastAsia="en-US"/>
        </w:rPr>
        <w:t>(Braun and Clarke 202</w:t>
      </w:r>
      <w:r>
        <w:rPr>
          <w:rFonts w:eastAsiaTheme="minorHAnsi"/>
          <w:shd w:val="clear" w:color="auto" w:fill="FFFFFF"/>
          <w:lang w:eastAsia="en-US"/>
        </w:rPr>
        <w:t>1</w:t>
      </w:r>
      <w:r w:rsidRPr="00BF1755">
        <w:rPr>
          <w:rFonts w:eastAsiaTheme="minorHAnsi"/>
          <w:shd w:val="clear" w:color="auto" w:fill="FFFFFF"/>
          <w:lang w:eastAsia="en-US"/>
        </w:rPr>
        <w:t>).</w:t>
      </w:r>
      <w:r>
        <w:rPr>
          <w:rFonts w:eastAsiaTheme="minorHAnsi"/>
          <w:shd w:val="clear" w:color="auto" w:fill="FFFFFF"/>
          <w:lang w:eastAsia="en-US"/>
        </w:rPr>
        <w:t xml:space="preserve"> </w:t>
      </w:r>
      <w:r>
        <w:rPr>
          <w:rFonts w:eastAsiaTheme="minorHAnsi"/>
          <w:lang w:eastAsia="en-US"/>
        </w:rPr>
        <w:t>A detailed account of the findings and each step followed during the thematic analysis is included in the following chapter</w:t>
      </w:r>
    </w:p>
    <w:p w14:paraId="12D689C5" w14:textId="77777777" w:rsidR="00421BB4" w:rsidRDefault="00421BB4" w:rsidP="00421BB4">
      <w:pPr>
        <w:spacing w:after="120" w:line="360" w:lineRule="auto"/>
        <w:jc w:val="center"/>
        <w:rPr>
          <w:b/>
          <w:bCs/>
          <w:sz w:val="28"/>
          <w:szCs w:val="28"/>
          <w:u w:val="single"/>
        </w:rPr>
      </w:pPr>
    </w:p>
    <w:p w14:paraId="4B6FF341" w14:textId="77777777" w:rsidR="00421BB4" w:rsidRDefault="00421BB4" w:rsidP="00421BB4">
      <w:pPr>
        <w:spacing w:after="120" w:line="360" w:lineRule="auto"/>
        <w:jc w:val="center"/>
        <w:rPr>
          <w:b/>
          <w:bCs/>
          <w:sz w:val="28"/>
          <w:szCs w:val="28"/>
          <w:u w:val="single"/>
        </w:rPr>
      </w:pPr>
    </w:p>
    <w:p w14:paraId="20D3D04B" w14:textId="77777777" w:rsidR="00421BB4" w:rsidRDefault="00421BB4" w:rsidP="00421BB4">
      <w:pPr>
        <w:spacing w:after="120" w:line="360" w:lineRule="auto"/>
        <w:jc w:val="center"/>
        <w:rPr>
          <w:b/>
          <w:bCs/>
          <w:sz w:val="28"/>
          <w:szCs w:val="28"/>
          <w:u w:val="single"/>
        </w:rPr>
      </w:pPr>
    </w:p>
    <w:p w14:paraId="78EA9240" w14:textId="77777777" w:rsidR="00421BB4" w:rsidRDefault="00421BB4" w:rsidP="00421BB4">
      <w:pPr>
        <w:spacing w:after="120" w:line="360" w:lineRule="auto"/>
        <w:jc w:val="center"/>
        <w:rPr>
          <w:b/>
          <w:bCs/>
          <w:sz w:val="28"/>
          <w:szCs w:val="28"/>
          <w:u w:val="single"/>
        </w:rPr>
      </w:pPr>
    </w:p>
    <w:p w14:paraId="59F9AC9E" w14:textId="77777777" w:rsidR="00421BB4" w:rsidRDefault="00421BB4" w:rsidP="00421BB4">
      <w:pPr>
        <w:spacing w:after="120" w:line="360" w:lineRule="auto"/>
        <w:jc w:val="center"/>
        <w:rPr>
          <w:b/>
          <w:bCs/>
          <w:sz w:val="28"/>
          <w:szCs w:val="28"/>
          <w:u w:val="single"/>
        </w:rPr>
      </w:pPr>
    </w:p>
    <w:p w14:paraId="5A5FFD8B" w14:textId="77777777" w:rsidR="00421BB4" w:rsidRDefault="00421BB4" w:rsidP="00421BB4">
      <w:pPr>
        <w:spacing w:after="120" w:line="360" w:lineRule="auto"/>
        <w:jc w:val="center"/>
        <w:rPr>
          <w:b/>
          <w:bCs/>
          <w:sz w:val="28"/>
          <w:szCs w:val="28"/>
          <w:u w:val="single"/>
        </w:rPr>
      </w:pPr>
    </w:p>
    <w:p w14:paraId="2F8E96A9" w14:textId="77777777" w:rsidR="00421BB4" w:rsidRDefault="00421BB4" w:rsidP="00421BB4">
      <w:pPr>
        <w:spacing w:after="120" w:line="360" w:lineRule="auto"/>
        <w:jc w:val="center"/>
        <w:rPr>
          <w:b/>
          <w:bCs/>
          <w:sz w:val="28"/>
          <w:szCs w:val="28"/>
          <w:u w:val="single"/>
        </w:rPr>
      </w:pPr>
    </w:p>
    <w:p w14:paraId="0C36B115" w14:textId="77777777" w:rsidR="00421BB4" w:rsidRDefault="00421BB4" w:rsidP="00421BB4">
      <w:pPr>
        <w:spacing w:after="120" w:line="360" w:lineRule="auto"/>
        <w:jc w:val="center"/>
        <w:rPr>
          <w:b/>
          <w:bCs/>
          <w:sz w:val="28"/>
          <w:szCs w:val="28"/>
          <w:u w:val="single"/>
        </w:rPr>
      </w:pPr>
    </w:p>
    <w:p w14:paraId="29342462" w14:textId="77777777" w:rsidR="00421BB4" w:rsidRDefault="00421BB4" w:rsidP="00421BB4">
      <w:pPr>
        <w:spacing w:after="120" w:line="360" w:lineRule="auto"/>
        <w:jc w:val="center"/>
        <w:rPr>
          <w:b/>
          <w:bCs/>
          <w:sz w:val="28"/>
          <w:szCs w:val="28"/>
          <w:u w:val="single"/>
        </w:rPr>
      </w:pPr>
    </w:p>
    <w:p w14:paraId="50648E74" w14:textId="77777777" w:rsidR="00421BB4" w:rsidRDefault="00421BB4" w:rsidP="00421BB4">
      <w:pPr>
        <w:spacing w:after="120" w:line="360" w:lineRule="auto"/>
        <w:jc w:val="center"/>
        <w:rPr>
          <w:b/>
          <w:bCs/>
          <w:sz w:val="28"/>
          <w:szCs w:val="28"/>
          <w:u w:val="single"/>
        </w:rPr>
      </w:pPr>
    </w:p>
    <w:p w14:paraId="3CB9E397" w14:textId="77777777" w:rsidR="00421BB4" w:rsidRDefault="00421BB4" w:rsidP="00421BB4">
      <w:pPr>
        <w:spacing w:after="120" w:line="360" w:lineRule="auto"/>
        <w:jc w:val="center"/>
        <w:rPr>
          <w:b/>
          <w:bCs/>
          <w:sz w:val="28"/>
          <w:szCs w:val="28"/>
          <w:u w:val="single"/>
        </w:rPr>
      </w:pPr>
    </w:p>
    <w:p w14:paraId="425CDD77" w14:textId="77777777" w:rsidR="00421BB4" w:rsidRDefault="00421BB4" w:rsidP="00421BB4">
      <w:pPr>
        <w:spacing w:after="120" w:line="360" w:lineRule="auto"/>
        <w:jc w:val="center"/>
        <w:rPr>
          <w:b/>
          <w:bCs/>
          <w:sz w:val="28"/>
          <w:szCs w:val="28"/>
          <w:u w:val="single"/>
        </w:rPr>
      </w:pPr>
    </w:p>
    <w:p w14:paraId="7FA8EE40" w14:textId="77777777" w:rsidR="00421BB4" w:rsidRDefault="00421BB4" w:rsidP="00421BB4">
      <w:pPr>
        <w:spacing w:after="120" w:line="360" w:lineRule="auto"/>
        <w:jc w:val="center"/>
        <w:rPr>
          <w:b/>
          <w:bCs/>
          <w:sz w:val="28"/>
          <w:szCs w:val="28"/>
          <w:u w:val="single"/>
        </w:rPr>
      </w:pPr>
    </w:p>
    <w:p w14:paraId="0EC90D28" w14:textId="77777777" w:rsidR="00421BB4" w:rsidRDefault="00421BB4" w:rsidP="00421BB4">
      <w:pPr>
        <w:spacing w:after="120" w:line="360" w:lineRule="auto"/>
        <w:jc w:val="center"/>
        <w:rPr>
          <w:b/>
          <w:bCs/>
          <w:sz w:val="28"/>
          <w:szCs w:val="28"/>
          <w:u w:val="single"/>
        </w:rPr>
      </w:pPr>
    </w:p>
    <w:p w14:paraId="520A6D67" w14:textId="77777777" w:rsidR="00421BB4" w:rsidRDefault="00421BB4" w:rsidP="00421BB4">
      <w:pPr>
        <w:spacing w:after="120" w:line="360" w:lineRule="auto"/>
        <w:jc w:val="center"/>
        <w:rPr>
          <w:b/>
          <w:bCs/>
          <w:sz w:val="28"/>
          <w:szCs w:val="28"/>
          <w:u w:val="single"/>
        </w:rPr>
      </w:pPr>
    </w:p>
    <w:p w14:paraId="7513F942" w14:textId="77777777" w:rsidR="00421BB4" w:rsidRDefault="00421BB4" w:rsidP="00421BB4">
      <w:pPr>
        <w:spacing w:after="120" w:line="360" w:lineRule="auto"/>
        <w:jc w:val="center"/>
        <w:rPr>
          <w:b/>
          <w:bCs/>
          <w:sz w:val="28"/>
          <w:szCs w:val="28"/>
          <w:u w:val="single"/>
        </w:rPr>
      </w:pPr>
    </w:p>
    <w:p w14:paraId="1A4E47F3" w14:textId="77777777" w:rsidR="00421BB4" w:rsidRDefault="00421BB4" w:rsidP="00421BB4">
      <w:pPr>
        <w:spacing w:after="120" w:line="360" w:lineRule="auto"/>
        <w:jc w:val="center"/>
        <w:rPr>
          <w:b/>
          <w:bCs/>
          <w:sz w:val="28"/>
          <w:szCs w:val="28"/>
          <w:u w:val="single"/>
        </w:rPr>
      </w:pPr>
    </w:p>
    <w:p w14:paraId="482AE934" w14:textId="77777777" w:rsidR="00421BB4" w:rsidRDefault="00421BB4" w:rsidP="00421BB4">
      <w:pPr>
        <w:spacing w:after="120" w:line="360" w:lineRule="auto"/>
        <w:jc w:val="center"/>
        <w:rPr>
          <w:b/>
          <w:bCs/>
          <w:sz w:val="28"/>
          <w:szCs w:val="28"/>
          <w:u w:val="single"/>
        </w:rPr>
      </w:pPr>
    </w:p>
    <w:p w14:paraId="31414503" w14:textId="77777777" w:rsidR="00421BB4" w:rsidRDefault="00421BB4" w:rsidP="00421BB4">
      <w:pPr>
        <w:spacing w:after="120" w:line="360" w:lineRule="auto"/>
        <w:jc w:val="center"/>
        <w:rPr>
          <w:b/>
          <w:bCs/>
          <w:sz w:val="28"/>
          <w:szCs w:val="28"/>
          <w:u w:val="single"/>
        </w:rPr>
      </w:pPr>
    </w:p>
    <w:p w14:paraId="300144C1" w14:textId="77777777" w:rsidR="00421BB4" w:rsidRDefault="00421BB4" w:rsidP="00421BB4">
      <w:pPr>
        <w:spacing w:after="120" w:line="360" w:lineRule="auto"/>
        <w:rPr>
          <w:b/>
          <w:bCs/>
          <w:sz w:val="28"/>
          <w:szCs w:val="28"/>
          <w:u w:val="single"/>
        </w:rPr>
      </w:pPr>
    </w:p>
    <w:p w14:paraId="3BB77096" w14:textId="77777777" w:rsidR="00421BB4" w:rsidRPr="002D3DF9" w:rsidRDefault="00421BB4" w:rsidP="00421BB4">
      <w:pPr>
        <w:spacing w:after="120" w:line="360" w:lineRule="auto"/>
        <w:jc w:val="center"/>
        <w:rPr>
          <w:b/>
          <w:bCs/>
          <w:sz w:val="28"/>
          <w:szCs w:val="28"/>
          <w:u w:val="single"/>
        </w:rPr>
      </w:pPr>
      <w:bookmarkStart w:id="30" w:name="CHAPTER4"/>
      <w:r w:rsidRPr="002D3DF9">
        <w:rPr>
          <w:b/>
          <w:bCs/>
          <w:sz w:val="28"/>
          <w:szCs w:val="28"/>
          <w:u w:val="single"/>
        </w:rPr>
        <w:lastRenderedPageBreak/>
        <w:t>CHAPTER 4</w:t>
      </w:r>
    </w:p>
    <w:p w14:paraId="0767077B" w14:textId="77777777" w:rsidR="00421BB4" w:rsidRDefault="00421BB4" w:rsidP="00421BB4">
      <w:pPr>
        <w:spacing w:after="120" w:line="360" w:lineRule="auto"/>
        <w:jc w:val="center"/>
        <w:rPr>
          <w:b/>
          <w:bCs/>
          <w:sz w:val="28"/>
          <w:szCs w:val="28"/>
          <w:u w:val="single"/>
        </w:rPr>
      </w:pPr>
      <w:r w:rsidRPr="002D3DF9">
        <w:rPr>
          <w:b/>
          <w:bCs/>
          <w:sz w:val="28"/>
          <w:szCs w:val="28"/>
          <w:u w:val="single"/>
        </w:rPr>
        <w:t>PRESENTATION OF DATA</w:t>
      </w:r>
    </w:p>
    <w:bookmarkEnd w:id="30"/>
    <w:p w14:paraId="1696BD1F" w14:textId="77777777" w:rsidR="00421BB4" w:rsidRPr="00BE1E28" w:rsidRDefault="00421BB4" w:rsidP="00421BB4">
      <w:pPr>
        <w:spacing w:after="120" w:line="360" w:lineRule="auto"/>
        <w:rPr>
          <w:b/>
          <w:bCs/>
          <w:u w:val="single"/>
        </w:rPr>
      </w:pPr>
      <w:r w:rsidRPr="00BE1E28">
        <w:rPr>
          <w:b/>
          <w:bCs/>
          <w:u w:val="single"/>
        </w:rPr>
        <w:t xml:space="preserve">Introduction </w:t>
      </w:r>
    </w:p>
    <w:p w14:paraId="2FE21405" w14:textId="77777777" w:rsidR="00421BB4" w:rsidRDefault="00421BB4" w:rsidP="00421BB4">
      <w:pPr>
        <w:spacing w:line="360" w:lineRule="auto"/>
        <w:jc w:val="both"/>
        <w:outlineLvl w:val="0"/>
        <w:rPr>
          <w:rFonts w:eastAsiaTheme="minorHAnsi"/>
          <w:bCs/>
          <w:lang w:eastAsia="en-US"/>
        </w:rPr>
      </w:pPr>
      <w:r w:rsidRPr="00BF1755">
        <w:t>The questionnaire</w:t>
      </w:r>
      <w:r>
        <w:t>s</w:t>
      </w:r>
      <w:r w:rsidRPr="00BF1755">
        <w:t xml:space="preserve"> and </w:t>
      </w:r>
      <w:r>
        <w:t>semi-structured</w:t>
      </w:r>
      <w:r w:rsidRPr="00BF1755">
        <w:t xml:space="preserve"> interview</w:t>
      </w:r>
      <w:r>
        <w:t>s</w:t>
      </w:r>
      <w:r w:rsidRPr="00BF1755">
        <w:t xml:space="preserve"> sought to uncover the perceptions of YP surrounding the wellbeing support o</w:t>
      </w:r>
      <w:r>
        <w:t>pportunities</w:t>
      </w:r>
      <w:r w:rsidRPr="00BF1755">
        <w:t xml:space="preserve"> during P16 transitions and this was achieved by addressing these research aims</w:t>
      </w:r>
      <w:r>
        <w:t xml:space="preserve"> and objectives</w:t>
      </w:r>
      <w:r w:rsidRPr="00BF1755">
        <w:t xml:space="preserve"> during the</w:t>
      </w:r>
      <w:r>
        <w:t xml:space="preserve"> research and</w:t>
      </w:r>
      <w:r w:rsidRPr="00BF1755">
        <w:t xml:space="preserve"> data collection process</w:t>
      </w:r>
      <w:r>
        <w:rPr>
          <w:b/>
        </w:rPr>
        <w:t>:</w:t>
      </w:r>
    </w:p>
    <w:p w14:paraId="0F26E1C8" w14:textId="77777777" w:rsidR="00421BB4" w:rsidRPr="00BF1755" w:rsidRDefault="00421BB4" w:rsidP="00421BB4">
      <w:pPr>
        <w:spacing w:line="360" w:lineRule="auto"/>
        <w:jc w:val="both"/>
        <w:outlineLvl w:val="0"/>
        <w:rPr>
          <w:b/>
        </w:rPr>
      </w:pPr>
    </w:p>
    <w:p w14:paraId="61B06097" w14:textId="77777777" w:rsidR="00421BB4" w:rsidRPr="00BF1755" w:rsidRDefault="00421BB4" w:rsidP="00421BB4">
      <w:pPr>
        <w:numPr>
          <w:ilvl w:val="0"/>
          <w:numId w:val="3"/>
        </w:numPr>
        <w:spacing w:after="200" w:line="360" w:lineRule="auto"/>
        <w:contextualSpacing/>
        <w:jc w:val="both"/>
        <w:rPr>
          <w:rFonts w:eastAsiaTheme="minorHAnsi"/>
          <w:bCs/>
          <w:lang w:eastAsia="en-US"/>
        </w:rPr>
      </w:pPr>
      <w:r w:rsidRPr="00171EE4">
        <w:rPr>
          <w:rFonts w:eastAsiaTheme="minorHAnsi"/>
          <w:bCs/>
          <w:lang w:eastAsia="en-US"/>
        </w:rPr>
        <w:t>Exploring</w:t>
      </w:r>
      <w:r w:rsidRPr="00BF1755">
        <w:rPr>
          <w:rFonts w:eastAsiaTheme="minorHAnsi"/>
          <w:b/>
          <w:i/>
          <w:iCs/>
          <w:lang w:eastAsia="en-US"/>
        </w:rPr>
        <w:t xml:space="preserve"> </w:t>
      </w:r>
      <w:r w:rsidRPr="00BF1755">
        <w:rPr>
          <w:rFonts w:eastAsiaTheme="minorHAnsi"/>
          <w:bCs/>
          <w:lang w:eastAsia="en-US"/>
        </w:rPr>
        <w:t>the participant’s</w:t>
      </w:r>
      <w:r>
        <w:rPr>
          <w:rFonts w:eastAsiaTheme="minorHAnsi"/>
          <w:b/>
          <w:i/>
          <w:iCs/>
          <w:lang w:eastAsia="en-US"/>
        </w:rPr>
        <w:t xml:space="preserve"> </w:t>
      </w:r>
      <w:r w:rsidRPr="00BF1755">
        <w:rPr>
          <w:rFonts w:eastAsiaTheme="minorHAnsi"/>
          <w:bCs/>
          <w:lang w:eastAsia="en-US"/>
        </w:rPr>
        <w:t>perception of wellbeing.</w:t>
      </w:r>
    </w:p>
    <w:p w14:paraId="46765DC4" w14:textId="77777777" w:rsidR="00421BB4" w:rsidRPr="00171EE4" w:rsidRDefault="00421BB4" w:rsidP="00421BB4">
      <w:pPr>
        <w:numPr>
          <w:ilvl w:val="0"/>
          <w:numId w:val="3"/>
        </w:numPr>
        <w:spacing w:after="200" w:line="360" w:lineRule="auto"/>
        <w:contextualSpacing/>
        <w:jc w:val="both"/>
        <w:rPr>
          <w:rFonts w:eastAsiaTheme="minorHAnsi"/>
          <w:bCs/>
          <w:lang w:eastAsia="en-US"/>
        </w:rPr>
      </w:pPr>
      <w:r w:rsidRPr="00171EE4">
        <w:rPr>
          <w:rFonts w:eastAsiaTheme="minorHAnsi"/>
          <w:bCs/>
          <w:lang w:eastAsia="en-US"/>
        </w:rPr>
        <w:t>Identifying</w:t>
      </w:r>
      <w:r>
        <w:rPr>
          <w:rFonts w:eastAsiaTheme="minorHAnsi"/>
          <w:bCs/>
          <w:lang w:eastAsia="en-US"/>
        </w:rPr>
        <w:t xml:space="preserve">; </w:t>
      </w:r>
      <w:r w:rsidRPr="00171EE4">
        <w:rPr>
          <w:rFonts w:eastAsiaTheme="minorHAnsi"/>
          <w:bCs/>
          <w:lang w:eastAsia="en-US"/>
        </w:rPr>
        <w:t>the types of transition processes and procedures available in Post 16 transition experiences from secondary school to the next phase of education</w:t>
      </w:r>
      <w:r>
        <w:rPr>
          <w:rFonts w:eastAsiaTheme="minorHAnsi"/>
          <w:bCs/>
          <w:lang w:eastAsia="en-US"/>
        </w:rPr>
        <w:t xml:space="preserve">; </w:t>
      </w:r>
      <w:r w:rsidRPr="00171EE4">
        <w:rPr>
          <w:rFonts w:eastAsiaTheme="minorHAnsi"/>
          <w:bCs/>
          <w:lang w:eastAsia="en-US"/>
        </w:rPr>
        <w:t>the types of wellbeing support practices and procedures available in Post 16 transition experiences from secondary school to the next phase of education</w:t>
      </w:r>
      <w:r>
        <w:rPr>
          <w:rFonts w:eastAsiaTheme="minorHAnsi"/>
          <w:bCs/>
          <w:lang w:eastAsia="en-US"/>
        </w:rPr>
        <w:t xml:space="preserve">; </w:t>
      </w:r>
      <w:r w:rsidRPr="00171EE4">
        <w:rPr>
          <w:rFonts w:eastAsiaTheme="minorHAnsi"/>
          <w:bCs/>
          <w:lang w:eastAsia="en-US"/>
        </w:rPr>
        <w:t xml:space="preserve">how and by whom transition, and wellbeing support are determined. </w:t>
      </w:r>
    </w:p>
    <w:p w14:paraId="45F80B09" w14:textId="77777777" w:rsidR="00421BB4" w:rsidRPr="00BF1755" w:rsidRDefault="00421BB4" w:rsidP="00421BB4">
      <w:pPr>
        <w:numPr>
          <w:ilvl w:val="0"/>
          <w:numId w:val="3"/>
        </w:numPr>
        <w:spacing w:after="200" w:line="360" w:lineRule="auto"/>
        <w:contextualSpacing/>
        <w:jc w:val="both"/>
        <w:rPr>
          <w:rFonts w:eastAsiaTheme="minorHAnsi"/>
          <w:bCs/>
          <w:lang w:eastAsia="en-US"/>
        </w:rPr>
      </w:pPr>
      <w:r w:rsidRPr="00171EE4">
        <w:rPr>
          <w:rFonts w:eastAsiaTheme="minorHAnsi"/>
          <w:bCs/>
          <w:lang w:eastAsia="en-US"/>
        </w:rPr>
        <w:t>Evaluating critically</w:t>
      </w:r>
      <w:r w:rsidRPr="00BF1755">
        <w:rPr>
          <w:rFonts w:eastAsiaTheme="minorHAnsi"/>
          <w:b/>
          <w:i/>
          <w:iCs/>
          <w:lang w:eastAsia="en-US"/>
        </w:rPr>
        <w:t xml:space="preserve"> </w:t>
      </w:r>
      <w:r w:rsidRPr="00BF1755">
        <w:rPr>
          <w:rFonts w:eastAsiaTheme="minorHAnsi"/>
          <w:bCs/>
          <w:lang w:eastAsia="en-US"/>
        </w:rPr>
        <w:t>the models and frameworks relevant to supporting wellbeing during transition.</w:t>
      </w:r>
    </w:p>
    <w:p w14:paraId="57CC2226" w14:textId="77777777" w:rsidR="00421BB4" w:rsidRDefault="00421BB4" w:rsidP="00421BB4">
      <w:pPr>
        <w:numPr>
          <w:ilvl w:val="0"/>
          <w:numId w:val="3"/>
        </w:numPr>
        <w:spacing w:after="200" w:line="360" w:lineRule="auto"/>
        <w:contextualSpacing/>
        <w:jc w:val="both"/>
        <w:rPr>
          <w:rFonts w:eastAsiaTheme="minorHAnsi"/>
          <w:bCs/>
          <w:lang w:eastAsia="en-US"/>
        </w:rPr>
      </w:pPr>
      <w:r w:rsidRPr="00171EE4">
        <w:rPr>
          <w:rFonts w:eastAsiaTheme="minorHAnsi"/>
          <w:bCs/>
          <w:lang w:eastAsia="en-US"/>
        </w:rPr>
        <w:t>Formulating</w:t>
      </w:r>
      <w:r w:rsidRPr="00BF1755">
        <w:rPr>
          <w:rFonts w:eastAsiaTheme="minorHAnsi"/>
          <w:b/>
          <w:i/>
          <w:iCs/>
          <w:lang w:eastAsia="en-US"/>
        </w:rPr>
        <w:t xml:space="preserve"> </w:t>
      </w:r>
      <w:r w:rsidRPr="00BF1755">
        <w:rPr>
          <w:rFonts w:eastAsiaTheme="minorHAnsi"/>
          <w:bCs/>
          <w:lang w:eastAsia="en-US"/>
        </w:rPr>
        <w:t>recommendations</w:t>
      </w:r>
      <w:r w:rsidRPr="00BF1755">
        <w:rPr>
          <w:rFonts w:eastAsiaTheme="minorHAnsi"/>
          <w:bCs/>
          <w:i/>
          <w:iCs/>
          <w:lang w:eastAsia="en-US"/>
        </w:rPr>
        <w:t xml:space="preserve"> </w:t>
      </w:r>
      <w:r w:rsidRPr="00BF1755">
        <w:rPr>
          <w:rFonts w:eastAsiaTheme="minorHAnsi"/>
          <w:bCs/>
          <w:lang w:eastAsia="en-US"/>
        </w:rPr>
        <w:t>on what good wellbeing support might include for young people during Post 16 transition experiences.</w:t>
      </w:r>
    </w:p>
    <w:p w14:paraId="4D46E964" w14:textId="77777777" w:rsidR="00421BB4" w:rsidRPr="00222806" w:rsidRDefault="00421BB4" w:rsidP="00421BB4">
      <w:pPr>
        <w:spacing w:after="200" w:line="360" w:lineRule="auto"/>
        <w:ind w:left="1080"/>
        <w:contextualSpacing/>
        <w:jc w:val="both"/>
        <w:rPr>
          <w:rFonts w:eastAsiaTheme="minorHAnsi"/>
          <w:bCs/>
          <w:lang w:eastAsia="en-US"/>
        </w:rPr>
      </w:pPr>
    </w:p>
    <w:p w14:paraId="34747626" w14:textId="77777777" w:rsidR="00421BB4" w:rsidRDefault="00421BB4" w:rsidP="00421BB4">
      <w:pPr>
        <w:spacing w:after="120" w:line="360" w:lineRule="auto"/>
        <w:ind w:firstLine="720"/>
        <w:jc w:val="both"/>
      </w:pPr>
      <w:r w:rsidRPr="00BF1755">
        <w:t>While this chapter provide</w:t>
      </w:r>
      <w:r>
        <w:t>s</w:t>
      </w:r>
      <w:r w:rsidRPr="00BF1755">
        <w:t xml:space="preserve"> a description, overview and presentation of the overall findings, detailed analysis</w:t>
      </w:r>
      <w:r>
        <w:t xml:space="preserve"> and interpretation</w:t>
      </w:r>
      <w:r w:rsidRPr="00BF1755">
        <w:t xml:space="preserve"> of the data occurs within </w:t>
      </w:r>
      <w:r>
        <w:t xml:space="preserve">Chapter 5. </w:t>
      </w:r>
      <w:r w:rsidRPr="00F01673">
        <w:t xml:space="preserve">Appendix 12 </w:t>
      </w:r>
      <w:r w:rsidRPr="00BF1755">
        <w:t>illustrates the model that was adopted to present and analyse th</w:t>
      </w:r>
      <w:r>
        <w:t>e findings of this</w:t>
      </w:r>
      <w:r w:rsidRPr="00BF1755">
        <w:t xml:space="preserve"> case study following the collection of the data (Denscombe 2021). It was a useful mechanism </w:t>
      </w:r>
      <w:r>
        <w:t xml:space="preserve">to highlight the </w:t>
      </w:r>
      <w:r w:rsidRPr="00BF1755">
        <w:t>processes and expectations within data analysis and acted as a</w:t>
      </w:r>
      <w:r>
        <w:t xml:space="preserve"> </w:t>
      </w:r>
      <w:r w:rsidRPr="00BF1755">
        <w:t>prompt to</w:t>
      </w:r>
      <w:r>
        <w:t xml:space="preserve"> remain reflective</w:t>
      </w:r>
      <w:r w:rsidRPr="00BF1755">
        <w:t xml:space="preserve"> on the research aims and objectives and </w:t>
      </w:r>
      <w:r>
        <w:t>pertinent literature within</w:t>
      </w:r>
      <w:r w:rsidRPr="00BF1755">
        <w:t xml:space="preserve"> </w:t>
      </w:r>
      <w:r>
        <w:t>Chapter 2</w:t>
      </w:r>
      <w:r w:rsidRPr="00BF1755">
        <w:t xml:space="preserve">. </w:t>
      </w:r>
      <w:r>
        <w:t xml:space="preserve">Overall, three core themes and three subthemes were identified from the analysis. Throughout this chapter these will be described in more detail and accompanied with excepts and quotes from the research. A final thematic model overview was created to illustrate and depicts the relationship between each of the core themes and subthemes </w:t>
      </w:r>
      <w:r w:rsidRPr="006D30F9">
        <w:t>(see Appendix 21).</w:t>
      </w:r>
    </w:p>
    <w:p w14:paraId="72E55AF4" w14:textId="77777777" w:rsidR="00421BB4" w:rsidRPr="00B72747" w:rsidRDefault="00421BB4" w:rsidP="00421BB4">
      <w:pPr>
        <w:spacing w:after="120" w:line="360" w:lineRule="auto"/>
        <w:ind w:firstLine="720"/>
        <w:jc w:val="both"/>
      </w:pPr>
      <w:r>
        <w:rPr>
          <w:rFonts w:eastAsiaTheme="minorHAnsi"/>
          <w:shd w:val="clear" w:color="auto" w:fill="FFFFFF"/>
          <w:lang w:eastAsia="en-US"/>
        </w:rPr>
        <w:t>How t</w:t>
      </w:r>
      <w:r w:rsidRPr="00BF1755">
        <w:rPr>
          <w:rFonts w:eastAsiaTheme="minorHAnsi"/>
          <w:shd w:val="clear" w:color="auto" w:fill="FFFFFF"/>
          <w:lang w:eastAsia="en-US"/>
        </w:rPr>
        <w:t>he first six steps</w:t>
      </w:r>
      <w:r>
        <w:rPr>
          <w:rFonts w:eastAsiaTheme="minorHAnsi"/>
          <w:shd w:val="clear" w:color="auto" w:fill="FFFFFF"/>
          <w:lang w:eastAsia="en-US"/>
        </w:rPr>
        <w:t xml:space="preserve"> of Braun and Clarke’s thematic analysis steps (2021)</w:t>
      </w:r>
      <w:r w:rsidRPr="00BF1755">
        <w:rPr>
          <w:rFonts w:eastAsiaTheme="minorHAnsi"/>
          <w:shd w:val="clear" w:color="auto" w:fill="FFFFFF"/>
          <w:lang w:eastAsia="en-US"/>
        </w:rPr>
        <w:t xml:space="preserve"> w</w:t>
      </w:r>
      <w:r>
        <w:rPr>
          <w:rFonts w:eastAsiaTheme="minorHAnsi"/>
          <w:shd w:val="clear" w:color="auto" w:fill="FFFFFF"/>
          <w:lang w:eastAsia="en-US"/>
        </w:rPr>
        <w:t>ere utilised to present the data will</w:t>
      </w:r>
      <w:r w:rsidRPr="00BF1755">
        <w:rPr>
          <w:rFonts w:eastAsiaTheme="minorHAnsi"/>
          <w:shd w:val="clear" w:color="auto" w:fill="FFFFFF"/>
          <w:lang w:eastAsia="en-US"/>
        </w:rPr>
        <w:t xml:space="preserve"> b</w:t>
      </w:r>
      <w:r>
        <w:rPr>
          <w:rFonts w:eastAsiaTheme="minorHAnsi"/>
          <w:shd w:val="clear" w:color="auto" w:fill="FFFFFF"/>
          <w:lang w:eastAsia="en-US"/>
        </w:rPr>
        <w:t>e explored in more depth</w:t>
      </w:r>
      <w:r w:rsidRPr="00BF1755">
        <w:rPr>
          <w:rFonts w:eastAsiaTheme="minorHAnsi"/>
          <w:shd w:val="clear" w:color="auto" w:fill="FFFFFF"/>
          <w:lang w:eastAsia="en-US"/>
        </w:rPr>
        <w:t xml:space="preserve"> within this chapter and step seven </w:t>
      </w:r>
      <w:r w:rsidRPr="00BF1755">
        <w:rPr>
          <w:rFonts w:eastAsiaTheme="minorHAnsi"/>
          <w:shd w:val="clear" w:color="auto" w:fill="FFFFFF"/>
          <w:lang w:eastAsia="en-US"/>
        </w:rPr>
        <w:lastRenderedPageBreak/>
        <w:t xml:space="preserve">will include deeper analysis of the themes within the following chapter.  </w:t>
      </w:r>
      <w:r>
        <w:rPr>
          <w:rFonts w:eastAsiaTheme="minorHAnsi"/>
          <w:shd w:val="clear" w:color="auto" w:fill="FFFFFF"/>
          <w:lang w:eastAsia="en-US"/>
        </w:rPr>
        <w:t xml:space="preserve">The codes used during this chapter include </w:t>
      </w:r>
      <w:r w:rsidRPr="00FB189C">
        <w:rPr>
          <w:rFonts w:eastAsiaTheme="minorHAnsi"/>
          <w:i/>
          <w:iCs/>
          <w:shd w:val="clear" w:color="auto" w:fill="FFFFFF"/>
          <w:lang w:eastAsia="en-US"/>
        </w:rPr>
        <w:t>Participant A = Pa; Participant B = Pb; Participant C = Pc</w:t>
      </w:r>
      <w:r>
        <w:rPr>
          <w:rFonts w:eastAsiaTheme="minorHAnsi"/>
          <w:shd w:val="clear" w:color="auto" w:fill="FFFFFF"/>
          <w:lang w:eastAsia="en-US"/>
        </w:rPr>
        <w:t>.</w:t>
      </w:r>
    </w:p>
    <w:p w14:paraId="63DF49F6" w14:textId="77777777" w:rsidR="00421BB4" w:rsidRDefault="00421BB4" w:rsidP="00421BB4">
      <w:pPr>
        <w:spacing w:after="120" w:line="360" w:lineRule="auto"/>
        <w:jc w:val="both"/>
        <w:rPr>
          <w:rFonts w:eastAsiaTheme="minorHAnsi"/>
          <w:b/>
          <w:bCs/>
          <w:u w:val="single"/>
          <w:shd w:val="clear" w:color="auto" w:fill="FFFFFF"/>
          <w:lang w:eastAsia="en-US"/>
        </w:rPr>
      </w:pPr>
      <w:bookmarkStart w:id="31" w:name="Analysisofthedata"/>
      <w:r w:rsidRPr="00BE1E28">
        <w:rPr>
          <w:rFonts w:eastAsiaTheme="minorHAnsi"/>
          <w:b/>
          <w:bCs/>
          <w:u w:val="single"/>
          <w:shd w:val="clear" w:color="auto" w:fill="FFFFFF"/>
          <w:lang w:eastAsia="en-US"/>
        </w:rPr>
        <w:t>4.1 - Analysis of the data</w:t>
      </w:r>
    </w:p>
    <w:bookmarkEnd w:id="31"/>
    <w:p w14:paraId="08253E02" w14:textId="77777777" w:rsidR="00421BB4" w:rsidRDefault="00421BB4" w:rsidP="00421BB4">
      <w:pPr>
        <w:spacing w:after="120" w:line="360" w:lineRule="auto"/>
        <w:jc w:val="both"/>
        <w:rPr>
          <w:rFonts w:eastAsiaTheme="minorHAnsi"/>
          <w:b/>
          <w:bCs/>
          <w:u w:val="single"/>
          <w:shd w:val="clear" w:color="auto" w:fill="FFFFFF"/>
          <w:lang w:eastAsia="en-US"/>
        </w:rPr>
      </w:pPr>
      <w:r>
        <w:rPr>
          <w:rFonts w:eastAsiaTheme="minorHAnsi"/>
          <w:u w:val="single"/>
          <w:lang w:eastAsia="en-US"/>
        </w:rPr>
        <w:t xml:space="preserve">4.1.1 - </w:t>
      </w:r>
      <w:r w:rsidRPr="001835FA">
        <w:rPr>
          <w:rFonts w:eastAsiaTheme="minorHAnsi"/>
          <w:u w:val="single"/>
          <w:lang w:eastAsia="en-US"/>
        </w:rPr>
        <w:t>Step 1 – transcription</w:t>
      </w:r>
      <w:r>
        <w:rPr>
          <w:rFonts w:eastAsiaTheme="minorHAnsi"/>
          <w:u w:val="single"/>
          <w:lang w:eastAsia="en-US"/>
        </w:rPr>
        <w:t xml:space="preserve"> and reflection</w:t>
      </w:r>
      <w:bookmarkStart w:id="32" w:name="Step1"/>
      <w:bookmarkEnd w:id="32"/>
    </w:p>
    <w:p w14:paraId="17C88BD3" w14:textId="77777777" w:rsidR="00421BB4" w:rsidRDefault="00421BB4" w:rsidP="00421BB4">
      <w:pPr>
        <w:spacing w:after="120" w:line="360" w:lineRule="auto"/>
        <w:ind w:firstLine="720"/>
        <w:jc w:val="both"/>
        <w:rPr>
          <w:rFonts w:eastAsiaTheme="minorHAnsi"/>
          <w:color w:val="222222"/>
          <w:shd w:val="clear" w:color="auto" w:fill="FFFFFF"/>
          <w:lang w:eastAsia="en-US"/>
        </w:rPr>
      </w:pPr>
      <w:r w:rsidRPr="00BF1755">
        <w:rPr>
          <w:rFonts w:eastAsiaTheme="minorHAnsi"/>
          <w:shd w:val="clear" w:color="auto" w:fill="FFFFFF"/>
          <w:lang w:eastAsia="en-US"/>
        </w:rPr>
        <w:t>Each of the recorded interviews were transcribed</w:t>
      </w:r>
      <w:r>
        <w:rPr>
          <w:rFonts w:eastAsiaTheme="minorHAnsi"/>
          <w:shd w:val="clear" w:color="auto" w:fill="FFFFFF"/>
          <w:lang w:eastAsia="en-US"/>
        </w:rPr>
        <w:t xml:space="preserve">, as outlined in Chapter 3, </w:t>
      </w:r>
      <w:r w:rsidRPr="00BF1755">
        <w:rPr>
          <w:rFonts w:eastAsiaTheme="minorHAnsi"/>
          <w:shd w:val="clear" w:color="auto" w:fill="FFFFFF"/>
          <w:lang w:eastAsia="en-US"/>
        </w:rPr>
        <w:t>and the process of transcription transformed the data into an accessible format for analysis</w:t>
      </w:r>
      <w:r>
        <w:rPr>
          <w:rFonts w:eastAsiaTheme="minorHAnsi"/>
          <w:shd w:val="clear" w:color="auto" w:fill="FFFFFF"/>
          <w:lang w:eastAsia="en-US"/>
        </w:rPr>
        <w:t xml:space="preserve"> within step 1 of Braun and Clarke’s (2021) thematic analysis</w:t>
      </w:r>
      <w:r w:rsidRPr="00BF1755">
        <w:rPr>
          <w:rFonts w:eastAsiaTheme="minorHAnsi"/>
          <w:shd w:val="clear" w:color="auto" w:fill="FFFFFF"/>
          <w:lang w:eastAsia="en-US"/>
        </w:rPr>
        <w:t xml:space="preserve">. </w:t>
      </w:r>
      <w:r>
        <w:rPr>
          <w:rFonts w:eastAsiaTheme="minorHAnsi"/>
          <w:lang w:eastAsia="en-US"/>
        </w:rPr>
        <w:t>Even though transcription is a fundamental step in thematic analysis (Braun and Clarke 2021), it must be noted that it was not without its challenges. T</w:t>
      </w:r>
      <w:r w:rsidRPr="00BF1755">
        <w:rPr>
          <w:rFonts w:eastAsiaTheme="minorHAnsi"/>
          <w:lang w:eastAsia="en-US"/>
        </w:rPr>
        <w:t>ranscription, even when using an application on a device, require</w:t>
      </w:r>
      <w:r>
        <w:rPr>
          <w:rFonts w:eastAsiaTheme="minorHAnsi"/>
          <w:lang w:eastAsia="en-US"/>
        </w:rPr>
        <w:t>s</w:t>
      </w:r>
      <w:r w:rsidRPr="00BF1755">
        <w:rPr>
          <w:rFonts w:eastAsiaTheme="minorHAnsi"/>
          <w:lang w:eastAsia="en-US"/>
        </w:rPr>
        <w:t xml:space="preserve"> a level of skill as it </w:t>
      </w:r>
      <w:r>
        <w:rPr>
          <w:rFonts w:eastAsiaTheme="minorHAnsi"/>
          <w:lang w:eastAsia="en-US"/>
        </w:rPr>
        <w:t>is</w:t>
      </w:r>
      <w:r w:rsidRPr="00BF1755">
        <w:rPr>
          <w:rFonts w:eastAsiaTheme="minorHAnsi"/>
          <w:lang w:eastAsia="en-US"/>
        </w:rPr>
        <w:t xml:space="preserve"> difficult to convey emotion, nuances and sounds that are made during the interview process </w:t>
      </w:r>
      <w:r>
        <w:rPr>
          <w:rFonts w:eastAsiaTheme="minorHAnsi"/>
          <w:lang w:eastAsia="en-US"/>
        </w:rPr>
        <w:t xml:space="preserve">within the transcribed data </w:t>
      </w:r>
      <w:r w:rsidRPr="00BF1755">
        <w:rPr>
          <w:rFonts w:eastAsiaTheme="minorHAnsi"/>
          <w:lang w:eastAsia="en-US"/>
        </w:rPr>
        <w:t>(Silverman 201</w:t>
      </w:r>
      <w:r>
        <w:rPr>
          <w:rFonts w:eastAsiaTheme="minorHAnsi"/>
          <w:lang w:eastAsia="en-US"/>
        </w:rPr>
        <w:t>3</w:t>
      </w:r>
      <w:r w:rsidRPr="00BF1755">
        <w:rPr>
          <w:rFonts w:eastAsiaTheme="minorHAnsi"/>
          <w:lang w:eastAsia="en-US"/>
        </w:rPr>
        <w:t>). This was noted</w:t>
      </w:r>
      <w:r>
        <w:rPr>
          <w:rFonts w:eastAsiaTheme="minorHAnsi"/>
          <w:lang w:eastAsia="en-US"/>
        </w:rPr>
        <w:t xml:space="preserve"> especially</w:t>
      </w:r>
      <w:r w:rsidRPr="00BF1755">
        <w:rPr>
          <w:rFonts w:eastAsiaTheme="minorHAnsi"/>
          <w:lang w:eastAsia="en-US"/>
        </w:rPr>
        <w:t xml:space="preserve"> when a</w:t>
      </w:r>
      <w:r>
        <w:rPr>
          <w:rFonts w:eastAsiaTheme="minorHAnsi"/>
          <w:lang w:eastAsia="en-US"/>
        </w:rPr>
        <w:t>ddressing</w:t>
      </w:r>
      <w:r w:rsidRPr="00BF1755">
        <w:rPr>
          <w:rFonts w:eastAsiaTheme="minorHAnsi"/>
          <w:lang w:eastAsia="en-US"/>
        </w:rPr>
        <w:t xml:space="preserve"> </w:t>
      </w:r>
      <w:r w:rsidRPr="00B647A0">
        <w:rPr>
          <w:rFonts w:eastAsiaTheme="minorHAnsi"/>
          <w:lang w:eastAsia="en-US"/>
        </w:rPr>
        <w:t xml:space="preserve">question three </w:t>
      </w:r>
      <w:r>
        <w:rPr>
          <w:rFonts w:eastAsiaTheme="minorHAnsi"/>
          <w:lang w:eastAsia="en-US"/>
        </w:rPr>
        <w:t>when the participants were asked their opinion on the sufficiency of P16 transition support and</w:t>
      </w:r>
      <w:r w:rsidRPr="00B67F3D">
        <w:rPr>
          <w:rFonts w:eastAsiaTheme="minorHAnsi"/>
          <w:color w:val="222222"/>
          <w:shd w:val="clear" w:color="auto" w:fill="FFFFFF"/>
          <w:lang w:eastAsia="en-US"/>
        </w:rPr>
        <w:t xml:space="preserve"> </w:t>
      </w:r>
      <w:r>
        <w:rPr>
          <w:rFonts w:eastAsiaTheme="minorHAnsi"/>
          <w:color w:val="222222"/>
          <w:shd w:val="clear" w:color="auto" w:fill="FFFFFF"/>
          <w:lang w:eastAsia="en-US"/>
        </w:rPr>
        <w:t xml:space="preserve">to provide </w:t>
      </w:r>
      <w:r w:rsidRPr="00B67F3D">
        <w:rPr>
          <w:rFonts w:eastAsiaTheme="minorHAnsi"/>
          <w:color w:val="222222"/>
          <w:shd w:val="clear" w:color="auto" w:fill="FFFFFF"/>
          <w:lang w:eastAsia="en-US"/>
        </w:rPr>
        <w:t xml:space="preserve">examples of </w:t>
      </w:r>
      <w:r>
        <w:rPr>
          <w:rFonts w:eastAsiaTheme="minorHAnsi"/>
          <w:color w:val="222222"/>
          <w:shd w:val="clear" w:color="auto" w:fill="FFFFFF"/>
          <w:lang w:eastAsia="en-US"/>
        </w:rPr>
        <w:t>transition and</w:t>
      </w:r>
      <w:r w:rsidRPr="00B67F3D">
        <w:rPr>
          <w:rFonts w:eastAsiaTheme="minorHAnsi"/>
          <w:color w:val="222222"/>
          <w:shd w:val="clear" w:color="auto" w:fill="FFFFFF"/>
          <w:lang w:eastAsia="en-US"/>
        </w:rPr>
        <w:t xml:space="preserve"> wellbeing support that</w:t>
      </w:r>
      <w:r>
        <w:rPr>
          <w:rFonts w:eastAsiaTheme="minorHAnsi"/>
          <w:color w:val="222222"/>
          <w:shd w:val="clear" w:color="auto" w:fill="FFFFFF"/>
          <w:lang w:eastAsia="en-US"/>
        </w:rPr>
        <w:t xml:space="preserve"> was offered during their transition. </w:t>
      </w:r>
      <w:r w:rsidRPr="006D30F9">
        <w:rPr>
          <w:rFonts w:eastAsiaTheme="minorHAnsi"/>
          <w:shd w:val="clear" w:color="auto" w:fill="FFFFFF"/>
          <w:lang w:eastAsia="en-US"/>
        </w:rPr>
        <w:t xml:space="preserve">Appendix 14 </w:t>
      </w:r>
      <w:r>
        <w:rPr>
          <w:rFonts w:eastAsiaTheme="minorHAnsi"/>
          <w:color w:val="222222"/>
          <w:shd w:val="clear" w:color="auto" w:fill="FFFFFF"/>
          <w:lang w:eastAsia="en-US"/>
        </w:rPr>
        <w:t>provides an overview of how interview skills impacted on the on the quality of data that was eventually transcribed.</w:t>
      </w:r>
    </w:p>
    <w:p w14:paraId="03A8E0DE" w14:textId="77777777" w:rsidR="00421BB4" w:rsidRPr="00BE215B" w:rsidRDefault="00421BB4" w:rsidP="00421BB4">
      <w:pPr>
        <w:spacing w:after="120" w:line="360" w:lineRule="auto"/>
        <w:ind w:firstLine="720"/>
        <w:jc w:val="both"/>
        <w:rPr>
          <w:rFonts w:eastAsiaTheme="minorHAnsi"/>
          <w:color w:val="00B050"/>
          <w:lang w:eastAsia="en-US"/>
        </w:rPr>
      </w:pPr>
      <w:r w:rsidRPr="00BF1755">
        <w:rPr>
          <w:rFonts w:eastAsiaTheme="minorHAnsi"/>
          <w:shd w:val="clear" w:color="auto" w:fill="FFFFFF"/>
          <w:lang w:eastAsia="en-US"/>
        </w:rPr>
        <w:t xml:space="preserve">While the </w:t>
      </w:r>
      <w:r w:rsidRPr="00BF1755">
        <w:t xml:space="preserve">questionnaires did not require transcription, it was still nevertheless essential to collate the findings to </w:t>
      </w:r>
      <w:r>
        <w:t>begin</w:t>
      </w:r>
      <w:r w:rsidRPr="00BF1755">
        <w:t xml:space="preserve"> analysis and this was achieved by inputting all responses into a</w:t>
      </w:r>
      <w:r>
        <w:t>n accessible and clear</w:t>
      </w:r>
      <w:r w:rsidRPr="00BF1755">
        <w:t xml:space="preserve"> table</w:t>
      </w:r>
      <w:r>
        <w:t xml:space="preserve"> </w:t>
      </w:r>
      <w:r w:rsidRPr="006D30F9">
        <w:t xml:space="preserve">(see Appendix 13). </w:t>
      </w:r>
      <w:r w:rsidRPr="00BF1755">
        <w:rPr>
          <w:rFonts w:eastAsiaTheme="minorHAnsi"/>
          <w:lang w:eastAsia="en-US"/>
        </w:rPr>
        <w:t>The table clearly outlines the responses of all three participants using bolded and enlarged text and the number of responses to each question is displayed numerically. The information obtained from the results of the questionnaire helped to create the questions for the semi-structured interviews. It was evident from the findings of the questionnaires that the participant’s views on what wellbeing means varied</w:t>
      </w:r>
      <w:r>
        <w:rPr>
          <w:rFonts w:eastAsiaTheme="minorHAnsi"/>
          <w:lang w:eastAsia="en-US"/>
        </w:rPr>
        <w:t xml:space="preserve">, which in in line with the literature explored within Chapter 2. </w:t>
      </w:r>
    </w:p>
    <w:p w14:paraId="00C75582" w14:textId="77777777" w:rsidR="00421BB4" w:rsidRPr="00190322" w:rsidRDefault="00421BB4" w:rsidP="00421BB4">
      <w:pPr>
        <w:spacing w:after="120" w:line="360" w:lineRule="auto"/>
        <w:jc w:val="both"/>
      </w:pPr>
      <w:bookmarkStart w:id="33" w:name="Step2"/>
      <w:r>
        <w:rPr>
          <w:u w:val="single"/>
        </w:rPr>
        <w:t xml:space="preserve">4.1.2 - </w:t>
      </w:r>
      <w:r w:rsidRPr="006B4DEA">
        <w:rPr>
          <w:u w:val="single"/>
        </w:rPr>
        <w:t>Step 2 – familiarisation</w:t>
      </w:r>
    </w:p>
    <w:bookmarkEnd w:id="33"/>
    <w:p w14:paraId="7A27F9D2" w14:textId="77777777" w:rsidR="00421BB4" w:rsidRDefault="00421BB4" w:rsidP="00421BB4">
      <w:pPr>
        <w:spacing w:after="120" w:line="360" w:lineRule="auto"/>
        <w:jc w:val="both"/>
      </w:pPr>
      <w:r w:rsidRPr="00BF1755">
        <w:t>Part of the process of familiarising with the data also required the data to be studied and read multiple times</w:t>
      </w:r>
      <w:r>
        <w:t xml:space="preserve"> which</w:t>
      </w:r>
      <w:r w:rsidRPr="00BF1755">
        <w:t xml:space="preserve"> ultimately lea</w:t>
      </w:r>
      <w:r>
        <w:t xml:space="preserve">d </w:t>
      </w:r>
      <w:r w:rsidRPr="00BF1755">
        <w:t>to gaining a deeper understanding of the information that ma</w:t>
      </w:r>
      <w:r>
        <w:t>de</w:t>
      </w:r>
      <w:r w:rsidRPr="00BF1755">
        <w:t xml:space="preserve"> up the data and how the information interrelates (Braun and Clarke 202</w:t>
      </w:r>
      <w:r>
        <w:t>1</w:t>
      </w:r>
      <w:r w:rsidRPr="00BF1755">
        <w:t>). During the reading and re reading process it helped to create a table for each participant outlining the questions and their responses.</w:t>
      </w:r>
      <w:r w:rsidRPr="00BF1755">
        <w:rPr>
          <w:color w:val="FF0000"/>
        </w:rPr>
        <w:t xml:space="preserve"> </w:t>
      </w:r>
      <w:r w:rsidRPr="00BF1755">
        <w:t xml:space="preserve">This raw data, even though not be shared in its entirety, </w:t>
      </w:r>
      <w:r>
        <w:t>is</w:t>
      </w:r>
      <w:r w:rsidRPr="00BF1755">
        <w:t xml:space="preserve"> included as excepts within this chapter and Chapter 5.</w:t>
      </w:r>
    </w:p>
    <w:p w14:paraId="6AA7E3D3" w14:textId="77777777" w:rsidR="00421BB4" w:rsidRDefault="00421BB4" w:rsidP="00421BB4">
      <w:pPr>
        <w:spacing w:after="160" w:line="360" w:lineRule="auto"/>
        <w:jc w:val="both"/>
        <w:rPr>
          <w:b/>
          <w:bCs/>
          <w:u w:val="single"/>
        </w:rPr>
      </w:pPr>
      <w:bookmarkStart w:id="34" w:name="Thematicanalysis"/>
    </w:p>
    <w:p w14:paraId="45DC08AB" w14:textId="77777777" w:rsidR="00421BB4" w:rsidRDefault="00421BB4" w:rsidP="00421BB4">
      <w:pPr>
        <w:spacing w:after="160" w:line="360" w:lineRule="auto"/>
        <w:jc w:val="both"/>
        <w:rPr>
          <w:b/>
          <w:bCs/>
          <w:u w:val="single"/>
        </w:rPr>
      </w:pPr>
      <w:r w:rsidRPr="006B4DEA">
        <w:rPr>
          <w:b/>
          <w:bCs/>
          <w:u w:val="single"/>
        </w:rPr>
        <w:lastRenderedPageBreak/>
        <w:t xml:space="preserve">4.2 – </w:t>
      </w:r>
      <w:r>
        <w:rPr>
          <w:b/>
          <w:bCs/>
          <w:u w:val="single"/>
        </w:rPr>
        <w:t>Thematic analysis</w:t>
      </w:r>
    </w:p>
    <w:p w14:paraId="25455AFE" w14:textId="77777777" w:rsidR="00421BB4" w:rsidRPr="004156AC" w:rsidRDefault="00421BB4" w:rsidP="00421BB4">
      <w:pPr>
        <w:spacing w:after="160" w:line="360" w:lineRule="auto"/>
        <w:jc w:val="both"/>
        <w:rPr>
          <w:u w:val="single"/>
        </w:rPr>
      </w:pPr>
      <w:bookmarkStart w:id="35" w:name="Step3"/>
      <w:bookmarkEnd w:id="34"/>
      <w:r>
        <w:rPr>
          <w:u w:val="single"/>
        </w:rPr>
        <w:t xml:space="preserve">4.2.1 Step 3 - </w:t>
      </w:r>
      <w:r w:rsidRPr="004156AC">
        <w:rPr>
          <w:u w:val="single"/>
        </w:rPr>
        <w:t>Coding</w:t>
      </w:r>
    </w:p>
    <w:bookmarkEnd w:id="35"/>
    <w:p w14:paraId="70C09810" w14:textId="77777777" w:rsidR="00421BB4" w:rsidRDefault="00421BB4" w:rsidP="00421BB4">
      <w:pPr>
        <w:spacing w:after="160" w:line="360" w:lineRule="auto"/>
        <w:ind w:firstLine="720"/>
        <w:jc w:val="both"/>
        <w:rPr>
          <w:rFonts w:eastAsiaTheme="minorHAnsi"/>
          <w:shd w:val="clear" w:color="auto" w:fill="FFFFFF"/>
          <w:lang w:eastAsia="en-US"/>
        </w:rPr>
      </w:pPr>
      <w:r w:rsidRPr="00BF1755">
        <w:rPr>
          <w:rFonts w:eastAsiaTheme="minorHAnsi"/>
          <w:shd w:val="clear" w:color="auto" w:fill="FFFFFF"/>
          <w:lang w:eastAsia="en-US"/>
        </w:rPr>
        <w:t xml:space="preserve">As codes can include single words and phrases, in the </w:t>
      </w:r>
      <w:r>
        <w:rPr>
          <w:rFonts w:eastAsiaTheme="minorHAnsi"/>
          <w:shd w:val="clear" w:color="auto" w:fill="FFFFFF"/>
          <w:lang w:eastAsia="en-US"/>
        </w:rPr>
        <w:t xml:space="preserve">table </w:t>
      </w:r>
      <w:r w:rsidRPr="00BF1755">
        <w:rPr>
          <w:rFonts w:eastAsiaTheme="minorHAnsi"/>
          <w:shd w:val="clear" w:color="auto" w:fill="FFFFFF"/>
          <w:lang w:eastAsia="en-US"/>
        </w:rPr>
        <w:t>below, key words and phrases from P</w:t>
      </w:r>
      <w:r>
        <w:rPr>
          <w:rFonts w:eastAsiaTheme="minorHAnsi"/>
          <w:shd w:val="clear" w:color="auto" w:fill="FFFFFF"/>
          <w:lang w:eastAsia="en-US"/>
        </w:rPr>
        <w:t>a</w:t>
      </w:r>
      <w:r w:rsidRPr="00BF1755">
        <w:rPr>
          <w:rFonts w:eastAsiaTheme="minorHAnsi"/>
          <w:shd w:val="clear" w:color="auto" w:fill="FFFFFF"/>
          <w:lang w:eastAsia="en-US"/>
        </w:rPr>
        <w:t xml:space="preserve"> response to question one are emboldened and highlighted which helped to support the division of each response into smaller parts and to then consider possible </w:t>
      </w:r>
      <w:r w:rsidRPr="001F32C6">
        <w:rPr>
          <w:rFonts w:eastAsiaTheme="minorHAnsi"/>
          <w:shd w:val="clear" w:color="auto" w:fill="FFFFFF"/>
          <w:lang w:eastAsia="en-US"/>
        </w:rPr>
        <w:t xml:space="preserve">(see </w:t>
      </w:r>
      <w:r w:rsidRPr="002F336F">
        <w:rPr>
          <w:rFonts w:eastAsiaTheme="minorHAnsi"/>
          <w:shd w:val="clear" w:color="auto" w:fill="FFFFFF"/>
          <w:lang w:eastAsia="en-US"/>
        </w:rPr>
        <w:t>Appendix 15).</w:t>
      </w:r>
    </w:p>
    <w:p w14:paraId="27969D31" w14:textId="77777777" w:rsidR="00421BB4" w:rsidRPr="00EF11CD" w:rsidRDefault="00421BB4" w:rsidP="00421BB4">
      <w:pPr>
        <w:spacing w:after="160" w:line="360" w:lineRule="auto"/>
        <w:ind w:firstLine="720"/>
        <w:jc w:val="both"/>
        <w:rPr>
          <w:rFonts w:eastAsiaTheme="minorHAnsi"/>
          <w:color w:val="FF0000"/>
          <w:shd w:val="clear" w:color="auto" w:fill="FFFFFF"/>
          <w:lang w:eastAsia="en-US"/>
        </w:rPr>
      </w:pPr>
      <w:r w:rsidRPr="00BF1755">
        <w:rPr>
          <w:rFonts w:eastAsiaTheme="minorHAnsi"/>
          <w:shd w:val="clear" w:color="auto" w:fill="FFFFFF"/>
          <w:lang w:eastAsia="en-US"/>
        </w:rPr>
        <w:t>This process was carried out with every question from every participant and an overview</w:t>
      </w:r>
      <w:r>
        <w:rPr>
          <w:rFonts w:eastAsiaTheme="minorHAnsi"/>
          <w:shd w:val="clear" w:color="auto" w:fill="FFFFFF"/>
          <w:lang w:eastAsia="en-US"/>
        </w:rPr>
        <w:t xml:space="preserve"> of codes drawn up</w:t>
      </w:r>
      <w:r w:rsidRPr="00BF1755">
        <w:rPr>
          <w:rFonts w:eastAsiaTheme="minorHAnsi"/>
          <w:shd w:val="clear" w:color="auto" w:fill="FFFFFF"/>
          <w:lang w:eastAsia="en-US"/>
        </w:rPr>
        <w:t xml:space="preserve"> from all three participants’ responses (see </w:t>
      </w:r>
      <w:r>
        <w:rPr>
          <w:rFonts w:eastAsiaTheme="minorHAnsi"/>
          <w:shd w:val="clear" w:color="auto" w:fill="FFFFFF"/>
          <w:lang w:eastAsia="en-US"/>
        </w:rPr>
        <w:t>A</w:t>
      </w:r>
      <w:r w:rsidRPr="00BF1755">
        <w:rPr>
          <w:rFonts w:eastAsiaTheme="minorHAnsi"/>
          <w:shd w:val="clear" w:color="auto" w:fill="FFFFFF"/>
          <w:lang w:eastAsia="en-US"/>
        </w:rPr>
        <w:t xml:space="preserve">ppendix </w:t>
      </w:r>
      <w:r>
        <w:rPr>
          <w:rFonts w:eastAsiaTheme="minorHAnsi"/>
          <w:shd w:val="clear" w:color="auto" w:fill="FFFFFF"/>
          <w:lang w:eastAsia="en-US"/>
        </w:rPr>
        <w:t>12</w:t>
      </w:r>
      <w:r w:rsidRPr="00BF1755">
        <w:rPr>
          <w:rFonts w:eastAsiaTheme="minorHAnsi"/>
          <w:shd w:val="clear" w:color="auto" w:fill="FFFFFF"/>
          <w:lang w:eastAsia="en-US"/>
        </w:rPr>
        <w:t xml:space="preserve">). Having these key words and phrases then allowed the commencement of searching for similarities between each of the participants responses. In order to find these similarities, a concept map approach was utilised in order to </w:t>
      </w:r>
      <w:r>
        <w:rPr>
          <w:rFonts w:eastAsiaTheme="minorHAnsi"/>
          <w:shd w:val="clear" w:color="auto" w:fill="FFFFFF"/>
          <w:lang w:eastAsia="en-US"/>
        </w:rPr>
        <w:t>establish</w:t>
      </w:r>
      <w:r w:rsidRPr="00BF1755">
        <w:rPr>
          <w:rFonts w:eastAsiaTheme="minorHAnsi"/>
          <w:shd w:val="clear" w:color="auto" w:fill="FFFFFF"/>
          <w:lang w:eastAsia="en-US"/>
        </w:rPr>
        <w:t xml:space="preserve"> links between the responses of all participants through the use of coding which would eventually feed into the development of the themes (Denscombe 2021). The visualisation of the codes enabled to present the data clearly and in a succinct manne</w:t>
      </w:r>
      <w:r>
        <w:rPr>
          <w:rFonts w:eastAsiaTheme="minorHAnsi"/>
          <w:shd w:val="clear" w:color="auto" w:fill="FFFFFF"/>
          <w:lang w:eastAsia="en-US"/>
        </w:rPr>
        <w:t xml:space="preserve">r </w:t>
      </w:r>
      <w:r w:rsidRPr="004D613A">
        <w:rPr>
          <w:rFonts w:eastAsiaTheme="minorHAnsi"/>
          <w:shd w:val="clear" w:color="auto" w:fill="FFFFFF"/>
          <w:lang w:eastAsia="en-US"/>
        </w:rPr>
        <w:t>(see Appendix 17).</w:t>
      </w:r>
    </w:p>
    <w:p w14:paraId="5819328C" w14:textId="77777777" w:rsidR="00421BB4" w:rsidRDefault="00421BB4" w:rsidP="00421BB4">
      <w:pPr>
        <w:spacing w:after="160" w:line="360" w:lineRule="auto"/>
        <w:ind w:firstLine="720"/>
        <w:jc w:val="both"/>
        <w:rPr>
          <w:rFonts w:eastAsiaTheme="minorHAnsi"/>
          <w:shd w:val="clear" w:color="auto" w:fill="FFFFFF"/>
          <w:lang w:eastAsia="en-US"/>
        </w:rPr>
      </w:pPr>
      <w:r w:rsidRPr="00BF1755">
        <w:rPr>
          <w:rFonts w:eastAsiaTheme="minorHAnsi"/>
          <w:shd w:val="clear" w:color="auto" w:fill="FFFFFF"/>
          <w:lang w:eastAsia="en-US"/>
        </w:rPr>
        <w:t>While the main purpose of incorporating a concept map was to help reduce the amount of data into a practical and usable format, creating the map a</w:t>
      </w:r>
      <w:r>
        <w:rPr>
          <w:rFonts w:eastAsiaTheme="minorHAnsi"/>
          <w:shd w:val="clear" w:color="auto" w:fill="FFFFFF"/>
          <w:lang w:eastAsia="en-US"/>
        </w:rPr>
        <w:t>lso</w:t>
      </w:r>
      <w:r w:rsidRPr="00BF1755">
        <w:rPr>
          <w:rFonts w:eastAsiaTheme="minorHAnsi"/>
          <w:shd w:val="clear" w:color="auto" w:fill="FFFFFF"/>
          <w:lang w:eastAsia="en-US"/>
        </w:rPr>
        <w:t xml:space="preserve"> provided an opportunity </w:t>
      </w:r>
      <w:r>
        <w:rPr>
          <w:rFonts w:eastAsiaTheme="minorHAnsi"/>
          <w:shd w:val="clear" w:color="auto" w:fill="FFFFFF"/>
          <w:lang w:eastAsia="en-US"/>
        </w:rPr>
        <w:t>for reflection by</w:t>
      </w:r>
      <w:r w:rsidRPr="00BF1755">
        <w:rPr>
          <w:rFonts w:eastAsiaTheme="minorHAnsi"/>
          <w:shd w:val="clear" w:color="auto" w:fill="FFFFFF"/>
          <w:lang w:eastAsia="en-US"/>
        </w:rPr>
        <w:t xml:space="preserve"> clearly check</w:t>
      </w:r>
      <w:r>
        <w:rPr>
          <w:rFonts w:eastAsiaTheme="minorHAnsi"/>
          <w:shd w:val="clear" w:color="auto" w:fill="FFFFFF"/>
          <w:lang w:eastAsia="en-US"/>
        </w:rPr>
        <w:t>ing</w:t>
      </w:r>
      <w:r w:rsidRPr="00BF1755">
        <w:rPr>
          <w:rFonts w:eastAsiaTheme="minorHAnsi"/>
          <w:shd w:val="clear" w:color="auto" w:fill="FFFFFF"/>
          <w:lang w:eastAsia="en-US"/>
        </w:rPr>
        <w:t xml:space="preserve"> the ways in which the codes and themes might be </w:t>
      </w:r>
      <w:r>
        <w:rPr>
          <w:rFonts w:eastAsiaTheme="minorHAnsi"/>
          <w:shd w:val="clear" w:color="auto" w:fill="FFFFFF"/>
          <w:lang w:eastAsia="en-US"/>
        </w:rPr>
        <w:t xml:space="preserve">inter </w:t>
      </w:r>
      <w:r w:rsidRPr="00BF1755">
        <w:rPr>
          <w:rFonts w:eastAsiaTheme="minorHAnsi"/>
          <w:shd w:val="clear" w:color="auto" w:fill="FFFFFF"/>
          <w:lang w:eastAsia="en-US"/>
        </w:rPr>
        <w:t>linked according to the views of the participants. The concept map was, not only a useful mechanism to keep the research question as the main focus while looking at the codes,</w:t>
      </w:r>
      <w:r>
        <w:rPr>
          <w:rFonts w:eastAsiaTheme="minorHAnsi"/>
          <w:shd w:val="clear" w:color="auto" w:fill="FFFFFF"/>
          <w:lang w:eastAsia="en-US"/>
        </w:rPr>
        <w:t xml:space="preserve"> </w:t>
      </w:r>
      <w:r w:rsidRPr="00BF1755">
        <w:rPr>
          <w:rFonts w:eastAsiaTheme="minorHAnsi"/>
          <w:shd w:val="clear" w:color="auto" w:fill="FFFFFF"/>
          <w:lang w:eastAsia="en-US"/>
        </w:rPr>
        <w:t>but it could also be referred to when analysing the data in chapter 5</w:t>
      </w:r>
      <w:r w:rsidRPr="00796831">
        <w:rPr>
          <w:rFonts w:eastAsiaTheme="minorHAnsi"/>
          <w:shd w:val="clear" w:color="auto" w:fill="FFFFFF"/>
          <w:lang w:eastAsia="en-US"/>
        </w:rPr>
        <w:t xml:space="preserve">. </w:t>
      </w:r>
      <w:r w:rsidRPr="00B72C66">
        <w:rPr>
          <w:rFonts w:eastAsiaTheme="minorHAnsi"/>
          <w:shd w:val="clear" w:color="auto" w:fill="FFFFFF"/>
          <w:lang w:eastAsia="en-US"/>
        </w:rPr>
        <w:t>It must be noted</w:t>
      </w:r>
      <w:r>
        <w:rPr>
          <w:rFonts w:eastAsiaTheme="minorHAnsi"/>
          <w:shd w:val="clear" w:color="auto" w:fill="FFFFFF"/>
          <w:lang w:eastAsia="en-US"/>
        </w:rPr>
        <w:t xml:space="preserve"> however,</w:t>
      </w:r>
      <w:r w:rsidRPr="00B72C66">
        <w:rPr>
          <w:rFonts w:eastAsiaTheme="minorHAnsi"/>
          <w:shd w:val="clear" w:color="auto" w:fill="FFFFFF"/>
          <w:lang w:eastAsia="en-US"/>
        </w:rPr>
        <w:t xml:space="preserve"> that concept maps are not without their limitations as, not only are they time consuming to create but may be considered visually overwhelming (Biggam</w:t>
      </w:r>
      <w:r>
        <w:rPr>
          <w:rFonts w:eastAsiaTheme="minorHAnsi"/>
          <w:shd w:val="clear" w:color="auto" w:fill="FFFFFF"/>
          <w:lang w:eastAsia="en-US"/>
        </w:rPr>
        <w:t xml:space="preserve"> 2021).</w:t>
      </w:r>
    </w:p>
    <w:p w14:paraId="59B50537" w14:textId="77777777" w:rsidR="00421BB4" w:rsidRPr="004156AC" w:rsidRDefault="00421BB4" w:rsidP="00421BB4">
      <w:pPr>
        <w:spacing w:after="160" w:line="360" w:lineRule="auto"/>
        <w:jc w:val="both"/>
        <w:rPr>
          <w:rFonts w:eastAsiaTheme="minorHAnsi"/>
          <w:color w:val="FF0000"/>
          <w:u w:val="single"/>
          <w:shd w:val="clear" w:color="auto" w:fill="FFFFFF"/>
          <w:lang w:eastAsia="en-US"/>
        </w:rPr>
      </w:pPr>
      <w:bookmarkStart w:id="36" w:name="Step4"/>
      <w:r w:rsidRPr="004156AC">
        <w:rPr>
          <w:rFonts w:eastAsiaTheme="minorHAnsi"/>
          <w:u w:val="single"/>
          <w:shd w:val="clear" w:color="auto" w:fill="FFFFFF"/>
          <w:lang w:eastAsia="en-US"/>
        </w:rPr>
        <w:t xml:space="preserve">4.2.2 </w:t>
      </w:r>
      <w:r>
        <w:rPr>
          <w:rFonts w:eastAsiaTheme="minorHAnsi"/>
          <w:u w:val="single"/>
          <w:shd w:val="clear" w:color="auto" w:fill="FFFFFF"/>
          <w:lang w:eastAsia="en-US"/>
        </w:rPr>
        <w:t>–</w:t>
      </w:r>
      <w:r w:rsidRPr="004156AC">
        <w:rPr>
          <w:rFonts w:eastAsiaTheme="minorHAnsi"/>
          <w:u w:val="single"/>
          <w:shd w:val="clear" w:color="auto" w:fill="FFFFFF"/>
          <w:lang w:eastAsia="en-US"/>
        </w:rPr>
        <w:t xml:space="preserve"> </w:t>
      </w:r>
      <w:r>
        <w:rPr>
          <w:rFonts w:eastAsiaTheme="minorHAnsi"/>
          <w:u w:val="single"/>
          <w:shd w:val="clear" w:color="auto" w:fill="FFFFFF"/>
          <w:lang w:eastAsia="en-US"/>
        </w:rPr>
        <w:t xml:space="preserve">Step 4 - </w:t>
      </w:r>
      <w:r w:rsidRPr="004156AC">
        <w:rPr>
          <w:rFonts w:eastAsiaTheme="minorHAnsi"/>
          <w:u w:val="single"/>
          <w:shd w:val="clear" w:color="auto" w:fill="FFFFFF"/>
          <w:lang w:eastAsia="en-US"/>
        </w:rPr>
        <w:t>Searching for themes</w:t>
      </w:r>
    </w:p>
    <w:bookmarkEnd w:id="36"/>
    <w:p w14:paraId="1095FF73" w14:textId="77777777" w:rsidR="00421BB4" w:rsidRDefault="00421BB4" w:rsidP="00421BB4">
      <w:pPr>
        <w:spacing w:after="120" w:line="360" w:lineRule="auto"/>
        <w:ind w:firstLine="720"/>
        <w:jc w:val="both"/>
        <w:rPr>
          <w:rFonts w:eastAsiaTheme="minorHAnsi"/>
          <w:shd w:val="clear" w:color="auto" w:fill="FFFFFF"/>
          <w:lang w:eastAsia="en-US"/>
        </w:rPr>
      </w:pPr>
      <w:r w:rsidRPr="006E5A46">
        <w:rPr>
          <w:rFonts w:eastAsiaTheme="minorHAnsi"/>
          <w:shd w:val="clear" w:color="auto" w:fill="FFFFFF"/>
          <w:lang w:eastAsia="en-US"/>
        </w:rPr>
        <w:t>On</w:t>
      </w:r>
      <w:r>
        <w:rPr>
          <w:rFonts w:eastAsiaTheme="minorHAnsi"/>
          <w:shd w:val="clear" w:color="auto" w:fill="FFFFFF"/>
          <w:lang w:eastAsia="en-US"/>
        </w:rPr>
        <w:t xml:space="preserve"> completion of</w:t>
      </w:r>
      <w:r w:rsidRPr="006E5A46">
        <w:rPr>
          <w:rFonts w:eastAsiaTheme="minorHAnsi"/>
          <w:shd w:val="clear" w:color="auto" w:fill="FFFFFF"/>
          <w:lang w:eastAsia="en-US"/>
        </w:rPr>
        <w:t xml:space="preserve"> the coding proces</w:t>
      </w:r>
      <w:r>
        <w:rPr>
          <w:rFonts w:eastAsiaTheme="minorHAnsi"/>
          <w:shd w:val="clear" w:color="auto" w:fill="FFFFFF"/>
          <w:lang w:eastAsia="en-US"/>
        </w:rPr>
        <w:t>ses</w:t>
      </w:r>
      <w:r w:rsidRPr="006E5A46">
        <w:rPr>
          <w:rFonts w:eastAsiaTheme="minorHAnsi"/>
          <w:shd w:val="clear" w:color="auto" w:fill="FFFFFF"/>
          <w:lang w:eastAsia="en-US"/>
        </w:rPr>
        <w:t xml:space="preserve">, </w:t>
      </w:r>
      <w:r>
        <w:rPr>
          <w:rFonts w:eastAsiaTheme="minorHAnsi"/>
          <w:shd w:val="clear" w:color="auto" w:fill="FFFFFF"/>
          <w:lang w:eastAsia="en-US"/>
        </w:rPr>
        <w:t>it was possible to</w:t>
      </w:r>
      <w:r w:rsidRPr="006E5A46">
        <w:rPr>
          <w:rFonts w:eastAsiaTheme="minorHAnsi"/>
          <w:shd w:val="clear" w:color="auto" w:fill="FFFFFF"/>
          <w:lang w:eastAsia="en-US"/>
        </w:rPr>
        <w:t xml:space="preserve"> look at the</w:t>
      </w:r>
      <w:r>
        <w:rPr>
          <w:rFonts w:eastAsiaTheme="minorHAnsi"/>
          <w:shd w:val="clear" w:color="auto" w:fill="FFFFFF"/>
          <w:lang w:eastAsia="en-US"/>
        </w:rPr>
        <w:t xml:space="preserve"> </w:t>
      </w:r>
      <w:r w:rsidRPr="006E5A46">
        <w:rPr>
          <w:rFonts w:eastAsiaTheme="minorHAnsi"/>
          <w:shd w:val="clear" w:color="auto" w:fill="FFFFFF"/>
          <w:lang w:eastAsia="en-US"/>
        </w:rPr>
        <w:t>relationship between codes to develop overarching themes. According to Braun</w:t>
      </w:r>
      <w:r>
        <w:rPr>
          <w:rFonts w:eastAsiaTheme="minorHAnsi"/>
          <w:shd w:val="clear" w:color="auto" w:fill="FFFFFF"/>
          <w:lang w:eastAsia="en-US"/>
        </w:rPr>
        <w:t xml:space="preserve"> </w:t>
      </w:r>
      <w:r w:rsidRPr="006E5A46">
        <w:rPr>
          <w:rFonts w:eastAsiaTheme="minorHAnsi"/>
          <w:shd w:val="clear" w:color="auto" w:fill="FFFFFF"/>
          <w:lang w:eastAsia="en-US"/>
        </w:rPr>
        <w:t xml:space="preserve">and Clarke themes represent </w:t>
      </w:r>
      <w:r>
        <w:rPr>
          <w:rFonts w:eastAsiaTheme="minorHAnsi"/>
          <w:shd w:val="clear" w:color="auto" w:fill="FFFFFF"/>
          <w:lang w:eastAsia="en-US"/>
        </w:rPr>
        <w:t>‘</w:t>
      </w:r>
      <w:r w:rsidRPr="006E5A46">
        <w:rPr>
          <w:rFonts w:eastAsiaTheme="minorHAnsi"/>
          <w:shd w:val="clear" w:color="auto" w:fill="FFFFFF"/>
          <w:lang w:eastAsia="en-US"/>
        </w:rPr>
        <w:t>some level of patterned response of</w:t>
      </w:r>
      <w:r>
        <w:rPr>
          <w:rFonts w:eastAsiaTheme="minorHAnsi"/>
          <w:shd w:val="clear" w:color="auto" w:fill="FFFFFF"/>
          <w:lang w:eastAsia="en-US"/>
        </w:rPr>
        <w:t xml:space="preserve"> </w:t>
      </w:r>
      <w:r w:rsidRPr="006E5A46">
        <w:rPr>
          <w:rFonts w:eastAsiaTheme="minorHAnsi"/>
          <w:shd w:val="clear" w:color="auto" w:fill="FFFFFF"/>
          <w:lang w:eastAsia="en-US"/>
        </w:rPr>
        <w:t>meaning within the data set</w:t>
      </w:r>
      <w:r>
        <w:rPr>
          <w:rFonts w:eastAsiaTheme="minorHAnsi"/>
          <w:shd w:val="clear" w:color="auto" w:fill="FFFFFF"/>
          <w:lang w:eastAsia="en-US"/>
        </w:rPr>
        <w:t>’</w:t>
      </w:r>
      <w:r w:rsidRPr="006E5A46">
        <w:rPr>
          <w:rFonts w:eastAsiaTheme="minorHAnsi"/>
          <w:shd w:val="clear" w:color="auto" w:fill="FFFFFF"/>
          <w:lang w:eastAsia="en-US"/>
        </w:rPr>
        <w:t xml:space="preserve"> </w:t>
      </w:r>
      <w:r w:rsidRPr="00465B52">
        <w:rPr>
          <w:rFonts w:eastAsiaTheme="minorHAnsi"/>
          <w:shd w:val="clear" w:color="auto" w:fill="FFFFFF"/>
          <w:lang w:eastAsia="en-US"/>
        </w:rPr>
        <w:t>(2006, p.</w:t>
      </w:r>
      <w:r>
        <w:rPr>
          <w:rFonts w:eastAsiaTheme="minorHAnsi"/>
          <w:shd w:val="clear" w:color="auto" w:fill="FFFFFF"/>
          <w:lang w:eastAsia="en-US"/>
        </w:rPr>
        <w:t xml:space="preserve">p </w:t>
      </w:r>
      <w:r w:rsidRPr="00465B52">
        <w:rPr>
          <w:rFonts w:eastAsiaTheme="minorHAnsi"/>
          <w:shd w:val="clear" w:color="auto" w:fill="FFFFFF"/>
          <w:lang w:eastAsia="en-US"/>
        </w:rPr>
        <w:t xml:space="preserve">10). </w:t>
      </w:r>
      <w:r w:rsidRPr="006E5A46">
        <w:rPr>
          <w:rFonts w:eastAsiaTheme="minorHAnsi"/>
          <w:shd w:val="clear" w:color="auto" w:fill="FFFFFF"/>
          <w:lang w:eastAsia="en-US"/>
        </w:rPr>
        <w:t>As such, a theme includes a key</w:t>
      </w:r>
      <w:r>
        <w:rPr>
          <w:rFonts w:eastAsiaTheme="minorHAnsi"/>
          <w:shd w:val="clear" w:color="auto" w:fill="FFFFFF"/>
          <w:lang w:eastAsia="en-US"/>
        </w:rPr>
        <w:t xml:space="preserve"> </w:t>
      </w:r>
      <w:r w:rsidRPr="006E5A46">
        <w:rPr>
          <w:rFonts w:eastAsiaTheme="minorHAnsi"/>
          <w:shd w:val="clear" w:color="auto" w:fill="FFFFFF"/>
          <w:lang w:eastAsia="en-US"/>
        </w:rPr>
        <w:t>coordinating concept, which encapsulates a significant aspect of the data</w:t>
      </w:r>
      <w:r>
        <w:rPr>
          <w:rFonts w:eastAsiaTheme="minorHAnsi"/>
          <w:shd w:val="clear" w:color="auto" w:fill="FFFFFF"/>
          <w:lang w:eastAsia="en-US"/>
        </w:rPr>
        <w:t>. Having established common codes, through an indicative approach to thematic analysis, i</w:t>
      </w:r>
      <w:r w:rsidRPr="00BF1755">
        <w:rPr>
          <w:rFonts w:eastAsiaTheme="minorHAnsi"/>
          <w:shd w:val="clear" w:color="auto" w:fill="FFFFFF"/>
          <w:lang w:eastAsia="en-US"/>
        </w:rPr>
        <w:t xml:space="preserve">t was possible to build on the initial table of data by creating an additional column to include themes found within the findings (see </w:t>
      </w:r>
      <w:r>
        <w:rPr>
          <w:rFonts w:eastAsiaTheme="minorHAnsi"/>
          <w:shd w:val="clear" w:color="auto" w:fill="FFFFFF"/>
          <w:lang w:eastAsia="en-US"/>
        </w:rPr>
        <w:t>A</w:t>
      </w:r>
      <w:r w:rsidRPr="00BF1755">
        <w:rPr>
          <w:rFonts w:eastAsiaTheme="minorHAnsi"/>
          <w:shd w:val="clear" w:color="auto" w:fill="FFFFFF"/>
          <w:lang w:eastAsia="en-US"/>
        </w:rPr>
        <w:t xml:space="preserve">ppendix </w:t>
      </w:r>
      <w:r>
        <w:rPr>
          <w:rFonts w:eastAsiaTheme="minorHAnsi"/>
          <w:shd w:val="clear" w:color="auto" w:fill="FFFFFF"/>
          <w:lang w:eastAsia="en-US"/>
        </w:rPr>
        <w:t>13</w:t>
      </w:r>
      <w:r w:rsidRPr="00BF1755">
        <w:rPr>
          <w:rFonts w:eastAsiaTheme="minorHAnsi"/>
          <w:shd w:val="clear" w:color="auto" w:fill="FFFFFF"/>
          <w:lang w:eastAsia="en-US"/>
        </w:rPr>
        <w:t xml:space="preserve">). Breaking down the data into codes </w:t>
      </w:r>
      <w:r w:rsidRPr="00BF1755">
        <w:rPr>
          <w:rFonts w:eastAsiaTheme="minorHAnsi"/>
          <w:shd w:val="clear" w:color="auto" w:fill="FFFFFF"/>
          <w:lang w:eastAsia="en-US"/>
        </w:rPr>
        <w:lastRenderedPageBreak/>
        <w:t>and then fine tuning to find common themes between each participant helped to find commonalities in terms of</w:t>
      </w:r>
      <w:r>
        <w:rPr>
          <w:rFonts w:eastAsiaTheme="minorHAnsi"/>
          <w:shd w:val="clear" w:color="auto" w:fill="FFFFFF"/>
          <w:lang w:eastAsia="en-US"/>
        </w:rPr>
        <w:t xml:space="preserve"> opinion and perceptions on</w:t>
      </w:r>
      <w:r w:rsidRPr="00BF1755">
        <w:rPr>
          <w:rFonts w:eastAsiaTheme="minorHAnsi"/>
          <w:shd w:val="clear" w:color="auto" w:fill="FFFFFF"/>
          <w:lang w:eastAsia="en-US"/>
        </w:rPr>
        <w:t xml:space="preserve"> transition and wellbeing support.</w:t>
      </w:r>
    </w:p>
    <w:p w14:paraId="6575AAE7" w14:textId="77777777" w:rsidR="00421BB4" w:rsidRPr="000F6EB1" w:rsidRDefault="00421BB4" w:rsidP="00421BB4">
      <w:pPr>
        <w:spacing w:after="120" w:line="360" w:lineRule="auto"/>
        <w:jc w:val="both"/>
        <w:rPr>
          <w:rFonts w:eastAsiaTheme="minorHAnsi"/>
          <w:u w:val="single"/>
          <w:shd w:val="clear" w:color="auto" w:fill="FFFFFF"/>
          <w:lang w:eastAsia="en-US"/>
        </w:rPr>
      </w:pPr>
      <w:bookmarkStart w:id="37" w:name="Step5"/>
      <w:r>
        <w:rPr>
          <w:rFonts w:eastAsiaTheme="minorHAnsi"/>
          <w:u w:val="single"/>
          <w:shd w:val="clear" w:color="auto" w:fill="FFFFFF"/>
          <w:lang w:eastAsia="en-US"/>
        </w:rPr>
        <w:t xml:space="preserve">4.2.3 – Step 5 - </w:t>
      </w:r>
      <w:r w:rsidRPr="000F6EB1">
        <w:rPr>
          <w:rFonts w:eastAsiaTheme="minorHAnsi"/>
          <w:u w:val="single"/>
          <w:shd w:val="clear" w:color="auto" w:fill="FFFFFF"/>
          <w:lang w:eastAsia="en-US"/>
        </w:rPr>
        <w:t xml:space="preserve">Reviewing themes </w:t>
      </w:r>
    </w:p>
    <w:bookmarkEnd w:id="37"/>
    <w:p w14:paraId="6E2A4EBC" w14:textId="77777777" w:rsidR="00421BB4" w:rsidRPr="006E5A46" w:rsidRDefault="00421BB4" w:rsidP="00421BB4">
      <w:pPr>
        <w:spacing w:after="120" w:line="360" w:lineRule="auto"/>
        <w:ind w:firstLine="720"/>
        <w:jc w:val="both"/>
        <w:rPr>
          <w:rFonts w:eastAsiaTheme="minorHAnsi"/>
          <w:shd w:val="clear" w:color="auto" w:fill="FFFFFF"/>
          <w:lang w:eastAsia="en-US"/>
        </w:rPr>
      </w:pPr>
      <w:r w:rsidRPr="00BF1755">
        <w:rPr>
          <w:rFonts w:eastAsiaTheme="minorHAnsi"/>
          <w:shd w:val="clear" w:color="auto" w:fill="FFFFFF"/>
          <w:lang w:eastAsia="en-US"/>
        </w:rPr>
        <w:t>The themes were firstly devised for each response and then refined</w:t>
      </w:r>
      <w:r>
        <w:rPr>
          <w:rFonts w:eastAsiaTheme="minorHAnsi"/>
          <w:shd w:val="clear" w:color="auto" w:fill="FFFFFF"/>
          <w:lang w:eastAsia="en-US"/>
        </w:rPr>
        <w:t xml:space="preserve">. It must be noted once again that this stage in the process of thematic analysis was not without its challenges as it was necessary for the researcher to focus entirely on the transcribed responses of the participants and not on preconceived ideas around what the researcher would expect to uncover. This meant a strict focus on the transcribed data </w:t>
      </w:r>
      <w:r w:rsidRPr="00BF1755">
        <w:rPr>
          <w:rFonts w:eastAsiaTheme="minorHAnsi"/>
          <w:lang w:eastAsia="en-US"/>
        </w:rPr>
        <w:t>(</w:t>
      </w:r>
      <w:r w:rsidRPr="00002F30">
        <w:rPr>
          <w:rFonts w:eastAsiaTheme="minorHAnsi"/>
          <w:lang w:eastAsia="en-US"/>
        </w:rPr>
        <w:t>Hammersley 2006</w:t>
      </w:r>
      <w:r>
        <w:rPr>
          <w:rFonts w:eastAsiaTheme="minorHAnsi"/>
          <w:lang w:eastAsia="en-US"/>
        </w:rPr>
        <w:t xml:space="preserve">, </w:t>
      </w:r>
      <w:r w:rsidRPr="00AB4DA0">
        <w:rPr>
          <w:rFonts w:eastAsiaTheme="minorHAnsi"/>
          <w:i/>
          <w:iCs/>
          <w:lang w:eastAsia="en-US"/>
        </w:rPr>
        <w:t>cited in</w:t>
      </w:r>
      <w:r>
        <w:rPr>
          <w:rFonts w:eastAsiaTheme="minorHAnsi"/>
          <w:lang w:eastAsia="en-US"/>
        </w:rPr>
        <w:t xml:space="preserve"> </w:t>
      </w:r>
      <w:r w:rsidRPr="00BF1755">
        <w:rPr>
          <w:rFonts w:eastAsiaTheme="minorHAnsi"/>
          <w:lang w:eastAsia="en-US"/>
        </w:rPr>
        <w:t>Co</w:t>
      </w:r>
      <w:r>
        <w:rPr>
          <w:rFonts w:eastAsiaTheme="minorHAnsi"/>
          <w:lang w:eastAsia="en-US"/>
        </w:rPr>
        <w:t>h</w:t>
      </w:r>
      <w:r w:rsidRPr="00BF1755">
        <w:rPr>
          <w:rFonts w:eastAsiaTheme="minorHAnsi"/>
          <w:lang w:eastAsia="en-US"/>
        </w:rPr>
        <w:t xml:space="preserve">en </w:t>
      </w:r>
      <w:r w:rsidRPr="00BF1755">
        <w:rPr>
          <w:rFonts w:eastAsiaTheme="minorHAnsi"/>
          <w:i/>
          <w:iCs/>
          <w:lang w:eastAsia="en-US"/>
        </w:rPr>
        <w:t>et al</w:t>
      </w:r>
      <w:r w:rsidRPr="00BF1755">
        <w:rPr>
          <w:rFonts w:eastAsiaTheme="minorHAnsi"/>
          <w:lang w:eastAsia="en-US"/>
        </w:rPr>
        <w:t xml:space="preserve"> </w:t>
      </w:r>
      <w:r>
        <w:rPr>
          <w:rFonts w:eastAsiaTheme="minorHAnsi"/>
          <w:lang w:eastAsia="en-US"/>
        </w:rPr>
        <w:t>2018</w:t>
      </w:r>
      <w:r w:rsidRPr="00CB4F10">
        <w:rPr>
          <w:rFonts w:eastAsiaTheme="minorHAnsi"/>
          <w:lang w:eastAsia="en-US"/>
        </w:rPr>
        <w:t>).</w:t>
      </w:r>
      <w:r w:rsidRPr="00EA1223">
        <w:rPr>
          <w:rFonts w:eastAsiaTheme="minorHAnsi"/>
          <w:color w:val="FF0000"/>
          <w:lang w:eastAsia="en-US"/>
        </w:rPr>
        <w:t xml:space="preserve"> </w:t>
      </w:r>
      <w:r w:rsidRPr="00BF1755">
        <w:rPr>
          <w:rFonts w:eastAsiaTheme="minorHAnsi"/>
          <w:shd w:val="clear" w:color="auto" w:fill="FFFFFF"/>
          <w:lang w:eastAsia="en-US"/>
        </w:rPr>
        <w:t xml:space="preserve">Common themes were found throughout the data presentation in relation to transition and wellbeing </w:t>
      </w:r>
      <w:r w:rsidRPr="001655EA">
        <w:rPr>
          <w:rFonts w:eastAsiaTheme="minorHAnsi"/>
          <w:shd w:val="clear" w:color="auto" w:fill="FFFFFF"/>
          <w:lang w:eastAsia="en-US"/>
        </w:rPr>
        <w:t xml:space="preserve">support (see Appendix 16). </w:t>
      </w:r>
      <w:r>
        <w:rPr>
          <w:rFonts w:eastAsiaTheme="minorHAnsi"/>
          <w:shd w:val="clear" w:color="auto" w:fill="FFFFFF"/>
          <w:lang w:eastAsia="en-US"/>
        </w:rPr>
        <w:t>R</w:t>
      </w:r>
      <w:r w:rsidRPr="00BF1755">
        <w:rPr>
          <w:rFonts w:eastAsiaTheme="minorHAnsi"/>
          <w:shd w:val="clear" w:color="auto" w:fill="FFFFFF"/>
          <w:lang w:eastAsia="en-US"/>
        </w:rPr>
        <w:t>evis</w:t>
      </w:r>
      <w:r>
        <w:rPr>
          <w:rFonts w:eastAsiaTheme="minorHAnsi"/>
          <w:shd w:val="clear" w:color="auto" w:fill="FFFFFF"/>
          <w:lang w:eastAsia="en-US"/>
        </w:rPr>
        <w:t>ing</w:t>
      </w:r>
      <w:r w:rsidRPr="00BF1755">
        <w:rPr>
          <w:rFonts w:eastAsiaTheme="minorHAnsi"/>
          <w:shd w:val="clear" w:color="auto" w:fill="FFFFFF"/>
          <w:lang w:eastAsia="en-US"/>
        </w:rPr>
        <w:t xml:space="preserve"> the list of themes</w:t>
      </w:r>
      <w:r>
        <w:rPr>
          <w:rFonts w:eastAsiaTheme="minorHAnsi"/>
          <w:shd w:val="clear" w:color="auto" w:fill="FFFFFF"/>
          <w:lang w:eastAsia="en-US"/>
        </w:rPr>
        <w:t xml:space="preserve"> helped</w:t>
      </w:r>
      <w:r w:rsidRPr="00BF1755">
        <w:rPr>
          <w:rFonts w:eastAsiaTheme="minorHAnsi"/>
          <w:shd w:val="clear" w:color="auto" w:fill="FFFFFF"/>
          <w:lang w:eastAsia="en-US"/>
        </w:rPr>
        <w:t xml:space="preserve"> to create a more succinct list for ease of reference and clarity</w:t>
      </w:r>
      <w:r>
        <w:rPr>
          <w:rFonts w:eastAsiaTheme="minorHAnsi"/>
          <w:shd w:val="clear" w:color="auto" w:fill="FFFFFF"/>
          <w:lang w:eastAsia="en-US"/>
        </w:rPr>
        <w:t xml:space="preserve"> </w:t>
      </w:r>
      <w:r w:rsidRPr="001655EA">
        <w:rPr>
          <w:rFonts w:eastAsiaTheme="minorHAnsi"/>
          <w:shd w:val="clear" w:color="auto" w:fill="FFFFFF"/>
          <w:lang w:eastAsia="en-US"/>
        </w:rPr>
        <w:t xml:space="preserve">(see Appendix 19). </w:t>
      </w:r>
      <w:r w:rsidRPr="00BF1755">
        <w:rPr>
          <w:rFonts w:eastAsiaTheme="minorHAnsi"/>
          <w:color w:val="202124"/>
          <w:shd w:val="clear" w:color="auto" w:fill="FFFFFF"/>
          <w:lang w:eastAsia="en-US"/>
        </w:rPr>
        <w:t xml:space="preserve">In order to further refine the themes, it was </w:t>
      </w:r>
      <w:r>
        <w:rPr>
          <w:rFonts w:eastAsiaTheme="minorHAnsi"/>
          <w:color w:val="202124"/>
          <w:shd w:val="clear" w:color="auto" w:fill="FFFFFF"/>
          <w:lang w:eastAsia="en-US"/>
        </w:rPr>
        <w:t>necessary</w:t>
      </w:r>
      <w:r w:rsidRPr="00BF1755">
        <w:rPr>
          <w:rFonts w:eastAsiaTheme="minorHAnsi"/>
          <w:color w:val="202124"/>
          <w:shd w:val="clear" w:color="auto" w:fill="FFFFFF"/>
          <w:lang w:eastAsia="en-US"/>
        </w:rPr>
        <w:t xml:space="preserve"> to break them down even further to create a hierarchy of codes according to each question (Denscombe 2021). This hierarchy of codes were determined by the themes that shed the most insight on the research question</w:t>
      </w:r>
      <w:r>
        <w:rPr>
          <w:rFonts w:eastAsiaTheme="minorHAnsi"/>
          <w:color w:val="202124"/>
          <w:shd w:val="clear" w:color="auto" w:fill="FFFFFF"/>
          <w:lang w:eastAsia="en-US"/>
        </w:rPr>
        <w:t>; opportunities for wellbeing support during P16 transitions.</w:t>
      </w:r>
      <w:r w:rsidRPr="00BF1755">
        <w:rPr>
          <w:rFonts w:eastAsiaTheme="minorHAnsi"/>
          <w:color w:val="202124"/>
          <w:shd w:val="clear" w:color="auto" w:fill="FFFFFF"/>
          <w:lang w:eastAsia="en-US"/>
        </w:rPr>
        <w:t xml:space="preserve"> </w:t>
      </w:r>
      <w:r>
        <w:rPr>
          <w:rFonts w:eastAsiaTheme="minorHAnsi"/>
          <w:color w:val="202124"/>
          <w:shd w:val="clear" w:color="auto" w:fill="FFFFFF"/>
          <w:lang w:eastAsia="en-US"/>
        </w:rPr>
        <w:t xml:space="preserve">As part of the process of establishing the </w:t>
      </w:r>
      <w:r w:rsidRPr="00BF1755">
        <w:rPr>
          <w:rFonts w:eastAsiaTheme="minorHAnsi"/>
          <w:color w:val="202124"/>
          <w:shd w:val="clear" w:color="auto" w:fill="FFFFFF"/>
          <w:lang w:eastAsia="en-US"/>
        </w:rPr>
        <w:t>t</w:t>
      </w:r>
      <w:r>
        <w:rPr>
          <w:rFonts w:eastAsiaTheme="minorHAnsi"/>
          <w:color w:val="202124"/>
          <w:shd w:val="clear" w:color="auto" w:fill="FFFFFF"/>
          <w:lang w:eastAsia="en-US"/>
        </w:rPr>
        <w:t>hemes, it</w:t>
      </w:r>
      <w:r w:rsidRPr="00BF1755">
        <w:rPr>
          <w:rFonts w:eastAsiaTheme="minorHAnsi"/>
          <w:color w:val="202124"/>
          <w:shd w:val="clear" w:color="auto" w:fill="FFFFFF"/>
          <w:lang w:eastAsia="en-US"/>
        </w:rPr>
        <w:t xml:space="preserve"> was necessary to consider each question in </w:t>
      </w:r>
      <w:r>
        <w:rPr>
          <w:rFonts w:eastAsiaTheme="minorHAnsi"/>
          <w:color w:val="202124"/>
          <w:shd w:val="clear" w:color="auto" w:fill="FFFFFF"/>
          <w:lang w:eastAsia="en-US"/>
        </w:rPr>
        <w:t>depth.</w:t>
      </w:r>
    </w:p>
    <w:p w14:paraId="681B74EF" w14:textId="77777777" w:rsidR="00421BB4" w:rsidRPr="005E1B82" w:rsidRDefault="00421BB4" w:rsidP="00421BB4">
      <w:pPr>
        <w:spacing w:after="120" w:line="360" w:lineRule="auto"/>
        <w:jc w:val="both"/>
        <w:rPr>
          <w:rFonts w:eastAsiaTheme="minorHAnsi"/>
          <w:b/>
          <w:bCs/>
          <w:color w:val="202124"/>
          <w:u w:val="single"/>
          <w:shd w:val="clear" w:color="auto" w:fill="FFFFFF"/>
          <w:lang w:eastAsia="en-US"/>
        </w:rPr>
      </w:pPr>
      <w:bookmarkStart w:id="38" w:name="Step6"/>
      <w:r w:rsidRPr="005E1B82">
        <w:rPr>
          <w:rFonts w:eastAsiaTheme="minorHAnsi"/>
          <w:b/>
          <w:bCs/>
          <w:color w:val="202124"/>
          <w:u w:val="single"/>
          <w:shd w:val="clear" w:color="auto" w:fill="FFFFFF"/>
          <w:lang w:eastAsia="en-US"/>
        </w:rPr>
        <w:t xml:space="preserve">4.3 </w:t>
      </w:r>
      <w:r>
        <w:rPr>
          <w:rFonts w:eastAsiaTheme="minorHAnsi"/>
          <w:b/>
          <w:bCs/>
          <w:color w:val="202124"/>
          <w:u w:val="single"/>
          <w:shd w:val="clear" w:color="auto" w:fill="FFFFFF"/>
          <w:lang w:eastAsia="en-US"/>
        </w:rPr>
        <w:t>–</w:t>
      </w:r>
      <w:r w:rsidRPr="005E1B82">
        <w:rPr>
          <w:rFonts w:eastAsiaTheme="minorHAnsi"/>
          <w:b/>
          <w:bCs/>
          <w:color w:val="202124"/>
          <w:u w:val="single"/>
          <w:shd w:val="clear" w:color="auto" w:fill="FFFFFF"/>
          <w:lang w:eastAsia="en-US"/>
        </w:rPr>
        <w:t xml:space="preserve"> </w:t>
      </w:r>
      <w:r>
        <w:rPr>
          <w:rFonts w:eastAsiaTheme="minorHAnsi"/>
          <w:b/>
          <w:bCs/>
          <w:color w:val="202124"/>
          <w:u w:val="single"/>
          <w:shd w:val="clear" w:color="auto" w:fill="FFFFFF"/>
          <w:lang w:eastAsia="en-US"/>
        </w:rPr>
        <w:t>Interview question interpretation (step 6 defining and naming themes)</w:t>
      </w:r>
    </w:p>
    <w:bookmarkEnd w:id="38"/>
    <w:p w14:paraId="0061F1BC" w14:textId="77777777" w:rsidR="00421BB4" w:rsidRPr="00D13D5B" w:rsidRDefault="00421BB4" w:rsidP="00421BB4">
      <w:pPr>
        <w:spacing w:after="120" w:line="360" w:lineRule="auto"/>
        <w:jc w:val="both"/>
        <w:rPr>
          <w:rFonts w:eastAsiaTheme="minorHAnsi"/>
          <w:color w:val="202124"/>
          <w:u w:val="single"/>
          <w:shd w:val="clear" w:color="auto" w:fill="FFFFFF"/>
          <w:lang w:eastAsia="en-US"/>
        </w:rPr>
      </w:pPr>
      <w:r>
        <w:rPr>
          <w:rFonts w:eastAsiaTheme="minorHAnsi"/>
          <w:color w:val="202124"/>
          <w:u w:val="single"/>
          <w:shd w:val="clear" w:color="auto" w:fill="FFFFFF"/>
          <w:lang w:eastAsia="en-US"/>
        </w:rPr>
        <w:t>4.3.1 - The meaning of wellbeing – Holistic</w:t>
      </w:r>
    </w:p>
    <w:p w14:paraId="488364E8" w14:textId="77777777" w:rsidR="00421BB4" w:rsidRDefault="00421BB4" w:rsidP="00421BB4">
      <w:pPr>
        <w:spacing w:after="160" w:line="360" w:lineRule="auto"/>
        <w:ind w:firstLine="720"/>
        <w:jc w:val="both"/>
        <w:rPr>
          <w:rFonts w:eastAsiaTheme="minorHAnsi"/>
          <w:shd w:val="clear" w:color="auto" w:fill="FFFFFF"/>
          <w:lang w:eastAsia="en-US"/>
        </w:rPr>
      </w:pPr>
      <w:r w:rsidRPr="007F2BBB">
        <w:rPr>
          <w:rFonts w:eastAsiaTheme="minorHAnsi"/>
          <w:shd w:val="clear" w:color="auto" w:fill="FFFFFF"/>
          <w:lang w:eastAsia="en-US"/>
        </w:rPr>
        <w:t>The data informing th</w:t>
      </w:r>
      <w:r>
        <w:rPr>
          <w:rFonts w:eastAsiaTheme="minorHAnsi"/>
          <w:shd w:val="clear" w:color="auto" w:fill="FFFFFF"/>
          <w:lang w:eastAsia="en-US"/>
        </w:rPr>
        <w:t>e theme of a holistic approach to wellbeing and P16 transition support was derived from</w:t>
      </w:r>
      <w:r w:rsidRPr="007F2BBB">
        <w:rPr>
          <w:rFonts w:eastAsiaTheme="minorHAnsi"/>
          <w:shd w:val="clear" w:color="auto" w:fill="FFFFFF"/>
          <w:lang w:eastAsia="en-US"/>
        </w:rPr>
        <w:t xml:space="preserve"> several</w:t>
      </w:r>
      <w:r>
        <w:rPr>
          <w:rFonts w:eastAsiaTheme="minorHAnsi"/>
          <w:shd w:val="clear" w:color="auto" w:fill="FFFFFF"/>
          <w:lang w:eastAsia="en-US"/>
        </w:rPr>
        <w:t xml:space="preserve"> codes and</w:t>
      </w:r>
      <w:r w:rsidRPr="007F2BBB">
        <w:rPr>
          <w:rFonts w:eastAsiaTheme="minorHAnsi"/>
          <w:shd w:val="clear" w:color="auto" w:fill="FFFFFF"/>
          <w:lang w:eastAsia="en-US"/>
        </w:rPr>
        <w:t xml:space="preserve"> themes which</w:t>
      </w:r>
      <w:r>
        <w:rPr>
          <w:rFonts w:eastAsiaTheme="minorHAnsi"/>
          <w:shd w:val="clear" w:color="auto" w:fill="FFFFFF"/>
          <w:lang w:eastAsia="en-US"/>
        </w:rPr>
        <w:t xml:space="preserve"> </w:t>
      </w:r>
      <w:r w:rsidRPr="007F2BBB">
        <w:rPr>
          <w:rFonts w:eastAsiaTheme="minorHAnsi"/>
          <w:shd w:val="clear" w:color="auto" w:fill="FFFFFF"/>
          <w:lang w:eastAsia="en-US"/>
        </w:rPr>
        <w:t xml:space="preserve">predominantly linked to </w:t>
      </w:r>
      <w:r>
        <w:rPr>
          <w:rFonts w:eastAsiaTheme="minorHAnsi"/>
          <w:shd w:val="clear" w:color="auto" w:fill="FFFFFF"/>
          <w:lang w:eastAsia="en-US"/>
        </w:rPr>
        <w:t xml:space="preserve">the participant’s </w:t>
      </w:r>
      <w:r w:rsidRPr="007F2BBB">
        <w:rPr>
          <w:rFonts w:eastAsiaTheme="minorHAnsi"/>
          <w:shd w:val="clear" w:color="auto" w:fill="FFFFFF"/>
          <w:lang w:eastAsia="en-US"/>
        </w:rPr>
        <w:t xml:space="preserve">understanding of </w:t>
      </w:r>
      <w:r>
        <w:rPr>
          <w:rFonts w:eastAsiaTheme="minorHAnsi"/>
          <w:shd w:val="clear" w:color="auto" w:fill="FFFFFF"/>
          <w:lang w:eastAsia="en-US"/>
        </w:rPr>
        <w:t>the meaning of wellbeing</w:t>
      </w:r>
      <w:r w:rsidRPr="007F2BBB">
        <w:rPr>
          <w:rFonts w:eastAsiaTheme="minorHAnsi"/>
          <w:shd w:val="clear" w:color="auto" w:fill="FFFFFF"/>
          <w:lang w:eastAsia="en-US"/>
        </w:rPr>
        <w:t xml:space="preserve">. </w:t>
      </w:r>
      <w:r>
        <w:rPr>
          <w:rFonts w:eastAsiaTheme="minorHAnsi"/>
          <w:shd w:val="clear" w:color="auto" w:fill="FFFFFF"/>
          <w:lang w:eastAsia="en-US"/>
        </w:rPr>
        <w:t>F</w:t>
      </w:r>
      <w:r w:rsidRPr="007F2BBB">
        <w:rPr>
          <w:rFonts w:eastAsiaTheme="minorHAnsi"/>
          <w:shd w:val="clear" w:color="auto" w:fill="FFFFFF"/>
          <w:lang w:eastAsia="en-US"/>
        </w:rPr>
        <w:t>actors</w:t>
      </w:r>
      <w:r>
        <w:rPr>
          <w:rFonts w:eastAsiaTheme="minorHAnsi"/>
          <w:shd w:val="clear" w:color="auto" w:fill="FFFFFF"/>
          <w:lang w:eastAsia="en-US"/>
        </w:rPr>
        <w:t xml:space="preserve"> </w:t>
      </w:r>
      <w:r w:rsidRPr="007F2BBB">
        <w:rPr>
          <w:rFonts w:eastAsiaTheme="minorHAnsi"/>
          <w:shd w:val="clear" w:color="auto" w:fill="FFFFFF"/>
          <w:lang w:eastAsia="en-US"/>
        </w:rPr>
        <w:t>rela</w:t>
      </w:r>
      <w:r>
        <w:rPr>
          <w:rFonts w:eastAsiaTheme="minorHAnsi"/>
          <w:shd w:val="clear" w:color="auto" w:fill="FFFFFF"/>
          <w:lang w:eastAsia="en-US"/>
        </w:rPr>
        <w:t xml:space="preserve">ting to the meaning of wellbeing include individual opinion, experiences, the personal and educational journey, the whole person and the view of oneself. </w:t>
      </w:r>
      <w:r w:rsidRPr="007F2BBB">
        <w:rPr>
          <w:rFonts w:eastAsiaTheme="minorHAnsi"/>
          <w:shd w:val="clear" w:color="auto" w:fill="FFFFFF"/>
          <w:lang w:eastAsia="en-US"/>
        </w:rPr>
        <w:t xml:space="preserve">In addition, </w:t>
      </w:r>
      <w:r>
        <w:rPr>
          <w:rFonts w:eastAsiaTheme="minorHAnsi"/>
          <w:shd w:val="clear" w:color="auto" w:fill="FFFFFF"/>
          <w:lang w:eastAsia="en-US"/>
        </w:rPr>
        <w:t>the participants</w:t>
      </w:r>
      <w:r w:rsidRPr="007F2BBB">
        <w:rPr>
          <w:rFonts w:eastAsiaTheme="minorHAnsi"/>
          <w:shd w:val="clear" w:color="auto" w:fill="FFFFFF"/>
          <w:lang w:eastAsia="en-US"/>
        </w:rPr>
        <w:t xml:space="preserve"> </w:t>
      </w:r>
      <w:r>
        <w:rPr>
          <w:rFonts w:eastAsiaTheme="minorHAnsi"/>
          <w:shd w:val="clear" w:color="auto" w:fill="FFFFFF"/>
          <w:lang w:eastAsia="en-US"/>
        </w:rPr>
        <w:t>reported</w:t>
      </w:r>
      <w:r w:rsidRPr="007F2BBB">
        <w:rPr>
          <w:rFonts w:eastAsiaTheme="minorHAnsi"/>
          <w:shd w:val="clear" w:color="auto" w:fill="FFFFFF"/>
          <w:lang w:eastAsia="en-US"/>
        </w:rPr>
        <w:t xml:space="preserve"> </w:t>
      </w:r>
      <w:r>
        <w:rPr>
          <w:rFonts w:eastAsiaTheme="minorHAnsi"/>
          <w:shd w:val="clear" w:color="auto" w:fill="FFFFFF"/>
          <w:lang w:eastAsia="en-US"/>
        </w:rPr>
        <w:t xml:space="preserve">how understanding the meaning of wellbeing can support wellbeing during P16 transition. </w:t>
      </w:r>
    </w:p>
    <w:p w14:paraId="73C2E72E" w14:textId="77777777" w:rsidR="00421BB4" w:rsidRDefault="00421BB4" w:rsidP="00421BB4">
      <w:pPr>
        <w:spacing w:after="160" w:line="360" w:lineRule="auto"/>
        <w:ind w:firstLine="720"/>
        <w:jc w:val="both"/>
        <w:rPr>
          <w:rFonts w:eastAsiaTheme="minorHAnsi"/>
          <w:shd w:val="clear" w:color="auto" w:fill="FFFFFF"/>
          <w:lang w:eastAsia="en-US"/>
        </w:rPr>
      </w:pPr>
      <w:r>
        <w:rPr>
          <w:rFonts w:eastAsiaTheme="minorHAnsi"/>
          <w:shd w:val="clear" w:color="auto" w:fill="FFFFFF"/>
          <w:lang w:eastAsia="en-US"/>
        </w:rPr>
        <w:t>Despite some ambiguity around the meaning of wellbeing, all participants believed its meaning to be subjective and personal to everyone. They each expressed that supporting wellbeing during P16 transition would mean different things to each learner and that learner wellbeing does not solely rely on the experiences that take place within school. All participants referred to life experiences, relationships, emotions, hobbies and interests, nature, academia and other pathways and skills as contributing factors to a YP overall wellbeing. This is summarised by Pb, who stated that wellbeing is:</w:t>
      </w:r>
    </w:p>
    <w:p w14:paraId="172BC234" w14:textId="77777777" w:rsidR="00421BB4" w:rsidRDefault="00421BB4" w:rsidP="00421BB4">
      <w:pPr>
        <w:spacing w:after="160" w:line="360" w:lineRule="auto"/>
        <w:ind w:left="1418"/>
        <w:jc w:val="both"/>
        <w:rPr>
          <w:rFonts w:eastAsiaTheme="minorHAnsi"/>
          <w:shd w:val="clear" w:color="auto" w:fill="FFFFFF"/>
          <w:lang w:eastAsia="en-US"/>
        </w:rPr>
      </w:pPr>
      <w:r>
        <w:rPr>
          <w:rFonts w:eastAsiaTheme="minorHAnsi"/>
          <w:shd w:val="clear" w:color="auto" w:fill="FFFFFF"/>
          <w:lang w:eastAsia="en-US"/>
        </w:rPr>
        <w:lastRenderedPageBreak/>
        <w:t>…</w:t>
      </w:r>
      <w:r w:rsidRPr="00CD1733">
        <w:rPr>
          <w:rFonts w:eastAsiaTheme="minorHAnsi"/>
          <w:shd w:val="clear" w:color="auto" w:fill="FFFFFF"/>
          <w:lang w:eastAsia="en-US"/>
        </w:rPr>
        <w:t>subjective and persona</w:t>
      </w:r>
      <w:r>
        <w:rPr>
          <w:rFonts w:eastAsiaTheme="minorHAnsi"/>
          <w:shd w:val="clear" w:color="auto" w:fill="FFFFFF"/>
          <w:lang w:eastAsia="en-US"/>
        </w:rPr>
        <w:t>l…</w:t>
      </w:r>
      <w:r w:rsidRPr="00CD1733">
        <w:rPr>
          <w:rFonts w:eastAsiaTheme="minorHAnsi"/>
          <w:shd w:val="clear" w:color="auto" w:fill="FFFFFF"/>
          <w:lang w:eastAsia="en-US"/>
        </w:rPr>
        <w:t>to an individual’s life experience</w:t>
      </w:r>
      <w:r>
        <w:rPr>
          <w:rFonts w:eastAsiaTheme="minorHAnsi"/>
          <w:shd w:val="clear" w:color="auto" w:fill="FFFFFF"/>
          <w:lang w:eastAsia="en-US"/>
        </w:rPr>
        <w:t>s.</w:t>
      </w:r>
      <w:r w:rsidRPr="00CD1733">
        <w:rPr>
          <w:rFonts w:eastAsiaTheme="minorHAnsi"/>
          <w:shd w:val="clear" w:color="auto" w:fill="FFFFFF"/>
          <w:lang w:eastAsia="en-US"/>
        </w:rPr>
        <w:t xml:space="preserve"> </w:t>
      </w:r>
    </w:p>
    <w:p w14:paraId="04C60D5A" w14:textId="77777777" w:rsidR="00421BB4" w:rsidRDefault="00421BB4" w:rsidP="00421BB4">
      <w:pPr>
        <w:spacing w:after="160" w:line="360" w:lineRule="auto"/>
        <w:jc w:val="both"/>
        <w:rPr>
          <w:color w:val="222222"/>
          <w:shd w:val="clear" w:color="auto" w:fill="FFFFFF"/>
        </w:rPr>
      </w:pPr>
      <w:r>
        <w:rPr>
          <w:color w:val="222222"/>
          <w:shd w:val="clear" w:color="auto" w:fill="FFFFFF"/>
        </w:rPr>
        <w:t>Pc referred to the wholeness and balance when discussing wellbeing and believed that the whole person would need to be considered when considering ways to support wellbeing during P16 transition:</w:t>
      </w:r>
    </w:p>
    <w:p w14:paraId="3CFADB9C" w14:textId="77777777" w:rsidR="00421BB4" w:rsidRDefault="00421BB4" w:rsidP="00421BB4">
      <w:pPr>
        <w:spacing w:after="160" w:line="360" w:lineRule="auto"/>
        <w:ind w:left="1418"/>
        <w:jc w:val="both"/>
        <w:rPr>
          <w:color w:val="222222"/>
          <w:shd w:val="clear" w:color="auto" w:fill="FFFFFF"/>
        </w:rPr>
      </w:pPr>
      <w:r>
        <w:rPr>
          <w:color w:val="222222"/>
          <w:shd w:val="clear" w:color="auto" w:fill="FFFFFF"/>
        </w:rPr>
        <w:t>…</w:t>
      </w:r>
      <w:r w:rsidRPr="00013FFC">
        <w:rPr>
          <w:color w:val="222222"/>
          <w:shd w:val="clear" w:color="auto" w:fill="FFFFFF"/>
        </w:rPr>
        <w:t>wellbeing is made up of four different components</w:t>
      </w:r>
      <w:r>
        <w:rPr>
          <w:color w:val="222222"/>
          <w:shd w:val="clear" w:color="auto" w:fill="FFFFFF"/>
        </w:rPr>
        <w:t xml:space="preserve"> [physical, psychological, emotional and spiritual]</w:t>
      </w:r>
      <w:r w:rsidRPr="00013FFC">
        <w:rPr>
          <w:color w:val="222222"/>
          <w:shd w:val="clear" w:color="auto" w:fill="FFFFFF"/>
        </w:rPr>
        <w:t>, and each one of these components needs to be in balance</w:t>
      </w:r>
      <w:r>
        <w:rPr>
          <w:color w:val="222222"/>
          <w:shd w:val="clear" w:color="auto" w:fill="FFFFFF"/>
        </w:rPr>
        <w:t>…</w:t>
      </w:r>
    </w:p>
    <w:p w14:paraId="7EC7C610" w14:textId="77777777" w:rsidR="00421BB4" w:rsidRDefault="00421BB4" w:rsidP="00421BB4">
      <w:pPr>
        <w:spacing w:after="160" w:line="360" w:lineRule="auto"/>
        <w:jc w:val="both"/>
        <w:rPr>
          <w:color w:val="222222"/>
          <w:shd w:val="clear" w:color="auto" w:fill="FFFFFF"/>
        </w:rPr>
      </w:pPr>
      <w:r>
        <w:rPr>
          <w:color w:val="222222"/>
          <w:shd w:val="clear" w:color="auto" w:fill="FFFFFF"/>
        </w:rPr>
        <w:t>Pc compared wellbeing to a:</w:t>
      </w:r>
    </w:p>
    <w:p w14:paraId="51063E36" w14:textId="77777777" w:rsidR="00421BB4" w:rsidRDefault="00421BB4" w:rsidP="00421BB4">
      <w:pPr>
        <w:spacing w:after="160" w:line="360" w:lineRule="auto"/>
        <w:ind w:left="1418"/>
        <w:jc w:val="both"/>
        <w:rPr>
          <w:color w:val="222222"/>
          <w:shd w:val="clear" w:color="auto" w:fill="FFFFFF"/>
        </w:rPr>
      </w:pPr>
      <w:r>
        <w:rPr>
          <w:color w:val="222222"/>
          <w:shd w:val="clear" w:color="auto" w:fill="FFFFFF"/>
        </w:rPr>
        <w:t>…</w:t>
      </w:r>
      <w:r w:rsidRPr="00013FFC">
        <w:rPr>
          <w:color w:val="222222"/>
          <w:shd w:val="clear" w:color="auto" w:fill="FFFFFF"/>
        </w:rPr>
        <w:t>personal journey b</w:t>
      </w:r>
      <w:r>
        <w:rPr>
          <w:color w:val="222222"/>
          <w:shd w:val="clear" w:color="auto" w:fill="FFFFFF"/>
        </w:rPr>
        <w:t>ut</w:t>
      </w:r>
      <w:r w:rsidRPr="00013FFC">
        <w:rPr>
          <w:color w:val="222222"/>
          <w:shd w:val="clear" w:color="auto" w:fill="FFFFFF"/>
        </w:rPr>
        <w:t xml:space="preserve"> external influences </w:t>
      </w:r>
      <w:r>
        <w:rPr>
          <w:color w:val="222222"/>
          <w:shd w:val="clear" w:color="auto" w:fill="FFFFFF"/>
        </w:rPr>
        <w:t>can</w:t>
      </w:r>
      <w:r w:rsidRPr="00013FFC">
        <w:rPr>
          <w:color w:val="222222"/>
          <w:shd w:val="clear" w:color="auto" w:fill="FFFFFF"/>
        </w:rPr>
        <w:t xml:space="preserve"> support a person’s wellbeing</w:t>
      </w:r>
      <w:r>
        <w:rPr>
          <w:color w:val="222222"/>
          <w:shd w:val="clear" w:color="auto" w:fill="FFFFFF"/>
        </w:rPr>
        <w:t>.</w:t>
      </w:r>
    </w:p>
    <w:p w14:paraId="778D74C1" w14:textId="77777777" w:rsidR="00421BB4" w:rsidRDefault="00421BB4" w:rsidP="00421BB4">
      <w:pPr>
        <w:spacing w:after="160" w:line="360" w:lineRule="auto"/>
        <w:jc w:val="both"/>
        <w:rPr>
          <w:color w:val="222222"/>
          <w:shd w:val="clear" w:color="auto" w:fill="FFFFFF"/>
        </w:rPr>
      </w:pPr>
      <w:r>
        <w:rPr>
          <w:rFonts w:eastAsiaTheme="minorHAnsi"/>
          <w:shd w:val="clear" w:color="auto" w:fill="FFFFFF"/>
          <w:lang w:eastAsia="en-US"/>
        </w:rPr>
        <w:t>While Pa believed that wellbeing is about happiness, contentment and being able to make choices over one’s life, all participants referred to identity and feelings of self-worth as contributing factors to overall wellbeing. An example of this is captured by Pb:</w:t>
      </w:r>
    </w:p>
    <w:p w14:paraId="08C519D6" w14:textId="77777777" w:rsidR="00421BB4" w:rsidRDefault="00421BB4" w:rsidP="00421BB4">
      <w:pPr>
        <w:spacing w:after="160" w:line="360" w:lineRule="auto"/>
        <w:ind w:left="1418"/>
        <w:jc w:val="both"/>
        <w:rPr>
          <w:color w:val="222222"/>
        </w:rPr>
      </w:pPr>
      <w:r>
        <w:rPr>
          <w:color w:val="222222"/>
        </w:rPr>
        <w:t>…</w:t>
      </w:r>
      <w:r w:rsidRPr="006943D4">
        <w:rPr>
          <w:color w:val="222222"/>
        </w:rPr>
        <w:t>this doesn't necessarily mean that you are happy all of the time, but you have a baseline level of happiness which is due to your perception of your self-worth</w:t>
      </w:r>
      <w:r>
        <w:rPr>
          <w:color w:val="222222"/>
        </w:rPr>
        <w:t>.</w:t>
      </w:r>
    </w:p>
    <w:p w14:paraId="0C7CD4D4" w14:textId="77777777" w:rsidR="00421BB4" w:rsidRDefault="00421BB4" w:rsidP="00421BB4">
      <w:pPr>
        <w:spacing w:after="160" w:line="360" w:lineRule="auto"/>
        <w:jc w:val="both"/>
        <w:rPr>
          <w:color w:val="222222"/>
        </w:rPr>
      </w:pPr>
      <w:r>
        <w:rPr>
          <w:color w:val="222222"/>
        </w:rPr>
        <w:t>When addressing how the meaning of wellbeing might impact on wellbeing support, following up on the data presented in the questionnaire findings, Pb reported that it would be necessary to know a person very well and ask them how they might like to be supported with their wellbeing before contemplating support. When discussing support during P16 transition, all participants reported that what wellbeing means to each YP would have to be identified prior to offering and providing support. This is summarised by Pc:</w:t>
      </w:r>
    </w:p>
    <w:p w14:paraId="2BFD7154" w14:textId="77777777" w:rsidR="00421BB4" w:rsidRDefault="00421BB4" w:rsidP="00421BB4">
      <w:pPr>
        <w:spacing w:after="160" w:line="360" w:lineRule="auto"/>
        <w:ind w:left="1418"/>
        <w:jc w:val="both"/>
        <w:rPr>
          <w:color w:val="222222"/>
        </w:rPr>
      </w:pPr>
      <w:r w:rsidRPr="00013FFC">
        <w:rPr>
          <w:color w:val="222222"/>
        </w:rPr>
        <w:t>I suppose, without ascertaining what well-being means to each pupil, how can they be provided with the correct wellbeing support during transition?</w:t>
      </w:r>
    </w:p>
    <w:p w14:paraId="34F172B7" w14:textId="77777777" w:rsidR="00421BB4" w:rsidRDefault="00421BB4" w:rsidP="00421BB4">
      <w:pPr>
        <w:spacing w:after="160" w:line="360" w:lineRule="auto"/>
        <w:jc w:val="both"/>
        <w:rPr>
          <w:color w:val="222222"/>
        </w:rPr>
      </w:pPr>
      <w:r>
        <w:rPr>
          <w:color w:val="222222"/>
        </w:rPr>
        <w:t xml:space="preserve">Overall, the participant’s perception of wellbeing is subjective and individual to each YP. The data revealed that wellbeing support during P16 transition should focus on the whole person, through a holistic approach, and that to support wellbeing, it would be necessary to ascertain what wellbeing means to each individual. </w:t>
      </w:r>
    </w:p>
    <w:p w14:paraId="2DCAB019" w14:textId="77777777" w:rsidR="00421BB4" w:rsidRPr="001A159B" w:rsidRDefault="00421BB4" w:rsidP="00421BB4">
      <w:pPr>
        <w:spacing w:after="160" w:line="360" w:lineRule="auto"/>
        <w:jc w:val="both"/>
        <w:rPr>
          <w:color w:val="222222"/>
          <w:u w:val="single"/>
        </w:rPr>
      </w:pPr>
      <w:bookmarkStart w:id="39" w:name="Wellbeingsupportforall"/>
      <w:r w:rsidRPr="001A159B">
        <w:rPr>
          <w:color w:val="222222"/>
          <w:u w:val="single"/>
        </w:rPr>
        <w:t>4.3.2 – Wellbeing support for all during P16 transition – security and socialisation</w:t>
      </w:r>
    </w:p>
    <w:bookmarkEnd w:id="39"/>
    <w:p w14:paraId="53D26BD9" w14:textId="77777777" w:rsidR="00421BB4" w:rsidRDefault="00421BB4" w:rsidP="00421BB4">
      <w:pPr>
        <w:spacing w:after="120" w:line="360" w:lineRule="auto"/>
        <w:ind w:firstLine="720"/>
        <w:jc w:val="both"/>
        <w:rPr>
          <w:rFonts w:eastAsiaTheme="minorHAnsi"/>
          <w:color w:val="202124"/>
          <w:shd w:val="clear" w:color="auto" w:fill="FFFFFF"/>
          <w:lang w:eastAsia="en-US"/>
        </w:rPr>
      </w:pPr>
      <w:r w:rsidRPr="00BF1755">
        <w:rPr>
          <w:rFonts w:eastAsiaTheme="minorHAnsi"/>
          <w:color w:val="202124"/>
          <w:shd w:val="clear" w:color="auto" w:fill="FFFFFF"/>
          <w:lang w:eastAsia="en-US"/>
        </w:rPr>
        <w:t>Question two allowed the participants to share their opinions on whether wellbeing support should be provided to all YP transitioning</w:t>
      </w:r>
      <w:r>
        <w:rPr>
          <w:rFonts w:eastAsiaTheme="minorHAnsi"/>
          <w:color w:val="202124"/>
          <w:shd w:val="clear" w:color="auto" w:fill="FFFFFF"/>
          <w:lang w:eastAsia="en-US"/>
        </w:rPr>
        <w:t xml:space="preserve">. All participants considered that wellbeing </w:t>
      </w:r>
      <w:r>
        <w:rPr>
          <w:rFonts w:eastAsiaTheme="minorHAnsi"/>
          <w:color w:val="202124"/>
          <w:shd w:val="clear" w:color="auto" w:fill="FFFFFF"/>
          <w:lang w:eastAsia="en-US"/>
        </w:rPr>
        <w:lastRenderedPageBreak/>
        <w:t>support should be available for all learners transitioning as concerns were raised about YP not reaching out or recognising that they may need this support during P16 transition:</w:t>
      </w:r>
    </w:p>
    <w:p w14:paraId="4A804996" w14:textId="77777777" w:rsidR="00421BB4" w:rsidRDefault="00421BB4" w:rsidP="00421BB4">
      <w:pPr>
        <w:spacing w:after="120" w:line="360" w:lineRule="auto"/>
        <w:ind w:left="1418" w:firstLine="720"/>
        <w:jc w:val="both"/>
        <w:rPr>
          <w:rFonts w:eastAsiaTheme="minorHAnsi"/>
          <w:color w:val="202124"/>
          <w:shd w:val="clear" w:color="auto" w:fill="FFFFFF"/>
          <w:lang w:eastAsia="en-US"/>
        </w:rPr>
      </w:pPr>
      <w:r>
        <w:rPr>
          <w:color w:val="222222"/>
        </w:rPr>
        <w:t>…</w:t>
      </w:r>
      <w:r w:rsidRPr="00013FFC">
        <w:rPr>
          <w:color w:val="222222"/>
        </w:rPr>
        <w:t>they</w:t>
      </w:r>
      <w:r>
        <w:rPr>
          <w:color w:val="222222"/>
        </w:rPr>
        <w:t xml:space="preserve"> [YP]</w:t>
      </w:r>
      <w:r w:rsidRPr="00013FFC">
        <w:rPr>
          <w:color w:val="222222"/>
        </w:rPr>
        <w:t xml:space="preserve"> might reach out and express concerns surrounding how they are feeling about </w:t>
      </w:r>
      <w:r>
        <w:rPr>
          <w:color w:val="222222"/>
        </w:rPr>
        <w:t>[wellbeing support during transition] …</w:t>
      </w:r>
      <w:r w:rsidRPr="00013FFC">
        <w:rPr>
          <w:color w:val="222222"/>
        </w:rPr>
        <w:t xml:space="preserve">perhaps they wouldn't necessarily know that they need support with their wellbeing. </w:t>
      </w:r>
    </w:p>
    <w:p w14:paraId="3693CC98" w14:textId="77777777" w:rsidR="00421BB4" w:rsidRDefault="00421BB4" w:rsidP="00421BB4">
      <w:pPr>
        <w:spacing w:after="120" w:line="360" w:lineRule="auto"/>
        <w:jc w:val="both"/>
        <w:rPr>
          <w:rFonts w:eastAsiaTheme="minorHAnsi"/>
          <w:color w:val="222222"/>
          <w:shd w:val="clear" w:color="auto" w:fill="FFFFFF"/>
          <w:lang w:eastAsia="en-US"/>
        </w:rPr>
      </w:pPr>
      <w:r>
        <w:rPr>
          <w:rFonts w:eastAsiaTheme="minorHAnsi"/>
          <w:color w:val="222222"/>
          <w:shd w:val="clear" w:color="auto" w:fill="FFFFFF"/>
          <w:lang w:eastAsia="en-US"/>
        </w:rPr>
        <w:t>Pa reported that transition comes with stress, anxiety and fears and if more wellbeing support was provided, P16 transitions would be ‘happier experiences, which would result in higher levels of achievement and retention. Pa shared that YP ‘dropped out’ shorty after transition as they were unhappy and that opportunities to explore wellbeing may help to precent this. Concerns were raised regarding the importance of friendships and socialisation by all participants and the feeling of security that these relationships bring to the transition experience and Pa shared:</w:t>
      </w:r>
    </w:p>
    <w:p w14:paraId="5F1CB989" w14:textId="77777777" w:rsidR="00421BB4" w:rsidRDefault="00421BB4" w:rsidP="00421BB4">
      <w:pPr>
        <w:spacing w:after="120" w:line="360" w:lineRule="auto"/>
        <w:ind w:left="1418"/>
        <w:jc w:val="both"/>
        <w:rPr>
          <w:color w:val="222222"/>
          <w:shd w:val="clear" w:color="auto" w:fill="FFFFFF"/>
        </w:rPr>
      </w:pPr>
      <w:r>
        <w:rPr>
          <w:color w:val="222222"/>
          <w:shd w:val="clear" w:color="auto" w:fill="FFFFFF"/>
        </w:rPr>
        <w:t>…</w:t>
      </w:r>
      <w:r w:rsidRPr="00B029C9">
        <w:rPr>
          <w:color w:val="222222"/>
          <w:shd w:val="clear" w:color="auto" w:fill="FFFFFF"/>
        </w:rPr>
        <w:t>I didn't have a single person there. You just had to</w:t>
      </w:r>
      <w:r>
        <w:rPr>
          <w:color w:val="222222"/>
          <w:shd w:val="clear" w:color="auto" w:fill="FFFFFF"/>
        </w:rPr>
        <w:t>…</w:t>
      </w:r>
      <w:r w:rsidRPr="00B029C9">
        <w:rPr>
          <w:color w:val="222222"/>
          <w:shd w:val="clear" w:color="auto" w:fill="FFFFFF"/>
        </w:rPr>
        <w:t>try to make new friends very quickly</w:t>
      </w:r>
      <w:r>
        <w:rPr>
          <w:color w:val="222222"/>
          <w:shd w:val="clear" w:color="auto" w:fill="FFFFFF"/>
        </w:rPr>
        <w:t>…</w:t>
      </w:r>
      <w:r w:rsidRPr="00B029C9">
        <w:rPr>
          <w:color w:val="222222"/>
          <w:shd w:val="clear" w:color="auto" w:fill="FFFFFF"/>
        </w:rPr>
        <w:t>they knew each other they ha</w:t>
      </w:r>
      <w:r>
        <w:rPr>
          <w:color w:val="222222"/>
          <w:shd w:val="clear" w:color="auto" w:fill="FFFFFF"/>
        </w:rPr>
        <w:t>d</w:t>
      </w:r>
      <w:r w:rsidRPr="00B029C9">
        <w:rPr>
          <w:color w:val="222222"/>
          <w:shd w:val="clear" w:color="auto" w:fill="FFFFFF"/>
        </w:rPr>
        <w:t xml:space="preserve"> a small group already</w:t>
      </w:r>
      <w:r>
        <w:rPr>
          <w:color w:val="222222"/>
          <w:shd w:val="clear" w:color="auto" w:fill="FFFFFF"/>
        </w:rPr>
        <w:t>…</w:t>
      </w:r>
      <w:r w:rsidRPr="00B029C9">
        <w:rPr>
          <w:color w:val="222222"/>
          <w:shd w:val="clear" w:color="auto" w:fill="FFFFFF"/>
        </w:rPr>
        <w:t>to try and join in and try and make friends with them.</w:t>
      </w:r>
    </w:p>
    <w:p w14:paraId="6C06A032" w14:textId="77777777" w:rsidR="00421BB4" w:rsidRDefault="00421BB4" w:rsidP="00421BB4">
      <w:pPr>
        <w:spacing w:after="120" w:line="360" w:lineRule="auto"/>
        <w:jc w:val="both"/>
        <w:rPr>
          <w:color w:val="222222"/>
          <w:shd w:val="clear" w:color="auto" w:fill="FFFFFF"/>
        </w:rPr>
      </w:pPr>
      <w:r>
        <w:rPr>
          <w:color w:val="222222"/>
          <w:shd w:val="clear" w:color="auto" w:fill="FFFFFF"/>
        </w:rPr>
        <w:t xml:space="preserve">This was echoed by Pb who indicated social and emotional support as not only being important when transitioning, but prior to the transfer too: </w:t>
      </w:r>
    </w:p>
    <w:p w14:paraId="553C9FCA" w14:textId="77777777" w:rsidR="00421BB4" w:rsidRPr="006943D4" w:rsidRDefault="00421BB4" w:rsidP="00421BB4">
      <w:pPr>
        <w:shd w:val="clear" w:color="auto" w:fill="FFFFFF"/>
        <w:spacing w:line="360" w:lineRule="auto"/>
        <w:ind w:left="1418"/>
        <w:jc w:val="both"/>
        <w:rPr>
          <w:color w:val="222222"/>
        </w:rPr>
      </w:pPr>
      <w:r>
        <w:rPr>
          <w:color w:val="222222"/>
        </w:rPr>
        <w:t>…</w:t>
      </w:r>
      <w:r w:rsidRPr="006943D4">
        <w:rPr>
          <w:color w:val="222222"/>
        </w:rPr>
        <w:t>being with friends is a big part of supporting wellbeing, especially in a new stage in life, as we can help each other, either with work or just emotionally</w:t>
      </w:r>
      <w:r>
        <w:rPr>
          <w:color w:val="222222"/>
        </w:rPr>
        <w:t>…</w:t>
      </w:r>
      <w:r w:rsidRPr="006943D4">
        <w:rPr>
          <w:color w:val="222222"/>
        </w:rPr>
        <w:t>making decisions about what we want to do in the future.</w:t>
      </w:r>
    </w:p>
    <w:p w14:paraId="11CAEB84" w14:textId="77777777" w:rsidR="00421BB4" w:rsidRDefault="00421BB4" w:rsidP="00421BB4">
      <w:pPr>
        <w:shd w:val="clear" w:color="auto" w:fill="FFFFFF"/>
        <w:spacing w:line="360" w:lineRule="auto"/>
        <w:jc w:val="both"/>
        <w:rPr>
          <w:rFonts w:eastAsiaTheme="minorHAnsi"/>
          <w:color w:val="222222"/>
          <w:shd w:val="clear" w:color="auto" w:fill="FFFFFF"/>
          <w:lang w:eastAsia="en-US"/>
        </w:rPr>
      </w:pPr>
    </w:p>
    <w:p w14:paraId="30B9E658" w14:textId="77777777" w:rsidR="00421BB4" w:rsidRDefault="00421BB4" w:rsidP="00421BB4">
      <w:pPr>
        <w:shd w:val="clear" w:color="auto" w:fill="FFFFFF"/>
        <w:spacing w:line="360" w:lineRule="auto"/>
        <w:jc w:val="both"/>
        <w:rPr>
          <w:color w:val="222222"/>
        </w:rPr>
      </w:pPr>
      <w:r>
        <w:rPr>
          <w:color w:val="222222"/>
        </w:rPr>
        <w:t>All participants shared that success in areas such as making new friends is highly dependent on how a YP feels about themselves and each reported that low self-esteem and sense of belonging can result in negative feelings of self-worth and insecurity:</w:t>
      </w:r>
    </w:p>
    <w:p w14:paraId="66C68B11" w14:textId="77777777" w:rsidR="00421BB4" w:rsidRDefault="00421BB4" w:rsidP="00421BB4">
      <w:pPr>
        <w:shd w:val="clear" w:color="auto" w:fill="FFFFFF"/>
        <w:jc w:val="both"/>
        <w:rPr>
          <w:color w:val="222222"/>
        </w:rPr>
      </w:pPr>
    </w:p>
    <w:p w14:paraId="69D207DB" w14:textId="77777777" w:rsidR="00421BB4" w:rsidRDefault="00421BB4" w:rsidP="00421BB4">
      <w:pPr>
        <w:shd w:val="clear" w:color="auto" w:fill="FFFFFF"/>
        <w:spacing w:line="360" w:lineRule="auto"/>
        <w:ind w:left="1418"/>
        <w:jc w:val="both"/>
        <w:rPr>
          <w:color w:val="222222"/>
        </w:rPr>
      </w:pPr>
      <w:r w:rsidRPr="006943D4">
        <w:rPr>
          <w:color w:val="222222"/>
        </w:rPr>
        <w:t>I don't think you can be in state of good wellbeing without thinking about yourself in a positive light</w:t>
      </w:r>
      <w:r>
        <w:rPr>
          <w:color w:val="222222"/>
        </w:rPr>
        <w:t>…</w:t>
      </w:r>
      <w:r w:rsidRPr="006943D4">
        <w:rPr>
          <w:color w:val="222222"/>
        </w:rPr>
        <w:t>your perception of your self-worth.</w:t>
      </w:r>
    </w:p>
    <w:p w14:paraId="39843FFD" w14:textId="77777777" w:rsidR="00421BB4" w:rsidRPr="008375EE" w:rsidRDefault="00421BB4" w:rsidP="00421BB4">
      <w:pPr>
        <w:shd w:val="clear" w:color="auto" w:fill="FFFFFF"/>
        <w:spacing w:line="360" w:lineRule="auto"/>
        <w:ind w:left="1418"/>
        <w:jc w:val="both"/>
        <w:rPr>
          <w:color w:val="222222"/>
        </w:rPr>
      </w:pPr>
    </w:p>
    <w:p w14:paraId="2197A82D" w14:textId="77777777" w:rsidR="00421BB4" w:rsidRPr="00206377" w:rsidRDefault="00421BB4" w:rsidP="00421BB4">
      <w:pPr>
        <w:spacing w:after="120" w:line="360" w:lineRule="auto"/>
        <w:jc w:val="both"/>
        <w:rPr>
          <w:rFonts w:eastAsiaTheme="minorHAnsi"/>
          <w:color w:val="222222"/>
          <w:shd w:val="clear" w:color="auto" w:fill="FFFFFF"/>
          <w:lang w:eastAsia="en-US"/>
        </w:rPr>
      </w:pPr>
      <w:r>
        <w:rPr>
          <w:rFonts w:eastAsiaTheme="minorHAnsi"/>
          <w:color w:val="222222"/>
          <w:shd w:val="clear" w:color="auto" w:fill="FFFFFF"/>
          <w:lang w:eastAsia="en-US"/>
        </w:rPr>
        <w:t xml:space="preserve">Relationships, friendships, and socialisation were prominent issues raised by all participants as contributing factors to feelings of security when transitioning: </w:t>
      </w:r>
    </w:p>
    <w:p w14:paraId="521B82F7" w14:textId="77777777" w:rsidR="00421BB4" w:rsidRPr="00206377" w:rsidRDefault="00421BB4" w:rsidP="00421BB4">
      <w:pPr>
        <w:spacing w:after="120" w:line="360" w:lineRule="auto"/>
        <w:ind w:left="1418"/>
        <w:jc w:val="both"/>
        <w:rPr>
          <w:color w:val="222222"/>
          <w:shd w:val="clear" w:color="auto" w:fill="FFFFFF"/>
        </w:rPr>
      </w:pPr>
      <w:r>
        <w:rPr>
          <w:color w:val="222222"/>
          <w:shd w:val="clear" w:color="auto" w:fill="FFFFFF"/>
        </w:rPr>
        <w:t>…t</w:t>
      </w:r>
      <w:r w:rsidRPr="00B029C9">
        <w:rPr>
          <w:color w:val="222222"/>
          <w:shd w:val="clear" w:color="auto" w:fill="FFFFFF"/>
        </w:rPr>
        <w:t>he more people you meet</w:t>
      </w:r>
      <w:r>
        <w:rPr>
          <w:color w:val="222222"/>
          <w:shd w:val="clear" w:color="auto" w:fill="FFFFFF"/>
        </w:rPr>
        <w:t xml:space="preserve">… [they can] </w:t>
      </w:r>
      <w:r w:rsidRPr="00B029C9">
        <w:rPr>
          <w:color w:val="222222"/>
          <w:shd w:val="clear" w:color="auto" w:fill="FFFFFF"/>
        </w:rPr>
        <w:t>help each other out.</w:t>
      </w:r>
    </w:p>
    <w:p w14:paraId="047C158D" w14:textId="77777777" w:rsidR="00421BB4" w:rsidRDefault="00421BB4" w:rsidP="00421BB4">
      <w:pPr>
        <w:spacing w:after="120" w:line="360" w:lineRule="auto"/>
        <w:jc w:val="both"/>
        <w:rPr>
          <w:rFonts w:eastAsiaTheme="minorHAnsi"/>
          <w:color w:val="222222"/>
          <w:shd w:val="clear" w:color="auto" w:fill="FFFFFF"/>
          <w:lang w:eastAsia="en-US"/>
        </w:rPr>
      </w:pPr>
      <w:r>
        <w:rPr>
          <w:rFonts w:eastAsiaTheme="minorHAnsi"/>
          <w:color w:val="222222"/>
          <w:shd w:val="clear" w:color="auto" w:fill="FFFFFF"/>
          <w:lang w:eastAsia="en-US"/>
        </w:rPr>
        <w:lastRenderedPageBreak/>
        <w:t xml:space="preserve">Emotional, social and practical peer support were raised by each participant as being highly valuable to supporting wellbeing during P16 transition. Even though Pb indicated an insufficiency with the system prior to the pandemic, emotional, social and practical support were lacking during their time of transition during the pandemic: </w:t>
      </w:r>
    </w:p>
    <w:p w14:paraId="27537134" w14:textId="77777777" w:rsidR="00421BB4" w:rsidRPr="00F04754" w:rsidRDefault="00421BB4" w:rsidP="00421BB4">
      <w:pPr>
        <w:spacing w:after="120" w:line="360" w:lineRule="auto"/>
        <w:ind w:left="1418"/>
        <w:jc w:val="both"/>
        <w:rPr>
          <w:rFonts w:eastAsiaTheme="minorHAnsi"/>
          <w:color w:val="222222"/>
          <w:shd w:val="clear" w:color="auto" w:fill="FFFFFF"/>
          <w:lang w:eastAsia="en-US"/>
        </w:rPr>
      </w:pPr>
      <w:r>
        <w:rPr>
          <w:rFonts w:eastAsiaTheme="minorHAnsi"/>
          <w:color w:val="222222"/>
          <w:shd w:val="clear" w:color="auto" w:fill="FFFFFF"/>
          <w:lang w:eastAsia="en-US"/>
        </w:rPr>
        <w:t>…which was made worse by the implemented bubble system.</w:t>
      </w:r>
    </w:p>
    <w:p w14:paraId="472AAD75" w14:textId="77777777" w:rsidR="00421BB4" w:rsidRPr="00310F8E" w:rsidRDefault="00421BB4" w:rsidP="00421BB4">
      <w:pPr>
        <w:spacing w:after="120" w:line="360" w:lineRule="auto"/>
        <w:ind w:firstLine="720"/>
        <w:jc w:val="both"/>
        <w:rPr>
          <w:rFonts w:eastAsiaTheme="minorHAnsi"/>
          <w:color w:val="222222"/>
          <w:shd w:val="clear" w:color="auto" w:fill="FFFFFF"/>
          <w:lang w:eastAsia="en-US"/>
        </w:rPr>
      </w:pPr>
      <w:r>
        <w:rPr>
          <w:rFonts w:eastAsiaTheme="minorHAnsi"/>
          <w:color w:val="222222"/>
          <w:shd w:val="clear" w:color="auto" w:fill="FFFFFF"/>
          <w:lang w:eastAsia="en-US"/>
        </w:rPr>
        <w:t xml:space="preserve">Pb continued by stating that even though pupils were still expected to perform well academically, their socialisation was heavily suppressed, which, in Pb’s opinion, is a major part of someone’s wellbeing. </w:t>
      </w:r>
      <w:r>
        <w:rPr>
          <w:rFonts w:eastAsiaTheme="minorHAnsi"/>
          <w:shd w:val="clear" w:color="auto" w:fill="FFFFFF"/>
          <w:lang w:eastAsia="en-US"/>
        </w:rPr>
        <w:t xml:space="preserve">In response to wellbeing support being made available to all YP, Pc reported that insecurity and fear were highlighted as a main focus in schools for YP transitioning from secondary school to university: </w:t>
      </w:r>
    </w:p>
    <w:p w14:paraId="4B4D4BFA" w14:textId="77777777" w:rsidR="00421BB4" w:rsidRDefault="00421BB4" w:rsidP="00421BB4">
      <w:pPr>
        <w:spacing w:after="120" w:line="360" w:lineRule="auto"/>
        <w:ind w:left="1418"/>
        <w:jc w:val="both"/>
        <w:rPr>
          <w:color w:val="222222"/>
        </w:rPr>
      </w:pPr>
      <w:r>
        <w:rPr>
          <w:rFonts w:eastAsiaTheme="minorHAnsi"/>
          <w:color w:val="222222"/>
          <w:shd w:val="clear" w:color="auto" w:fill="FFFFFF"/>
          <w:lang w:eastAsia="en-US"/>
        </w:rPr>
        <w:t xml:space="preserve">I don’t </w:t>
      </w:r>
      <w:r w:rsidRPr="00013FFC">
        <w:rPr>
          <w:color w:val="222222"/>
        </w:rPr>
        <w:t>think it's helpful for students transitioning from secondary school to university to be made to feel scared of their transition</w:t>
      </w:r>
      <w:r>
        <w:rPr>
          <w:color w:val="222222"/>
        </w:rPr>
        <w:t>.</w:t>
      </w:r>
    </w:p>
    <w:p w14:paraId="6F6893ED" w14:textId="77777777" w:rsidR="00421BB4" w:rsidRDefault="00421BB4" w:rsidP="00421BB4">
      <w:pPr>
        <w:spacing w:after="120" w:line="360" w:lineRule="auto"/>
        <w:jc w:val="both"/>
        <w:rPr>
          <w:rFonts w:eastAsiaTheme="minorHAnsi"/>
          <w:shd w:val="clear" w:color="auto" w:fill="FFFFFF"/>
          <w:lang w:eastAsia="en-US"/>
        </w:rPr>
      </w:pPr>
      <w:r w:rsidRPr="00E3072D">
        <w:rPr>
          <w:rFonts w:eastAsiaTheme="minorHAnsi"/>
          <w:shd w:val="clear" w:color="auto" w:fill="FFFFFF"/>
          <w:lang w:eastAsia="en-US"/>
        </w:rPr>
        <w:t xml:space="preserve">Pc </w:t>
      </w:r>
      <w:r>
        <w:rPr>
          <w:rFonts w:eastAsiaTheme="minorHAnsi"/>
          <w:shd w:val="clear" w:color="auto" w:fill="FFFFFF"/>
          <w:lang w:eastAsia="en-US"/>
        </w:rPr>
        <w:t>believed that as a result, pupil fear and insecurity was:</w:t>
      </w:r>
    </w:p>
    <w:p w14:paraId="19FFF0B3" w14:textId="77777777" w:rsidR="00421BB4" w:rsidRDefault="00421BB4" w:rsidP="00421BB4">
      <w:pPr>
        <w:spacing w:after="120" w:line="360" w:lineRule="auto"/>
        <w:ind w:left="1418"/>
        <w:rPr>
          <w:rFonts w:eastAsiaTheme="minorHAnsi"/>
          <w:shd w:val="clear" w:color="auto" w:fill="FFFFFF"/>
          <w:lang w:eastAsia="en-US"/>
        </w:rPr>
      </w:pPr>
      <w:r>
        <w:rPr>
          <w:rFonts w:eastAsiaTheme="minorHAnsi"/>
          <w:shd w:val="clear" w:color="auto" w:fill="FFFFFF"/>
          <w:lang w:eastAsia="en-US"/>
        </w:rPr>
        <w:t xml:space="preserve">… </w:t>
      </w:r>
      <w:r w:rsidRPr="00217874">
        <w:rPr>
          <w:color w:val="222222"/>
        </w:rPr>
        <w:t>exacerbate</w:t>
      </w:r>
      <w:r>
        <w:rPr>
          <w:color w:val="222222"/>
        </w:rPr>
        <w:t>[ed]…I</w:t>
      </w:r>
      <w:r w:rsidRPr="00217874">
        <w:rPr>
          <w:color w:val="222222"/>
        </w:rPr>
        <w:t>nstead, I believe that teachers should drive to fill the gap</w:t>
      </w:r>
      <w:r>
        <w:rPr>
          <w:color w:val="222222"/>
        </w:rPr>
        <w:t>…</w:t>
      </w:r>
    </w:p>
    <w:p w14:paraId="0AC1B169" w14:textId="77777777" w:rsidR="00421BB4" w:rsidRDefault="00421BB4" w:rsidP="00421BB4">
      <w:pPr>
        <w:spacing w:after="120" w:line="360" w:lineRule="auto"/>
        <w:jc w:val="both"/>
        <w:rPr>
          <w:rFonts w:eastAsiaTheme="minorHAnsi"/>
          <w:shd w:val="clear" w:color="auto" w:fill="FFFFFF"/>
          <w:lang w:eastAsia="en-US"/>
        </w:rPr>
      </w:pPr>
      <w:r>
        <w:rPr>
          <w:rFonts w:eastAsiaTheme="minorHAnsi"/>
          <w:shd w:val="clear" w:color="auto" w:fill="FFFFFF"/>
          <w:lang w:eastAsia="en-US"/>
        </w:rPr>
        <w:t>Pc went on to explain that the transition gap might be lessened by providing pupils with:</w:t>
      </w:r>
    </w:p>
    <w:p w14:paraId="43BFCD54" w14:textId="77777777" w:rsidR="00421BB4" w:rsidRDefault="00421BB4" w:rsidP="00421BB4">
      <w:pPr>
        <w:spacing w:after="120" w:line="360" w:lineRule="auto"/>
        <w:ind w:left="1418"/>
        <w:jc w:val="both"/>
        <w:rPr>
          <w:rFonts w:eastAsiaTheme="minorHAnsi"/>
          <w:shd w:val="clear" w:color="auto" w:fill="FFFFFF"/>
          <w:lang w:eastAsia="en-US"/>
        </w:rPr>
      </w:pPr>
      <w:r>
        <w:rPr>
          <w:rFonts w:eastAsiaTheme="minorHAnsi"/>
          <w:shd w:val="clear" w:color="auto" w:fill="FFFFFF"/>
          <w:lang w:eastAsia="en-US"/>
        </w:rPr>
        <w:t>…useful information that helps to support pupil wellbeing.</w:t>
      </w:r>
    </w:p>
    <w:p w14:paraId="3034F498" w14:textId="77777777" w:rsidR="00421BB4" w:rsidRDefault="00421BB4" w:rsidP="00421BB4">
      <w:pPr>
        <w:spacing w:after="120" w:line="360" w:lineRule="auto"/>
        <w:jc w:val="both"/>
        <w:rPr>
          <w:rFonts w:eastAsiaTheme="minorHAnsi"/>
          <w:shd w:val="clear" w:color="auto" w:fill="FFFFFF"/>
          <w:lang w:eastAsia="en-US"/>
        </w:rPr>
      </w:pPr>
      <w:r>
        <w:rPr>
          <w:rFonts w:eastAsiaTheme="minorHAnsi"/>
          <w:shd w:val="clear" w:color="auto" w:fill="FFFFFF"/>
          <w:lang w:eastAsia="en-US"/>
        </w:rPr>
        <w:t>Interestingly, all participants referred to wellbeing support being important for all P16 pathways and not just the routes that they were taking:</w:t>
      </w:r>
    </w:p>
    <w:p w14:paraId="7A984654" w14:textId="77777777" w:rsidR="00421BB4" w:rsidRPr="00DC11D6" w:rsidRDefault="00421BB4" w:rsidP="00421BB4">
      <w:pPr>
        <w:shd w:val="clear" w:color="auto" w:fill="FFFFFF"/>
        <w:spacing w:line="360" w:lineRule="auto"/>
        <w:ind w:left="1418"/>
        <w:jc w:val="both"/>
        <w:rPr>
          <w:color w:val="222222"/>
        </w:rPr>
      </w:pPr>
      <w:r w:rsidRPr="00013FFC">
        <w:rPr>
          <w:color w:val="222222"/>
        </w:rPr>
        <w:t>This does not mean that those not wishing not to attend university should be neglected</w:t>
      </w:r>
      <w:r>
        <w:rPr>
          <w:color w:val="222222"/>
        </w:rPr>
        <w:t>…s</w:t>
      </w:r>
      <w:r w:rsidRPr="00013FFC">
        <w:rPr>
          <w:color w:val="222222"/>
        </w:rPr>
        <w:t>chools and invited speakers should attach a simar value to entering the workforce</w:t>
      </w:r>
      <w:r>
        <w:rPr>
          <w:color w:val="222222"/>
        </w:rPr>
        <w:t xml:space="preserve"> and other options..</w:t>
      </w:r>
      <w:r w:rsidRPr="00013FFC">
        <w:rPr>
          <w:color w:val="222222"/>
        </w:rPr>
        <w:t>.</w:t>
      </w:r>
    </w:p>
    <w:p w14:paraId="3ECEFFEC" w14:textId="77777777" w:rsidR="00421BB4" w:rsidRDefault="00421BB4" w:rsidP="00421BB4">
      <w:pPr>
        <w:shd w:val="clear" w:color="auto" w:fill="FFFFFF"/>
        <w:spacing w:line="360" w:lineRule="auto"/>
        <w:jc w:val="both"/>
        <w:rPr>
          <w:rFonts w:eastAsiaTheme="minorHAnsi"/>
          <w:shd w:val="clear" w:color="auto" w:fill="FFFFFF"/>
          <w:lang w:eastAsia="en-US"/>
        </w:rPr>
      </w:pPr>
      <w:r>
        <w:rPr>
          <w:color w:val="222222"/>
        </w:rPr>
        <w:t xml:space="preserve">Overall, </w:t>
      </w:r>
      <w:r>
        <w:rPr>
          <w:rFonts w:eastAsiaTheme="minorHAnsi"/>
          <w:shd w:val="clear" w:color="auto" w:fill="FFFFFF"/>
          <w:lang w:eastAsia="en-US"/>
        </w:rPr>
        <w:t>t</w:t>
      </w:r>
      <w:r w:rsidRPr="00F77814">
        <w:rPr>
          <w:rFonts w:eastAsiaTheme="minorHAnsi"/>
          <w:shd w:val="clear" w:color="auto" w:fill="FFFFFF"/>
          <w:lang w:eastAsia="en-US"/>
        </w:rPr>
        <w:t xml:space="preserve">he </w:t>
      </w:r>
      <w:r>
        <w:rPr>
          <w:rFonts w:eastAsiaTheme="minorHAnsi"/>
          <w:shd w:val="clear" w:color="auto" w:fill="FFFFFF"/>
          <w:lang w:eastAsia="en-US"/>
        </w:rPr>
        <w:t>role</w:t>
      </w:r>
      <w:r w:rsidRPr="00F77814">
        <w:rPr>
          <w:rFonts w:eastAsiaTheme="minorHAnsi"/>
          <w:shd w:val="clear" w:color="auto" w:fill="FFFFFF"/>
          <w:lang w:eastAsia="en-US"/>
        </w:rPr>
        <w:t xml:space="preserve"> socialisation</w:t>
      </w:r>
      <w:r>
        <w:rPr>
          <w:rFonts w:eastAsiaTheme="minorHAnsi"/>
          <w:shd w:val="clear" w:color="auto" w:fill="FFFFFF"/>
          <w:lang w:eastAsia="en-US"/>
        </w:rPr>
        <w:t xml:space="preserve"> plays</w:t>
      </w:r>
      <w:r w:rsidRPr="00F77814">
        <w:rPr>
          <w:rFonts w:eastAsiaTheme="minorHAnsi"/>
          <w:shd w:val="clear" w:color="auto" w:fill="FFFFFF"/>
          <w:lang w:eastAsia="en-US"/>
        </w:rPr>
        <w:t xml:space="preserve"> on</w:t>
      </w:r>
      <w:r>
        <w:rPr>
          <w:rFonts w:eastAsiaTheme="minorHAnsi"/>
          <w:shd w:val="clear" w:color="auto" w:fill="FFFFFF"/>
          <w:lang w:eastAsia="en-US"/>
        </w:rPr>
        <w:t xml:space="preserve"> feelings of security and</w:t>
      </w:r>
      <w:r w:rsidRPr="00F77814">
        <w:rPr>
          <w:rFonts w:eastAsiaTheme="minorHAnsi"/>
          <w:shd w:val="clear" w:color="auto" w:fill="FFFFFF"/>
          <w:lang w:eastAsia="en-US"/>
        </w:rPr>
        <w:t xml:space="preserve"> wellbeing during P16 transition is a significant theme identified within this research study.</w:t>
      </w:r>
      <w:r>
        <w:rPr>
          <w:rFonts w:eastAsiaTheme="minorHAnsi"/>
          <w:shd w:val="clear" w:color="auto" w:fill="FFFFFF"/>
          <w:lang w:eastAsia="en-US"/>
        </w:rPr>
        <w:t xml:space="preserve"> Social and emotional wellbeing were referred to the most during the reporting and the importance of making YP feel secure, not only with the decisions made around pathways choices, but feeling secure emotionally and socially prior and during transition were the main issues raised.</w:t>
      </w:r>
    </w:p>
    <w:p w14:paraId="263CE0DF" w14:textId="77777777" w:rsidR="00421BB4" w:rsidRDefault="00421BB4" w:rsidP="00421BB4">
      <w:pPr>
        <w:shd w:val="clear" w:color="auto" w:fill="FFFFFF"/>
        <w:spacing w:line="360" w:lineRule="auto"/>
        <w:jc w:val="both"/>
        <w:rPr>
          <w:color w:val="222222"/>
        </w:rPr>
      </w:pPr>
    </w:p>
    <w:p w14:paraId="088B8037" w14:textId="77777777" w:rsidR="00421BB4" w:rsidRDefault="00421BB4" w:rsidP="00421BB4">
      <w:pPr>
        <w:spacing w:after="120" w:line="360" w:lineRule="auto"/>
        <w:jc w:val="both"/>
        <w:rPr>
          <w:rFonts w:eastAsiaTheme="minorHAnsi"/>
          <w:color w:val="202124"/>
          <w:u w:val="single"/>
          <w:shd w:val="clear" w:color="auto" w:fill="FFFFFF"/>
          <w:lang w:eastAsia="en-US"/>
        </w:rPr>
      </w:pPr>
      <w:bookmarkStart w:id="40" w:name="P16transitionandwellbeingexplorational"/>
    </w:p>
    <w:p w14:paraId="6AC2701B" w14:textId="77777777" w:rsidR="00421BB4" w:rsidRDefault="00421BB4" w:rsidP="00421BB4">
      <w:pPr>
        <w:spacing w:after="120" w:line="360" w:lineRule="auto"/>
        <w:jc w:val="both"/>
        <w:rPr>
          <w:rFonts w:eastAsiaTheme="minorHAnsi"/>
          <w:color w:val="202124"/>
          <w:u w:val="single"/>
          <w:shd w:val="clear" w:color="auto" w:fill="FFFFFF"/>
          <w:lang w:eastAsia="en-US"/>
        </w:rPr>
      </w:pPr>
    </w:p>
    <w:p w14:paraId="4053A981" w14:textId="77777777" w:rsidR="00421BB4" w:rsidRPr="00B66FB7" w:rsidRDefault="00421BB4" w:rsidP="00421BB4">
      <w:pPr>
        <w:spacing w:after="120" w:line="360" w:lineRule="auto"/>
        <w:jc w:val="both"/>
        <w:rPr>
          <w:b/>
          <w:bCs/>
          <w:color w:val="FF0000"/>
          <w:u w:val="single"/>
        </w:rPr>
      </w:pPr>
      <w:r>
        <w:rPr>
          <w:rFonts w:eastAsiaTheme="minorHAnsi"/>
          <w:color w:val="202124"/>
          <w:u w:val="single"/>
          <w:shd w:val="clear" w:color="auto" w:fill="FFFFFF"/>
          <w:lang w:eastAsia="en-US"/>
        </w:rPr>
        <w:lastRenderedPageBreak/>
        <w:t>4.</w:t>
      </w:r>
      <w:r w:rsidRPr="00485FAE">
        <w:rPr>
          <w:rFonts w:eastAsiaTheme="minorHAnsi"/>
          <w:color w:val="202124"/>
          <w:u w:val="single"/>
          <w:shd w:val="clear" w:color="auto" w:fill="FFFFFF"/>
          <w:lang w:eastAsia="en-US"/>
        </w:rPr>
        <w:t>3.</w:t>
      </w:r>
      <w:r>
        <w:rPr>
          <w:rFonts w:eastAsiaTheme="minorHAnsi"/>
          <w:color w:val="202124"/>
          <w:u w:val="single"/>
          <w:shd w:val="clear" w:color="auto" w:fill="FFFFFF"/>
          <w:lang w:eastAsia="en-US"/>
        </w:rPr>
        <w:t xml:space="preserve">3 - </w:t>
      </w:r>
      <w:r w:rsidRPr="00485FAE">
        <w:rPr>
          <w:rFonts w:eastAsiaTheme="minorHAnsi"/>
          <w:color w:val="202124"/>
          <w:u w:val="single"/>
          <w:shd w:val="clear" w:color="auto" w:fill="FFFFFF"/>
          <w:lang w:eastAsia="en-US"/>
        </w:rPr>
        <w:t>P</w:t>
      </w:r>
      <w:r>
        <w:rPr>
          <w:rFonts w:eastAsiaTheme="minorHAnsi"/>
          <w:color w:val="202124"/>
          <w:u w:val="single"/>
          <w:shd w:val="clear" w:color="auto" w:fill="FFFFFF"/>
          <w:lang w:eastAsia="en-US"/>
        </w:rPr>
        <w:t xml:space="preserve">16 transition and wellbeing support – </w:t>
      </w:r>
      <w:r w:rsidRPr="001655EA">
        <w:rPr>
          <w:rFonts w:eastAsiaTheme="minorHAnsi"/>
          <w:u w:val="single"/>
          <w:shd w:val="clear" w:color="auto" w:fill="FFFFFF"/>
          <w:lang w:eastAsia="en-US"/>
        </w:rPr>
        <w:t>Exp</w:t>
      </w:r>
      <w:r>
        <w:rPr>
          <w:rFonts w:eastAsiaTheme="minorHAnsi"/>
          <w:u w:val="single"/>
          <w:shd w:val="clear" w:color="auto" w:fill="FFFFFF"/>
          <w:lang w:eastAsia="en-US"/>
        </w:rPr>
        <w:t>eriential</w:t>
      </w:r>
      <w:r w:rsidRPr="001655EA">
        <w:rPr>
          <w:rFonts w:eastAsiaTheme="minorHAnsi"/>
          <w:u w:val="single"/>
          <w:shd w:val="clear" w:color="auto" w:fill="FFFFFF"/>
          <w:lang w:eastAsia="en-US"/>
        </w:rPr>
        <w:t xml:space="preserve"> activities</w:t>
      </w:r>
    </w:p>
    <w:bookmarkEnd w:id="40"/>
    <w:p w14:paraId="649A90B4" w14:textId="77777777" w:rsidR="00421BB4" w:rsidRDefault="00421BB4" w:rsidP="00421BB4">
      <w:pPr>
        <w:spacing w:after="120" w:line="360" w:lineRule="auto"/>
        <w:ind w:firstLine="720"/>
        <w:jc w:val="both"/>
        <w:rPr>
          <w:rFonts w:eastAsiaTheme="minorHAnsi"/>
          <w:color w:val="222222"/>
          <w:shd w:val="clear" w:color="auto" w:fill="FFFFFF"/>
          <w:lang w:eastAsia="en-US"/>
        </w:rPr>
      </w:pPr>
      <w:r w:rsidRPr="00BF1755">
        <w:t>All participant</w:t>
      </w:r>
      <w:r>
        <w:t>s</w:t>
      </w:r>
      <w:r w:rsidRPr="00BF1755">
        <w:t xml:space="preserve"> </w:t>
      </w:r>
      <w:r>
        <w:t xml:space="preserve">held the view </w:t>
      </w:r>
      <w:r w:rsidRPr="00BF1755">
        <w:t xml:space="preserve">that P16 transition </w:t>
      </w:r>
      <w:r>
        <w:t>could be further developed</w:t>
      </w:r>
      <w:r w:rsidRPr="00BF1755">
        <w:t xml:space="preserve">, </w:t>
      </w:r>
      <w:r>
        <w:t>and all reported on ways in which transition and wellbeing support might be improved</w:t>
      </w:r>
      <w:r w:rsidRPr="00BF1755">
        <w:t>.</w:t>
      </w:r>
      <w:r w:rsidRPr="00BA4C72">
        <w:rPr>
          <w:rFonts w:eastAsiaTheme="minorHAnsi"/>
          <w:color w:val="222222"/>
          <w:shd w:val="clear" w:color="auto" w:fill="FFFFFF"/>
          <w:lang w:eastAsia="en-US"/>
        </w:rPr>
        <w:t xml:space="preserve"> </w:t>
      </w:r>
      <w:r>
        <w:rPr>
          <w:rFonts w:eastAsiaTheme="minorHAnsi"/>
          <w:color w:val="222222"/>
          <w:shd w:val="clear" w:color="auto" w:fill="FFFFFF"/>
          <w:lang w:eastAsia="en-US"/>
        </w:rPr>
        <w:t>According to all, neither support was offered, to the extent where it was felt, as stated by Pa, that they were:</w:t>
      </w:r>
    </w:p>
    <w:p w14:paraId="18AE373D" w14:textId="77777777" w:rsidR="00421BB4" w:rsidRDefault="00421BB4" w:rsidP="00421BB4">
      <w:pPr>
        <w:spacing w:after="120" w:line="360" w:lineRule="auto"/>
        <w:ind w:left="1418"/>
        <w:jc w:val="both"/>
        <w:rPr>
          <w:rFonts w:eastAsiaTheme="minorHAnsi"/>
          <w:color w:val="222222"/>
          <w:shd w:val="clear" w:color="auto" w:fill="FFFFFF"/>
          <w:lang w:eastAsia="en-US"/>
        </w:rPr>
      </w:pPr>
      <w:r>
        <w:rPr>
          <w:rFonts w:eastAsiaTheme="minorHAnsi"/>
          <w:color w:val="222222"/>
          <w:shd w:val="clear" w:color="auto" w:fill="FFFFFF"/>
          <w:lang w:eastAsia="en-US"/>
        </w:rPr>
        <w:t xml:space="preserve"> …thrown in the deep end…and just hoped things went ok. </w:t>
      </w:r>
    </w:p>
    <w:p w14:paraId="6E89DD93" w14:textId="77777777" w:rsidR="00421BB4" w:rsidRDefault="00421BB4" w:rsidP="00421BB4">
      <w:pPr>
        <w:spacing w:line="360" w:lineRule="auto"/>
        <w:jc w:val="both"/>
        <w:rPr>
          <w:color w:val="222222"/>
          <w:shd w:val="clear" w:color="auto" w:fill="FFFFFF"/>
        </w:rPr>
      </w:pPr>
      <w:r>
        <w:rPr>
          <w:color w:val="222222"/>
          <w:shd w:val="clear" w:color="auto" w:fill="FFFFFF"/>
        </w:rPr>
        <w:t>Pa was not aware of any transition or wellbeing support at the time of transition:</w:t>
      </w:r>
    </w:p>
    <w:p w14:paraId="3A063601" w14:textId="77777777" w:rsidR="00421BB4" w:rsidRDefault="00421BB4" w:rsidP="00421BB4">
      <w:pPr>
        <w:jc w:val="both"/>
        <w:rPr>
          <w:color w:val="222222"/>
          <w:shd w:val="clear" w:color="auto" w:fill="FFFFFF"/>
        </w:rPr>
      </w:pPr>
    </w:p>
    <w:p w14:paraId="1B52A9E5" w14:textId="77777777" w:rsidR="00421BB4" w:rsidRPr="00B029C9" w:rsidRDefault="00421BB4" w:rsidP="00421BB4">
      <w:pPr>
        <w:spacing w:line="360" w:lineRule="auto"/>
        <w:ind w:left="1418"/>
        <w:jc w:val="both"/>
        <w:rPr>
          <w:color w:val="222222"/>
          <w:shd w:val="clear" w:color="auto" w:fill="FFFFFF"/>
        </w:rPr>
      </w:pPr>
      <w:r w:rsidRPr="00B029C9">
        <w:rPr>
          <w:color w:val="222222"/>
          <w:shd w:val="clear" w:color="auto" w:fill="FFFFFF"/>
        </w:rPr>
        <w:t>I didn't really know of any transition and wellbeing support</w:t>
      </w:r>
      <w:r>
        <w:rPr>
          <w:color w:val="222222"/>
          <w:shd w:val="clear" w:color="auto" w:fill="FFFFFF"/>
        </w:rPr>
        <w:t>…</w:t>
      </w:r>
      <w:r w:rsidRPr="00B029C9">
        <w:rPr>
          <w:color w:val="222222"/>
          <w:shd w:val="clear" w:color="auto" w:fill="FFFFFF"/>
        </w:rPr>
        <w:t>and what they were doing to support students.</w:t>
      </w:r>
    </w:p>
    <w:p w14:paraId="4D4C6E63" w14:textId="77777777" w:rsidR="00421BB4" w:rsidRDefault="00421BB4" w:rsidP="00421BB4">
      <w:pPr>
        <w:spacing w:after="120" w:line="360" w:lineRule="auto"/>
        <w:jc w:val="both"/>
        <w:rPr>
          <w:color w:val="222222"/>
        </w:rPr>
      </w:pPr>
      <w:r>
        <w:rPr>
          <w:color w:val="222222"/>
        </w:rPr>
        <w:t xml:space="preserve">Pb also stated an unawareness of any transition support into A Level or onto university: </w:t>
      </w:r>
    </w:p>
    <w:p w14:paraId="0833AEA6" w14:textId="77777777" w:rsidR="00421BB4" w:rsidRDefault="00421BB4" w:rsidP="00421BB4">
      <w:pPr>
        <w:spacing w:after="120" w:line="360" w:lineRule="auto"/>
        <w:ind w:left="1418"/>
        <w:jc w:val="both"/>
        <w:rPr>
          <w:color w:val="222222"/>
        </w:rPr>
      </w:pPr>
      <w:r>
        <w:rPr>
          <w:color w:val="222222"/>
        </w:rPr>
        <w:t>…</w:t>
      </w:r>
      <w:r w:rsidRPr="006943D4">
        <w:rPr>
          <w:color w:val="222222"/>
        </w:rPr>
        <w:t>apart from choosing A level options, which I did myself really, and filling out UCAS forms when the time comes. I don’t know of anything else that happens for transition.</w:t>
      </w:r>
    </w:p>
    <w:p w14:paraId="41BFD23F" w14:textId="77777777" w:rsidR="00421BB4" w:rsidRDefault="00421BB4" w:rsidP="00421BB4">
      <w:pPr>
        <w:spacing w:after="120" w:line="360" w:lineRule="auto"/>
        <w:jc w:val="both"/>
        <w:rPr>
          <w:color w:val="222222"/>
        </w:rPr>
      </w:pPr>
      <w:r>
        <w:rPr>
          <w:color w:val="222222"/>
        </w:rPr>
        <w:t xml:space="preserve">Pc’s response is in line with the above: </w:t>
      </w:r>
    </w:p>
    <w:p w14:paraId="76F1A0B6" w14:textId="77777777" w:rsidR="00421BB4" w:rsidRDefault="00421BB4" w:rsidP="00421BB4">
      <w:pPr>
        <w:spacing w:after="120" w:line="360" w:lineRule="auto"/>
        <w:ind w:left="1418"/>
        <w:jc w:val="both"/>
        <w:rPr>
          <w:color w:val="222222"/>
        </w:rPr>
      </w:pPr>
      <w:r>
        <w:rPr>
          <w:color w:val="222222"/>
        </w:rPr>
        <w:t>…</w:t>
      </w:r>
      <w:r w:rsidRPr="00013FFC">
        <w:rPr>
          <w:color w:val="222222"/>
        </w:rPr>
        <w:t>there are areas that certainly need to be improved.</w:t>
      </w:r>
    </w:p>
    <w:p w14:paraId="2EAF608D" w14:textId="77777777" w:rsidR="00421BB4" w:rsidRPr="00785764" w:rsidRDefault="00421BB4" w:rsidP="00421BB4">
      <w:pPr>
        <w:spacing w:after="120" w:line="360" w:lineRule="auto"/>
        <w:jc w:val="both"/>
        <w:rPr>
          <w:rFonts w:eastAsiaTheme="minorHAnsi"/>
          <w:color w:val="202124"/>
          <w:shd w:val="clear" w:color="auto" w:fill="FFFFFF"/>
          <w:lang w:eastAsia="en-US"/>
        </w:rPr>
      </w:pPr>
      <w:r w:rsidRPr="00785764">
        <w:rPr>
          <w:rFonts w:eastAsiaTheme="minorHAnsi"/>
          <w:color w:val="202124"/>
          <w:shd w:val="clear" w:color="auto" w:fill="FFFFFF"/>
          <w:lang w:eastAsia="en-US"/>
        </w:rPr>
        <w:t>Their responses also indicated a much broader view of transition, as transition support was viewed as a learner’s right, as part of their learning journey, and</w:t>
      </w:r>
      <w:r>
        <w:rPr>
          <w:rFonts w:eastAsiaTheme="minorHAnsi"/>
          <w:color w:val="202124"/>
          <w:shd w:val="clear" w:color="auto" w:fill="FFFFFF"/>
          <w:lang w:eastAsia="en-US"/>
        </w:rPr>
        <w:t xml:space="preserve"> as</w:t>
      </w:r>
      <w:r w:rsidRPr="00785764">
        <w:rPr>
          <w:rFonts w:eastAsiaTheme="minorHAnsi"/>
          <w:color w:val="202124"/>
          <w:shd w:val="clear" w:color="auto" w:fill="FFFFFF"/>
          <w:lang w:eastAsia="en-US"/>
        </w:rPr>
        <w:t xml:space="preserve"> instrumental to supporting wellbeing. This is exemplified by Pb who stated:   </w:t>
      </w:r>
    </w:p>
    <w:p w14:paraId="1917D392" w14:textId="77777777" w:rsidR="00421BB4" w:rsidRDefault="00421BB4" w:rsidP="00421BB4">
      <w:pPr>
        <w:spacing w:after="120" w:line="360" w:lineRule="auto"/>
        <w:ind w:left="1418"/>
        <w:jc w:val="both"/>
        <w:rPr>
          <w:rFonts w:eastAsiaTheme="minorHAnsi"/>
          <w:shd w:val="clear" w:color="auto" w:fill="FFFFFF"/>
          <w:lang w:eastAsia="en-US"/>
        </w:rPr>
      </w:pPr>
      <w:r>
        <w:rPr>
          <w:rFonts w:eastAsiaTheme="minorHAnsi"/>
          <w:shd w:val="clear" w:color="auto" w:fill="FFFFFF"/>
          <w:lang w:eastAsia="en-US"/>
        </w:rPr>
        <w:t>E</w:t>
      </w:r>
      <w:r w:rsidRPr="004C3C36">
        <w:rPr>
          <w:rFonts w:eastAsiaTheme="minorHAnsi"/>
          <w:shd w:val="clear" w:color="auto" w:fill="FFFFFF"/>
          <w:lang w:eastAsia="en-US"/>
        </w:rPr>
        <w:t>very pupil has the right to be supported in their education…and understand the changes in their education</w:t>
      </w:r>
      <w:r>
        <w:rPr>
          <w:rFonts w:eastAsiaTheme="minorHAnsi"/>
          <w:shd w:val="clear" w:color="auto" w:fill="FFFFFF"/>
          <w:lang w:eastAsia="en-US"/>
        </w:rPr>
        <w:t>.</w:t>
      </w:r>
    </w:p>
    <w:p w14:paraId="421C536B" w14:textId="77777777" w:rsidR="00421BB4" w:rsidRDefault="00421BB4" w:rsidP="00421BB4">
      <w:pPr>
        <w:spacing w:after="120" w:line="360" w:lineRule="auto"/>
        <w:jc w:val="both"/>
        <w:rPr>
          <w:rFonts w:eastAsiaTheme="minorHAnsi"/>
          <w:shd w:val="clear" w:color="auto" w:fill="FFFFFF"/>
          <w:lang w:eastAsia="en-US"/>
        </w:rPr>
      </w:pPr>
      <w:r>
        <w:rPr>
          <w:rFonts w:eastAsiaTheme="minorHAnsi"/>
          <w:shd w:val="clear" w:color="auto" w:fill="FFFFFF"/>
          <w:lang w:eastAsia="en-US"/>
        </w:rPr>
        <w:t>This response that indicated a relationship between education, transition and wellbeing experiences and are in line with this response from Pc:</w:t>
      </w:r>
    </w:p>
    <w:p w14:paraId="53B8FF5E" w14:textId="77777777" w:rsidR="00421BB4" w:rsidRDefault="00421BB4" w:rsidP="00421BB4">
      <w:pPr>
        <w:spacing w:after="120" w:line="360" w:lineRule="auto"/>
        <w:ind w:left="1418"/>
        <w:rPr>
          <w:rFonts w:eastAsiaTheme="minorHAnsi"/>
          <w:shd w:val="clear" w:color="auto" w:fill="FFFFFF"/>
          <w:lang w:eastAsia="en-US"/>
        </w:rPr>
      </w:pPr>
      <w:r w:rsidRPr="00013FFC">
        <w:rPr>
          <w:color w:val="222222"/>
        </w:rPr>
        <w:t>Transition and wellbein</w:t>
      </w:r>
      <w:r>
        <w:rPr>
          <w:color w:val="222222"/>
        </w:rPr>
        <w:t xml:space="preserve">g </w:t>
      </w:r>
      <w:r w:rsidRPr="00013FFC">
        <w:rPr>
          <w:color w:val="222222"/>
        </w:rPr>
        <w:t>support should be factored into the timetable so that pupils have the chance to explore these topics.</w:t>
      </w:r>
    </w:p>
    <w:p w14:paraId="7B29AEA2" w14:textId="77777777" w:rsidR="00421BB4" w:rsidRDefault="00421BB4" w:rsidP="00421BB4">
      <w:pPr>
        <w:spacing w:after="120" w:line="360" w:lineRule="auto"/>
        <w:jc w:val="both"/>
        <w:rPr>
          <w:rFonts w:eastAsiaTheme="minorHAnsi"/>
          <w:shd w:val="clear" w:color="auto" w:fill="FFFFFF"/>
          <w:lang w:eastAsia="en-US"/>
        </w:rPr>
      </w:pPr>
      <w:r>
        <w:rPr>
          <w:rFonts w:eastAsiaTheme="minorHAnsi"/>
          <w:shd w:val="clear" w:color="auto" w:fill="FFFFFF"/>
          <w:lang w:eastAsia="en-US"/>
        </w:rPr>
        <w:t>Pb continued to state that every learner should be provided with sufficient time to explore pathway options and be provided with the opportunities to explore desired goals and aspirations for their future:</w:t>
      </w:r>
    </w:p>
    <w:p w14:paraId="091D75DD" w14:textId="77777777" w:rsidR="00421BB4" w:rsidRDefault="00421BB4" w:rsidP="00421BB4">
      <w:pPr>
        <w:spacing w:after="120" w:line="360" w:lineRule="auto"/>
        <w:ind w:left="1418"/>
        <w:jc w:val="both"/>
        <w:rPr>
          <w:rFonts w:eastAsiaTheme="minorHAnsi"/>
          <w:shd w:val="clear" w:color="auto" w:fill="FFFFFF"/>
          <w:lang w:eastAsia="en-US"/>
        </w:rPr>
      </w:pPr>
      <w:r>
        <w:rPr>
          <w:rFonts w:eastAsiaTheme="minorHAnsi"/>
          <w:shd w:val="clear" w:color="auto" w:fill="FFFFFF"/>
          <w:lang w:eastAsia="en-US"/>
        </w:rPr>
        <w:t xml:space="preserve">[YP]…should be </w:t>
      </w:r>
      <w:r w:rsidRPr="002A4759">
        <w:rPr>
          <w:rFonts w:eastAsiaTheme="minorHAnsi"/>
          <w:shd w:val="clear" w:color="auto" w:fill="FFFFFF"/>
          <w:lang w:eastAsia="en-US"/>
        </w:rPr>
        <w:t>able to identify the best possible route would be better for their wellbeing and allow them to achieve better grades.</w:t>
      </w:r>
    </w:p>
    <w:p w14:paraId="4A3F603F" w14:textId="77777777" w:rsidR="00421BB4" w:rsidRDefault="00421BB4" w:rsidP="00421BB4">
      <w:pPr>
        <w:spacing w:after="120" w:line="360" w:lineRule="auto"/>
        <w:ind w:firstLine="720"/>
        <w:jc w:val="both"/>
        <w:rPr>
          <w:color w:val="222222"/>
        </w:rPr>
      </w:pPr>
      <w:r>
        <w:rPr>
          <w:rFonts w:eastAsiaTheme="minorHAnsi"/>
          <w:shd w:val="clear" w:color="auto" w:fill="FFFFFF"/>
          <w:lang w:eastAsia="en-US"/>
        </w:rPr>
        <w:lastRenderedPageBreak/>
        <w:t xml:space="preserve">This was echoed by Pa who stated that all YP transiting should be provided with practical opportunities when exploring their likely pathway in order to support their wellbeing during transition. </w:t>
      </w:r>
      <w:r>
        <w:rPr>
          <w:rFonts w:eastAsiaTheme="minorHAnsi"/>
          <w:lang w:eastAsia="en-US"/>
        </w:rPr>
        <w:t>During a natural dialogue that occurred as a result of affirming to the participant that their contributions were valued, Pc was asked, for example,</w:t>
      </w:r>
      <w:r w:rsidRPr="00BF1755">
        <w:rPr>
          <w:color w:val="222222"/>
        </w:rPr>
        <w:t xml:space="preserve"> to expand on </w:t>
      </w:r>
      <w:r>
        <w:rPr>
          <w:color w:val="222222"/>
        </w:rPr>
        <w:t xml:space="preserve">ways that support might be provided </w:t>
      </w:r>
      <w:r w:rsidRPr="00BF1755">
        <w:rPr>
          <w:color w:val="222222"/>
        </w:rPr>
        <w:t>to fill th</w:t>
      </w:r>
      <w:r>
        <w:rPr>
          <w:color w:val="222222"/>
        </w:rPr>
        <w:t>e</w:t>
      </w:r>
      <w:r w:rsidRPr="00BF1755">
        <w:rPr>
          <w:color w:val="222222"/>
        </w:rPr>
        <w:t xml:space="preserve"> gap</w:t>
      </w:r>
      <w:r>
        <w:rPr>
          <w:color w:val="222222"/>
        </w:rPr>
        <w:t xml:space="preserve"> from school to university. Pc suggested that, while it is important for the learner to be happy with their chosen pathway or subject [academic] choice, it is equally important for learners to be supported with wider issues such as the economic and social issues relating to university life. </w:t>
      </w:r>
    </w:p>
    <w:p w14:paraId="7C5C3D3B" w14:textId="77777777" w:rsidR="00421BB4" w:rsidRDefault="00421BB4" w:rsidP="00421BB4">
      <w:pPr>
        <w:spacing w:after="120" w:line="360" w:lineRule="auto"/>
        <w:ind w:firstLine="720"/>
        <w:jc w:val="both"/>
      </w:pPr>
      <w:r>
        <w:rPr>
          <w:color w:val="222222"/>
        </w:rPr>
        <w:t xml:space="preserve">Matters such as ways of making friends and money management were included as important to supporting wellbeing during P16 transition.  Pc strongly advocated that this might be achieved through open discussion and practical, hands-on activities as opposed to a lecture format. </w:t>
      </w:r>
      <w:r w:rsidRPr="00C91561">
        <w:t xml:space="preserve">A broader, more holistic view of transition is identified as a significant theme </w:t>
      </w:r>
      <w:r>
        <w:t>observed during</w:t>
      </w:r>
      <w:r w:rsidRPr="00C91561">
        <w:t xml:space="preserve"> this research study.</w:t>
      </w:r>
      <w:r>
        <w:t xml:space="preserve"> Pb shared a similar view and stated that, while opportunities for discussions are beneficial when experiencing P16 transition:</w:t>
      </w:r>
    </w:p>
    <w:p w14:paraId="79A5F34C" w14:textId="77777777" w:rsidR="00421BB4" w:rsidRPr="00E97530" w:rsidRDefault="00421BB4" w:rsidP="00421BB4">
      <w:pPr>
        <w:spacing w:after="120" w:line="360" w:lineRule="auto"/>
        <w:ind w:left="1418"/>
        <w:jc w:val="both"/>
      </w:pPr>
      <w:r>
        <w:rPr>
          <w:color w:val="222222"/>
        </w:rPr>
        <w:t>…</w:t>
      </w:r>
      <w:r w:rsidRPr="006943D4">
        <w:rPr>
          <w:color w:val="222222"/>
        </w:rPr>
        <w:t>getting involved and meeting people about options, next steps and what to expect</w:t>
      </w:r>
      <w:r>
        <w:rPr>
          <w:color w:val="222222"/>
        </w:rPr>
        <w:t xml:space="preserve"> is important.</w:t>
      </w:r>
    </w:p>
    <w:p w14:paraId="6E7395FB" w14:textId="77777777" w:rsidR="00421BB4" w:rsidRDefault="00421BB4" w:rsidP="00421BB4">
      <w:pPr>
        <w:spacing w:after="120" w:line="360" w:lineRule="auto"/>
        <w:ind w:firstLine="720"/>
        <w:jc w:val="both"/>
        <w:rPr>
          <w:rFonts w:eastAsiaTheme="minorHAnsi"/>
          <w:color w:val="222222"/>
          <w:shd w:val="clear" w:color="auto" w:fill="FFFFFF"/>
          <w:lang w:eastAsia="en-US"/>
        </w:rPr>
      </w:pPr>
      <w:r>
        <w:rPr>
          <w:rFonts w:eastAsiaTheme="minorHAnsi"/>
          <w:color w:val="222222"/>
          <w:shd w:val="clear" w:color="auto" w:fill="FFFFFF"/>
          <w:lang w:eastAsia="en-US"/>
        </w:rPr>
        <w:t>Navigating a new environment was considered a high source of stress and anxiety and a factor that negatively impacts overall wellbeing during P16 transition. Pa stated:</w:t>
      </w:r>
    </w:p>
    <w:p w14:paraId="634DA343" w14:textId="77777777" w:rsidR="00421BB4" w:rsidRDefault="00421BB4" w:rsidP="00421BB4">
      <w:pPr>
        <w:spacing w:after="120" w:line="360" w:lineRule="auto"/>
        <w:ind w:left="1418"/>
        <w:jc w:val="both"/>
        <w:rPr>
          <w:color w:val="222222"/>
          <w:shd w:val="clear" w:color="auto" w:fill="FFFFFF"/>
        </w:rPr>
      </w:pPr>
      <w:r w:rsidRPr="00B029C9">
        <w:rPr>
          <w:color w:val="222222"/>
          <w:shd w:val="clear" w:color="auto" w:fill="FFFFFF"/>
        </w:rPr>
        <w:t>going into the office</w:t>
      </w:r>
      <w:r>
        <w:rPr>
          <w:color w:val="222222"/>
          <w:shd w:val="clear" w:color="auto" w:fill="FFFFFF"/>
        </w:rPr>
        <w:t>…</w:t>
      </w:r>
      <w:r w:rsidRPr="00B029C9">
        <w:rPr>
          <w:color w:val="222222"/>
          <w:shd w:val="clear" w:color="auto" w:fill="FFFFFF"/>
        </w:rPr>
        <w:t>trying to locate where your classrooms</w:t>
      </w:r>
      <w:r>
        <w:rPr>
          <w:color w:val="222222"/>
          <w:shd w:val="clear" w:color="auto" w:fill="FFFFFF"/>
        </w:rPr>
        <w:t>…</w:t>
      </w:r>
      <w:r w:rsidRPr="00B029C9">
        <w:rPr>
          <w:color w:val="222222"/>
          <w:shd w:val="clear" w:color="auto" w:fill="FFFFFF"/>
        </w:rPr>
        <w:t>with transition support, it would just make it easier and</w:t>
      </w:r>
      <w:r>
        <w:rPr>
          <w:color w:val="222222"/>
          <w:shd w:val="clear" w:color="auto" w:fill="FFFFFF"/>
        </w:rPr>
        <w:t>…</w:t>
      </w:r>
      <w:r w:rsidRPr="00B029C9">
        <w:rPr>
          <w:color w:val="222222"/>
          <w:shd w:val="clear" w:color="auto" w:fill="FFFFFF"/>
        </w:rPr>
        <w:t>mean less stress on the kids and more time</w:t>
      </w:r>
      <w:r>
        <w:rPr>
          <w:color w:val="222222"/>
          <w:shd w:val="clear" w:color="auto" w:fill="FFFFFF"/>
        </w:rPr>
        <w:t>…</w:t>
      </w:r>
      <w:r w:rsidRPr="00B029C9">
        <w:rPr>
          <w:color w:val="222222"/>
          <w:shd w:val="clear" w:color="auto" w:fill="FFFFFF"/>
        </w:rPr>
        <w:t>to learn.</w:t>
      </w:r>
    </w:p>
    <w:p w14:paraId="347D1C87" w14:textId="77777777" w:rsidR="00421BB4" w:rsidRPr="00EF11CD" w:rsidRDefault="00421BB4" w:rsidP="00421BB4">
      <w:pPr>
        <w:spacing w:after="120" w:line="360" w:lineRule="auto"/>
        <w:jc w:val="both"/>
        <w:rPr>
          <w:rFonts w:eastAsiaTheme="minorHAnsi"/>
          <w:color w:val="222222"/>
          <w:shd w:val="clear" w:color="auto" w:fill="FFFFFF"/>
          <w:lang w:eastAsia="en-US"/>
        </w:rPr>
      </w:pPr>
      <w:r>
        <w:rPr>
          <w:color w:val="222222"/>
          <w:shd w:val="clear" w:color="auto" w:fill="FFFFFF"/>
        </w:rPr>
        <w:t>Practical experiences and visits and walk arounds with others were mentioned as important to supporting wellbeing during P16 transitions as outlined by Pa:</w:t>
      </w:r>
    </w:p>
    <w:p w14:paraId="3EBC430E" w14:textId="77777777" w:rsidR="00421BB4" w:rsidRDefault="00421BB4" w:rsidP="00421BB4">
      <w:pPr>
        <w:spacing w:after="120" w:line="360" w:lineRule="auto"/>
        <w:ind w:left="1418"/>
        <w:jc w:val="both"/>
      </w:pPr>
      <w:r w:rsidRPr="00B029C9">
        <w:rPr>
          <w:color w:val="222222"/>
          <w:shd w:val="clear" w:color="auto" w:fill="FFFFFF"/>
        </w:rPr>
        <w:t>Finding places was a lot easier when you're in a group of people than when you're on your own</w:t>
      </w:r>
      <w:r>
        <w:rPr>
          <w:color w:val="222222"/>
          <w:shd w:val="clear" w:color="auto" w:fill="FFFFFF"/>
        </w:rPr>
        <w:t>…</w:t>
      </w:r>
    </w:p>
    <w:p w14:paraId="57654C06" w14:textId="77777777" w:rsidR="00421BB4" w:rsidRDefault="00421BB4" w:rsidP="00421BB4">
      <w:pPr>
        <w:spacing w:after="120" w:line="360" w:lineRule="auto"/>
        <w:jc w:val="both"/>
        <w:rPr>
          <w:color w:val="222222"/>
          <w:shd w:val="clear" w:color="auto" w:fill="FFFFFF"/>
        </w:rPr>
      </w:pPr>
      <w:r>
        <w:rPr>
          <w:color w:val="222222"/>
          <w:shd w:val="clear" w:color="auto" w:fill="FFFFFF"/>
        </w:rPr>
        <w:t>Pa suggested practical experiences as being beneficial during P16 transition:</w:t>
      </w:r>
    </w:p>
    <w:p w14:paraId="64225726" w14:textId="77777777" w:rsidR="00421BB4" w:rsidRDefault="00421BB4" w:rsidP="00421BB4">
      <w:pPr>
        <w:spacing w:after="120" w:line="360" w:lineRule="auto"/>
        <w:ind w:left="1418"/>
        <w:jc w:val="both"/>
        <w:rPr>
          <w:color w:val="222222"/>
          <w:shd w:val="clear" w:color="auto" w:fill="FFFFFF"/>
        </w:rPr>
      </w:pPr>
      <w:r w:rsidRPr="00B029C9">
        <w:rPr>
          <w:color w:val="222222"/>
          <w:shd w:val="clear" w:color="auto" w:fill="FFFFFF"/>
        </w:rPr>
        <w:t xml:space="preserve">Supported by having a day with school where you'd go over to the college and </w:t>
      </w:r>
      <w:r>
        <w:rPr>
          <w:color w:val="222222"/>
          <w:shd w:val="clear" w:color="auto" w:fill="FFFFFF"/>
        </w:rPr>
        <w:t>…</w:t>
      </w:r>
      <w:r w:rsidRPr="00B029C9">
        <w:rPr>
          <w:color w:val="222222"/>
          <w:shd w:val="clear" w:color="auto" w:fill="FFFFFF"/>
        </w:rPr>
        <w:t>go around seeing things and see what it was like to see if you actually liked it beforehand.</w:t>
      </w:r>
    </w:p>
    <w:p w14:paraId="147625E6" w14:textId="77777777" w:rsidR="00421BB4" w:rsidRDefault="00421BB4" w:rsidP="00421BB4">
      <w:pPr>
        <w:spacing w:after="120" w:line="360" w:lineRule="auto"/>
        <w:jc w:val="both"/>
        <w:rPr>
          <w:color w:val="222222"/>
          <w:shd w:val="clear" w:color="auto" w:fill="FFFFFF"/>
        </w:rPr>
      </w:pPr>
      <w:r>
        <w:rPr>
          <w:color w:val="222222"/>
          <w:shd w:val="clear" w:color="auto" w:fill="FFFFFF"/>
        </w:rPr>
        <w:lastRenderedPageBreak/>
        <w:t xml:space="preserve">Generally, it was felt that mental health was the main topic addressed in schools which takes place as information sharing rather than practical sessions covering wellbeing issues that matter to YP as highlighted by Pb: </w:t>
      </w:r>
    </w:p>
    <w:p w14:paraId="13989AE9" w14:textId="77777777" w:rsidR="00421BB4" w:rsidRDefault="00421BB4" w:rsidP="00421BB4">
      <w:pPr>
        <w:spacing w:after="120" w:line="360" w:lineRule="auto"/>
        <w:ind w:left="1418"/>
        <w:jc w:val="both"/>
        <w:rPr>
          <w:color w:val="222222"/>
          <w:shd w:val="clear" w:color="auto" w:fill="FFFFFF"/>
        </w:rPr>
      </w:pPr>
      <w:r>
        <w:rPr>
          <w:color w:val="222222"/>
        </w:rPr>
        <w:t>…</w:t>
      </w:r>
      <w:r w:rsidRPr="006943D4">
        <w:rPr>
          <w:color w:val="222222"/>
        </w:rPr>
        <w:t>where we are told about mental health and some things are explained to us by staff</w:t>
      </w:r>
      <w:r>
        <w:rPr>
          <w:color w:val="222222"/>
        </w:rPr>
        <w:t>…</w:t>
      </w:r>
      <w:r w:rsidRPr="006943D4">
        <w:rPr>
          <w:color w:val="222222"/>
        </w:rPr>
        <w:t>but I feel that this is more information sharing and not practical things for us, like, what pupils are perhaps needing</w:t>
      </w:r>
    </w:p>
    <w:p w14:paraId="607B9284" w14:textId="77777777" w:rsidR="00421BB4" w:rsidRPr="008A0935" w:rsidRDefault="00421BB4" w:rsidP="00421BB4">
      <w:pPr>
        <w:spacing w:after="120" w:line="360" w:lineRule="auto"/>
        <w:jc w:val="both"/>
      </w:pPr>
      <w:r w:rsidRPr="008A0935">
        <w:t>Participating and being fully involved in the planning</w:t>
      </w:r>
      <w:r>
        <w:t xml:space="preserve"> and delivery</w:t>
      </w:r>
      <w:r w:rsidRPr="008A0935">
        <w:t xml:space="preserve"> </w:t>
      </w:r>
      <w:r>
        <w:t xml:space="preserve">of transition and wellbeing support was a main theme that was gleaned from the data from all participants. Experiential learning opportunities whereby YP have the opportunity to experience tasters, day visits, workshops that support money management, social issues and stress management were suggestions made as ways to support overall wellbeing during P16 transition. </w:t>
      </w:r>
    </w:p>
    <w:p w14:paraId="7FB0C2CB" w14:textId="77777777" w:rsidR="00421BB4" w:rsidRPr="003557F7" w:rsidRDefault="00421BB4" w:rsidP="00421BB4">
      <w:pPr>
        <w:spacing w:after="120" w:line="360" w:lineRule="auto"/>
        <w:jc w:val="both"/>
        <w:rPr>
          <w:color w:val="FF0000"/>
          <w:u w:val="single"/>
        </w:rPr>
      </w:pPr>
      <w:bookmarkStart w:id="41" w:name="Decisionmaking"/>
      <w:r>
        <w:rPr>
          <w:u w:val="single"/>
        </w:rPr>
        <w:t xml:space="preserve">4.3.4 - </w:t>
      </w:r>
      <w:r w:rsidRPr="00711D7D">
        <w:rPr>
          <w:u w:val="single"/>
        </w:rPr>
        <w:t>Decision making during P16 transition</w:t>
      </w:r>
      <w:r>
        <w:rPr>
          <w:u w:val="single"/>
        </w:rPr>
        <w:t xml:space="preserve"> – </w:t>
      </w:r>
      <w:r w:rsidRPr="008A0935">
        <w:rPr>
          <w:u w:val="single"/>
        </w:rPr>
        <w:t>Person centredness</w:t>
      </w:r>
    </w:p>
    <w:bookmarkEnd w:id="41"/>
    <w:p w14:paraId="3B2DD4B7" w14:textId="77777777" w:rsidR="00421BB4" w:rsidRDefault="00421BB4" w:rsidP="00421BB4">
      <w:pPr>
        <w:spacing w:after="120" w:line="360" w:lineRule="auto"/>
        <w:ind w:firstLine="720"/>
        <w:jc w:val="both"/>
      </w:pPr>
      <w:r w:rsidRPr="00BF1755">
        <w:t xml:space="preserve">All participants </w:t>
      </w:r>
      <w:r>
        <w:t>stated</w:t>
      </w:r>
      <w:r w:rsidRPr="00BF1755">
        <w:t xml:space="preserve"> that all YP should be involved in the decision making around their wellbeing</w:t>
      </w:r>
      <w:r>
        <w:t xml:space="preserve"> support</w:t>
      </w:r>
      <w:r w:rsidRPr="00BF1755">
        <w:t xml:space="preserve"> during </w:t>
      </w:r>
      <w:r>
        <w:t xml:space="preserve">P16 </w:t>
      </w:r>
      <w:r w:rsidRPr="00BF1755">
        <w:t>transition</w:t>
      </w:r>
      <w:r>
        <w:t>, however, the difficulties faced by teachers were recognised and that this approach may be the ideal and unrealistic,</w:t>
      </w:r>
      <w:r w:rsidRPr="00BF1755">
        <w:t xml:space="preserve"> as outlined in th</w:t>
      </w:r>
      <w:r>
        <w:t>is</w:t>
      </w:r>
      <w:r w:rsidRPr="00BF1755">
        <w:t xml:space="preserve"> response</w:t>
      </w:r>
      <w:r>
        <w:t xml:space="preserve"> from Pb:</w:t>
      </w:r>
    </w:p>
    <w:p w14:paraId="68464AC4" w14:textId="77777777" w:rsidR="00421BB4" w:rsidRDefault="00421BB4" w:rsidP="00421BB4">
      <w:pPr>
        <w:spacing w:after="120" w:line="360" w:lineRule="auto"/>
        <w:ind w:left="1418"/>
        <w:jc w:val="both"/>
        <w:rPr>
          <w:color w:val="222222"/>
        </w:rPr>
      </w:pPr>
      <w:r>
        <w:rPr>
          <w:color w:val="00B050"/>
        </w:rPr>
        <w:t>…</w:t>
      </w:r>
      <w:r w:rsidRPr="00BF1755">
        <w:rPr>
          <w:color w:val="222222"/>
        </w:rPr>
        <w:t>in reality</w:t>
      </w:r>
      <w:r>
        <w:rPr>
          <w:color w:val="222222"/>
        </w:rPr>
        <w:t>…</w:t>
      </w:r>
      <w:r w:rsidRPr="00BF1755">
        <w:rPr>
          <w:color w:val="222222"/>
        </w:rPr>
        <w:t xml:space="preserve"> schools don't seem have the resources to cater to every pupil’s individual needs, so a blanketed approach to wellbeing takes place</w:t>
      </w:r>
      <w:r>
        <w:rPr>
          <w:color w:val="222222"/>
        </w:rPr>
        <w:t xml:space="preserve">. </w:t>
      </w:r>
      <w:r w:rsidRPr="00BF1755">
        <w:rPr>
          <w:color w:val="222222"/>
        </w:rPr>
        <w:t xml:space="preserve"> </w:t>
      </w:r>
    </w:p>
    <w:p w14:paraId="6BAF3CAF" w14:textId="77777777" w:rsidR="00421BB4" w:rsidRDefault="00421BB4" w:rsidP="00421BB4">
      <w:pPr>
        <w:spacing w:after="120" w:line="360" w:lineRule="auto"/>
        <w:jc w:val="both"/>
        <w:rPr>
          <w:color w:val="222222"/>
        </w:rPr>
      </w:pPr>
      <w:r>
        <w:rPr>
          <w:color w:val="222222"/>
        </w:rPr>
        <w:t>Pa shared the same view by stating:</w:t>
      </w:r>
    </w:p>
    <w:p w14:paraId="3CB7EC9A" w14:textId="77777777" w:rsidR="00421BB4" w:rsidRDefault="00421BB4" w:rsidP="00421BB4">
      <w:pPr>
        <w:spacing w:after="120" w:line="360" w:lineRule="auto"/>
        <w:ind w:firstLine="720"/>
        <w:jc w:val="both"/>
      </w:pPr>
      <w:r>
        <w:rPr>
          <w:color w:val="222222"/>
          <w:shd w:val="clear" w:color="auto" w:fill="FFFFFF"/>
        </w:rPr>
        <w:t>…</w:t>
      </w:r>
      <w:r w:rsidRPr="00B029C9">
        <w:rPr>
          <w:color w:val="222222"/>
          <w:shd w:val="clear" w:color="auto" w:fill="FFFFFF"/>
        </w:rPr>
        <w:t>pupils should be involved, and I think kids should be involved with what's going on with their wellbeing because it's not about the teachers around them, it's about the kids themselves.</w:t>
      </w:r>
    </w:p>
    <w:p w14:paraId="76FCA07D" w14:textId="77777777" w:rsidR="00421BB4" w:rsidRDefault="00421BB4" w:rsidP="00421BB4">
      <w:pPr>
        <w:spacing w:after="120" w:line="360" w:lineRule="auto"/>
        <w:jc w:val="both"/>
        <w:rPr>
          <w:color w:val="222222"/>
        </w:rPr>
      </w:pPr>
      <w:r>
        <w:rPr>
          <w:color w:val="222222"/>
        </w:rPr>
        <w:t xml:space="preserve">All participants shared the opinion that wellbeing and transition support is provided in a generic manner and are usually ineffective for this reason as outlined by Pb: </w:t>
      </w:r>
    </w:p>
    <w:p w14:paraId="54A5E5BA" w14:textId="77777777" w:rsidR="00421BB4" w:rsidRPr="00EF304B" w:rsidRDefault="00421BB4" w:rsidP="00421BB4">
      <w:pPr>
        <w:spacing w:after="120" w:line="360" w:lineRule="auto"/>
        <w:ind w:left="1418"/>
        <w:jc w:val="both"/>
        <w:rPr>
          <w:b/>
          <w:bCs/>
          <w:u w:val="single"/>
        </w:rPr>
      </w:pPr>
      <w:r>
        <w:rPr>
          <w:color w:val="222222"/>
        </w:rPr>
        <w:t>[wellbeing support] …</w:t>
      </w:r>
      <w:r w:rsidRPr="00BF1755">
        <w:rPr>
          <w:color w:val="222222"/>
        </w:rPr>
        <w:t>usually happens in the form of a wellbeing day planned by teachers</w:t>
      </w:r>
      <w:r>
        <w:rPr>
          <w:color w:val="222222"/>
        </w:rPr>
        <w:t>…</w:t>
      </w:r>
      <w:r w:rsidRPr="00BF1755">
        <w:rPr>
          <w:color w:val="222222"/>
        </w:rPr>
        <w:t>it would probably be helpful</w:t>
      </w:r>
      <w:r>
        <w:rPr>
          <w:color w:val="222222"/>
        </w:rPr>
        <w:t>…to</w:t>
      </w:r>
      <w:r w:rsidRPr="00BF1755">
        <w:rPr>
          <w:color w:val="222222"/>
        </w:rPr>
        <w:t xml:space="preserve"> make it more consistent in terms of checking in on people's transition and how they're doing and what they want and need</w:t>
      </w:r>
      <w:r>
        <w:rPr>
          <w:color w:val="222222"/>
        </w:rPr>
        <w:t>…</w:t>
      </w:r>
    </w:p>
    <w:p w14:paraId="7B6AF665" w14:textId="77777777" w:rsidR="00421BB4" w:rsidRPr="00E61082" w:rsidRDefault="00421BB4" w:rsidP="00421BB4">
      <w:pPr>
        <w:spacing w:after="120" w:line="360" w:lineRule="auto"/>
        <w:jc w:val="both"/>
        <w:rPr>
          <w:color w:val="222222"/>
        </w:rPr>
      </w:pPr>
      <w:r w:rsidRPr="00E61082">
        <w:rPr>
          <w:color w:val="222222"/>
        </w:rPr>
        <w:t>Pc echoed this when stating:</w:t>
      </w:r>
    </w:p>
    <w:p w14:paraId="517B7B20" w14:textId="77777777" w:rsidR="00421BB4" w:rsidRDefault="00421BB4" w:rsidP="00421BB4">
      <w:pPr>
        <w:spacing w:after="120" w:line="360" w:lineRule="auto"/>
        <w:ind w:left="1418"/>
        <w:jc w:val="both"/>
        <w:rPr>
          <w:color w:val="222222"/>
          <w:u w:val="single"/>
        </w:rPr>
      </w:pPr>
      <w:r w:rsidRPr="00013FFC">
        <w:rPr>
          <w:color w:val="222222"/>
        </w:rPr>
        <w:lastRenderedPageBreak/>
        <w:t>It's not enough for speakers to attend a school and give a generic and overly rehearsed talk to an entire year group. Instead, the content should be more personalised and students the opportunity to interact and feed into the content.</w:t>
      </w:r>
    </w:p>
    <w:p w14:paraId="092F4CFA" w14:textId="77777777" w:rsidR="00421BB4" w:rsidRPr="00255E62" w:rsidRDefault="00421BB4" w:rsidP="00421BB4">
      <w:pPr>
        <w:spacing w:after="120" w:line="360" w:lineRule="auto"/>
        <w:jc w:val="both"/>
        <w:rPr>
          <w:color w:val="FF0000"/>
        </w:rPr>
      </w:pPr>
      <w:r>
        <w:rPr>
          <w:color w:val="222222"/>
        </w:rPr>
        <w:t>Similar themes were identified from the data of all participants, a</w:t>
      </w:r>
      <w:r w:rsidRPr="00E02265">
        <w:t xml:space="preserve"> holistic and person-centred approach. </w:t>
      </w:r>
      <w:r>
        <w:rPr>
          <w:color w:val="222222"/>
        </w:rPr>
        <w:t>E</w:t>
      </w:r>
      <w:r w:rsidRPr="00BF1755">
        <w:rPr>
          <w:color w:val="222222"/>
        </w:rPr>
        <w:t xml:space="preserve">ach participant made recommendations and suggestions on how </w:t>
      </w:r>
      <w:r>
        <w:rPr>
          <w:color w:val="222222"/>
        </w:rPr>
        <w:t>YP</w:t>
      </w:r>
      <w:r w:rsidRPr="00BF1755">
        <w:rPr>
          <w:color w:val="222222"/>
        </w:rPr>
        <w:t xml:space="preserve"> might be </w:t>
      </w:r>
      <w:r>
        <w:rPr>
          <w:color w:val="222222"/>
        </w:rPr>
        <w:t xml:space="preserve">involved in the decision-making surrounding wellbeing and transition support (see Appendix 15 for table of suggestions and more detailed recounts of each participant). </w:t>
      </w:r>
      <w:r>
        <w:t xml:space="preserve">Overall, when asked what they suggested might help support wellbeing during P16 transition they proposed a more personalised and less generic approach to wellbeing support. All three participants stated that wellbeing support should be according to the needs of each individual learner and personalised P16 transition and wellbeing support is a main theme of this study. Pc outlined that by focusing on learner strengths and skills and placing equal value on those learners entering the workforce as those attending university was fundamental to recognising all strengths and supporting individual skills and overall wellbeing. </w:t>
      </w:r>
    </w:p>
    <w:p w14:paraId="76A8B7D5" w14:textId="77777777" w:rsidR="00421BB4" w:rsidRPr="00E41CC6" w:rsidRDefault="00421BB4" w:rsidP="00421BB4">
      <w:pPr>
        <w:spacing w:after="120" w:line="360" w:lineRule="auto"/>
        <w:jc w:val="both"/>
        <w:rPr>
          <w:u w:val="single"/>
        </w:rPr>
      </w:pPr>
      <w:bookmarkStart w:id="42" w:name="_Hlk99043302"/>
      <w:r>
        <w:rPr>
          <w:u w:val="single"/>
        </w:rPr>
        <w:t xml:space="preserve">4.3.5 - </w:t>
      </w:r>
      <w:r w:rsidRPr="00E41CC6">
        <w:rPr>
          <w:u w:val="single"/>
        </w:rPr>
        <w:t>Happiness and wellbeing</w:t>
      </w:r>
      <w:r>
        <w:rPr>
          <w:u w:val="single"/>
        </w:rPr>
        <w:t xml:space="preserve"> – </w:t>
      </w:r>
      <w:r w:rsidRPr="000D1358">
        <w:rPr>
          <w:u w:val="single"/>
        </w:rPr>
        <w:t>Resilience</w:t>
      </w:r>
    </w:p>
    <w:bookmarkEnd w:id="42"/>
    <w:p w14:paraId="41A15C3E" w14:textId="77777777" w:rsidR="00421BB4" w:rsidRPr="00741773" w:rsidRDefault="00421BB4" w:rsidP="00421BB4">
      <w:pPr>
        <w:spacing w:after="120" w:line="360" w:lineRule="auto"/>
        <w:ind w:firstLine="720"/>
        <w:jc w:val="both"/>
      </w:pPr>
      <w:r w:rsidRPr="00BF1755">
        <w:t>Each participant provided a differing of opinion when it came to the final question in the interview</w:t>
      </w:r>
      <w:r>
        <w:t xml:space="preserve"> regarding happiness and wellbeing, although all participants acknowledged that happiness plays a part in a YP’s overall wellbeing. Pa</w:t>
      </w:r>
      <w:r>
        <w:rPr>
          <w:rFonts w:eastAsiaTheme="minorHAnsi"/>
          <w:color w:val="222222"/>
          <w:shd w:val="clear" w:color="auto" w:fill="FFFFFF"/>
          <w:lang w:eastAsia="en-US"/>
        </w:rPr>
        <w:t xml:space="preserve"> stated that </w:t>
      </w:r>
      <w:r w:rsidRPr="00BF1755">
        <w:rPr>
          <w:rFonts w:eastAsiaTheme="minorHAnsi"/>
          <w:color w:val="222222"/>
          <w:shd w:val="clear" w:color="auto" w:fill="FFFFFF"/>
          <w:lang w:eastAsia="en-US"/>
        </w:rPr>
        <w:t>wellbeing is mainly about happiness a</w:t>
      </w:r>
      <w:r>
        <w:rPr>
          <w:rFonts w:eastAsiaTheme="minorHAnsi"/>
          <w:color w:val="222222"/>
          <w:shd w:val="clear" w:color="auto" w:fill="FFFFFF"/>
          <w:lang w:eastAsia="en-US"/>
        </w:rPr>
        <w:t>nd added that one would have to question their choice if they were unhappy with their P16 pathway as this would impact upon their overall wellbeing. Pa stated that happiness felt during times of transition impacts on student retention when transitioning on to college. Interestingly, Pb had a differing view and stated that:</w:t>
      </w:r>
    </w:p>
    <w:p w14:paraId="665C85B8" w14:textId="77777777" w:rsidR="00421BB4" w:rsidRDefault="00421BB4" w:rsidP="00421BB4">
      <w:pPr>
        <w:spacing w:after="120" w:line="360" w:lineRule="auto"/>
        <w:ind w:left="1418"/>
        <w:jc w:val="both"/>
        <w:rPr>
          <w:color w:val="222222"/>
        </w:rPr>
      </w:pPr>
      <w:r>
        <w:rPr>
          <w:color w:val="222222"/>
        </w:rPr>
        <w:t>…</w:t>
      </w:r>
      <w:r w:rsidRPr="00BF1755">
        <w:rPr>
          <w:color w:val="222222"/>
        </w:rPr>
        <w:t>no, I don't think wellbeing always correlates with happiness</w:t>
      </w:r>
      <w:r>
        <w:rPr>
          <w:color w:val="222222"/>
        </w:rPr>
        <w:t>…</w:t>
      </w:r>
      <w:r w:rsidRPr="00BF1755">
        <w:rPr>
          <w:color w:val="222222"/>
        </w:rPr>
        <w:t>I believe sometimes it has more to do with delayed gratification v</w:t>
      </w:r>
      <w:r>
        <w:rPr>
          <w:color w:val="222222"/>
        </w:rPr>
        <w:t>ersus</w:t>
      </w:r>
      <w:r w:rsidRPr="00BF1755">
        <w:rPr>
          <w:color w:val="222222"/>
        </w:rPr>
        <w:t xml:space="preserve"> instant gratification</w:t>
      </w:r>
      <w:r>
        <w:rPr>
          <w:color w:val="222222"/>
        </w:rPr>
        <w:t>…</w:t>
      </w:r>
    </w:p>
    <w:p w14:paraId="0682E3D3" w14:textId="77777777" w:rsidR="00421BB4" w:rsidRDefault="00421BB4" w:rsidP="00421BB4">
      <w:pPr>
        <w:spacing w:after="120" w:line="360" w:lineRule="auto"/>
        <w:jc w:val="both"/>
        <w:rPr>
          <w:color w:val="222222"/>
        </w:rPr>
      </w:pPr>
      <w:r>
        <w:rPr>
          <w:color w:val="222222"/>
        </w:rPr>
        <w:t>Pb outlined that P16 pathway choices may not always result in feelings of positive emotion and made a direct comparison with the challenges faced when transitioning from GCSE to A Level. Pb went on to describe that studying at A Level does not always evoke feelings of happiness but is a requirement to be able to reach the desired goal of attending university. Pb went on to emphasise that hard work, motivation and discipline are necessary to reach the desired end goal, which, feelings of accomplishment would eventually help to support overall wellbeing. This response is in line with that of Pc who stated that:</w:t>
      </w:r>
    </w:p>
    <w:p w14:paraId="666AD26B" w14:textId="77777777" w:rsidR="00421BB4" w:rsidRDefault="00421BB4" w:rsidP="00421BB4">
      <w:pPr>
        <w:shd w:val="clear" w:color="auto" w:fill="FFFFFF"/>
        <w:spacing w:after="160" w:line="360" w:lineRule="auto"/>
        <w:ind w:left="1418"/>
        <w:jc w:val="both"/>
        <w:rPr>
          <w:color w:val="222222"/>
        </w:rPr>
      </w:pPr>
      <w:r w:rsidRPr="00BF1755">
        <w:rPr>
          <w:color w:val="222222"/>
        </w:rPr>
        <w:lastRenderedPageBreak/>
        <w:t>I think happiness is part of wellbeing but it's not necessaril</w:t>
      </w:r>
      <w:r>
        <w:rPr>
          <w:color w:val="222222"/>
        </w:rPr>
        <w:t xml:space="preserve">y </w:t>
      </w:r>
      <w:r w:rsidRPr="00BF1755">
        <w:rPr>
          <w:color w:val="222222"/>
        </w:rPr>
        <w:t>the most important part</w:t>
      </w:r>
      <w:r>
        <w:rPr>
          <w:color w:val="222222"/>
        </w:rPr>
        <w:t>…</w:t>
      </w:r>
      <w:r w:rsidRPr="00BF1755">
        <w:rPr>
          <w:color w:val="222222"/>
        </w:rPr>
        <w:t xml:space="preserve">I think it's unrealistic perhaps, even unhealthy to feel happy all of the time, especially during transition, as it can be a period that comes with many emotions. </w:t>
      </w:r>
    </w:p>
    <w:p w14:paraId="2B1738A0" w14:textId="77777777" w:rsidR="00421BB4" w:rsidRDefault="00421BB4" w:rsidP="00421BB4">
      <w:pPr>
        <w:spacing w:after="120" w:line="360" w:lineRule="auto"/>
        <w:jc w:val="both"/>
        <w:rPr>
          <w:color w:val="222222"/>
        </w:rPr>
      </w:pPr>
      <w:r>
        <w:rPr>
          <w:color w:val="222222"/>
        </w:rPr>
        <w:t>Pb went on to provide an analogy that agrees with this view by stating:</w:t>
      </w:r>
    </w:p>
    <w:p w14:paraId="34E41F3A" w14:textId="77777777" w:rsidR="00421BB4" w:rsidRPr="00BF1755" w:rsidRDefault="00421BB4" w:rsidP="00421BB4">
      <w:pPr>
        <w:spacing w:after="120" w:line="360" w:lineRule="auto"/>
        <w:ind w:left="1418"/>
        <w:jc w:val="both"/>
        <w:rPr>
          <w:u w:val="single"/>
        </w:rPr>
      </w:pPr>
      <w:r>
        <w:rPr>
          <w:color w:val="222222"/>
        </w:rPr>
        <w:t>…</w:t>
      </w:r>
      <w:r w:rsidRPr="00BF1755">
        <w:rPr>
          <w:color w:val="222222"/>
        </w:rPr>
        <w:t>things that make you happy are not always good for you and at the same time, things that make you happy initially can, down the road, be detrimental to your overall well-being, for example, drinking and partying.</w:t>
      </w:r>
    </w:p>
    <w:p w14:paraId="2E8ECA64" w14:textId="77777777" w:rsidR="00421BB4" w:rsidRDefault="00421BB4" w:rsidP="00421BB4">
      <w:pPr>
        <w:shd w:val="clear" w:color="auto" w:fill="FFFFFF"/>
        <w:spacing w:after="160" w:line="360" w:lineRule="auto"/>
        <w:jc w:val="both"/>
        <w:rPr>
          <w:color w:val="222222"/>
        </w:rPr>
      </w:pPr>
      <w:r>
        <w:rPr>
          <w:color w:val="222222"/>
        </w:rPr>
        <w:t>The concept of resilience was touched upon by all participants and was addressed while exploring the final question, as Pc expanded by stating:</w:t>
      </w:r>
    </w:p>
    <w:p w14:paraId="36F71B65" w14:textId="77777777" w:rsidR="00421BB4" w:rsidRPr="0009489B" w:rsidRDefault="00421BB4" w:rsidP="00421BB4">
      <w:pPr>
        <w:shd w:val="clear" w:color="auto" w:fill="FFFFFF"/>
        <w:spacing w:after="160" w:line="360" w:lineRule="auto"/>
        <w:ind w:left="1418"/>
        <w:jc w:val="both"/>
        <w:rPr>
          <w:color w:val="222222"/>
        </w:rPr>
      </w:pPr>
      <w:r w:rsidRPr="00BF1755">
        <w:rPr>
          <w:color w:val="222222"/>
        </w:rPr>
        <w:t>I think human emotions are there for a reason and we should feel and experience the whole spectrum of them</w:t>
      </w:r>
      <w:r>
        <w:rPr>
          <w:color w:val="222222"/>
        </w:rPr>
        <w:t>…it is balance that helps us become more resilient to life.</w:t>
      </w:r>
    </w:p>
    <w:p w14:paraId="40E2CCF4" w14:textId="77777777" w:rsidR="00421BB4" w:rsidRDefault="00421BB4" w:rsidP="00421BB4">
      <w:pPr>
        <w:spacing w:after="120" w:line="360" w:lineRule="auto"/>
        <w:jc w:val="both"/>
      </w:pPr>
      <w:r w:rsidRPr="00F26807">
        <w:t>It was particularly interesting to note that all participants made refence to the level of responsibility expected of them at the point of P16 transition</w:t>
      </w:r>
      <w:r>
        <w:t xml:space="preserve"> but generally it was felt, as outlined by Pc, that this should be echoed in their involvement in wellbeing and transition support:</w:t>
      </w:r>
    </w:p>
    <w:p w14:paraId="57DD8F9F" w14:textId="77777777" w:rsidR="00421BB4" w:rsidRPr="00F26807" w:rsidRDefault="00421BB4" w:rsidP="00421BB4">
      <w:pPr>
        <w:spacing w:after="120" w:line="360" w:lineRule="auto"/>
        <w:ind w:left="1418"/>
        <w:jc w:val="both"/>
      </w:pPr>
      <w:r>
        <w:rPr>
          <w:color w:val="222222"/>
        </w:rPr>
        <w:t>…[YP]</w:t>
      </w:r>
      <w:r w:rsidRPr="00013FFC">
        <w:rPr>
          <w:color w:val="222222"/>
        </w:rPr>
        <w:t xml:space="preserve"> are assigned certain responsibilities that come with transition</w:t>
      </w:r>
      <w:r>
        <w:rPr>
          <w:color w:val="222222"/>
        </w:rPr>
        <w:t>ing</w:t>
      </w:r>
      <w:r w:rsidRPr="00013FFC">
        <w:rPr>
          <w:color w:val="222222"/>
        </w:rPr>
        <w:t xml:space="preserve"> in</w:t>
      </w:r>
      <w:r>
        <w:rPr>
          <w:color w:val="222222"/>
        </w:rPr>
        <w:t>to</w:t>
      </w:r>
      <w:r w:rsidRPr="00013FFC">
        <w:rPr>
          <w:color w:val="222222"/>
        </w:rPr>
        <w:t xml:space="preserve"> society</w:t>
      </w:r>
      <w:r>
        <w:rPr>
          <w:color w:val="222222"/>
        </w:rPr>
        <w:t xml:space="preserve">…and </w:t>
      </w:r>
      <w:r w:rsidRPr="00013FFC">
        <w:rPr>
          <w:color w:val="222222"/>
        </w:rPr>
        <w:t>with that comes the expectation that they behave maturely and like adults. They</w:t>
      </w:r>
      <w:r>
        <w:rPr>
          <w:color w:val="222222"/>
        </w:rPr>
        <w:t xml:space="preserve"> [YP]</w:t>
      </w:r>
      <w:r w:rsidRPr="00013FFC">
        <w:rPr>
          <w:color w:val="222222"/>
        </w:rPr>
        <w:t xml:space="preserve"> should therefore be treated as such by being incorporated into their own transition and wellbeing planning.</w:t>
      </w:r>
    </w:p>
    <w:p w14:paraId="69DB9E93" w14:textId="77777777" w:rsidR="00421BB4" w:rsidRPr="00AD43B3" w:rsidRDefault="00421BB4" w:rsidP="00421BB4">
      <w:pPr>
        <w:spacing w:after="120" w:line="360" w:lineRule="auto"/>
        <w:jc w:val="both"/>
        <w:rPr>
          <w:b/>
          <w:bCs/>
          <w:u w:val="single"/>
        </w:rPr>
      </w:pPr>
      <w:bookmarkStart w:id="43" w:name="Finalising"/>
      <w:r w:rsidRPr="00AD43B3">
        <w:rPr>
          <w:b/>
          <w:bCs/>
          <w:u w:val="single"/>
        </w:rPr>
        <w:t>4.4 – Finalising the analysis – (step 7)</w:t>
      </w:r>
    </w:p>
    <w:bookmarkEnd w:id="43"/>
    <w:p w14:paraId="295F691C" w14:textId="77777777" w:rsidR="00421BB4" w:rsidRDefault="00421BB4" w:rsidP="00421BB4">
      <w:pPr>
        <w:spacing w:after="120" w:line="360" w:lineRule="auto"/>
        <w:jc w:val="both"/>
      </w:pPr>
      <w:r>
        <w:t>In summary</w:t>
      </w:r>
      <w:r w:rsidRPr="00BF1755">
        <w:t xml:space="preserve">, the themes were derived from the participants responses and were divided into </w:t>
      </w:r>
      <w:r>
        <w:t>six</w:t>
      </w:r>
      <w:r w:rsidRPr="00BF1755">
        <w:t xml:space="preserve"> main categories based on the aims and objectives of the research. The themes are illustrated using a relationship chart</w:t>
      </w:r>
      <w:r>
        <w:t xml:space="preserve">, see </w:t>
      </w:r>
      <w:r w:rsidRPr="00511FB8">
        <w:rPr>
          <w:i/>
          <w:iCs/>
        </w:rPr>
        <w:t>figure 4.2</w:t>
      </w:r>
      <w:r>
        <w:t xml:space="preserve"> below,</w:t>
      </w:r>
      <w:r w:rsidRPr="00BF1755">
        <w:t xml:space="preserve"> in readiness for ease of analysis in chapter </w:t>
      </w:r>
      <w:r>
        <w:t>five</w:t>
      </w:r>
      <w:r w:rsidRPr="00BF1755">
        <w:t>.</w:t>
      </w:r>
      <w:r>
        <w:t xml:space="preserve"> </w:t>
      </w:r>
      <w:r w:rsidRPr="00BF1755">
        <w:t>Three main themes and three sub themes concerning opportunities for wellbeing support in transition were then defined using the hierarchical approach to coding and themes</w:t>
      </w:r>
      <w:r>
        <w:t xml:space="preserve"> illustrated in </w:t>
      </w:r>
      <w:r w:rsidRPr="00511FB8">
        <w:rPr>
          <w:i/>
          <w:iCs/>
        </w:rPr>
        <w:t>table 4.1</w:t>
      </w:r>
      <w:r>
        <w:t xml:space="preserve"> below. Selecting those most frequently mentioned and then cross referencing to the research question helped to determine the most significant issues and components relating to P16 transition and wellbeing </w:t>
      </w:r>
      <w:r w:rsidRPr="00BF1755">
        <w:t>(Denscombe 2022)</w:t>
      </w:r>
      <w:r>
        <w:t xml:space="preserve">. </w:t>
      </w:r>
    </w:p>
    <w:p w14:paraId="4C502CBD" w14:textId="77777777" w:rsidR="00421BB4" w:rsidRDefault="00421BB4" w:rsidP="00421BB4">
      <w:pPr>
        <w:spacing w:after="120" w:line="360" w:lineRule="auto"/>
        <w:jc w:val="both"/>
      </w:pPr>
    </w:p>
    <w:p w14:paraId="3AD13922" w14:textId="77777777" w:rsidR="00421BB4" w:rsidRDefault="00421BB4" w:rsidP="00421BB4">
      <w:pPr>
        <w:spacing w:after="120" w:line="360" w:lineRule="auto"/>
        <w:jc w:val="both"/>
      </w:pPr>
    </w:p>
    <w:p w14:paraId="0789AB77" w14:textId="77777777" w:rsidR="00421BB4" w:rsidRPr="006A560C" w:rsidRDefault="00421BB4" w:rsidP="00421BB4">
      <w:pPr>
        <w:spacing w:after="120" w:line="360" w:lineRule="auto"/>
        <w:jc w:val="both"/>
        <w:rPr>
          <w:b/>
          <w:bCs/>
        </w:rPr>
      </w:pPr>
      <w:r w:rsidRPr="006A560C">
        <w:rPr>
          <w:b/>
          <w:bCs/>
        </w:rPr>
        <w:t xml:space="preserve">4.1 Core and sub themes: </w:t>
      </w:r>
      <w:r>
        <w:rPr>
          <w:b/>
          <w:bCs/>
        </w:rPr>
        <w:t>Components of w</w:t>
      </w:r>
      <w:r w:rsidRPr="006A560C">
        <w:rPr>
          <w:b/>
          <w:bCs/>
        </w:rPr>
        <w:t>ellbeing</w:t>
      </w:r>
      <w:r>
        <w:rPr>
          <w:b/>
          <w:bCs/>
        </w:rPr>
        <w:t xml:space="preserve"> support</w:t>
      </w:r>
      <w:r w:rsidRPr="006A560C">
        <w:rPr>
          <w:b/>
          <w:bCs/>
        </w:rPr>
        <w:t xml:space="preserve"> opportunities in P16 Transition</w:t>
      </w:r>
    </w:p>
    <w:p w14:paraId="4783AD1A" w14:textId="77777777" w:rsidR="00421BB4" w:rsidRDefault="00421BB4" w:rsidP="00421BB4">
      <w:pPr>
        <w:spacing w:after="120" w:line="360" w:lineRule="auto"/>
        <w:jc w:val="both"/>
      </w:pPr>
      <w:r w:rsidRPr="00DD59D0">
        <w:rPr>
          <w:b/>
          <w:bCs/>
          <w:noProof/>
          <w:sz w:val="28"/>
          <w:szCs w:val="28"/>
          <w:u w:val="single"/>
        </w:rPr>
        <w:drawing>
          <wp:anchor distT="0" distB="0" distL="114300" distR="114300" simplePos="0" relativeHeight="251667456" behindDoc="0" locked="0" layoutInCell="1" allowOverlap="1" wp14:anchorId="0498EA2D" wp14:editId="795C79AA">
            <wp:simplePos x="0" y="0"/>
            <wp:positionH relativeFrom="margin">
              <wp:align>center</wp:align>
            </wp:positionH>
            <wp:positionV relativeFrom="paragraph">
              <wp:posOffset>3926</wp:posOffset>
            </wp:positionV>
            <wp:extent cx="2838796" cy="2299854"/>
            <wp:effectExtent l="76200" t="0" r="57150" b="43815"/>
            <wp:wrapNone/>
            <wp:docPr id="105" name="Diagram 105">
              <a:extLst xmlns:a="http://schemas.openxmlformats.org/drawingml/2006/main">
                <a:ext uri="{FF2B5EF4-FFF2-40B4-BE49-F238E27FC236}">
                  <a16:creationId xmlns:a16="http://schemas.microsoft.com/office/drawing/2014/main" id="{2E071DA8-6D2D-4DA0-80D0-A12E1AE49FD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page">
              <wp14:pctWidth>0</wp14:pctWidth>
            </wp14:sizeRelH>
            <wp14:sizeRelV relativeFrom="page">
              <wp14:pctHeight>0</wp14:pctHeight>
            </wp14:sizeRelV>
          </wp:anchor>
        </w:drawing>
      </w:r>
    </w:p>
    <w:p w14:paraId="2194931E" w14:textId="77777777" w:rsidR="00421BB4" w:rsidRDefault="00421BB4" w:rsidP="00421BB4">
      <w:pPr>
        <w:spacing w:after="120" w:line="360" w:lineRule="auto"/>
        <w:jc w:val="both"/>
      </w:pPr>
    </w:p>
    <w:p w14:paraId="5BDCA31D" w14:textId="77777777" w:rsidR="00421BB4" w:rsidRDefault="00421BB4" w:rsidP="00421BB4">
      <w:pPr>
        <w:spacing w:after="120" w:line="360" w:lineRule="auto"/>
        <w:jc w:val="both"/>
      </w:pPr>
    </w:p>
    <w:p w14:paraId="3A6A78BC" w14:textId="77777777" w:rsidR="00421BB4" w:rsidRDefault="00421BB4" w:rsidP="00421BB4">
      <w:pPr>
        <w:spacing w:after="120" w:line="360" w:lineRule="auto"/>
        <w:jc w:val="both"/>
      </w:pPr>
    </w:p>
    <w:p w14:paraId="21A69F0A" w14:textId="77777777" w:rsidR="00421BB4" w:rsidRDefault="00421BB4" w:rsidP="00421BB4">
      <w:pPr>
        <w:spacing w:after="120" w:line="360" w:lineRule="auto"/>
        <w:jc w:val="both"/>
      </w:pPr>
    </w:p>
    <w:p w14:paraId="102FF4D7" w14:textId="77777777" w:rsidR="00421BB4" w:rsidRDefault="00421BB4" w:rsidP="00421BB4">
      <w:pPr>
        <w:spacing w:after="120" w:line="360" w:lineRule="auto"/>
        <w:jc w:val="both"/>
      </w:pPr>
    </w:p>
    <w:p w14:paraId="1AD0840B" w14:textId="77777777" w:rsidR="00421BB4" w:rsidRDefault="00421BB4" w:rsidP="00421BB4">
      <w:pPr>
        <w:spacing w:after="120" w:line="360" w:lineRule="auto"/>
        <w:jc w:val="both"/>
      </w:pPr>
    </w:p>
    <w:p w14:paraId="4C666CB7" w14:textId="77777777" w:rsidR="00421BB4" w:rsidRDefault="00421BB4" w:rsidP="00421BB4">
      <w:pPr>
        <w:spacing w:after="120" w:line="360" w:lineRule="auto"/>
        <w:jc w:val="both"/>
      </w:pPr>
    </w:p>
    <w:p w14:paraId="106596B4" w14:textId="77777777" w:rsidR="00421BB4" w:rsidRPr="00C636F6" w:rsidRDefault="00421BB4" w:rsidP="00421BB4">
      <w:pPr>
        <w:spacing w:after="120" w:line="360" w:lineRule="auto"/>
        <w:jc w:val="both"/>
        <w:rPr>
          <w:i/>
          <w:iCs/>
        </w:rPr>
      </w:pPr>
      <w:r w:rsidRPr="00C636F6">
        <w:rPr>
          <w:i/>
          <w:iCs/>
        </w:rPr>
        <w:t>Table 4.1 Components of wellbeing</w:t>
      </w:r>
      <w:r>
        <w:rPr>
          <w:i/>
          <w:iCs/>
        </w:rPr>
        <w:t xml:space="preserve"> support</w:t>
      </w:r>
      <w:r w:rsidRPr="00C636F6">
        <w:rPr>
          <w:i/>
          <w:iCs/>
        </w:rPr>
        <w:t xml:space="preserve"> opportunities in P16 transition</w:t>
      </w:r>
    </w:p>
    <w:p w14:paraId="24533249" w14:textId="77777777" w:rsidR="00421BB4" w:rsidRDefault="00421BB4" w:rsidP="00421BB4">
      <w:pPr>
        <w:spacing w:after="120" w:line="360" w:lineRule="auto"/>
        <w:jc w:val="both"/>
      </w:pPr>
      <w:r w:rsidRPr="00BF1755">
        <w:t>The model below helps to illustrate how each theme interrelates according to the findings from the data</w:t>
      </w:r>
      <w:r>
        <w:t xml:space="preserve"> in this research</w:t>
      </w:r>
      <w:r w:rsidRPr="00BF1755">
        <w:t>:</w:t>
      </w:r>
    </w:p>
    <w:p w14:paraId="26BCEB85" w14:textId="77777777" w:rsidR="00421BB4" w:rsidRPr="00E30C8E" w:rsidRDefault="00421BB4" w:rsidP="00421BB4">
      <w:pPr>
        <w:spacing w:after="120" w:line="360" w:lineRule="auto"/>
        <w:jc w:val="both"/>
        <w:rPr>
          <w:b/>
          <w:bCs/>
        </w:rPr>
      </w:pPr>
      <w:r w:rsidRPr="00DF0909">
        <w:rPr>
          <w:b/>
          <w:bCs/>
          <w:color w:val="FF0000"/>
        </w:rPr>
        <w:t xml:space="preserve"> </w:t>
      </w:r>
      <w:r w:rsidRPr="00E30C8E">
        <w:rPr>
          <w:b/>
          <w:bCs/>
        </w:rPr>
        <w:t xml:space="preserve">4.2 Main and sub themes: </w:t>
      </w:r>
      <w:r>
        <w:rPr>
          <w:b/>
          <w:bCs/>
        </w:rPr>
        <w:t>Relationship of components of wellbeing support opportunities in P16 transition</w:t>
      </w:r>
    </w:p>
    <w:p w14:paraId="38A40E5B" w14:textId="77777777" w:rsidR="00421BB4" w:rsidRPr="002D3DF9" w:rsidRDefault="00421BB4" w:rsidP="00421BB4">
      <w:pPr>
        <w:spacing w:after="120" w:line="360" w:lineRule="auto"/>
        <w:jc w:val="both"/>
        <w:rPr>
          <w:sz w:val="28"/>
          <w:szCs w:val="28"/>
        </w:rPr>
      </w:pPr>
      <w:r>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666432" behindDoc="0" locked="0" layoutInCell="1" allowOverlap="1" wp14:anchorId="6BB46D3C" wp14:editId="03CF8804">
                <wp:simplePos x="0" y="0"/>
                <wp:positionH relativeFrom="column">
                  <wp:posOffset>3863083</wp:posOffset>
                </wp:positionH>
                <wp:positionV relativeFrom="paragraph">
                  <wp:posOffset>1504222</wp:posOffset>
                </wp:positionV>
                <wp:extent cx="0" cy="256483"/>
                <wp:effectExtent l="0" t="0" r="38100" b="29845"/>
                <wp:wrapNone/>
                <wp:docPr id="73" name="Straight Connector 73"/>
                <wp:cNvGraphicFramePr/>
                <a:graphic xmlns:a="http://schemas.openxmlformats.org/drawingml/2006/main">
                  <a:graphicData uri="http://schemas.microsoft.com/office/word/2010/wordprocessingShape">
                    <wps:wsp>
                      <wps:cNvCnPr/>
                      <wps:spPr>
                        <a:xfrm>
                          <a:off x="0" y="0"/>
                          <a:ext cx="0" cy="2564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45CCEC" id="Straight Connector 7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04.2pt,118.45pt" to="304.2pt,1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" strokecolor="#4472c4 [3204]" strokeweight=".5pt">
                <v:stroke joinstyle="miter"/>
              </v:line>
            </w:pict>
          </mc:Fallback>
        </mc:AlternateContent>
      </w:r>
      <w:r>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665408" behindDoc="0" locked="0" layoutInCell="1" allowOverlap="1" wp14:anchorId="4BA1C69D" wp14:editId="184D419D">
                <wp:simplePos x="0" y="0"/>
                <wp:positionH relativeFrom="column">
                  <wp:posOffset>1587357</wp:posOffset>
                </wp:positionH>
                <wp:positionV relativeFrom="paragraph">
                  <wp:posOffset>1499085</wp:posOffset>
                </wp:positionV>
                <wp:extent cx="5137" cy="261991"/>
                <wp:effectExtent l="0" t="0" r="33020" b="24130"/>
                <wp:wrapNone/>
                <wp:docPr id="10" name="Straight Connector 10"/>
                <wp:cNvGraphicFramePr/>
                <a:graphic xmlns:a="http://schemas.openxmlformats.org/drawingml/2006/main">
                  <a:graphicData uri="http://schemas.microsoft.com/office/word/2010/wordprocessingShape">
                    <wps:wsp>
                      <wps:cNvCnPr/>
                      <wps:spPr>
                        <a:xfrm flipH="1">
                          <a:off x="0" y="0"/>
                          <a:ext cx="5137" cy="2619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C38ECF" id="Straight Connector 10"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125pt,118.05pt" to="125.4pt,1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" strokecolor="#4472c4 [3204]" strokeweight=".5pt">
                <v:stroke joinstyle="miter"/>
              </v:line>
            </w:pict>
          </mc:Fallback>
        </mc:AlternateContent>
      </w:r>
      <w:r w:rsidRPr="002D3DF9">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660288" behindDoc="0" locked="0" layoutInCell="1" allowOverlap="1" wp14:anchorId="66DAEFEF" wp14:editId="7833A419">
                <wp:simplePos x="0" y="0"/>
                <wp:positionH relativeFrom="column">
                  <wp:posOffset>3928110</wp:posOffset>
                </wp:positionH>
                <wp:positionV relativeFrom="paragraph">
                  <wp:posOffset>2388235</wp:posOffset>
                </wp:positionV>
                <wp:extent cx="6350" cy="505460"/>
                <wp:effectExtent l="0" t="0" r="31750" b="2794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505460"/>
                        </a:xfrm>
                        <a:prstGeom prst="straightConnector1">
                          <a:avLst/>
                        </a:prstGeom>
                        <a:noFill/>
                        <a:ln w="9525">
                          <a:solidFill>
                            <a:schemeClr val="accent1">
                              <a:lumMod val="75000"/>
                              <a:lumOff val="0"/>
                            </a:schemeClr>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D9A2D4B" id="_x0000_t32" coordsize="21600,21600" o:spt="32" o:oned="t" path="m,l21600,21600e" filled="f">
                <v:path arrowok="t" fillok="f" o:connecttype="none"/>
                <o:lock v:ext="edit" shapetype="t"/>
              </v:shapetype>
              <v:shape id="Straight Arrow Connector 6" o:spid="_x0000_s1026" type="#_x0000_t32" style="position:absolute;margin-left:309.3pt;margin-top:188.05pt;width:.5pt;height:3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" strokecolor="#2f5496 [2404]"/>
            </w:pict>
          </mc:Fallback>
        </mc:AlternateContent>
      </w:r>
      <w:r w:rsidRPr="002D3DF9">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659264" behindDoc="0" locked="0" layoutInCell="1" allowOverlap="1" wp14:anchorId="702B5215" wp14:editId="48F8EB56">
                <wp:simplePos x="0" y="0"/>
                <wp:positionH relativeFrom="column">
                  <wp:posOffset>3434715</wp:posOffset>
                </wp:positionH>
                <wp:positionV relativeFrom="paragraph">
                  <wp:posOffset>2905760</wp:posOffset>
                </wp:positionV>
                <wp:extent cx="493395" cy="5715"/>
                <wp:effectExtent l="0" t="0" r="20955" b="3238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3395" cy="5715"/>
                        </a:xfrm>
                        <a:prstGeom prst="straightConnector1">
                          <a:avLst/>
                        </a:prstGeom>
                        <a:noFill/>
                        <a:ln w="9525">
                          <a:solidFill>
                            <a:schemeClr val="accent1">
                              <a:lumMod val="75000"/>
                              <a:lumOff val="0"/>
                            </a:schemeClr>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526E44F" id="Straight Arrow Connector 5" o:spid="_x0000_s1026" type="#_x0000_t32" style="position:absolute;margin-left:270.45pt;margin-top:228.8pt;width:38.85pt;height:.4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" strokecolor="#2f5496 [2404]"/>
            </w:pict>
          </mc:Fallback>
        </mc:AlternateContent>
      </w:r>
      <w:r w:rsidRPr="002D3DF9">
        <w:rPr>
          <w:noProof/>
          <w:sz w:val="28"/>
          <w:szCs w:val="28"/>
        </w:rPr>
        <w:drawing>
          <wp:inline distT="0" distB="0" distL="0" distR="0" wp14:anchorId="106917E3" wp14:editId="2AC62A8B">
            <wp:extent cx="5486400" cy="3200400"/>
            <wp:effectExtent l="0" t="3810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8C78603" w14:textId="77777777" w:rsidR="00421BB4" w:rsidRPr="00B12ACD" w:rsidRDefault="00421BB4" w:rsidP="00421BB4">
      <w:pPr>
        <w:spacing w:after="200" w:line="360" w:lineRule="auto"/>
        <w:jc w:val="both"/>
        <w:rPr>
          <w:i/>
          <w:iCs/>
        </w:rPr>
      </w:pPr>
      <w:r w:rsidRPr="00C636F6">
        <w:rPr>
          <w:i/>
          <w:iCs/>
        </w:rPr>
        <w:t xml:space="preserve">Figure 4.2 Relationship </w:t>
      </w:r>
      <w:r>
        <w:rPr>
          <w:i/>
          <w:iCs/>
        </w:rPr>
        <w:t>of components of</w:t>
      </w:r>
      <w:r w:rsidRPr="00C636F6">
        <w:rPr>
          <w:i/>
          <w:iCs/>
        </w:rPr>
        <w:t xml:space="preserve"> wellbeing</w:t>
      </w:r>
      <w:r>
        <w:rPr>
          <w:i/>
          <w:iCs/>
        </w:rPr>
        <w:t xml:space="preserve"> support</w:t>
      </w:r>
      <w:r w:rsidRPr="00C636F6">
        <w:rPr>
          <w:i/>
          <w:iCs/>
        </w:rPr>
        <w:t xml:space="preserve"> opportunities in P16 transition </w:t>
      </w:r>
    </w:p>
    <w:p w14:paraId="696CE978" w14:textId="77777777" w:rsidR="00421BB4" w:rsidRPr="002D3DF9" w:rsidRDefault="00421BB4" w:rsidP="00421BB4">
      <w:pPr>
        <w:widowControl w:val="0"/>
        <w:overflowPunct w:val="0"/>
        <w:autoSpaceDE w:val="0"/>
        <w:autoSpaceDN w:val="0"/>
        <w:adjustRightInd w:val="0"/>
        <w:spacing w:line="360" w:lineRule="auto"/>
        <w:jc w:val="center"/>
        <w:rPr>
          <w:rFonts w:eastAsiaTheme="minorHAnsi"/>
          <w:b/>
          <w:bCs/>
          <w:sz w:val="28"/>
          <w:szCs w:val="28"/>
          <w:u w:val="single"/>
          <w:lang w:eastAsia="en-US"/>
        </w:rPr>
      </w:pPr>
      <w:bookmarkStart w:id="44" w:name="CHAPTER5"/>
      <w:r w:rsidRPr="002D3DF9">
        <w:rPr>
          <w:rFonts w:eastAsiaTheme="minorHAnsi"/>
          <w:b/>
          <w:bCs/>
          <w:sz w:val="28"/>
          <w:szCs w:val="28"/>
          <w:u w:val="single"/>
          <w:lang w:eastAsia="en-US"/>
        </w:rPr>
        <w:lastRenderedPageBreak/>
        <w:t>CHAPTER 5</w:t>
      </w:r>
    </w:p>
    <w:bookmarkEnd w:id="44"/>
    <w:p w14:paraId="12458C45" w14:textId="77777777" w:rsidR="00421BB4" w:rsidRPr="002D3DF9" w:rsidRDefault="00421BB4" w:rsidP="00421BB4">
      <w:pPr>
        <w:widowControl w:val="0"/>
        <w:overflowPunct w:val="0"/>
        <w:autoSpaceDE w:val="0"/>
        <w:autoSpaceDN w:val="0"/>
        <w:adjustRightInd w:val="0"/>
        <w:spacing w:line="360" w:lineRule="auto"/>
        <w:ind w:firstLine="720"/>
        <w:jc w:val="center"/>
        <w:rPr>
          <w:rFonts w:eastAsiaTheme="minorHAnsi"/>
          <w:b/>
          <w:bCs/>
          <w:sz w:val="28"/>
          <w:szCs w:val="28"/>
          <w:u w:val="single"/>
          <w:lang w:eastAsia="en-US"/>
        </w:rPr>
      </w:pPr>
      <w:r w:rsidRPr="002D3DF9">
        <w:rPr>
          <w:rFonts w:eastAsiaTheme="minorHAnsi"/>
          <w:b/>
          <w:bCs/>
          <w:sz w:val="28"/>
          <w:szCs w:val="28"/>
          <w:u w:val="single"/>
          <w:lang w:eastAsia="en-US"/>
        </w:rPr>
        <w:t>DISCUSSION AND INTERPRETATION OF DATA</w:t>
      </w:r>
    </w:p>
    <w:p w14:paraId="1122E738" w14:textId="77777777" w:rsidR="00421BB4" w:rsidRPr="00580BFB" w:rsidRDefault="00421BB4" w:rsidP="00421BB4">
      <w:pPr>
        <w:widowControl w:val="0"/>
        <w:overflowPunct w:val="0"/>
        <w:autoSpaceDE w:val="0"/>
        <w:autoSpaceDN w:val="0"/>
        <w:adjustRightInd w:val="0"/>
        <w:spacing w:line="360" w:lineRule="auto"/>
        <w:jc w:val="both"/>
        <w:rPr>
          <w:rFonts w:eastAsiaTheme="minorHAnsi"/>
          <w:u w:val="single"/>
          <w:lang w:eastAsia="en-US"/>
        </w:rPr>
      </w:pPr>
      <w:r w:rsidRPr="00580BFB">
        <w:rPr>
          <w:rFonts w:eastAsiaTheme="minorHAnsi"/>
          <w:u w:val="single"/>
          <w:lang w:eastAsia="en-US"/>
        </w:rPr>
        <w:t>Introduction</w:t>
      </w:r>
    </w:p>
    <w:p w14:paraId="030D1302"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 xml:space="preserve">This study examined the perspectives of </w:t>
      </w:r>
      <w:r>
        <w:rPr>
          <w:rFonts w:eastAsiaTheme="minorHAnsi"/>
          <w:lang w:eastAsia="en-US"/>
        </w:rPr>
        <w:t>YP</w:t>
      </w:r>
      <w:r w:rsidRPr="00BF1755">
        <w:rPr>
          <w:rFonts w:eastAsiaTheme="minorHAnsi"/>
          <w:lang w:eastAsia="en-US"/>
        </w:rPr>
        <w:t xml:space="preserve"> on wellbeing support in P16 transition and also sought to explore possible opportunities for advancement in supporting wellbeing during P16 transition experiences. </w:t>
      </w:r>
      <w:r>
        <w:rPr>
          <w:rFonts w:eastAsiaTheme="minorHAnsi"/>
          <w:lang w:eastAsia="en-US"/>
        </w:rPr>
        <w:t>It</w:t>
      </w:r>
      <w:r w:rsidRPr="005B4D29">
        <w:rPr>
          <w:rFonts w:eastAsiaTheme="minorHAnsi"/>
          <w:lang w:eastAsia="en-US"/>
        </w:rPr>
        <w:t xml:space="preserve"> has illuminated areas where </w:t>
      </w:r>
      <w:r>
        <w:rPr>
          <w:rFonts w:eastAsiaTheme="minorHAnsi"/>
          <w:lang w:eastAsia="en-US"/>
        </w:rPr>
        <w:t xml:space="preserve">P16 </w:t>
      </w:r>
      <w:r w:rsidRPr="005B4D29">
        <w:rPr>
          <w:rFonts w:eastAsiaTheme="minorHAnsi"/>
          <w:lang w:eastAsia="en-US"/>
        </w:rPr>
        <w:t xml:space="preserve">transition support may be improved and ways in which transition and wellbeing can be supported. </w:t>
      </w:r>
      <w:r w:rsidRPr="00BF1755">
        <w:rPr>
          <w:rFonts w:eastAsiaTheme="minorHAnsi"/>
          <w:lang w:eastAsia="en-US"/>
        </w:rPr>
        <w:t>Three main themes and three sub themes concerning opportunities for wellbeing support during P16 transition were identified according to the findings of this study</w:t>
      </w:r>
      <w:r>
        <w:rPr>
          <w:rFonts w:eastAsiaTheme="minorHAnsi"/>
          <w:lang w:eastAsia="en-US"/>
        </w:rPr>
        <w:t>.</w:t>
      </w:r>
    </w:p>
    <w:p w14:paraId="279EE807" w14:textId="77777777" w:rsidR="00421BB4" w:rsidRDefault="00421BB4" w:rsidP="00421BB4">
      <w:pPr>
        <w:widowControl w:val="0"/>
        <w:overflowPunct w:val="0"/>
        <w:autoSpaceDE w:val="0"/>
        <w:autoSpaceDN w:val="0"/>
        <w:adjustRightInd w:val="0"/>
        <w:spacing w:line="360" w:lineRule="auto"/>
        <w:jc w:val="both"/>
        <w:rPr>
          <w:rFonts w:eastAsiaTheme="minorHAnsi"/>
          <w:u w:val="single"/>
          <w:lang w:eastAsia="en-US"/>
        </w:rPr>
      </w:pPr>
    </w:p>
    <w:p w14:paraId="16382625" w14:textId="77777777" w:rsidR="00421BB4" w:rsidRPr="00924318" w:rsidRDefault="00421BB4" w:rsidP="00421BB4">
      <w:pPr>
        <w:widowControl w:val="0"/>
        <w:overflowPunct w:val="0"/>
        <w:autoSpaceDE w:val="0"/>
        <w:autoSpaceDN w:val="0"/>
        <w:adjustRightInd w:val="0"/>
        <w:spacing w:line="360" w:lineRule="auto"/>
        <w:jc w:val="both"/>
        <w:rPr>
          <w:rFonts w:eastAsiaTheme="minorHAnsi"/>
          <w:u w:val="single"/>
          <w:lang w:eastAsia="en-US"/>
        </w:rPr>
      </w:pPr>
      <w:bookmarkStart w:id="45" w:name="Themeaningofwellbeing"/>
      <w:r>
        <w:rPr>
          <w:rFonts w:eastAsiaTheme="minorHAnsi"/>
          <w:u w:val="single"/>
          <w:lang w:eastAsia="en-US"/>
        </w:rPr>
        <w:t xml:space="preserve">5.1 </w:t>
      </w:r>
      <w:r w:rsidRPr="00924318">
        <w:rPr>
          <w:rFonts w:eastAsiaTheme="minorHAnsi"/>
          <w:u w:val="single"/>
          <w:lang w:eastAsia="en-US"/>
        </w:rPr>
        <w:t>The meaning of wellbeing</w:t>
      </w:r>
    </w:p>
    <w:bookmarkEnd w:id="45"/>
    <w:p w14:paraId="031C1C82" w14:textId="77777777" w:rsidR="00421BB4" w:rsidRDefault="00421BB4" w:rsidP="00421BB4">
      <w:pPr>
        <w:widowControl w:val="0"/>
        <w:overflowPunct w:val="0"/>
        <w:autoSpaceDE w:val="0"/>
        <w:autoSpaceDN w:val="0"/>
        <w:adjustRightInd w:val="0"/>
        <w:spacing w:line="360" w:lineRule="auto"/>
        <w:ind w:firstLine="720"/>
        <w:jc w:val="both"/>
      </w:pPr>
      <w:r w:rsidRPr="00BF1755">
        <w:rPr>
          <w:rFonts w:eastAsiaTheme="minorHAnsi"/>
          <w:lang w:eastAsia="en-US"/>
        </w:rPr>
        <w:t>As this research study place</w:t>
      </w:r>
      <w:r>
        <w:rPr>
          <w:rFonts w:eastAsiaTheme="minorHAnsi"/>
          <w:lang w:eastAsia="en-US"/>
        </w:rPr>
        <w:t>s</w:t>
      </w:r>
      <w:r w:rsidRPr="00BF1755">
        <w:rPr>
          <w:rFonts w:eastAsiaTheme="minorHAnsi"/>
          <w:lang w:eastAsia="en-US"/>
        </w:rPr>
        <w:t xml:space="preserve"> emphasis on</w:t>
      </w:r>
      <w:r>
        <w:rPr>
          <w:rFonts w:eastAsiaTheme="minorHAnsi"/>
          <w:lang w:eastAsia="en-US"/>
        </w:rPr>
        <w:t xml:space="preserve"> social and emotional</w:t>
      </w:r>
      <w:r w:rsidRPr="00BF1755">
        <w:rPr>
          <w:rFonts w:eastAsiaTheme="minorHAnsi"/>
          <w:lang w:eastAsia="en-US"/>
        </w:rPr>
        <w:t xml:space="preserve"> wellbeing, it was necessary to firstly determine what wellbeing meant to each participant and how this interrelates to the support they perceive as necessary during </w:t>
      </w:r>
      <w:r>
        <w:rPr>
          <w:rFonts w:eastAsiaTheme="minorHAnsi"/>
          <w:lang w:eastAsia="en-US"/>
        </w:rPr>
        <w:t xml:space="preserve">their </w:t>
      </w:r>
      <w:r w:rsidRPr="00BF1755">
        <w:rPr>
          <w:rFonts w:eastAsiaTheme="minorHAnsi"/>
          <w:lang w:eastAsia="en-US"/>
        </w:rPr>
        <w:t xml:space="preserve">transition. With regard to the definition of wellbeing, the </w:t>
      </w:r>
      <w:r>
        <w:rPr>
          <w:rFonts w:eastAsiaTheme="minorHAnsi"/>
          <w:lang w:eastAsia="en-US"/>
        </w:rPr>
        <w:t>findings</w:t>
      </w:r>
      <w:r w:rsidRPr="00BF1755">
        <w:rPr>
          <w:rFonts w:eastAsiaTheme="minorHAnsi"/>
          <w:lang w:eastAsia="en-US"/>
        </w:rPr>
        <w:t xml:space="preserve"> are in line with those explored </w:t>
      </w:r>
      <w:r>
        <w:rPr>
          <w:rFonts w:eastAsiaTheme="minorHAnsi"/>
          <w:lang w:eastAsia="en-US"/>
        </w:rPr>
        <w:t xml:space="preserve">in Chapter 2: </w:t>
      </w:r>
      <w:r w:rsidRPr="00BF1755">
        <w:rPr>
          <w:rFonts w:eastAsiaTheme="minorHAnsi"/>
          <w:lang w:eastAsia="en-US"/>
        </w:rPr>
        <w:t xml:space="preserve">wellbeing is subjective and can only be determined by the individual (White 2012, </w:t>
      </w:r>
      <w:r w:rsidRPr="00AB4DA0">
        <w:rPr>
          <w:rFonts w:eastAsiaTheme="minorHAnsi"/>
          <w:i/>
          <w:iCs/>
          <w:lang w:eastAsia="en-US"/>
        </w:rPr>
        <w:t>cited in</w:t>
      </w:r>
      <w:r w:rsidRPr="00BF1755">
        <w:rPr>
          <w:rFonts w:eastAsiaTheme="minorHAnsi"/>
          <w:lang w:eastAsia="en-US"/>
        </w:rPr>
        <w:t xml:space="preserve"> Maynard and Stuart 2018). The participants reported that the ways in </w:t>
      </w:r>
      <w:r>
        <w:rPr>
          <w:rFonts w:eastAsiaTheme="minorHAnsi"/>
          <w:lang w:eastAsia="en-US"/>
        </w:rPr>
        <w:t>they</w:t>
      </w:r>
      <w:r w:rsidRPr="00BF1755">
        <w:rPr>
          <w:rFonts w:eastAsiaTheme="minorHAnsi"/>
          <w:lang w:eastAsia="en-US"/>
        </w:rPr>
        <w:t xml:space="preserve"> perceive</w:t>
      </w:r>
      <w:r>
        <w:rPr>
          <w:rFonts w:eastAsiaTheme="minorHAnsi"/>
          <w:lang w:eastAsia="en-US"/>
        </w:rPr>
        <w:t xml:space="preserve"> wellbeing</w:t>
      </w:r>
      <w:r w:rsidRPr="00BF1755">
        <w:rPr>
          <w:rFonts w:eastAsiaTheme="minorHAnsi"/>
          <w:lang w:eastAsia="en-US"/>
        </w:rPr>
        <w:t xml:space="preserve"> is </w:t>
      </w:r>
      <w:r>
        <w:rPr>
          <w:rFonts w:eastAsiaTheme="minorHAnsi"/>
          <w:lang w:eastAsia="en-US"/>
        </w:rPr>
        <w:t>dependent upon</w:t>
      </w:r>
      <w:r w:rsidRPr="00BF1755">
        <w:rPr>
          <w:rFonts w:eastAsiaTheme="minorHAnsi"/>
          <w:lang w:eastAsia="en-US"/>
        </w:rPr>
        <w:t xml:space="preserve"> an individual</w:t>
      </w:r>
      <w:r>
        <w:rPr>
          <w:rFonts w:eastAsiaTheme="minorHAnsi"/>
          <w:lang w:eastAsia="en-US"/>
        </w:rPr>
        <w:t>’s</w:t>
      </w:r>
      <w:r w:rsidRPr="00BF1755">
        <w:rPr>
          <w:rFonts w:eastAsiaTheme="minorHAnsi"/>
          <w:lang w:eastAsia="en-US"/>
        </w:rPr>
        <w:t xml:space="preserve"> experiences</w:t>
      </w:r>
      <w:r>
        <w:rPr>
          <w:rFonts w:eastAsiaTheme="minorHAnsi"/>
          <w:lang w:eastAsia="en-US"/>
        </w:rPr>
        <w:t xml:space="preserve">; </w:t>
      </w:r>
      <w:r w:rsidRPr="00BF1755">
        <w:rPr>
          <w:rFonts w:eastAsiaTheme="minorHAnsi"/>
          <w:lang w:eastAsia="en-US"/>
        </w:rPr>
        <w:t xml:space="preserve">wellbeing can only be supported by ascertaining what wellbeing means to </w:t>
      </w:r>
      <w:r>
        <w:rPr>
          <w:rFonts w:eastAsiaTheme="minorHAnsi"/>
          <w:lang w:eastAsia="en-US"/>
        </w:rPr>
        <w:t xml:space="preserve">the individual, which correlate with findings from the report by </w:t>
      </w:r>
      <w:r w:rsidRPr="00713FF2">
        <w:t>Dex and Hollingworth</w:t>
      </w:r>
      <w:r>
        <w:t xml:space="preserve"> (</w:t>
      </w:r>
      <w:r w:rsidRPr="00713FF2">
        <w:t>2012</w:t>
      </w:r>
      <w:r>
        <w:t xml:space="preserve">). </w:t>
      </w:r>
    </w:p>
    <w:p w14:paraId="687E4A24" w14:textId="77777777" w:rsidR="00421BB4" w:rsidRPr="00BF1755" w:rsidRDefault="00421BB4" w:rsidP="00421BB4">
      <w:pPr>
        <w:widowControl w:val="0"/>
        <w:overflowPunct w:val="0"/>
        <w:autoSpaceDE w:val="0"/>
        <w:autoSpaceDN w:val="0"/>
        <w:adjustRightInd w:val="0"/>
        <w:spacing w:line="360" w:lineRule="auto"/>
        <w:ind w:firstLine="360"/>
        <w:jc w:val="both"/>
        <w:rPr>
          <w:rFonts w:eastAsiaTheme="minorHAnsi"/>
          <w:lang w:eastAsia="en-US"/>
        </w:rPr>
      </w:pPr>
      <w:r w:rsidRPr="00BF1755">
        <w:rPr>
          <w:rFonts w:eastAsiaTheme="minorHAnsi"/>
          <w:lang w:eastAsia="en-US"/>
        </w:rPr>
        <w:t xml:space="preserve">While this research study </w:t>
      </w:r>
      <w:r>
        <w:rPr>
          <w:rFonts w:eastAsiaTheme="minorHAnsi"/>
          <w:lang w:eastAsia="en-US"/>
        </w:rPr>
        <w:t xml:space="preserve">identified possible opportunities for advancement in both P16 </w:t>
      </w:r>
      <w:r w:rsidRPr="00BF1755">
        <w:rPr>
          <w:rFonts w:eastAsiaTheme="minorHAnsi"/>
          <w:lang w:eastAsia="en-US"/>
        </w:rPr>
        <w:t xml:space="preserve">transition and wellbeing support, the findings </w:t>
      </w:r>
      <w:r>
        <w:rPr>
          <w:rFonts w:eastAsiaTheme="minorHAnsi"/>
          <w:lang w:eastAsia="en-US"/>
        </w:rPr>
        <w:t xml:space="preserve">identified the benefits of linking transition and wellbeing. This aligns with the findings of Beynon </w:t>
      </w:r>
      <w:r w:rsidRPr="00775303">
        <w:rPr>
          <w:rFonts w:eastAsiaTheme="minorHAnsi"/>
          <w:i/>
          <w:iCs/>
          <w:lang w:eastAsia="en-US"/>
        </w:rPr>
        <w:t>et al</w:t>
      </w:r>
      <w:r>
        <w:rPr>
          <w:rFonts w:eastAsiaTheme="minorHAnsi"/>
          <w:lang w:eastAsia="en-US"/>
        </w:rPr>
        <w:t xml:space="preserve">, who note the importance of prioritising wellbeing during transition (2018). </w:t>
      </w:r>
      <w:r w:rsidRPr="00BF1755">
        <w:rPr>
          <w:rFonts w:eastAsiaTheme="minorHAnsi"/>
          <w:lang w:eastAsia="en-US"/>
        </w:rPr>
        <w:t xml:space="preserve">The </w:t>
      </w:r>
      <w:r>
        <w:rPr>
          <w:rFonts w:eastAsiaTheme="minorHAnsi"/>
          <w:lang w:eastAsia="en-US"/>
        </w:rPr>
        <w:t>findings from this study</w:t>
      </w:r>
      <w:r w:rsidRPr="00BF1755">
        <w:rPr>
          <w:rFonts w:eastAsiaTheme="minorHAnsi"/>
          <w:lang w:eastAsia="en-US"/>
        </w:rPr>
        <w:t xml:space="preserve"> revealed that, rather than adults emphasising the ‘gap’ between school and the YP’s next step, for example from school to university, teaching staff </w:t>
      </w:r>
      <w:r>
        <w:rPr>
          <w:rFonts w:eastAsiaTheme="minorHAnsi"/>
          <w:lang w:eastAsia="en-US"/>
        </w:rPr>
        <w:t xml:space="preserve">and stakeholders </w:t>
      </w:r>
      <w:r w:rsidRPr="00BF1755">
        <w:rPr>
          <w:rFonts w:eastAsiaTheme="minorHAnsi"/>
          <w:lang w:eastAsia="en-US"/>
        </w:rPr>
        <w:t>should try to support YP by helping to bridge the gap so that the</w:t>
      </w:r>
      <w:r>
        <w:rPr>
          <w:rFonts w:eastAsiaTheme="minorHAnsi"/>
          <w:lang w:eastAsia="en-US"/>
        </w:rPr>
        <w:t xml:space="preserve">ir transitional journey </w:t>
      </w:r>
      <w:r w:rsidRPr="00BF1755">
        <w:rPr>
          <w:rFonts w:eastAsiaTheme="minorHAnsi"/>
          <w:lang w:eastAsia="en-US"/>
        </w:rPr>
        <w:t>is more streamline</w:t>
      </w:r>
      <w:r>
        <w:rPr>
          <w:rFonts w:eastAsiaTheme="minorHAnsi"/>
          <w:lang w:eastAsia="en-US"/>
        </w:rPr>
        <w:t>d, as suggested by Packer (2021).</w:t>
      </w:r>
    </w:p>
    <w:p w14:paraId="4FEF39A5" w14:textId="77777777" w:rsidR="00421BB4" w:rsidRDefault="00421BB4" w:rsidP="00421BB4">
      <w:pPr>
        <w:widowControl w:val="0"/>
        <w:overflowPunct w:val="0"/>
        <w:autoSpaceDE w:val="0"/>
        <w:autoSpaceDN w:val="0"/>
        <w:adjustRightInd w:val="0"/>
        <w:spacing w:line="360" w:lineRule="auto"/>
        <w:jc w:val="both"/>
        <w:rPr>
          <w:rFonts w:eastAsiaTheme="minorHAnsi"/>
          <w:u w:val="single"/>
          <w:lang w:eastAsia="en-US"/>
        </w:rPr>
      </w:pPr>
    </w:p>
    <w:p w14:paraId="2783555F" w14:textId="77777777" w:rsidR="00421BB4" w:rsidRPr="00CA74C6" w:rsidRDefault="00421BB4" w:rsidP="00421BB4">
      <w:pPr>
        <w:widowControl w:val="0"/>
        <w:overflowPunct w:val="0"/>
        <w:autoSpaceDE w:val="0"/>
        <w:autoSpaceDN w:val="0"/>
        <w:adjustRightInd w:val="0"/>
        <w:spacing w:line="360" w:lineRule="auto"/>
        <w:jc w:val="both"/>
        <w:rPr>
          <w:rFonts w:eastAsiaTheme="minorHAnsi"/>
          <w:u w:val="single"/>
          <w:lang w:eastAsia="en-US"/>
        </w:rPr>
      </w:pPr>
      <w:bookmarkStart w:id="46" w:name="AHOLISTIC"/>
      <w:r>
        <w:rPr>
          <w:rFonts w:eastAsiaTheme="minorHAnsi"/>
          <w:u w:val="single"/>
          <w:lang w:eastAsia="en-US"/>
        </w:rPr>
        <w:t xml:space="preserve">5.2 - </w:t>
      </w:r>
      <w:r w:rsidRPr="00106395">
        <w:rPr>
          <w:rFonts w:eastAsiaTheme="minorHAnsi"/>
          <w:u w:val="single"/>
          <w:lang w:eastAsia="en-US"/>
        </w:rPr>
        <w:t>A Holistic approach</w:t>
      </w:r>
    </w:p>
    <w:bookmarkEnd w:id="46"/>
    <w:p w14:paraId="746EDC99"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Int</w:t>
      </w:r>
      <w:r>
        <w:rPr>
          <w:rFonts w:eastAsiaTheme="minorHAnsi"/>
          <w:lang w:eastAsia="en-US"/>
        </w:rPr>
        <w:t>e</w:t>
      </w:r>
      <w:r w:rsidRPr="00BF1755">
        <w:rPr>
          <w:rFonts w:eastAsiaTheme="minorHAnsi"/>
          <w:lang w:eastAsia="en-US"/>
        </w:rPr>
        <w:t xml:space="preserve">restingly, the findings </w:t>
      </w:r>
      <w:r>
        <w:rPr>
          <w:rFonts w:eastAsiaTheme="minorHAnsi"/>
          <w:lang w:eastAsia="en-US"/>
        </w:rPr>
        <w:t xml:space="preserve">revealed that transition is inextricably linked to the educational journey rather than being viewed as separate. These findings are founded on Dewey’s (1963) principles of continuity and correlate with those of Vogler </w:t>
      </w:r>
      <w:r w:rsidRPr="00CB467A">
        <w:rPr>
          <w:rFonts w:eastAsiaTheme="minorHAnsi"/>
          <w:i/>
          <w:iCs/>
          <w:lang w:eastAsia="en-US"/>
        </w:rPr>
        <w:t>et al</w:t>
      </w:r>
      <w:r>
        <w:rPr>
          <w:rFonts w:eastAsiaTheme="minorHAnsi"/>
          <w:i/>
          <w:iCs/>
          <w:lang w:eastAsia="en-US"/>
        </w:rPr>
        <w:t xml:space="preserve"> </w:t>
      </w:r>
      <w:r w:rsidRPr="00CB467A">
        <w:rPr>
          <w:rFonts w:eastAsiaTheme="minorHAnsi"/>
          <w:lang w:eastAsia="en-US"/>
        </w:rPr>
        <w:t>(2008)</w:t>
      </w:r>
      <w:r>
        <w:rPr>
          <w:rFonts w:eastAsiaTheme="minorHAnsi"/>
          <w:lang w:eastAsia="en-US"/>
        </w:rPr>
        <w:t xml:space="preserve">, who challenge the one-dimensional perception of transition as simply ‘moving up’. </w:t>
      </w:r>
      <w:r w:rsidRPr="00BF1755">
        <w:rPr>
          <w:rFonts w:eastAsiaTheme="minorHAnsi"/>
          <w:lang w:eastAsia="en-US"/>
        </w:rPr>
        <w:t xml:space="preserve">The results </w:t>
      </w:r>
      <w:r w:rsidRPr="00BF1755">
        <w:rPr>
          <w:rFonts w:eastAsiaTheme="minorHAnsi"/>
          <w:lang w:eastAsia="en-US"/>
        </w:rPr>
        <w:lastRenderedPageBreak/>
        <w:t>suggest that having support with transition is part of learner entitlement and that it is the YP’s right to be supported along their educational journey, which align</w:t>
      </w:r>
      <w:r>
        <w:rPr>
          <w:rFonts w:eastAsiaTheme="minorHAnsi"/>
          <w:lang w:eastAsia="en-US"/>
        </w:rPr>
        <w:t>s</w:t>
      </w:r>
      <w:r w:rsidRPr="00BF1755">
        <w:rPr>
          <w:rFonts w:eastAsiaTheme="minorHAnsi"/>
          <w:lang w:eastAsia="en-US"/>
        </w:rPr>
        <w:t xml:space="preserve"> with Packer’s views on transition (Packer 2021). </w:t>
      </w:r>
      <w:r>
        <w:rPr>
          <w:rFonts w:eastAsiaTheme="minorHAnsi"/>
          <w:lang w:eastAsia="en-US"/>
        </w:rPr>
        <w:t xml:space="preserve">These findings agree with the notion of a more holistic view of transition that incorporates the entire aspects of a YP’s learning experiences as well as the entire aspects of their life, as </w:t>
      </w:r>
      <w:r w:rsidRPr="00287C08">
        <w:rPr>
          <w:rFonts w:eastAsiaTheme="minorHAnsi"/>
          <w:lang w:eastAsia="en-US"/>
        </w:rPr>
        <w:t>exemplified within</w:t>
      </w:r>
      <w:r>
        <w:rPr>
          <w:rFonts w:eastAsiaTheme="minorHAnsi"/>
          <w:lang w:eastAsia="en-US"/>
        </w:rPr>
        <w:t xml:space="preserve"> Bronfenbrenner’s Ecological Model (1979) and</w:t>
      </w:r>
      <w:r w:rsidRPr="00287C08">
        <w:rPr>
          <w:rFonts w:eastAsiaTheme="minorHAnsi"/>
          <w:lang w:eastAsia="en-US"/>
        </w:rPr>
        <w:t xml:space="preserve"> Wilder and Lillvist’ s (2018) Learning Journey </w:t>
      </w:r>
      <w:r>
        <w:rPr>
          <w:rFonts w:eastAsiaTheme="minorHAnsi"/>
          <w:lang w:eastAsia="en-US"/>
        </w:rPr>
        <w:t>M</w:t>
      </w:r>
      <w:r w:rsidRPr="00287C08">
        <w:rPr>
          <w:rFonts w:eastAsiaTheme="minorHAnsi"/>
          <w:lang w:eastAsia="en-US"/>
        </w:rPr>
        <w:t xml:space="preserve">odel. </w:t>
      </w:r>
    </w:p>
    <w:p w14:paraId="5C11D789"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D552BA">
        <w:rPr>
          <w:rFonts w:eastAsiaTheme="minorHAnsi"/>
          <w:b/>
          <w:bCs/>
          <w:noProof/>
          <w:u w:val="single"/>
          <w:lang w:eastAsia="en-US"/>
        </w:rPr>
        <mc:AlternateContent>
          <mc:Choice Requires="wps">
            <w:drawing>
              <wp:anchor distT="0" distB="0" distL="114300" distR="114300" simplePos="0" relativeHeight="251663360" behindDoc="0" locked="0" layoutInCell="1" allowOverlap="1" wp14:anchorId="0F5AF07D" wp14:editId="2EC8A4A8">
                <wp:simplePos x="0" y="0"/>
                <wp:positionH relativeFrom="leftMargin">
                  <wp:posOffset>850669</wp:posOffset>
                </wp:positionH>
                <wp:positionV relativeFrom="paragraph">
                  <wp:posOffset>2590569</wp:posOffset>
                </wp:positionV>
                <wp:extent cx="266131" cy="1774190"/>
                <wp:effectExtent l="0" t="0" r="19685" b="16510"/>
                <wp:wrapNone/>
                <wp:docPr id="64" name="Text Box 64"/>
                <wp:cNvGraphicFramePr/>
                <a:graphic xmlns:a="http://schemas.openxmlformats.org/drawingml/2006/main">
                  <a:graphicData uri="http://schemas.microsoft.com/office/word/2010/wordprocessingShape">
                    <wps:wsp>
                      <wps:cNvSpPr txBox="1"/>
                      <wps:spPr>
                        <a:xfrm>
                          <a:off x="0" y="0"/>
                          <a:ext cx="266131" cy="1774190"/>
                        </a:xfrm>
                        <a:prstGeom prst="rect">
                          <a:avLst/>
                        </a:prstGeom>
                        <a:solidFill>
                          <a:schemeClr val="accent5">
                            <a:lumMod val="60000"/>
                            <a:lumOff val="40000"/>
                          </a:schemeClr>
                        </a:solidFill>
                        <a:ln w="6350">
                          <a:solidFill>
                            <a:schemeClr val="accent5">
                              <a:lumMod val="60000"/>
                              <a:lumOff val="40000"/>
                            </a:schemeClr>
                          </a:solidFill>
                        </a:ln>
                      </wps:spPr>
                      <wps:txbx>
                        <w:txbxContent>
                          <w:p w14:paraId="3E4015B4" w14:textId="77777777" w:rsidR="00421BB4" w:rsidRPr="00FE1700" w:rsidRDefault="00421BB4" w:rsidP="00421BB4">
                            <w:pPr>
                              <w:rPr>
                                <w:b/>
                                <w:bCs/>
                                <w:sz w:val="28"/>
                                <w:szCs w:val="28"/>
                              </w:rPr>
                            </w:pPr>
                            <w:r w:rsidRPr="00FE1700">
                              <w:rPr>
                                <w:b/>
                                <w:bCs/>
                                <w:sz w:val="28"/>
                                <w:szCs w:val="28"/>
                              </w:rPr>
                              <w:t>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F5AF07D" id="_x0000_t202" coordsize="21600,21600" o:spt="202" path="m,l,21600r21600,l21600,xe">
                <v:stroke joinstyle="miter"/>
                <v:path gradientshapeok="t" o:connecttype="rect"/>
              </v:shapetype>
              <v:shape id="Text Box 64" o:spid="_x0000_s1026" type="#_x0000_t202" style="position:absolute;left:0;text-align:left;margin-left:67pt;margin-top:204pt;width:20.95pt;height:139.7pt;z-index:251663360;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" fillcolor="#9cc2e5 [1944]" strokecolor="#9cc2e5 [1944]" strokeweight=".5pt">
                <v:textbox>
                  <w:txbxContent>
                    <w:p w14:paraId="3E4015B4" w14:textId="77777777" w:rsidR="00421BB4" w:rsidRPr="00FE1700" w:rsidRDefault="00421BB4" w:rsidP="00421BB4">
                      <w:pPr>
                        <w:rPr>
                          <w:b/>
                          <w:bCs/>
                          <w:sz w:val="28"/>
                          <w:szCs w:val="28"/>
                        </w:rPr>
                      </w:pPr>
                      <w:r w:rsidRPr="00FE1700">
                        <w:rPr>
                          <w:b/>
                          <w:bCs/>
                          <w:sz w:val="28"/>
                          <w:szCs w:val="28"/>
                        </w:rPr>
                        <w:t>Goals</w:t>
                      </w:r>
                    </w:p>
                  </w:txbxContent>
                </v:textbox>
                <w10:wrap anchorx="margin"/>
              </v:shape>
            </w:pict>
          </mc:Fallback>
        </mc:AlternateContent>
      </w:r>
      <w:r w:rsidRPr="00D552BA">
        <w:rPr>
          <w:rFonts w:eastAsiaTheme="minorHAnsi"/>
          <w:b/>
          <w:bCs/>
          <w:noProof/>
          <w:u w:val="single"/>
          <w:lang w:eastAsia="en-US"/>
        </w:rPr>
        <mc:AlternateContent>
          <mc:Choice Requires="wps">
            <w:drawing>
              <wp:anchor distT="0" distB="0" distL="114300" distR="114300" simplePos="0" relativeHeight="251662336" behindDoc="0" locked="0" layoutInCell="1" allowOverlap="1" wp14:anchorId="6261922D" wp14:editId="5431BDAF">
                <wp:simplePos x="0" y="0"/>
                <wp:positionH relativeFrom="margin">
                  <wp:posOffset>-1596389</wp:posOffset>
                </wp:positionH>
                <wp:positionV relativeFrom="paragraph">
                  <wp:posOffset>2897678</wp:posOffset>
                </wp:positionV>
                <wp:extent cx="3286760" cy="640080"/>
                <wp:effectExtent l="27940" t="10160" r="36830" b="17780"/>
                <wp:wrapNone/>
                <wp:docPr id="65" name="Arrow: Right 65"/>
                <wp:cNvGraphicFramePr/>
                <a:graphic xmlns:a="http://schemas.openxmlformats.org/drawingml/2006/main">
                  <a:graphicData uri="http://schemas.microsoft.com/office/word/2010/wordprocessingShape">
                    <wps:wsp>
                      <wps:cNvSpPr/>
                      <wps:spPr>
                        <a:xfrm rot="16200000">
                          <a:off x="0" y="0"/>
                          <a:ext cx="3286760" cy="640080"/>
                        </a:xfrm>
                        <a:prstGeom prst="rightArrow">
                          <a:avLst/>
                        </a:prstGeom>
                        <a:solidFill>
                          <a:schemeClr val="accent5">
                            <a:lumMod val="60000"/>
                            <a:lumOff val="40000"/>
                          </a:schemeClr>
                        </a:solidFill>
                        <a:ln w="12700" cap="flat" cmpd="sng" algn="ctr">
                          <a:solidFill>
                            <a:schemeClr val="accent5">
                              <a:lumMod val="60000"/>
                              <a:lumOff val="4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8554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5" o:spid="_x0000_s1026" type="#_x0000_t13" style="position:absolute;margin-left:-125.7pt;margin-top:228.15pt;width:258.8pt;height:50.4pt;rotation:-90;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" adj="19497" fillcolor="#9cc2e5 [1944]" strokecolor="#9cc2e5 [1944]" strokeweight="1pt">
                <w10:wrap anchorx="margin"/>
              </v:shape>
            </w:pict>
          </mc:Fallback>
        </mc:AlternateContent>
      </w:r>
      <w:r>
        <w:rPr>
          <w:rFonts w:eastAsiaTheme="minorHAnsi"/>
          <w:lang w:eastAsia="en-US"/>
        </w:rPr>
        <w:t>The idea of</w:t>
      </w:r>
      <w:r w:rsidRPr="00BF1755">
        <w:rPr>
          <w:rFonts w:eastAsiaTheme="minorHAnsi"/>
          <w:lang w:eastAsia="en-US"/>
        </w:rPr>
        <w:t xml:space="preserve"> supporting the whole person by considering all aspects of</w:t>
      </w:r>
      <w:r>
        <w:rPr>
          <w:rFonts w:eastAsiaTheme="minorHAnsi"/>
          <w:lang w:eastAsia="en-US"/>
        </w:rPr>
        <w:t xml:space="preserve"> a</w:t>
      </w:r>
      <w:r w:rsidRPr="00BF1755">
        <w:rPr>
          <w:rFonts w:eastAsiaTheme="minorHAnsi"/>
          <w:lang w:eastAsia="en-US"/>
        </w:rPr>
        <w:t xml:space="preserve"> </w:t>
      </w:r>
      <w:r>
        <w:rPr>
          <w:rFonts w:eastAsiaTheme="minorHAnsi"/>
          <w:lang w:eastAsia="en-US"/>
        </w:rPr>
        <w:t>YP’s</w:t>
      </w:r>
      <w:r w:rsidRPr="00BF1755">
        <w:rPr>
          <w:rFonts w:eastAsiaTheme="minorHAnsi"/>
          <w:lang w:eastAsia="en-US"/>
        </w:rPr>
        <w:t xml:space="preserve"> li</w:t>
      </w:r>
      <w:r>
        <w:rPr>
          <w:rFonts w:eastAsiaTheme="minorHAnsi"/>
          <w:lang w:eastAsia="en-US"/>
        </w:rPr>
        <w:t>fe</w:t>
      </w:r>
      <w:r w:rsidRPr="00BF1755">
        <w:rPr>
          <w:rFonts w:eastAsiaTheme="minorHAnsi"/>
          <w:lang w:eastAsia="en-US"/>
        </w:rPr>
        <w:t xml:space="preserve"> during their </w:t>
      </w:r>
      <w:r>
        <w:rPr>
          <w:rFonts w:eastAsiaTheme="minorHAnsi"/>
          <w:lang w:eastAsia="en-US"/>
        </w:rPr>
        <w:t xml:space="preserve">P16 </w:t>
      </w:r>
      <w:r w:rsidRPr="00BF1755">
        <w:rPr>
          <w:rFonts w:eastAsiaTheme="minorHAnsi"/>
          <w:lang w:eastAsia="en-US"/>
        </w:rPr>
        <w:t>transition is very much in line with Bronfenbrenner’s Ecological</w:t>
      </w:r>
      <w:r>
        <w:rPr>
          <w:rFonts w:eastAsiaTheme="minorHAnsi"/>
          <w:lang w:eastAsia="en-US"/>
        </w:rPr>
        <w:t xml:space="preserve"> Model (1979). The</w:t>
      </w:r>
      <w:r w:rsidRPr="00BF1755">
        <w:rPr>
          <w:rFonts w:eastAsiaTheme="minorHAnsi"/>
          <w:lang w:eastAsia="en-US"/>
        </w:rPr>
        <w:t xml:space="preserve"> findings from this study</w:t>
      </w:r>
      <w:r>
        <w:rPr>
          <w:rFonts w:eastAsiaTheme="minorHAnsi"/>
          <w:lang w:eastAsia="en-US"/>
        </w:rPr>
        <w:t xml:space="preserve"> may</w:t>
      </w:r>
      <w:r w:rsidRPr="00BF1755">
        <w:rPr>
          <w:rFonts w:eastAsiaTheme="minorHAnsi"/>
          <w:lang w:eastAsia="en-US"/>
        </w:rPr>
        <w:t xml:space="preserve"> offer</w:t>
      </w:r>
      <w:r>
        <w:rPr>
          <w:rFonts w:eastAsiaTheme="minorHAnsi"/>
          <w:lang w:eastAsia="en-US"/>
        </w:rPr>
        <w:t xml:space="preserve"> further</w:t>
      </w:r>
      <w:r w:rsidRPr="00BF1755">
        <w:rPr>
          <w:rFonts w:eastAsiaTheme="minorHAnsi"/>
          <w:lang w:eastAsia="en-US"/>
        </w:rPr>
        <w:t xml:space="preserve"> scope when exploring how wellbeing might be supported during</w:t>
      </w:r>
      <w:r>
        <w:rPr>
          <w:rFonts w:eastAsiaTheme="minorHAnsi"/>
          <w:lang w:eastAsia="en-US"/>
        </w:rPr>
        <w:t xml:space="preserve"> P16 transition.</w:t>
      </w:r>
      <w:r w:rsidRPr="00A42A15">
        <w:rPr>
          <w:rFonts w:eastAsiaTheme="minorHAnsi"/>
          <w:lang w:eastAsia="en-US"/>
        </w:rPr>
        <w:t xml:space="preserve"> </w:t>
      </w:r>
    </w:p>
    <w:p w14:paraId="338689A6" w14:textId="77777777" w:rsidR="00421BB4" w:rsidRPr="00EA14AB" w:rsidRDefault="00421BB4" w:rsidP="00421BB4">
      <w:pPr>
        <w:widowControl w:val="0"/>
        <w:overflowPunct w:val="0"/>
        <w:autoSpaceDE w:val="0"/>
        <w:autoSpaceDN w:val="0"/>
        <w:adjustRightInd w:val="0"/>
        <w:spacing w:line="360" w:lineRule="auto"/>
        <w:jc w:val="both"/>
        <w:rPr>
          <w:rFonts w:eastAsiaTheme="minorHAnsi"/>
          <w:b/>
          <w:bCs/>
          <w:lang w:eastAsia="en-US"/>
        </w:rPr>
      </w:pPr>
      <w:r w:rsidRPr="00EA14AB">
        <w:rPr>
          <w:rFonts w:eastAsiaTheme="minorHAnsi"/>
          <w:b/>
          <w:bCs/>
          <w:lang w:eastAsia="en-US"/>
        </w:rPr>
        <w:t>5.1 A Holistic Approach to Wellbeing in P16 Transition Model</w:t>
      </w:r>
    </w:p>
    <w:p w14:paraId="4B5B67D7"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Pr>
          <w:rFonts w:eastAsiaTheme="minorHAnsi"/>
          <w:b/>
          <w:bCs/>
          <w:noProof/>
          <w:u w:val="single"/>
          <w:lang w:eastAsia="en-US"/>
        </w:rPr>
        <mc:AlternateContent>
          <mc:Choice Requires="wps">
            <w:drawing>
              <wp:anchor distT="0" distB="0" distL="114300" distR="114300" simplePos="0" relativeHeight="251669504" behindDoc="0" locked="0" layoutInCell="1" allowOverlap="1" wp14:anchorId="1346CDA6" wp14:editId="1E4C2270">
                <wp:simplePos x="0" y="0"/>
                <wp:positionH relativeFrom="column">
                  <wp:posOffset>1263419</wp:posOffset>
                </wp:positionH>
                <wp:positionV relativeFrom="paragraph">
                  <wp:posOffset>3699568</wp:posOffset>
                </wp:positionV>
                <wp:extent cx="1679171" cy="293716"/>
                <wp:effectExtent l="0" t="0" r="16510" b="11430"/>
                <wp:wrapNone/>
                <wp:docPr id="131" name="Text Box 131"/>
                <wp:cNvGraphicFramePr/>
                <a:graphic xmlns:a="http://schemas.openxmlformats.org/drawingml/2006/main">
                  <a:graphicData uri="http://schemas.microsoft.com/office/word/2010/wordprocessingShape">
                    <wps:wsp>
                      <wps:cNvSpPr txBox="1"/>
                      <wps:spPr>
                        <a:xfrm>
                          <a:off x="0" y="0"/>
                          <a:ext cx="1679171" cy="293716"/>
                        </a:xfrm>
                        <a:prstGeom prst="rect">
                          <a:avLst/>
                        </a:prstGeom>
                        <a:solidFill>
                          <a:schemeClr val="accent2">
                            <a:lumMod val="20000"/>
                            <a:lumOff val="80000"/>
                          </a:schemeClr>
                        </a:solidFill>
                        <a:ln w="6350">
                          <a:solidFill>
                            <a:schemeClr val="accent2">
                              <a:lumMod val="20000"/>
                              <a:lumOff val="80000"/>
                            </a:schemeClr>
                          </a:solidFill>
                        </a:ln>
                      </wps:spPr>
                      <wps:txbx>
                        <w:txbxContent>
                          <w:p w14:paraId="3E9C56FE" w14:textId="77777777" w:rsidR="00421BB4" w:rsidRPr="00FE1700" w:rsidRDefault="00421BB4" w:rsidP="00421BB4">
                            <w:pPr>
                              <w:rPr>
                                <w:b/>
                                <w:bCs/>
                                <w:sz w:val="32"/>
                                <w:szCs w:val="32"/>
                              </w:rPr>
                            </w:pPr>
                            <w:r w:rsidRPr="00FE1700">
                              <w:rPr>
                                <w:b/>
                                <w:bCs/>
                                <w:sz w:val="32"/>
                                <w:szCs w:val="32"/>
                              </w:rP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46CDA6" id="Text Box 131" o:spid="_x0000_s1027" type="#_x0000_t202" style="position:absolute;left:0;text-align:left;margin-left:99.5pt;margin-top:291.3pt;width:132.2pt;height:23.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" fillcolor="#fbe4d5 [661]" strokecolor="#fbe4d5 [661]" strokeweight=".5pt">
                <v:textbox>
                  <w:txbxContent>
                    <w:p w14:paraId="3E9C56FE" w14:textId="77777777" w:rsidR="00421BB4" w:rsidRPr="00FE1700" w:rsidRDefault="00421BB4" w:rsidP="00421BB4">
                      <w:pPr>
                        <w:rPr>
                          <w:b/>
                          <w:bCs/>
                          <w:sz w:val="32"/>
                          <w:szCs w:val="32"/>
                        </w:rPr>
                      </w:pPr>
                      <w:r w:rsidRPr="00FE1700">
                        <w:rPr>
                          <w:b/>
                          <w:bCs/>
                          <w:sz w:val="32"/>
                          <w:szCs w:val="32"/>
                        </w:rPr>
                        <w:t>Time</w:t>
                      </w:r>
                    </w:p>
                  </w:txbxContent>
                </v:textbox>
              </v:shape>
            </w:pict>
          </mc:Fallback>
        </mc:AlternateContent>
      </w:r>
      <w:r w:rsidRPr="00D552BA">
        <w:rPr>
          <w:rFonts w:eastAsiaTheme="minorHAnsi"/>
          <w:b/>
          <w:bCs/>
          <w:noProof/>
          <w:u w:val="single"/>
          <w:lang w:eastAsia="en-US"/>
        </w:rPr>
        <mc:AlternateContent>
          <mc:Choice Requires="wps">
            <w:drawing>
              <wp:anchor distT="0" distB="0" distL="114300" distR="114300" simplePos="0" relativeHeight="251668480" behindDoc="0" locked="0" layoutInCell="1" allowOverlap="1" wp14:anchorId="69D1E0F3" wp14:editId="33AFC84F">
                <wp:simplePos x="0" y="0"/>
                <wp:positionH relativeFrom="margin">
                  <wp:posOffset>264507</wp:posOffset>
                </wp:positionH>
                <wp:positionV relativeFrom="paragraph">
                  <wp:posOffset>3537585</wp:posOffset>
                </wp:positionV>
                <wp:extent cx="3286760" cy="640080"/>
                <wp:effectExtent l="0" t="19050" r="46990" b="45720"/>
                <wp:wrapNone/>
                <wp:docPr id="66" name="Arrow: Right 66"/>
                <wp:cNvGraphicFramePr/>
                <a:graphic xmlns:a="http://schemas.openxmlformats.org/drawingml/2006/main">
                  <a:graphicData uri="http://schemas.microsoft.com/office/word/2010/wordprocessingShape">
                    <wps:wsp>
                      <wps:cNvSpPr/>
                      <wps:spPr>
                        <a:xfrm>
                          <a:off x="0" y="0"/>
                          <a:ext cx="3286760" cy="640080"/>
                        </a:xfrm>
                        <a:prstGeom prst="rightArrow">
                          <a:avLst/>
                        </a:prstGeom>
                        <a:solidFill>
                          <a:schemeClr val="accent2">
                            <a:lumMod val="20000"/>
                            <a:lumOff val="80000"/>
                          </a:schemeClr>
                        </a:solidFill>
                        <a:ln w="12700" cap="flat" cmpd="sng" algn="ctr">
                          <a:solidFill>
                            <a:srgbClr val="84ACB6">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946C5" id="Arrow: Right 66" o:spid="_x0000_s1026" type="#_x0000_t13" style="position:absolute;margin-left:20.85pt;margin-top:278.55pt;width:258.8pt;height:50.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" adj="19497" fillcolor="#fbe4d5 [661]" strokecolor="#b5cdd3" strokeweight="1pt">
                <w10:wrap anchorx="margin"/>
              </v:shape>
            </w:pict>
          </mc:Fallback>
        </mc:AlternateContent>
      </w:r>
      <w:r w:rsidRPr="00BF1755">
        <w:rPr>
          <w:rFonts w:eastAsiaTheme="minorHAnsi"/>
          <w:b/>
          <w:bCs/>
          <w:noProof/>
          <w:u w:val="single"/>
          <w:lang w:eastAsia="en-US"/>
        </w:rPr>
        <w:drawing>
          <wp:anchor distT="0" distB="0" distL="114300" distR="114300" simplePos="0" relativeHeight="251661312" behindDoc="0" locked="0" layoutInCell="1" allowOverlap="1" wp14:anchorId="79A4461A" wp14:editId="2E22579F">
            <wp:simplePos x="0" y="0"/>
            <wp:positionH relativeFrom="margin">
              <wp:posOffset>-201468</wp:posOffset>
            </wp:positionH>
            <wp:positionV relativeFrom="paragraph">
              <wp:posOffset>210128</wp:posOffset>
            </wp:positionV>
            <wp:extent cx="6004560" cy="3536950"/>
            <wp:effectExtent l="0" t="0" r="53340" b="82550"/>
            <wp:wrapSquare wrapText="bothSides"/>
            <wp:docPr id="68" name="Diagram 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p>
    <w:p w14:paraId="0CAB8856" w14:textId="77777777" w:rsidR="00421BB4" w:rsidRDefault="00421BB4" w:rsidP="00421BB4">
      <w:pPr>
        <w:widowControl w:val="0"/>
        <w:overflowPunct w:val="0"/>
        <w:autoSpaceDE w:val="0"/>
        <w:autoSpaceDN w:val="0"/>
        <w:adjustRightInd w:val="0"/>
        <w:spacing w:line="360" w:lineRule="auto"/>
        <w:jc w:val="both"/>
        <w:rPr>
          <w:rFonts w:eastAsiaTheme="minorHAnsi"/>
          <w:lang w:eastAsia="en-US"/>
        </w:rPr>
      </w:pPr>
    </w:p>
    <w:p w14:paraId="2B9A0DEE" w14:textId="77777777" w:rsidR="00421BB4" w:rsidRDefault="00421BB4" w:rsidP="00421BB4">
      <w:pPr>
        <w:widowControl w:val="0"/>
        <w:overflowPunct w:val="0"/>
        <w:autoSpaceDE w:val="0"/>
        <w:autoSpaceDN w:val="0"/>
        <w:adjustRightInd w:val="0"/>
        <w:spacing w:line="360" w:lineRule="auto"/>
        <w:jc w:val="both"/>
        <w:rPr>
          <w:rFonts w:eastAsiaTheme="minorHAnsi"/>
          <w:lang w:eastAsia="en-US"/>
        </w:rPr>
      </w:pPr>
    </w:p>
    <w:p w14:paraId="50153043" w14:textId="77777777" w:rsidR="00421BB4" w:rsidRDefault="00421BB4" w:rsidP="00421BB4">
      <w:pPr>
        <w:widowControl w:val="0"/>
        <w:overflowPunct w:val="0"/>
        <w:autoSpaceDE w:val="0"/>
        <w:autoSpaceDN w:val="0"/>
        <w:adjustRightInd w:val="0"/>
        <w:spacing w:line="360" w:lineRule="auto"/>
        <w:jc w:val="both"/>
        <w:rPr>
          <w:rFonts w:eastAsiaTheme="minorHAnsi"/>
          <w:i/>
          <w:iCs/>
          <w:lang w:eastAsia="en-US"/>
        </w:rPr>
      </w:pPr>
      <w:r w:rsidRPr="005B4684">
        <w:rPr>
          <w:rFonts w:eastAsiaTheme="minorHAnsi"/>
          <w:i/>
          <w:iCs/>
          <w:lang w:eastAsia="en-US"/>
        </w:rPr>
        <w:t xml:space="preserve">Figure 5.1 </w:t>
      </w:r>
      <w:r>
        <w:rPr>
          <w:rFonts w:eastAsiaTheme="minorHAnsi"/>
          <w:i/>
          <w:iCs/>
          <w:lang w:eastAsia="en-US"/>
        </w:rPr>
        <w:t>A holistic approach to wellbeing in P16 transition</w:t>
      </w:r>
    </w:p>
    <w:p w14:paraId="57E95B25" w14:textId="77777777" w:rsidR="00421BB4" w:rsidRPr="005B4684" w:rsidRDefault="00421BB4" w:rsidP="00421BB4">
      <w:pPr>
        <w:widowControl w:val="0"/>
        <w:overflowPunct w:val="0"/>
        <w:autoSpaceDE w:val="0"/>
        <w:autoSpaceDN w:val="0"/>
        <w:adjustRightInd w:val="0"/>
        <w:spacing w:line="360" w:lineRule="auto"/>
        <w:jc w:val="both"/>
        <w:rPr>
          <w:rFonts w:eastAsiaTheme="minorHAnsi"/>
          <w:i/>
          <w:iCs/>
          <w:lang w:eastAsia="en-US"/>
        </w:rPr>
      </w:pPr>
    </w:p>
    <w:p w14:paraId="2E5A8E5B" w14:textId="77777777" w:rsidR="00421BB4" w:rsidRPr="00F20B59"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 xml:space="preserve">The </w:t>
      </w:r>
      <w:r>
        <w:rPr>
          <w:rFonts w:eastAsiaTheme="minorHAnsi"/>
          <w:lang w:eastAsia="en-US"/>
        </w:rPr>
        <w:t>Holistic Approach to P16 Transition model</w:t>
      </w:r>
      <w:r w:rsidRPr="00BF1755">
        <w:rPr>
          <w:rFonts w:eastAsiaTheme="minorHAnsi"/>
          <w:lang w:eastAsia="en-US"/>
        </w:rPr>
        <w:t xml:space="preserve"> in Figure </w:t>
      </w:r>
      <w:r w:rsidRPr="0083092E">
        <w:rPr>
          <w:rFonts w:eastAsiaTheme="minorHAnsi"/>
          <w:lang w:eastAsia="en-US"/>
        </w:rPr>
        <w:t xml:space="preserve">5.1 </w:t>
      </w:r>
      <w:r>
        <w:rPr>
          <w:rFonts w:eastAsiaTheme="minorHAnsi"/>
          <w:lang w:eastAsia="en-US"/>
        </w:rPr>
        <w:t>above</w:t>
      </w:r>
      <w:r w:rsidRPr="00BF1755">
        <w:rPr>
          <w:rFonts w:eastAsiaTheme="minorHAnsi"/>
          <w:lang w:eastAsia="en-US"/>
        </w:rPr>
        <w:t xml:space="preserve"> has been adapted </w:t>
      </w:r>
      <w:r>
        <w:rPr>
          <w:rFonts w:eastAsiaTheme="minorHAnsi"/>
          <w:lang w:eastAsia="en-US"/>
        </w:rPr>
        <w:t>through a blended approach</w:t>
      </w:r>
      <w:r w:rsidRPr="00BF1755">
        <w:rPr>
          <w:rFonts w:eastAsiaTheme="minorHAnsi"/>
          <w:lang w:eastAsia="en-US"/>
        </w:rPr>
        <w:t xml:space="preserve"> </w:t>
      </w:r>
      <w:r>
        <w:rPr>
          <w:rFonts w:eastAsiaTheme="minorHAnsi"/>
          <w:lang w:eastAsia="en-US"/>
        </w:rPr>
        <w:t>to</w:t>
      </w:r>
      <w:r w:rsidRPr="00BF1755">
        <w:rPr>
          <w:rFonts w:eastAsiaTheme="minorHAnsi"/>
          <w:lang w:eastAsia="en-US"/>
        </w:rPr>
        <w:t xml:space="preserve"> </w:t>
      </w:r>
      <w:r w:rsidRPr="004B0D78">
        <w:rPr>
          <w:rFonts w:eastAsiaTheme="minorHAnsi"/>
          <w:lang w:eastAsia="en-US"/>
        </w:rPr>
        <w:t>Bronfenbrenner’s Ecological Systems</w:t>
      </w:r>
      <w:r>
        <w:rPr>
          <w:rFonts w:eastAsiaTheme="minorHAnsi"/>
          <w:lang w:eastAsia="en-US"/>
        </w:rPr>
        <w:t xml:space="preserve"> </w:t>
      </w:r>
      <w:r w:rsidRPr="004B0D78">
        <w:rPr>
          <w:rFonts w:eastAsiaTheme="minorHAnsi"/>
          <w:lang w:eastAsia="en-US"/>
        </w:rPr>
        <w:t xml:space="preserve">Theory </w:t>
      </w:r>
      <w:r>
        <w:rPr>
          <w:rFonts w:eastAsiaTheme="minorHAnsi"/>
          <w:lang w:eastAsia="en-US"/>
        </w:rPr>
        <w:t>model</w:t>
      </w:r>
      <w:r w:rsidRPr="004B0D78">
        <w:rPr>
          <w:rFonts w:eastAsiaTheme="minorHAnsi"/>
          <w:lang w:eastAsia="en-US"/>
        </w:rPr>
        <w:t xml:space="preserve"> (1979) and the Learning Journey </w:t>
      </w:r>
      <w:r>
        <w:rPr>
          <w:rFonts w:eastAsiaTheme="minorHAnsi"/>
          <w:lang w:eastAsia="en-US"/>
        </w:rPr>
        <w:t>m</w:t>
      </w:r>
      <w:r w:rsidRPr="004B0D78">
        <w:rPr>
          <w:rFonts w:eastAsiaTheme="minorHAnsi"/>
          <w:lang w:eastAsia="en-US"/>
        </w:rPr>
        <w:t>odel by Wilder and Lillvist (</w:t>
      </w:r>
      <w:r w:rsidRPr="004B0D78">
        <w:t>2018</w:t>
      </w:r>
      <w:r>
        <w:t>). E</w:t>
      </w:r>
      <w:r w:rsidRPr="00BF1755">
        <w:rPr>
          <w:rFonts w:eastAsiaTheme="minorHAnsi"/>
          <w:lang w:eastAsia="en-US"/>
        </w:rPr>
        <w:t xml:space="preserve">ach circle in this adapted model </w:t>
      </w:r>
      <w:r>
        <w:rPr>
          <w:rFonts w:eastAsiaTheme="minorHAnsi"/>
          <w:lang w:eastAsia="en-US"/>
        </w:rPr>
        <w:t>above</w:t>
      </w:r>
      <w:r w:rsidRPr="00BF1755">
        <w:rPr>
          <w:rFonts w:eastAsiaTheme="minorHAnsi"/>
          <w:lang w:eastAsia="en-US"/>
        </w:rPr>
        <w:t xml:space="preserve"> identifies the main and sub themes found within this research study</w:t>
      </w:r>
      <w:r>
        <w:rPr>
          <w:rFonts w:eastAsiaTheme="minorHAnsi"/>
          <w:lang w:eastAsia="en-US"/>
        </w:rPr>
        <w:t xml:space="preserve">: a holistic approach </w:t>
      </w:r>
      <w:r>
        <w:rPr>
          <w:rFonts w:eastAsiaTheme="minorHAnsi"/>
          <w:lang w:eastAsia="en-US"/>
        </w:rPr>
        <w:lastRenderedPageBreak/>
        <w:t xml:space="preserve">that places the YP at the centre of their learning journey, security and support provided by all stakeholders and the benefits of experimental learning experiences to the development of resilience. The vertical arrow represents YP aspirations and goals, and the horizontal arrow represents the passage of time that illustrates the continuation of the learning journey.  </w:t>
      </w:r>
    </w:p>
    <w:p w14:paraId="631412D2" w14:textId="77777777" w:rsidR="00421BB4" w:rsidRDefault="00421BB4" w:rsidP="00421BB4">
      <w:pPr>
        <w:spacing w:after="200" w:line="360" w:lineRule="auto"/>
        <w:ind w:firstLine="360"/>
        <w:jc w:val="both"/>
        <w:rPr>
          <w:rFonts w:eastAsiaTheme="minorHAnsi"/>
          <w:lang w:eastAsia="en-US"/>
        </w:rPr>
      </w:pPr>
      <w:r>
        <w:rPr>
          <w:rFonts w:eastAsiaTheme="minorHAnsi"/>
          <w:lang w:eastAsia="en-US"/>
        </w:rPr>
        <w:t>The</w:t>
      </w:r>
      <w:r w:rsidRPr="00BF1755">
        <w:rPr>
          <w:rFonts w:eastAsiaTheme="minorHAnsi"/>
          <w:lang w:eastAsia="en-US"/>
        </w:rPr>
        <w:t xml:space="preserve"> participant</w:t>
      </w:r>
      <w:r>
        <w:rPr>
          <w:rFonts w:eastAsiaTheme="minorHAnsi"/>
          <w:lang w:eastAsia="en-US"/>
        </w:rPr>
        <w:t>s</w:t>
      </w:r>
      <w:r w:rsidRPr="00BF1755">
        <w:rPr>
          <w:rFonts w:eastAsiaTheme="minorHAnsi"/>
          <w:lang w:eastAsia="en-US"/>
        </w:rPr>
        <w:t xml:space="preserve"> provided suggestions of what good transition support</w:t>
      </w:r>
      <w:r>
        <w:rPr>
          <w:rFonts w:eastAsiaTheme="minorHAnsi"/>
          <w:lang w:eastAsia="en-US"/>
        </w:rPr>
        <w:t xml:space="preserve"> and opportunities for wellbeing support</w:t>
      </w:r>
      <w:r w:rsidRPr="00BF1755">
        <w:rPr>
          <w:rFonts w:eastAsiaTheme="minorHAnsi"/>
          <w:lang w:eastAsia="en-US"/>
        </w:rPr>
        <w:t xml:space="preserve"> m</w:t>
      </w:r>
      <w:r>
        <w:rPr>
          <w:rFonts w:eastAsiaTheme="minorHAnsi"/>
          <w:lang w:eastAsia="en-US"/>
        </w:rPr>
        <w:t>ay</w:t>
      </w:r>
      <w:r w:rsidRPr="00BF1755">
        <w:rPr>
          <w:rFonts w:eastAsiaTheme="minorHAnsi"/>
          <w:lang w:eastAsia="en-US"/>
        </w:rPr>
        <w:t xml:space="preserve"> entail (see </w:t>
      </w:r>
      <w:r w:rsidRPr="00AA320F">
        <w:rPr>
          <w:rFonts w:eastAsiaTheme="minorHAnsi"/>
          <w:lang w:eastAsia="en-US"/>
        </w:rPr>
        <w:t xml:space="preserve">Appendix 20), </w:t>
      </w:r>
      <w:r w:rsidRPr="00BF1755">
        <w:rPr>
          <w:rFonts w:eastAsiaTheme="minorHAnsi"/>
          <w:lang w:eastAsia="en-US"/>
        </w:rPr>
        <w:t xml:space="preserve">and the findings revealed that this should be considered holistically and as part of their school timetable, as illustrated in </w:t>
      </w:r>
      <w:r w:rsidRPr="00255D4B">
        <w:rPr>
          <w:rFonts w:eastAsiaTheme="minorHAnsi"/>
          <w:i/>
          <w:iCs/>
          <w:lang w:eastAsia="en-US"/>
        </w:rPr>
        <w:t>figure 5.1.</w:t>
      </w:r>
      <w:r w:rsidRPr="00255D4B">
        <w:rPr>
          <w:rFonts w:eastAsiaTheme="minorHAnsi"/>
          <w:lang w:eastAsia="en-US"/>
        </w:rPr>
        <w:t xml:space="preserve"> </w:t>
      </w:r>
      <w:r w:rsidRPr="00BF1755">
        <w:rPr>
          <w:rFonts w:eastAsiaTheme="minorHAnsi"/>
          <w:lang w:eastAsia="en-US"/>
        </w:rPr>
        <w:t>The centre circle</w:t>
      </w:r>
      <w:r>
        <w:rPr>
          <w:rFonts w:eastAsiaTheme="minorHAnsi"/>
          <w:lang w:eastAsia="en-US"/>
        </w:rPr>
        <w:t xml:space="preserve"> therefore</w:t>
      </w:r>
      <w:r w:rsidRPr="00BF1755">
        <w:rPr>
          <w:rFonts w:eastAsiaTheme="minorHAnsi"/>
          <w:lang w:eastAsia="en-US"/>
        </w:rPr>
        <w:t xml:space="preserve"> </w:t>
      </w:r>
      <w:r>
        <w:rPr>
          <w:rFonts w:eastAsiaTheme="minorHAnsi"/>
          <w:lang w:eastAsia="en-US"/>
        </w:rPr>
        <w:t>places</w:t>
      </w:r>
      <w:r w:rsidRPr="00BF1755">
        <w:rPr>
          <w:rFonts w:eastAsiaTheme="minorHAnsi"/>
          <w:lang w:eastAsia="en-US"/>
        </w:rPr>
        <w:t xml:space="preserve"> the YP at the centre of their learning experience and illustrates a holistic viewpoint with </w:t>
      </w:r>
      <w:r>
        <w:rPr>
          <w:rFonts w:eastAsiaTheme="minorHAnsi"/>
          <w:lang w:eastAsia="en-US"/>
        </w:rPr>
        <w:t xml:space="preserve">the idea that it is useful to incorporate </w:t>
      </w:r>
      <w:r w:rsidRPr="00BF1755">
        <w:rPr>
          <w:rFonts w:eastAsiaTheme="minorHAnsi"/>
          <w:lang w:eastAsia="en-US"/>
        </w:rPr>
        <w:t xml:space="preserve">transition planning </w:t>
      </w:r>
      <w:r>
        <w:rPr>
          <w:rFonts w:eastAsiaTheme="minorHAnsi"/>
          <w:lang w:eastAsia="en-US"/>
        </w:rPr>
        <w:t>into the</w:t>
      </w:r>
      <w:r w:rsidRPr="00BF1755">
        <w:rPr>
          <w:rFonts w:eastAsiaTheme="minorHAnsi"/>
          <w:lang w:eastAsia="en-US"/>
        </w:rPr>
        <w:t xml:space="preserve"> educational experience. Significantly, the findings </w:t>
      </w:r>
      <w:r>
        <w:rPr>
          <w:rFonts w:eastAsiaTheme="minorHAnsi"/>
          <w:lang w:eastAsia="en-US"/>
        </w:rPr>
        <w:t>revealed that input from YP is not pursued and rather</w:t>
      </w:r>
      <w:r w:rsidRPr="00BF1755">
        <w:rPr>
          <w:rFonts w:eastAsiaTheme="minorHAnsi"/>
          <w:lang w:eastAsia="en-US"/>
        </w:rPr>
        <w:t xml:space="preserve"> adults </w:t>
      </w:r>
      <w:r>
        <w:rPr>
          <w:rFonts w:eastAsiaTheme="minorHAnsi"/>
          <w:lang w:eastAsia="en-US"/>
        </w:rPr>
        <w:t>plan and support a YPs’ transition separately</w:t>
      </w:r>
      <w:r w:rsidRPr="00BF1755">
        <w:rPr>
          <w:rFonts w:eastAsiaTheme="minorHAnsi"/>
          <w:lang w:eastAsia="en-US"/>
        </w:rPr>
        <w:t>. The participants reported</w:t>
      </w:r>
      <w:r>
        <w:rPr>
          <w:rFonts w:eastAsiaTheme="minorHAnsi"/>
          <w:lang w:eastAsia="en-US"/>
        </w:rPr>
        <w:t xml:space="preserve"> </w:t>
      </w:r>
      <w:r w:rsidRPr="00BF1755">
        <w:rPr>
          <w:rFonts w:eastAsiaTheme="minorHAnsi"/>
          <w:lang w:eastAsia="en-US"/>
        </w:rPr>
        <w:t>in their experiences that the approaches to transition support in schools is limited despite times of transition evoking negative feelings such as anxiety, fear, and unhappiness</w:t>
      </w:r>
      <w:r>
        <w:rPr>
          <w:rFonts w:eastAsiaTheme="minorHAnsi"/>
          <w:lang w:eastAsia="en-US"/>
        </w:rPr>
        <w:t>, as outlined by Spratt (2015).</w:t>
      </w:r>
    </w:p>
    <w:p w14:paraId="1422F35C" w14:textId="77777777" w:rsidR="00421BB4" w:rsidRDefault="00421BB4" w:rsidP="00421BB4">
      <w:pPr>
        <w:spacing w:after="200" w:line="360" w:lineRule="auto"/>
        <w:jc w:val="both"/>
        <w:rPr>
          <w:rFonts w:eastAsiaTheme="minorHAnsi"/>
          <w:u w:val="single"/>
          <w:lang w:eastAsia="en-US"/>
        </w:rPr>
      </w:pPr>
      <w:bookmarkStart w:id="47" w:name="PERSON"/>
      <w:r>
        <w:rPr>
          <w:rFonts w:eastAsiaTheme="minorHAnsi"/>
          <w:u w:val="single"/>
          <w:lang w:eastAsia="en-US"/>
        </w:rPr>
        <w:t xml:space="preserve">5.2 - </w:t>
      </w:r>
      <w:r w:rsidRPr="00A33BE1">
        <w:rPr>
          <w:rFonts w:eastAsiaTheme="minorHAnsi"/>
          <w:u w:val="single"/>
          <w:lang w:eastAsia="en-US"/>
        </w:rPr>
        <w:t>Person centredness</w:t>
      </w:r>
    </w:p>
    <w:bookmarkEnd w:id="47"/>
    <w:p w14:paraId="1BDEC792" w14:textId="77777777" w:rsidR="00421BB4" w:rsidRPr="00937E19" w:rsidRDefault="00421BB4" w:rsidP="00421BB4">
      <w:pPr>
        <w:spacing w:after="200" w:line="360" w:lineRule="auto"/>
        <w:ind w:firstLine="720"/>
        <w:jc w:val="both"/>
        <w:rPr>
          <w:bCs/>
        </w:rPr>
      </w:pPr>
      <w:r w:rsidRPr="00BF1755">
        <w:rPr>
          <w:rFonts w:eastAsiaTheme="minorHAnsi"/>
          <w:lang w:eastAsia="en-US"/>
        </w:rPr>
        <w:t>The findings fr</w:t>
      </w:r>
      <w:r>
        <w:rPr>
          <w:rFonts w:eastAsiaTheme="minorHAnsi"/>
          <w:lang w:eastAsia="en-US"/>
        </w:rPr>
        <w:t>o</w:t>
      </w:r>
      <w:r w:rsidRPr="00BF1755">
        <w:rPr>
          <w:rFonts w:eastAsiaTheme="minorHAnsi"/>
          <w:lang w:eastAsia="en-US"/>
        </w:rPr>
        <w:t xml:space="preserve">m this study </w:t>
      </w:r>
      <w:r>
        <w:rPr>
          <w:rFonts w:eastAsiaTheme="minorHAnsi"/>
          <w:lang w:eastAsia="en-US"/>
        </w:rPr>
        <w:t>reported</w:t>
      </w:r>
      <w:r w:rsidRPr="00BF1755">
        <w:rPr>
          <w:rFonts w:eastAsiaTheme="minorHAnsi"/>
          <w:lang w:eastAsia="en-US"/>
        </w:rPr>
        <w:t xml:space="preserve"> that wellbeing support in schools is gene</w:t>
      </w:r>
      <w:r>
        <w:rPr>
          <w:rFonts w:eastAsiaTheme="minorHAnsi"/>
          <w:lang w:eastAsia="en-US"/>
        </w:rPr>
        <w:t xml:space="preserve">ralised </w:t>
      </w:r>
      <w:r w:rsidRPr="00BF1755">
        <w:rPr>
          <w:rFonts w:eastAsiaTheme="minorHAnsi"/>
          <w:lang w:eastAsia="en-US"/>
        </w:rPr>
        <w:t xml:space="preserve">through adult </w:t>
      </w:r>
      <w:r>
        <w:rPr>
          <w:rFonts w:eastAsiaTheme="minorHAnsi"/>
          <w:lang w:eastAsia="en-US"/>
        </w:rPr>
        <w:t xml:space="preserve">led and planned </w:t>
      </w:r>
      <w:r w:rsidRPr="00BF1755">
        <w:rPr>
          <w:rFonts w:eastAsiaTheme="minorHAnsi"/>
          <w:lang w:eastAsia="en-US"/>
        </w:rPr>
        <w:t>wellbeing days</w:t>
      </w:r>
      <w:r>
        <w:rPr>
          <w:rFonts w:eastAsiaTheme="minorHAnsi"/>
          <w:lang w:eastAsia="en-US"/>
        </w:rPr>
        <w:t xml:space="preserve"> with a focus mainly on mental health.</w:t>
      </w:r>
      <w:r w:rsidRPr="00BF1755">
        <w:rPr>
          <w:rFonts w:eastAsiaTheme="minorHAnsi"/>
          <w:lang w:eastAsia="en-US"/>
        </w:rPr>
        <w:t xml:space="preserve"> </w:t>
      </w:r>
      <w:r>
        <w:rPr>
          <w:bCs/>
        </w:rPr>
        <w:t>Despite Pc</w:t>
      </w:r>
      <w:r w:rsidRPr="00BF1755">
        <w:rPr>
          <w:bCs/>
        </w:rPr>
        <w:t xml:space="preserve"> mention</w:t>
      </w:r>
      <w:r>
        <w:rPr>
          <w:bCs/>
        </w:rPr>
        <w:t>ing</w:t>
      </w:r>
      <w:r w:rsidRPr="00BF1755">
        <w:rPr>
          <w:bCs/>
        </w:rPr>
        <w:t xml:space="preserve"> support perhaps being offered to those more vulnerable, such as YP with Additional Learning Needs</w:t>
      </w:r>
      <w:r>
        <w:rPr>
          <w:bCs/>
        </w:rPr>
        <w:t xml:space="preserve"> (ALN)</w:t>
      </w:r>
      <w:r w:rsidRPr="00BF1755">
        <w:rPr>
          <w:bCs/>
        </w:rPr>
        <w:t xml:space="preserve">, </w:t>
      </w:r>
      <w:r>
        <w:rPr>
          <w:rFonts w:eastAsiaTheme="minorHAnsi"/>
          <w:lang w:eastAsia="en-US"/>
        </w:rPr>
        <w:t>t</w:t>
      </w:r>
      <w:r w:rsidRPr="00BF1755">
        <w:rPr>
          <w:rFonts w:eastAsiaTheme="minorHAnsi"/>
          <w:lang w:eastAsia="en-US"/>
        </w:rPr>
        <w:t>he participants were unaware of individualised wellbeing</w:t>
      </w:r>
      <w:r>
        <w:rPr>
          <w:rFonts w:eastAsiaTheme="minorHAnsi"/>
          <w:lang w:eastAsia="en-US"/>
        </w:rPr>
        <w:t xml:space="preserve"> support</w:t>
      </w:r>
      <w:r w:rsidRPr="00BF1755">
        <w:rPr>
          <w:rFonts w:eastAsiaTheme="minorHAnsi"/>
          <w:lang w:eastAsia="en-US"/>
        </w:rPr>
        <w:t xml:space="preserve"> during transition</w:t>
      </w:r>
      <w:r>
        <w:rPr>
          <w:rFonts w:eastAsiaTheme="minorHAnsi"/>
          <w:lang w:eastAsia="en-US"/>
        </w:rPr>
        <w:t xml:space="preserve">. Each felt, </w:t>
      </w:r>
      <w:r w:rsidRPr="00BF1755">
        <w:rPr>
          <w:rFonts w:eastAsiaTheme="minorHAnsi"/>
          <w:lang w:eastAsia="en-US"/>
        </w:rPr>
        <w:t xml:space="preserve">that in order to support wellbeing it is first necessary to involve YP </w:t>
      </w:r>
      <w:r>
        <w:rPr>
          <w:rFonts w:eastAsiaTheme="minorHAnsi"/>
          <w:lang w:eastAsia="en-US"/>
        </w:rPr>
        <w:t>in order to ascertain</w:t>
      </w:r>
      <w:r w:rsidRPr="00BF1755">
        <w:rPr>
          <w:rFonts w:eastAsiaTheme="minorHAnsi"/>
          <w:lang w:eastAsia="en-US"/>
        </w:rPr>
        <w:t xml:space="preserve"> if </w:t>
      </w:r>
      <w:r>
        <w:rPr>
          <w:rFonts w:eastAsiaTheme="minorHAnsi"/>
          <w:lang w:eastAsia="en-US"/>
        </w:rPr>
        <w:t xml:space="preserve">and how they </w:t>
      </w:r>
      <w:r w:rsidRPr="00BF1755">
        <w:rPr>
          <w:rFonts w:eastAsiaTheme="minorHAnsi"/>
          <w:lang w:eastAsia="en-US"/>
        </w:rPr>
        <w:t>require</w:t>
      </w:r>
      <w:r>
        <w:rPr>
          <w:rFonts w:eastAsiaTheme="minorHAnsi"/>
          <w:lang w:eastAsia="en-US"/>
        </w:rPr>
        <w:t xml:space="preserve"> </w:t>
      </w:r>
      <w:r w:rsidRPr="00BF1755">
        <w:rPr>
          <w:rFonts w:eastAsiaTheme="minorHAnsi"/>
          <w:lang w:eastAsia="en-US"/>
        </w:rPr>
        <w:t>wellbeing</w:t>
      </w:r>
      <w:r>
        <w:rPr>
          <w:rFonts w:eastAsiaTheme="minorHAnsi"/>
          <w:lang w:eastAsia="en-US"/>
        </w:rPr>
        <w:t xml:space="preserve"> </w:t>
      </w:r>
      <w:r w:rsidRPr="00BF1755">
        <w:rPr>
          <w:rFonts w:eastAsiaTheme="minorHAnsi"/>
          <w:lang w:eastAsia="en-US"/>
        </w:rPr>
        <w:t>support</w:t>
      </w:r>
      <w:r>
        <w:rPr>
          <w:rFonts w:eastAsiaTheme="minorHAnsi"/>
          <w:lang w:eastAsia="en-US"/>
        </w:rPr>
        <w:t xml:space="preserve">. This would mean placing wellbeing as a priority during transition, which was a finding made by </w:t>
      </w:r>
      <w:r w:rsidRPr="00713FF2">
        <w:rPr>
          <w:rFonts w:eastAsiaTheme="minorHAnsi"/>
          <w:lang w:eastAsia="en-US"/>
        </w:rPr>
        <w:t xml:space="preserve">Beynon </w:t>
      </w:r>
      <w:r w:rsidRPr="00A31BF0">
        <w:rPr>
          <w:rFonts w:eastAsiaTheme="minorHAnsi"/>
          <w:i/>
          <w:iCs/>
          <w:lang w:eastAsia="en-US"/>
        </w:rPr>
        <w:t>et al</w:t>
      </w:r>
      <w:r w:rsidRPr="00713FF2">
        <w:rPr>
          <w:rFonts w:eastAsiaTheme="minorHAnsi"/>
          <w:lang w:eastAsia="en-US"/>
        </w:rPr>
        <w:t>., 2018).</w:t>
      </w:r>
    </w:p>
    <w:p w14:paraId="4C9AF9E4" w14:textId="77777777" w:rsidR="00421BB4" w:rsidRDefault="00421BB4" w:rsidP="00421BB4">
      <w:pPr>
        <w:spacing w:after="200" w:line="360" w:lineRule="auto"/>
        <w:ind w:firstLine="360"/>
        <w:jc w:val="both"/>
        <w:rPr>
          <w:rFonts w:eastAsiaTheme="minorHAnsi"/>
          <w:lang w:eastAsia="en-US"/>
        </w:rPr>
      </w:pPr>
      <w:r w:rsidRPr="00BF1755">
        <w:rPr>
          <w:rFonts w:eastAsiaTheme="minorHAnsi"/>
          <w:lang w:eastAsia="en-US"/>
        </w:rPr>
        <w:t xml:space="preserve"> Analysis of the data also indicated that while there </w:t>
      </w:r>
      <w:r>
        <w:rPr>
          <w:rFonts w:eastAsiaTheme="minorHAnsi"/>
          <w:lang w:eastAsia="en-US"/>
        </w:rPr>
        <w:t>is</w:t>
      </w:r>
      <w:r w:rsidRPr="00BF1755">
        <w:rPr>
          <w:rFonts w:eastAsiaTheme="minorHAnsi"/>
          <w:lang w:eastAsia="en-US"/>
        </w:rPr>
        <w:t xml:space="preserve"> an expectation imposed on YP by adults to approach transition with maturity and responsib</w:t>
      </w:r>
      <w:r>
        <w:rPr>
          <w:rFonts w:eastAsiaTheme="minorHAnsi"/>
          <w:lang w:eastAsia="en-US"/>
        </w:rPr>
        <w:t>ly</w:t>
      </w:r>
      <w:r w:rsidRPr="00BF1755">
        <w:rPr>
          <w:rFonts w:eastAsiaTheme="minorHAnsi"/>
          <w:lang w:eastAsia="en-US"/>
        </w:rPr>
        <w:t xml:space="preserve">, </w:t>
      </w:r>
      <w:r>
        <w:rPr>
          <w:rFonts w:eastAsiaTheme="minorHAnsi"/>
          <w:lang w:eastAsia="en-US"/>
        </w:rPr>
        <w:t>YP</w:t>
      </w:r>
      <w:r w:rsidRPr="00BF1755">
        <w:rPr>
          <w:rFonts w:eastAsiaTheme="minorHAnsi"/>
          <w:lang w:eastAsia="en-US"/>
        </w:rPr>
        <w:t xml:space="preserve"> are </w:t>
      </w:r>
      <w:r>
        <w:rPr>
          <w:rFonts w:eastAsiaTheme="minorHAnsi"/>
          <w:lang w:eastAsia="en-US"/>
        </w:rPr>
        <w:t xml:space="preserve">paradoxically </w:t>
      </w:r>
      <w:r w:rsidRPr="00BF1755">
        <w:rPr>
          <w:rFonts w:eastAsiaTheme="minorHAnsi"/>
          <w:lang w:eastAsia="en-US"/>
        </w:rPr>
        <w:t>not consulted on matters relating to their</w:t>
      </w:r>
      <w:r>
        <w:rPr>
          <w:rFonts w:eastAsiaTheme="minorHAnsi"/>
          <w:lang w:eastAsia="en-US"/>
        </w:rPr>
        <w:t xml:space="preserve"> own</w:t>
      </w:r>
      <w:r w:rsidRPr="00BF1755">
        <w:rPr>
          <w:rFonts w:eastAsiaTheme="minorHAnsi"/>
          <w:lang w:eastAsia="en-US"/>
        </w:rPr>
        <w:t xml:space="preserve"> transition</w:t>
      </w:r>
      <w:r>
        <w:rPr>
          <w:rFonts w:eastAsiaTheme="minorHAnsi"/>
          <w:lang w:eastAsia="en-US"/>
        </w:rPr>
        <w:t xml:space="preserve">, </w:t>
      </w:r>
      <w:r w:rsidRPr="00BF1755">
        <w:rPr>
          <w:rFonts w:eastAsiaTheme="minorHAnsi"/>
          <w:lang w:eastAsia="en-US"/>
        </w:rPr>
        <w:t xml:space="preserve">thus </w:t>
      </w:r>
      <w:r>
        <w:rPr>
          <w:rFonts w:eastAsiaTheme="minorHAnsi"/>
          <w:lang w:eastAsia="en-US"/>
        </w:rPr>
        <w:t xml:space="preserve">undermining adults’ expectation for maturity </w:t>
      </w:r>
      <w:r w:rsidRPr="00A460B2">
        <w:rPr>
          <w:rFonts w:eastAsiaTheme="minorHAnsi"/>
          <w:lang w:eastAsia="en-US"/>
        </w:rPr>
        <w:t xml:space="preserve">(Piper 2008). </w:t>
      </w:r>
      <w:r w:rsidRPr="00BF1755">
        <w:rPr>
          <w:rFonts w:eastAsiaTheme="minorHAnsi"/>
          <w:lang w:eastAsia="en-US"/>
        </w:rPr>
        <w:t xml:space="preserve">This may be deemed </w:t>
      </w:r>
      <w:r>
        <w:rPr>
          <w:rFonts w:eastAsiaTheme="minorHAnsi"/>
          <w:lang w:eastAsia="en-US"/>
        </w:rPr>
        <w:t xml:space="preserve">inadequate </w:t>
      </w:r>
      <w:r w:rsidRPr="00BF1755">
        <w:rPr>
          <w:rFonts w:eastAsiaTheme="minorHAnsi"/>
          <w:lang w:eastAsia="en-US"/>
        </w:rPr>
        <w:t>in its attempt to truly include YP and align with the expectations of Article 12 of the UNCRC (Piper 2008</w:t>
      </w:r>
      <w:r>
        <w:rPr>
          <w:rFonts w:eastAsiaTheme="minorHAnsi"/>
          <w:lang w:eastAsia="en-US"/>
        </w:rPr>
        <w:t xml:space="preserve"> and Shier 2001</w:t>
      </w:r>
      <w:r w:rsidRPr="00BF1755">
        <w:rPr>
          <w:rFonts w:eastAsiaTheme="minorHAnsi"/>
          <w:lang w:eastAsia="en-US"/>
        </w:rPr>
        <w:t>).</w:t>
      </w:r>
      <w:r>
        <w:rPr>
          <w:rFonts w:eastAsiaTheme="minorHAnsi"/>
          <w:lang w:eastAsia="en-US"/>
        </w:rPr>
        <w:t xml:space="preserve"> F</w:t>
      </w:r>
      <w:r w:rsidRPr="00BF1755">
        <w:rPr>
          <w:rFonts w:eastAsiaTheme="minorHAnsi"/>
          <w:lang w:eastAsia="en-US"/>
        </w:rPr>
        <w:t>indings</w:t>
      </w:r>
      <w:r>
        <w:rPr>
          <w:rFonts w:eastAsiaTheme="minorHAnsi"/>
          <w:lang w:eastAsia="en-US"/>
        </w:rPr>
        <w:t xml:space="preserve"> from Chapter 2</w:t>
      </w:r>
      <w:r w:rsidRPr="00BF1755">
        <w:rPr>
          <w:rFonts w:eastAsiaTheme="minorHAnsi"/>
          <w:lang w:eastAsia="en-US"/>
        </w:rPr>
        <w:t xml:space="preserve"> acknowledge that </w:t>
      </w:r>
      <w:r>
        <w:rPr>
          <w:rFonts w:eastAsiaTheme="minorHAnsi"/>
          <w:lang w:eastAsia="en-US"/>
        </w:rPr>
        <w:t>YP</w:t>
      </w:r>
      <w:r w:rsidRPr="00BF1755">
        <w:rPr>
          <w:rFonts w:eastAsiaTheme="minorHAnsi"/>
          <w:lang w:eastAsia="en-US"/>
        </w:rPr>
        <w:t xml:space="preserve"> have a right to</w:t>
      </w:r>
      <w:r>
        <w:rPr>
          <w:rFonts w:eastAsiaTheme="minorHAnsi"/>
          <w:lang w:eastAsia="en-US"/>
        </w:rPr>
        <w:t xml:space="preserve"> be</w:t>
      </w:r>
      <w:r w:rsidRPr="00BF1755">
        <w:rPr>
          <w:rFonts w:eastAsiaTheme="minorHAnsi"/>
          <w:lang w:eastAsia="en-US"/>
        </w:rPr>
        <w:t xml:space="preserve"> </w:t>
      </w:r>
      <w:r>
        <w:rPr>
          <w:rFonts w:eastAsiaTheme="minorHAnsi"/>
          <w:lang w:eastAsia="en-US"/>
        </w:rPr>
        <w:t>listened to on</w:t>
      </w:r>
      <w:r w:rsidRPr="00BF1755">
        <w:rPr>
          <w:rFonts w:eastAsiaTheme="minorHAnsi"/>
          <w:lang w:eastAsia="en-US"/>
        </w:rPr>
        <w:t xml:space="preserve"> matters they consider important </w:t>
      </w:r>
      <w:r>
        <w:rPr>
          <w:rFonts w:eastAsiaTheme="minorHAnsi"/>
          <w:lang w:eastAsia="en-US"/>
        </w:rPr>
        <w:t xml:space="preserve">and so, </w:t>
      </w:r>
      <w:r w:rsidRPr="00BF1755">
        <w:rPr>
          <w:rFonts w:eastAsiaTheme="minorHAnsi"/>
          <w:lang w:eastAsia="en-US"/>
        </w:rPr>
        <w:t xml:space="preserve">engaging with them as </w:t>
      </w:r>
      <w:r>
        <w:rPr>
          <w:rFonts w:eastAsiaTheme="minorHAnsi"/>
          <w:lang w:eastAsia="en-US"/>
        </w:rPr>
        <w:t xml:space="preserve">equal </w:t>
      </w:r>
      <w:r w:rsidRPr="00BF1755">
        <w:rPr>
          <w:rFonts w:eastAsiaTheme="minorHAnsi"/>
          <w:lang w:eastAsia="en-US"/>
        </w:rPr>
        <w:t>influencers of policy and decision-making is</w:t>
      </w:r>
      <w:r>
        <w:rPr>
          <w:rFonts w:eastAsiaTheme="minorHAnsi"/>
          <w:lang w:eastAsia="en-US"/>
        </w:rPr>
        <w:t xml:space="preserve"> therefore</w:t>
      </w:r>
      <w:r w:rsidRPr="00BF1755">
        <w:rPr>
          <w:rFonts w:eastAsiaTheme="minorHAnsi"/>
          <w:lang w:eastAsia="en-US"/>
        </w:rPr>
        <w:t xml:space="preserve"> considered good practice (Leach and Lewis 2012). This research study </w:t>
      </w:r>
      <w:r>
        <w:rPr>
          <w:rFonts w:eastAsiaTheme="minorHAnsi"/>
          <w:lang w:eastAsia="en-US"/>
        </w:rPr>
        <w:t xml:space="preserve">can be seen to </w:t>
      </w:r>
      <w:r w:rsidRPr="00BF1755">
        <w:rPr>
          <w:rFonts w:eastAsiaTheme="minorHAnsi"/>
          <w:lang w:eastAsia="en-US"/>
        </w:rPr>
        <w:t>offer</w:t>
      </w:r>
      <w:r>
        <w:rPr>
          <w:rFonts w:eastAsiaTheme="minorHAnsi"/>
          <w:lang w:eastAsia="en-US"/>
        </w:rPr>
        <w:t xml:space="preserve"> further</w:t>
      </w:r>
      <w:r w:rsidRPr="00BF1755">
        <w:rPr>
          <w:rFonts w:eastAsiaTheme="minorHAnsi"/>
          <w:lang w:eastAsia="en-US"/>
        </w:rPr>
        <w:t xml:space="preserve"> scope to involve YP in </w:t>
      </w:r>
      <w:r>
        <w:rPr>
          <w:rFonts w:eastAsiaTheme="minorHAnsi"/>
          <w:lang w:eastAsia="en-US"/>
        </w:rPr>
        <w:t>decisions relating to their transitional wellbeing. All</w:t>
      </w:r>
      <w:r w:rsidRPr="00BF1755">
        <w:rPr>
          <w:rFonts w:eastAsiaTheme="minorHAnsi"/>
          <w:lang w:eastAsia="en-US"/>
        </w:rPr>
        <w:t xml:space="preserve"> participants</w:t>
      </w:r>
      <w:r>
        <w:rPr>
          <w:rFonts w:eastAsiaTheme="minorHAnsi"/>
          <w:lang w:eastAsia="en-US"/>
        </w:rPr>
        <w:t xml:space="preserve"> </w:t>
      </w:r>
      <w:r>
        <w:rPr>
          <w:rFonts w:eastAsiaTheme="minorHAnsi"/>
          <w:lang w:eastAsia="en-US"/>
        </w:rPr>
        <w:lastRenderedPageBreak/>
        <w:t>of the interviews</w:t>
      </w:r>
      <w:r w:rsidRPr="00BF1755">
        <w:rPr>
          <w:rFonts w:eastAsiaTheme="minorHAnsi"/>
          <w:lang w:eastAsia="en-US"/>
        </w:rPr>
        <w:t xml:space="preserve"> agreed </w:t>
      </w:r>
      <w:r>
        <w:rPr>
          <w:rFonts w:eastAsiaTheme="minorHAnsi"/>
          <w:lang w:eastAsia="en-US"/>
        </w:rPr>
        <w:t>with this, stating that</w:t>
      </w:r>
      <w:r w:rsidRPr="00BF1755">
        <w:rPr>
          <w:rFonts w:eastAsiaTheme="minorHAnsi"/>
          <w:lang w:eastAsia="en-US"/>
        </w:rPr>
        <w:t xml:space="preserve"> they should be fully involved in all aspects of their transition </w:t>
      </w:r>
      <w:r>
        <w:rPr>
          <w:rFonts w:eastAsiaTheme="minorHAnsi"/>
          <w:lang w:eastAsia="en-US"/>
        </w:rPr>
        <w:t xml:space="preserve">which in turn would allow them to plan and set </w:t>
      </w:r>
      <w:r w:rsidRPr="00BF1755">
        <w:rPr>
          <w:rFonts w:eastAsiaTheme="minorHAnsi"/>
          <w:lang w:eastAsia="en-US"/>
        </w:rPr>
        <w:t xml:space="preserve">future goals and aspirations. </w:t>
      </w:r>
    </w:p>
    <w:p w14:paraId="70716F1A" w14:textId="77777777" w:rsidR="00421BB4" w:rsidRDefault="00421BB4" w:rsidP="00421BB4">
      <w:pPr>
        <w:spacing w:after="200" w:line="360" w:lineRule="auto"/>
        <w:ind w:firstLine="360"/>
        <w:jc w:val="both"/>
        <w:rPr>
          <w:rFonts w:eastAsiaTheme="minorHAnsi"/>
          <w:lang w:eastAsia="en-US"/>
        </w:rPr>
      </w:pPr>
      <w:r w:rsidRPr="00BF1755">
        <w:rPr>
          <w:rFonts w:eastAsiaTheme="minorHAnsi"/>
          <w:lang w:eastAsia="en-US"/>
        </w:rPr>
        <w:t>While the Curriculum for Wales</w:t>
      </w:r>
      <w:r>
        <w:rPr>
          <w:rFonts w:eastAsiaTheme="minorHAnsi"/>
          <w:lang w:eastAsia="en-US"/>
        </w:rPr>
        <w:t>,</w:t>
      </w:r>
      <w:r w:rsidRPr="00BF1755">
        <w:rPr>
          <w:rFonts w:eastAsiaTheme="minorHAnsi"/>
          <w:lang w:eastAsia="en-US"/>
        </w:rPr>
        <w:t xml:space="preserve"> with its holistic approach</w:t>
      </w:r>
      <w:r>
        <w:rPr>
          <w:rFonts w:eastAsiaTheme="minorHAnsi"/>
          <w:lang w:eastAsia="en-US"/>
        </w:rPr>
        <w:t xml:space="preserve">, </w:t>
      </w:r>
      <w:r w:rsidRPr="00BF1755">
        <w:rPr>
          <w:rFonts w:eastAsiaTheme="minorHAnsi"/>
          <w:lang w:eastAsia="en-US"/>
        </w:rPr>
        <w:t>provides a dedicated area of learning to Health and Wellbeing, it must be noted that the curriculum only extends from three to sixteen years of age (WG 20</w:t>
      </w:r>
      <w:r>
        <w:rPr>
          <w:rFonts w:eastAsiaTheme="minorHAnsi"/>
          <w:lang w:eastAsia="en-US"/>
        </w:rPr>
        <w:t>19g</w:t>
      </w:r>
      <w:r w:rsidRPr="00BF1755">
        <w:rPr>
          <w:rFonts w:eastAsiaTheme="minorHAnsi"/>
          <w:lang w:eastAsia="en-US"/>
        </w:rPr>
        <w:t xml:space="preserve">). Its ethos however is being echoed within the pending new </w:t>
      </w:r>
      <w:r w:rsidRPr="00FB7C7B">
        <w:rPr>
          <w:rFonts w:eastAsiaTheme="minorHAnsi"/>
          <w:lang w:eastAsia="en-US"/>
        </w:rPr>
        <w:t xml:space="preserve">Post 16 Tertiary bill, with the aim to support the learning continuum across all stages of learning including P16 and beyond (WG 2021a). </w:t>
      </w:r>
      <w:r>
        <w:rPr>
          <w:rFonts w:eastAsiaTheme="minorHAnsi"/>
          <w:lang w:eastAsia="en-US"/>
        </w:rPr>
        <w:t>Therefore, findings from this study suggest that b</w:t>
      </w:r>
      <w:r w:rsidRPr="00BF1755">
        <w:rPr>
          <w:rFonts w:eastAsiaTheme="minorHAnsi"/>
          <w:lang w:eastAsia="en-US"/>
        </w:rPr>
        <w:t xml:space="preserve">y incorporating P16 transition opportunities within the timetable, for example, </w:t>
      </w:r>
      <w:r>
        <w:rPr>
          <w:rFonts w:eastAsiaTheme="minorHAnsi"/>
          <w:lang w:eastAsia="en-US"/>
        </w:rPr>
        <w:t xml:space="preserve">Health and </w:t>
      </w:r>
      <w:r w:rsidRPr="00BF1755">
        <w:rPr>
          <w:rFonts w:eastAsiaTheme="minorHAnsi"/>
          <w:lang w:eastAsia="en-US"/>
        </w:rPr>
        <w:t>the skills based compulsory Welsh Baccalaureate programme of study</w:t>
      </w:r>
      <w:r>
        <w:rPr>
          <w:rFonts w:eastAsiaTheme="minorHAnsi"/>
          <w:lang w:eastAsia="en-US"/>
        </w:rPr>
        <w:t xml:space="preserve"> or in the Health and Wellbeing area of learning</w:t>
      </w:r>
      <w:r w:rsidRPr="00BF1755">
        <w:rPr>
          <w:rFonts w:eastAsiaTheme="minorHAnsi"/>
          <w:lang w:eastAsia="en-US"/>
        </w:rPr>
        <w:t xml:space="preserve">, the opportunity for YP to develop the skills necessary </w:t>
      </w:r>
      <w:r>
        <w:rPr>
          <w:rFonts w:eastAsiaTheme="minorHAnsi"/>
          <w:lang w:eastAsia="en-US"/>
        </w:rPr>
        <w:t xml:space="preserve">to </w:t>
      </w:r>
      <w:r w:rsidRPr="00BF1755">
        <w:rPr>
          <w:rFonts w:eastAsiaTheme="minorHAnsi"/>
          <w:lang w:eastAsia="en-US"/>
        </w:rPr>
        <w:t>continue on their learning journey may be supported (WG 20</w:t>
      </w:r>
      <w:r>
        <w:rPr>
          <w:rFonts w:eastAsiaTheme="minorHAnsi"/>
          <w:lang w:eastAsia="en-US"/>
        </w:rPr>
        <w:t>19g</w:t>
      </w:r>
      <w:r w:rsidRPr="00BF1755">
        <w:rPr>
          <w:rFonts w:eastAsiaTheme="minorHAnsi"/>
          <w:lang w:eastAsia="en-US"/>
        </w:rPr>
        <w:t xml:space="preserve">). This study offers possible suggestions to the types of activities that YP deem as essential </w:t>
      </w:r>
      <w:r>
        <w:rPr>
          <w:rFonts w:eastAsiaTheme="minorHAnsi"/>
          <w:lang w:eastAsia="en-US"/>
        </w:rPr>
        <w:t xml:space="preserve">for a </w:t>
      </w:r>
      <w:r w:rsidRPr="00BF1755">
        <w:rPr>
          <w:rFonts w:eastAsiaTheme="minorHAnsi"/>
          <w:lang w:eastAsia="en-US"/>
        </w:rPr>
        <w:t xml:space="preserve">smooth transition </w:t>
      </w:r>
      <w:r w:rsidRPr="00733C33">
        <w:rPr>
          <w:rFonts w:eastAsiaTheme="minorHAnsi"/>
          <w:lang w:eastAsia="en-US"/>
        </w:rPr>
        <w:t xml:space="preserve">(see Appendix 20). </w:t>
      </w:r>
      <w:r w:rsidRPr="00BF1755">
        <w:rPr>
          <w:rFonts w:eastAsiaTheme="minorHAnsi"/>
          <w:lang w:eastAsia="en-US"/>
        </w:rPr>
        <w:t>While incorporating transition support within curriculum planning may serve as an opportunity to explore transition in more depth,</w:t>
      </w:r>
      <w:r>
        <w:rPr>
          <w:rFonts w:eastAsiaTheme="minorHAnsi"/>
          <w:lang w:eastAsia="en-US"/>
        </w:rPr>
        <w:t xml:space="preserve"> it</w:t>
      </w:r>
      <w:r w:rsidRPr="00BF1755">
        <w:rPr>
          <w:rFonts w:eastAsiaTheme="minorHAnsi"/>
          <w:lang w:eastAsia="en-US"/>
        </w:rPr>
        <w:t xml:space="preserve"> may begin with the view of ‘transitioning well’, whereby good transition support underpins wellbeing support</w:t>
      </w:r>
      <w:r>
        <w:rPr>
          <w:rFonts w:eastAsiaTheme="minorHAnsi"/>
          <w:lang w:eastAsia="en-US"/>
        </w:rPr>
        <w:t xml:space="preserve">; both being </w:t>
      </w:r>
      <w:r w:rsidRPr="00BF1755">
        <w:rPr>
          <w:rFonts w:eastAsiaTheme="minorHAnsi"/>
          <w:lang w:eastAsia="en-US"/>
        </w:rPr>
        <w:t xml:space="preserve">viewed as equally valuable and inextricably linked (Dex and Hollingworth 2012). </w:t>
      </w:r>
    </w:p>
    <w:p w14:paraId="4AC01907" w14:textId="77777777" w:rsidR="00421BB4" w:rsidRPr="00862249" w:rsidRDefault="00421BB4" w:rsidP="00421BB4">
      <w:pPr>
        <w:spacing w:after="200" w:line="360" w:lineRule="auto"/>
        <w:ind w:firstLine="360"/>
        <w:jc w:val="both"/>
        <w:rPr>
          <w:rFonts w:eastAsiaTheme="minorHAnsi"/>
          <w:color w:val="FF0000"/>
          <w:lang w:eastAsia="en-US"/>
        </w:rPr>
      </w:pPr>
      <w:r w:rsidRPr="00670CCA">
        <w:rPr>
          <w:rFonts w:eastAsiaTheme="minorHAnsi"/>
          <w:b/>
          <w:bCs/>
          <w:noProof/>
          <w:sz w:val="28"/>
          <w:szCs w:val="28"/>
          <w:lang w:eastAsia="en-US"/>
        </w:rPr>
        <w:drawing>
          <wp:anchor distT="0" distB="0" distL="114300" distR="114300" simplePos="0" relativeHeight="251664384" behindDoc="0" locked="0" layoutInCell="1" allowOverlap="1" wp14:anchorId="7688321F" wp14:editId="61F7B46A">
            <wp:simplePos x="0" y="0"/>
            <wp:positionH relativeFrom="margin">
              <wp:posOffset>2649624</wp:posOffset>
            </wp:positionH>
            <wp:positionV relativeFrom="paragraph">
              <wp:posOffset>1879831</wp:posOffset>
            </wp:positionV>
            <wp:extent cx="2884805" cy="2327275"/>
            <wp:effectExtent l="19050" t="0" r="29845" b="34925"/>
            <wp:wrapSquare wrapText="bothSides"/>
            <wp:docPr id="69" name="Diagram 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Pr>
          <w:rFonts w:eastAsiaTheme="minorHAnsi"/>
          <w:lang w:eastAsia="en-US"/>
        </w:rPr>
        <w:t xml:space="preserve">As outlined in Chapter 2 and in the findings of this study, life transition such as starting sixth form, college and university can be a time of high stress for YP and therefore, can result in a range of negative emotions and lower SEWB </w:t>
      </w:r>
      <w:r w:rsidRPr="00BF1755">
        <w:rPr>
          <w:rFonts w:eastAsiaTheme="minorHAnsi"/>
          <w:lang w:eastAsia="en-US"/>
        </w:rPr>
        <w:t xml:space="preserve">(Baum, 1990, </w:t>
      </w:r>
      <w:r w:rsidRPr="00950806">
        <w:rPr>
          <w:rFonts w:eastAsiaTheme="minorHAnsi"/>
          <w:i/>
          <w:iCs/>
          <w:lang w:eastAsia="en-US"/>
        </w:rPr>
        <w:t>cited in</w:t>
      </w:r>
      <w:r w:rsidRPr="00BF1755">
        <w:rPr>
          <w:rFonts w:eastAsiaTheme="minorHAnsi"/>
          <w:lang w:eastAsia="en-US"/>
        </w:rPr>
        <w:t xml:space="preserve"> Praharso </w:t>
      </w:r>
      <w:r w:rsidRPr="007C4ABD">
        <w:rPr>
          <w:rFonts w:eastAsiaTheme="minorHAnsi"/>
          <w:i/>
          <w:iCs/>
          <w:lang w:eastAsia="en-US"/>
        </w:rPr>
        <w:t>et al</w:t>
      </w:r>
      <w:r w:rsidRPr="00BF1755">
        <w:rPr>
          <w:rFonts w:eastAsiaTheme="minorHAnsi"/>
          <w:lang w:eastAsia="en-US"/>
        </w:rPr>
        <w:t>., 2016).</w:t>
      </w:r>
      <w:r>
        <w:rPr>
          <w:rFonts w:eastAsiaTheme="minorHAnsi"/>
          <w:lang w:eastAsia="en-US"/>
        </w:rPr>
        <w:t xml:space="preserve"> The idea of achieving a higher level of SEWB was linked to Maslow’s Hierarchy of Needs (1954) in Chapter 2. The Model for Transitioning Well (below), based on Maslow’s Model (1954), illustrates how achieving a good level of transition planning can help to fulfil increased SEWB and increase resilience to meet goals and aspirations.  </w:t>
      </w:r>
    </w:p>
    <w:p w14:paraId="468D00A0" w14:textId="77777777" w:rsidR="00421BB4" w:rsidRPr="00670CCA" w:rsidRDefault="00421BB4" w:rsidP="00421BB4">
      <w:pPr>
        <w:spacing w:after="200" w:line="360" w:lineRule="auto"/>
        <w:jc w:val="both"/>
        <w:rPr>
          <w:rFonts w:eastAsiaTheme="minorHAnsi"/>
          <w:b/>
          <w:bCs/>
          <w:lang w:eastAsia="en-US"/>
        </w:rPr>
      </w:pPr>
      <w:r w:rsidRPr="00670CCA">
        <w:rPr>
          <w:rFonts w:eastAsiaTheme="minorHAnsi"/>
          <w:b/>
          <w:bCs/>
          <w:lang w:eastAsia="en-US"/>
        </w:rPr>
        <w:t>5.2 Transitioning Well Model</w:t>
      </w:r>
    </w:p>
    <w:p w14:paraId="2A5DE739" w14:textId="77777777" w:rsidR="00421BB4" w:rsidRDefault="00421BB4" w:rsidP="00421BB4">
      <w:pPr>
        <w:spacing w:after="200" w:line="360" w:lineRule="auto"/>
        <w:jc w:val="both"/>
        <w:rPr>
          <w:rFonts w:eastAsiaTheme="minorHAnsi"/>
          <w:u w:val="single"/>
          <w:lang w:eastAsia="en-US"/>
        </w:rPr>
      </w:pPr>
    </w:p>
    <w:p w14:paraId="6F7C3B2A" w14:textId="77777777" w:rsidR="00421BB4" w:rsidRDefault="00421BB4" w:rsidP="00421BB4">
      <w:pPr>
        <w:spacing w:after="200" w:line="360" w:lineRule="auto"/>
        <w:jc w:val="both"/>
        <w:rPr>
          <w:rFonts w:eastAsiaTheme="minorHAnsi"/>
          <w:u w:val="single"/>
          <w:lang w:eastAsia="en-US"/>
        </w:rPr>
      </w:pPr>
    </w:p>
    <w:p w14:paraId="0BF6A2B6" w14:textId="77777777" w:rsidR="00421BB4" w:rsidRDefault="00421BB4" w:rsidP="00421BB4">
      <w:pPr>
        <w:spacing w:after="200" w:line="360" w:lineRule="auto"/>
        <w:jc w:val="both"/>
        <w:rPr>
          <w:rFonts w:eastAsiaTheme="minorHAnsi"/>
          <w:u w:val="single"/>
          <w:lang w:eastAsia="en-US"/>
        </w:rPr>
      </w:pPr>
    </w:p>
    <w:p w14:paraId="0FCCDBB0" w14:textId="77777777" w:rsidR="00421BB4" w:rsidRDefault="00421BB4" w:rsidP="00421BB4">
      <w:pPr>
        <w:spacing w:after="200" w:line="360" w:lineRule="auto"/>
        <w:jc w:val="both"/>
        <w:rPr>
          <w:rFonts w:eastAsiaTheme="minorHAnsi"/>
          <w:u w:val="single"/>
          <w:lang w:eastAsia="en-US"/>
        </w:rPr>
      </w:pPr>
    </w:p>
    <w:p w14:paraId="4114B1EC" w14:textId="77777777" w:rsidR="00421BB4" w:rsidRDefault="00421BB4" w:rsidP="00421BB4">
      <w:pPr>
        <w:spacing w:after="200" w:line="360" w:lineRule="auto"/>
        <w:jc w:val="both"/>
        <w:rPr>
          <w:rFonts w:eastAsiaTheme="minorHAnsi"/>
          <w:i/>
          <w:iCs/>
          <w:lang w:eastAsia="en-US"/>
        </w:rPr>
      </w:pPr>
      <w:r w:rsidRPr="00E606ED">
        <w:rPr>
          <w:rFonts w:eastAsiaTheme="minorHAnsi"/>
          <w:i/>
          <w:iCs/>
          <w:lang w:eastAsia="en-US"/>
        </w:rPr>
        <w:t>Figure 5.2</w:t>
      </w:r>
      <w:r>
        <w:rPr>
          <w:rFonts w:eastAsiaTheme="minorHAnsi"/>
          <w:i/>
          <w:iCs/>
          <w:lang w:eastAsia="en-US"/>
        </w:rPr>
        <w:t xml:space="preserve"> Transitioning Well</w:t>
      </w:r>
    </w:p>
    <w:p w14:paraId="51FA9369" w14:textId="77777777" w:rsidR="00421BB4" w:rsidRPr="00905606" w:rsidRDefault="00421BB4" w:rsidP="00421BB4">
      <w:pPr>
        <w:spacing w:after="200" w:line="360" w:lineRule="auto"/>
        <w:jc w:val="both"/>
        <w:rPr>
          <w:rFonts w:eastAsiaTheme="minorHAnsi"/>
          <w:i/>
          <w:iCs/>
          <w:lang w:eastAsia="en-US"/>
        </w:rPr>
      </w:pPr>
      <w:bookmarkStart w:id="48" w:name="SECURITY"/>
      <w:r>
        <w:rPr>
          <w:rFonts w:eastAsiaTheme="minorHAnsi"/>
          <w:u w:val="single"/>
          <w:lang w:eastAsia="en-US"/>
        </w:rPr>
        <w:lastRenderedPageBreak/>
        <w:t xml:space="preserve">5.3 - </w:t>
      </w:r>
      <w:r w:rsidRPr="00162EAF">
        <w:rPr>
          <w:rFonts w:eastAsiaTheme="minorHAnsi"/>
          <w:u w:val="single"/>
          <w:lang w:eastAsia="en-US"/>
        </w:rPr>
        <w:t xml:space="preserve">Security and </w:t>
      </w:r>
      <w:r>
        <w:rPr>
          <w:rFonts w:eastAsiaTheme="minorHAnsi"/>
          <w:u w:val="single"/>
          <w:lang w:eastAsia="en-US"/>
        </w:rPr>
        <w:t>S</w:t>
      </w:r>
      <w:r w:rsidRPr="00162EAF">
        <w:rPr>
          <w:rFonts w:eastAsiaTheme="minorHAnsi"/>
          <w:u w:val="single"/>
          <w:lang w:eastAsia="en-US"/>
        </w:rPr>
        <w:t>ocialisation</w:t>
      </w:r>
    </w:p>
    <w:bookmarkEnd w:id="48"/>
    <w:p w14:paraId="14F5F378" w14:textId="77777777" w:rsidR="00421BB4" w:rsidRDefault="00421BB4" w:rsidP="00421BB4">
      <w:pPr>
        <w:widowControl w:val="0"/>
        <w:overflowPunct w:val="0"/>
        <w:autoSpaceDE w:val="0"/>
        <w:autoSpaceDN w:val="0"/>
        <w:adjustRightInd w:val="0"/>
        <w:spacing w:line="360" w:lineRule="auto"/>
        <w:ind w:firstLine="360"/>
        <w:jc w:val="both"/>
        <w:rPr>
          <w:rFonts w:eastAsiaTheme="minorHAnsi"/>
          <w:b/>
          <w:bCs/>
          <w:color w:val="FF0000"/>
          <w:lang w:eastAsia="en-US"/>
        </w:rPr>
      </w:pPr>
      <w:r w:rsidRPr="00BF1755">
        <w:rPr>
          <w:rFonts w:eastAsiaTheme="minorHAnsi"/>
          <w:lang w:eastAsia="en-US"/>
        </w:rPr>
        <w:t xml:space="preserve">Discoveries within this study revealed that it is relationships with friends and peers that provide the most significant support to overall </w:t>
      </w:r>
      <w:r>
        <w:rPr>
          <w:rFonts w:eastAsiaTheme="minorHAnsi"/>
          <w:lang w:eastAsia="en-US"/>
        </w:rPr>
        <w:t>SEWB</w:t>
      </w:r>
      <w:r w:rsidRPr="00BF1755">
        <w:rPr>
          <w:rFonts w:eastAsiaTheme="minorHAnsi"/>
          <w:lang w:eastAsia="en-US"/>
        </w:rPr>
        <w:t xml:space="preserve"> during times of transition</w:t>
      </w:r>
      <w:r>
        <w:rPr>
          <w:rFonts w:eastAsiaTheme="minorHAnsi"/>
          <w:lang w:eastAsia="en-US"/>
        </w:rPr>
        <w:t xml:space="preserve">. </w:t>
      </w:r>
      <w:r w:rsidRPr="00BF1755">
        <w:rPr>
          <w:rFonts w:eastAsiaTheme="minorHAnsi"/>
          <w:lang w:eastAsia="en-US"/>
        </w:rPr>
        <w:t>The school environment can therefore be counterproductive in supporting wellbeing during transition as most wellbeing and transition support is orchestrated, designed and delivered by adults</w:t>
      </w:r>
      <w:r>
        <w:rPr>
          <w:rFonts w:eastAsiaTheme="minorHAnsi"/>
          <w:lang w:eastAsia="en-US"/>
        </w:rPr>
        <w:t xml:space="preserve"> and not the peers of YP</w:t>
      </w:r>
      <w:r w:rsidRPr="00BF1755">
        <w:rPr>
          <w:rFonts w:eastAsiaTheme="minorHAnsi"/>
          <w:lang w:eastAsia="en-US"/>
        </w:rPr>
        <w:t xml:space="preserve"> (Gough 1992)</w:t>
      </w:r>
      <w:r w:rsidRPr="00BF1755">
        <w:rPr>
          <w:rFonts w:eastAsiaTheme="minorHAnsi"/>
          <w:b/>
          <w:bCs/>
          <w:lang w:eastAsia="en-US"/>
        </w:rPr>
        <w:t xml:space="preserve">. </w:t>
      </w:r>
      <w:r w:rsidRPr="00BF1755">
        <w:rPr>
          <w:rFonts w:eastAsiaTheme="minorHAnsi"/>
          <w:lang w:eastAsia="en-US"/>
        </w:rPr>
        <w:t xml:space="preserve">Current understanding surrounding security within transition support states that placing the YP at the </w:t>
      </w:r>
      <w:r>
        <w:rPr>
          <w:rFonts w:eastAsiaTheme="minorHAnsi"/>
          <w:lang w:eastAsia="en-US"/>
        </w:rPr>
        <w:t xml:space="preserve">centre </w:t>
      </w:r>
      <w:r w:rsidRPr="00BF1755">
        <w:rPr>
          <w:rFonts w:eastAsiaTheme="minorHAnsi"/>
          <w:lang w:eastAsia="en-US"/>
        </w:rPr>
        <w:t>of their educational journey during their transition experience helps to enhance their overall sense of security (Symonds 2015). Indeed, the findings from this research highlighted that emotional security, a sense of belonging, feeling valued, increased self-esteem are</w:t>
      </w:r>
      <w:r>
        <w:rPr>
          <w:rFonts w:eastAsiaTheme="minorHAnsi"/>
          <w:lang w:eastAsia="en-US"/>
        </w:rPr>
        <w:t xml:space="preserve"> fundamental</w:t>
      </w:r>
      <w:r w:rsidRPr="00BF1755">
        <w:rPr>
          <w:rFonts w:eastAsiaTheme="minorHAnsi"/>
          <w:lang w:eastAsia="en-US"/>
        </w:rPr>
        <w:t xml:space="preserve"> factors to a successful transition</w:t>
      </w:r>
      <w:r>
        <w:rPr>
          <w:rFonts w:eastAsiaTheme="minorHAnsi"/>
          <w:lang w:eastAsia="en-US"/>
        </w:rPr>
        <w:t>.</w:t>
      </w:r>
    </w:p>
    <w:p w14:paraId="3A8A11A5" w14:textId="77777777" w:rsidR="00421BB4" w:rsidRDefault="00421BB4" w:rsidP="00421BB4">
      <w:pPr>
        <w:widowControl w:val="0"/>
        <w:overflowPunct w:val="0"/>
        <w:autoSpaceDE w:val="0"/>
        <w:autoSpaceDN w:val="0"/>
        <w:adjustRightInd w:val="0"/>
        <w:spacing w:line="360" w:lineRule="auto"/>
        <w:ind w:firstLine="360"/>
        <w:jc w:val="both"/>
        <w:rPr>
          <w:rFonts w:eastAsiaTheme="minorHAnsi"/>
          <w:lang w:eastAsia="en-US"/>
        </w:rPr>
      </w:pPr>
      <w:r w:rsidRPr="00BF1755">
        <w:rPr>
          <w:rFonts w:eastAsiaTheme="minorHAnsi"/>
          <w:lang w:eastAsia="en-US"/>
        </w:rPr>
        <w:t xml:space="preserve">The findings clearly outline how specific areas of transition support can help to enhance an overall sense of security in a new </w:t>
      </w:r>
      <w:r>
        <w:rPr>
          <w:rFonts w:eastAsiaTheme="minorHAnsi"/>
          <w:lang w:eastAsia="en-US"/>
        </w:rPr>
        <w:t>environment</w:t>
      </w:r>
      <w:r w:rsidRPr="00BF1755">
        <w:rPr>
          <w:rFonts w:eastAsiaTheme="minorHAnsi"/>
          <w:lang w:eastAsia="en-US"/>
        </w:rPr>
        <w:t xml:space="preserve">. Each participant noted the negative emotional experiences faced by some YP when transitioning such as anxiety when </w:t>
      </w:r>
      <w:r>
        <w:rPr>
          <w:rFonts w:eastAsiaTheme="minorHAnsi"/>
          <w:lang w:eastAsia="en-US"/>
        </w:rPr>
        <w:t>‘</w:t>
      </w:r>
      <w:r w:rsidRPr="00BF1755">
        <w:rPr>
          <w:rFonts w:eastAsiaTheme="minorHAnsi"/>
          <w:lang w:eastAsia="en-US"/>
        </w:rPr>
        <w:t>thrown in the deep end</w:t>
      </w:r>
      <w:r>
        <w:rPr>
          <w:rFonts w:eastAsiaTheme="minorHAnsi"/>
          <w:lang w:eastAsia="en-US"/>
        </w:rPr>
        <w:t>’</w:t>
      </w:r>
      <w:r w:rsidRPr="00BF1755">
        <w:rPr>
          <w:rFonts w:eastAsiaTheme="minorHAnsi"/>
          <w:lang w:eastAsia="en-US"/>
        </w:rPr>
        <w:t xml:space="preserve"> which can result in disengagement and lack of retainment. The results also highlighted that socialisation </w:t>
      </w:r>
      <w:r>
        <w:rPr>
          <w:rFonts w:eastAsiaTheme="minorHAnsi"/>
          <w:lang w:eastAsia="en-US"/>
        </w:rPr>
        <w:t>in</w:t>
      </w:r>
      <w:r w:rsidRPr="00BF1755">
        <w:rPr>
          <w:rFonts w:eastAsiaTheme="minorHAnsi"/>
          <w:lang w:eastAsia="en-US"/>
        </w:rPr>
        <w:t>directly linked to transition or wellbeing support within schools</w:t>
      </w:r>
      <w:r>
        <w:rPr>
          <w:rFonts w:eastAsiaTheme="minorHAnsi"/>
          <w:lang w:eastAsia="en-US"/>
        </w:rPr>
        <w:t xml:space="preserve">, </w:t>
      </w:r>
      <w:r w:rsidRPr="00BF1755">
        <w:rPr>
          <w:rFonts w:eastAsiaTheme="minorHAnsi"/>
          <w:lang w:eastAsia="en-US"/>
        </w:rPr>
        <w:t xml:space="preserve">such as partaking </w:t>
      </w:r>
      <w:r>
        <w:rPr>
          <w:rFonts w:eastAsiaTheme="minorHAnsi"/>
          <w:lang w:eastAsia="en-US"/>
        </w:rPr>
        <w:t xml:space="preserve">in </w:t>
      </w:r>
      <w:r w:rsidRPr="00BF1755">
        <w:rPr>
          <w:rFonts w:eastAsiaTheme="minorHAnsi"/>
          <w:lang w:eastAsia="en-US"/>
        </w:rPr>
        <w:t>activities outside of school, can help to build a sense of security when facing transition</w:t>
      </w:r>
      <w:r>
        <w:rPr>
          <w:rFonts w:eastAsiaTheme="minorHAnsi"/>
          <w:lang w:eastAsia="en-US"/>
        </w:rPr>
        <w:t xml:space="preserve">; </w:t>
      </w:r>
      <w:r w:rsidRPr="00BF1755">
        <w:rPr>
          <w:rFonts w:eastAsiaTheme="minorHAnsi"/>
          <w:lang w:eastAsia="en-US"/>
        </w:rPr>
        <w:t>in turn help</w:t>
      </w:r>
      <w:r>
        <w:rPr>
          <w:rFonts w:eastAsiaTheme="minorHAnsi"/>
          <w:lang w:eastAsia="en-US"/>
        </w:rPr>
        <w:t>ing to</w:t>
      </w:r>
      <w:r w:rsidRPr="00BF1755">
        <w:rPr>
          <w:rFonts w:eastAsiaTheme="minorHAnsi"/>
          <w:lang w:eastAsia="en-US"/>
        </w:rPr>
        <w:t xml:space="preserve"> boost self-esteem, self-image and a sense of belonging during transition. The findings highlighted that relationships, friendships, and peer support help to reinforce a sense of security, not only emotionally through increased self-confidence</w:t>
      </w:r>
      <w:r>
        <w:rPr>
          <w:rFonts w:eastAsiaTheme="minorHAnsi"/>
          <w:lang w:eastAsia="en-US"/>
        </w:rPr>
        <w:t>,</w:t>
      </w:r>
      <w:r w:rsidRPr="00BF1755">
        <w:rPr>
          <w:rFonts w:eastAsiaTheme="minorHAnsi"/>
          <w:lang w:eastAsia="en-US"/>
        </w:rPr>
        <w:t xml:space="preserve"> but also physical security when navigating new </w:t>
      </w:r>
      <w:r>
        <w:rPr>
          <w:rFonts w:eastAsiaTheme="minorHAnsi"/>
          <w:lang w:eastAsia="en-US"/>
        </w:rPr>
        <w:t>environments</w:t>
      </w:r>
      <w:r w:rsidRPr="00BF1755">
        <w:rPr>
          <w:rFonts w:eastAsiaTheme="minorHAnsi"/>
          <w:lang w:eastAsia="en-US"/>
        </w:rPr>
        <w:t>.</w:t>
      </w:r>
    </w:p>
    <w:p w14:paraId="5DD3B29E" w14:textId="77777777" w:rsidR="00421BB4" w:rsidRDefault="00421BB4" w:rsidP="00421BB4">
      <w:pPr>
        <w:widowControl w:val="0"/>
        <w:overflowPunct w:val="0"/>
        <w:autoSpaceDE w:val="0"/>
        <w:autoSpaceDN w:val="0"/>
        <w:adjustRightInd w:val="0"/>
        <w:spacing w:line="360" w:lineRule="auto"/>
        <w:jc w:val="both"/>
        <w:rPr>
          <w:rFonts w:eastAsiaTheme="minorHAnsi"/>
          <w:lang w:eastAsia="en-US"/>
        </w:rPr>
      </w:pPr>
    </w:p>
    <w:p w14:paraId="1D7842C6" w14:textId="77777777" w:rsidR="00421BB4" w:rsidRPr="009B79F1" w:rsidRDefault="00421BB4" w:rsidP="00421BB4">
      <w:pPr>
        <w:widowControl w:val="0"/>
        <w:overflowPunct w:val="0"/>
        <w:autoSpaceDE w:val="0"/>
        <w:autoSpaceDN w:val="0"/>
        <w:adjustRightInd w:val="0"/>
        <w:spacing w:line="360" w:lineRule="auto"/>
        <w:jc w:val="both"/>
        <w:rPr>
          <w:rFonts w:eastAsiaTheme="minorHAnsi"/>
          <w:b/>
          <w:bCs/>
          <w:u w:val="single"/>
          <w:lang w:eastAsia="en-US"/>
        </w:rPr>
      </w:pPr>
      <w:bookmarkStart w:id="49" w:name="EXPLORATIONAL"/>
      <w:r>
        <w:rPr>
          <w:rFonts w:eastAsiaTheme="minorHAnsi"/>
          <w:u w:val="single"/>
          <w:lang w:eastAsia="en-US"/>
        </w:rPr>
        <w:t xml:space="preserve">5.4 – </w:t>
      </w:r>
      <w:r w:rsidRPr="009B79F1">
        <w:rPr>
          <w:rFonts w:eastAsiaTheme="minorHAnsi"/>
          <w:u w:val="single"/>
          <w:lang w:eastAsia="en-US"/>
        </w:rPr>
        <w:t>Exp</w:t>
      </w:r>
      <w:r>
        <w:rPr>
          <w:rFonts w:eastAsiaTheme="minorHAnsi"/>
          <w:u w:val="single"/>
          <w:lang w:eastAsia="en-US"/>
        </w:rPr>
        <w:t>eriential Transitional Experiences</w:t>
      </w:r>
    </w:p>
    <w:bookmarkEnd w:id="49"/>
    <w:p w14:paraId="29A66492"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p>
    <w:p w14:paraId="6F6D092E"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 xml:space="preserve">This study contributes to debates surrounding the importance of real-life, </w:t>
      </w:r>
      <w:r>
        <w:rPr>
          <w:rFonts w:eastAsiaTheme="minorHAnsi"/>
          <w:lang w:eastAsia="en-US"/>
        </w:rPr>
        <w:t xml:space="preserve">practical </w:t>
      </w:r>
      <w:r w:rsidRPr="00BF1755">
        <w:rPr>
          <w:rFonts w:eastAsiaTheme="minorHAnsi"/>
          <w:lang w:eastAsia="en-US"/>
        </w:rPr>
        <w:t>learning experiences by demonstrating the benefits of expe</w:t>
      </w:r>
      <w:r>
        <w:rPr>
          <w:rFonts w:eastAsiaTheme="minorHAnsi"/>
          <w:lang w:eastAsia="en-US"/>
        </w:rPr>
        <w:t>riential</w:t>
      </w:r>
      <w:r w:rsidRPr="00BF1755">
        <w:rPr>
          <w:rFonts w:eastAsiaTheme="minorHAnsi"/>
          <w:lang w:eastAsia="en-US"/>
        </w:rPr>
        <w:t xml:space="preserve"> transition practices </w:t>
      </w:r>
      <w:r>
        <w:rPr>
          <w:rFonts w:eastAsiaTheme="minorHAnsi"/>
          <w:lang w:eastAsia="en-US"/>
        </w:rPr>
        <w:t>to</w:t>
      </w:r>
      <w:r w:rsidRPr="00BF1755">
        <w:rPr>
          <w:rFonts w:eastAsiaTheme="minorHAnsi"/>
          <w:lang w:eastAsia="en-US"/>
        </w:rPr>
        <w:t xml:space="preserve"> wellbeing, illustrated in Figure </w:t>
      </w:r>
      <w:r>
        <w:rPr>
          <w:rFonts w:eastAsiaTheme="minorHAnsi"/>
          <w:lang w:eastAsia="en-US"/>
        </w:rPr>
        <w:t>5</w:t>
      </w:r>
      <w:r w:rsidRPr="00BF1755">
        <w:rPr>
          <w:rFonts w:eastAsiaTheme="minorHAnsi"/>
          <w:lang w:eastAsia="en-US"/>
        </w:rPr>
        <w:t>.1. Exp</w:t>
      </w:r>
      <w:r>
        <w:rPr>
          <w:rFonts w:eastAsiaTheme="minorHAnsi"/>
          <w:lang w:eastAsia="en-US"/>
        </w:rPr>
        <w:t>eriential</w:t>
      </w:r>
      <w:r w:rsidRPr="00BF1755">
        <w:rPr>
          <w:rFonts w:eastAsiaTheme="minorHAnsi"/>
          <w:lang w:eastAsia="en-US"/>
        </w:rPr>
        <w:t xml:space="preserve"> learning theory that places emphasis on obtaining knowledge through the transformation of experience can therefore be extended to the findings within this study (Kolb </w:t>
      </w:r>
      <w:r>
        <w:rPr>
          <w:rFonts w:eastAsiaTheme="minorHAnsi"/>
          <w:lang w:eastAsia="en-US"/>
        </w:rPr>
        <w:t>2015</w:t>
      </w:r>
      <w:r w:rsidRPr="00BF1755">
        <w:rPr>
          <w:rFonts w:eastAsiaTheme="minorHAnsi"/>
          <w:lang w:eastAsia="en-US"/>
        </w:rPr>
        <w:t xml:space="preserve">). All participants reported the importance of having personalised real-life, </w:t>
      </w:r>
      <w:r>
        <w:rPr>
          <w:rFonts w:eastAsiaTheme="minorHAnsi"/>
          <w:lang w:eastAsia="en-US"/>
        </w:rPr>
        <w:t>practical</w:t>
      </w:r>
      <w:r w:rsidRPr="00BF1755">
        <w:rPr>
          <w:rFonts w:eastAsiaTheme="minorHAnsi"/>
          <w:lang w:eastAsia="en-US"/>
        </w:rPr>
        <w:t xml:space="preserve"> experiences when transitioning such as visits to the new environment</w:t>
      </w:r>
      <w:r>
        <w:rPr>
          <w:rFonts w:eastAsiaTheme="minorHAnsi"/>
          <w:lang w:eastAsia="en-US"/>
        </w:rPr>
        <w:t xml:space="preserve"> and </w:t>
      </w:r>
      <w:r w:rsidRPr="00BF1755">
        <w:rPr>
          <w:rFonts w:eastAsiaTheme="minorHAnsi"/>
          <w:lang w:eastAsia="en-US"/>
        </w:rPr>
        <w:t xml:space="preserve">interactive discussions with </w:t>
      </w:r>
      <w:r>
        <w:rPr>
          <w:rFonts w:eastAsiaTheme="minorHAnsi"/>
          <w:lang w:eastAsia="en-US"/>
        </w:rPr>
        <w:t xml:space="preserve">other </w:t>
      </w:r>
      <w:r w:rsidRPr="00BF1755">
        <w:rPr>
          <w:rFonts w:eastAsiaTheme="minorHAnsi"/>
          <w:lang w:eastAsia="en-US"/>
        </w:rPr>
        <w:t>students surrounding non-academic aspects of transition such as money management and general life skills when moving away</w:t>
      </w:r>
      <w:r>
        <w:rPr>
          <w:rFonts w:eastAsiaTheme="minorHAnsi"/>
          <w:lang w:eastAsia="en-US"/>
        </w:rPr>
        <w:t>.</w:t>
      </w:r>
    </w:p>
    <w:p w14:paraId="4506293D"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 xml:space="preserve">While academic focus was highlighted in terms of exploring course content, the importance of placing equal value on all pathways, such as transitioning to the workplace, was </w:t>
      </w:r>
      <w:r w:rsidRPr="00BF1755">
        <w:rPr>
          <w:rFonts w:eastAsiaTheme="minorHAnsi"/>
          <w:lang w:eastAsia="en-US"/>
        </w:rPr>
        <w:lastRenderedPageBreak/>
        <w:t>also regarded as essential in supporting YP feel valued according to their individual strengths during transition. It must be highlighted that while the findings correlate with recommendations of good practice, experimental learning experiences for this cohort of YP was limited due to the</w:t>
      </w:r>
      <w:r>
        <w:rPr>
          <w:rFonts w:eastAsiaTheme="minorHAnsi"/>
          <w:lang w:eastAsia="en-US"/>
        </w:rPr>
        <w:t xml:space="preserve"> unpredictable pandemic</w:t>
      </w:r>
      <w:r w:rsidRPr="00BF1755">
        <w:rPr>
          <w:rFonts w:eastAsiaTheme="minorHAnsi"/>
          <w:lang w:eastAsia="en-US"/>
        </w:rPr>
        <w:t xml:space="preserve"> restrictions </w:t>
      </w:r>
      <w:r>
        <w:rPr>
          <w:rFonts w:eastAsiaTheme="minorHAnsi"/>
          <w:lang w:eastAsia="en-US"/>
        </w:rPr>
        <w:t xml:space="preserve">imposed and may have influenced responses </w:t>
      </w:r>
      <w:r w:rsidRPr="00BF1755">
        <w:rPr>
          <w:rFonts w:eastAsiaTheme="minorHAnsi"/>
          <w:lang w:eastAsia="en-US"/>
        </w:rPr>
        <w:t>(</w:t>
      </w:r>
      <w:r w:rsidRPr="001E5934">
        <w:rPr>
          <w:rFonts w:eastAsiaTheme="minorHAnsi"/>
          <w:lang w:eastAsia="en-US"/>
        </w:rPr>
        <w:t xml:space="preserve">Ougrin 2020 and </w:t>
      </w:r>
      <w:r w:rsidRPr="00DA16F0">
        <w:rPr>
          <w:rFonts w:eastAsiaTheme="minorHAnsi"/>
          <w:lang w:eastAsia="en-US"/>
        </w:rPr>
        <w:t>WG</w:t>
      </w:r>
      <w:r w:rsidRPr="00BF1755">
        <w:rPr>
          <w:rFonts w:eastAsiaTheme="minorHAnsi"/>
          <w:lang w:eastAsia="en-US"/>
        </w:rPr>
        <w:t xml:space="preserve"> 2020</w:t>
      </w:r>
      <w:r>
        <w:rPr>
          <w:rFonts w:eastAsiaTheme="minorHAnsi"/>
          <w:lang w:eastAsia="en-US"/>
        </w:rPr>
        <w:t>b</w:t>
      </w:r>
      <w:r w:rsidRPr="00BF1755">
        <w:rPr>
          <w:rFonts w:eastAsiaTheme="minorHAnsi"/>
          <w:lang w:eastAsia="en-US"/>
        </w:rPr>
        <w:t xml:space="preserve">). That said, </w:t>
      </w:r>
      <w:r>
        <w:rPr>
          <w:rFonts w:eastAsiaTheme="minorHAnsi"/>
          <w:lang w:eastAsia="en-US"/>
        </w:rPr>
        <w:t>findings did reveal</w:t>
      </w:r>
      <w:r w:rsidRPr="00BF1755">
        <w:rPr>
          <w:rFonts w:eastAsiaTheme="minorHAnsi"/>
          <w:lang w:eastAsia="en-US"/>
        </w:rPr>
        <w:t xml:space="preserve"> that experimental transition experiences were limited prior to the pandemic</w:t>
      </w:r>
      <w:r>
        <w:rPr>
          <w:rFonts w:eastAsiaTheme="minorHAnsi"/>
          <w:lang w:eastAsia="en-US"/>
        </w:rPr>
        <w:t xml:space="preserve"> also</w:t>
      </w:r>
      <w:r w:rsidRPr="00BF1755">
        <w:rPr>
          <w:rFonts w:eastAsiaTheme="minorHAnsi"/>
          <w:lang w:eastAsia="en-US"/>
        </w:rPr>
        <w:t xml:space="preserve">. </w:t>
      </w:r>
    </w:p>
    <w:p w14:paraId="1868E8FF" w14:textId="77777777" w:rsidR="00421BB4" w:rsidRDefault="00421BB4" w:rsidP="00421BB4">
      <w:pPr>
        <w:widowControl w:val="0"/>
        <w:overflowPunct w:val="0"/>
        <w:autoSpaceDE w:val="0"/>
        <w:autoSpaceDN w:val="0"/>
        <w:adjustRightInd w:val="0"/>
        <w:spacing w:line="360" w:lineRule="auto"/>
        <w:jc w:val="both"/>
        <w:rPr>
          <w:rFonts w:eastAsiaTheme="minorHAnsi"/>
          <w:u w:val="single"/>
          <w:lang w:eastAsia="en-US"/>
        </w:rPr>
      </w:pPr>
    </w:p>
    <w:p w14:paraId="0BBF3E54" w14:textId="77777777" w:rsidR="00421BB4" w:rsidRPr="0095542F" w:rsidRDefault="00421BB4" w:rsidP="00421BB4">
      <w:pPr>
        <w:widowControl w:val="0"/>
        <w:overflowPunct w:val="0"/>
        <w:autoSpaceDE w:val="0"/>
        <w:autoSpaceDN w:val="0"/>
        <w:adjustRightInd w:val="0"/>
        <w:spacing w:line="360" w:lineRule="auto"/>
        <w:jc w:val="both"/>
        <w:rPr>
          <w:rFonts w:eastAsiaTheme="minorHAnsi"/>
          <w:u w:val="single"/>
          <w:lang w:eastAsia="en-US"/>
        </w:rPr>
      </w:pPr>
      <w:bookmarkStart w:id="50" w:name="RESILIENCE"/>
      <w:r>
        <w:rPr>
          <w:rFonts w:eastAsiaTheme="minorHAnsi"/>
          <w:u w:val="single"/>
          <w:lang w:eastAsia="en-US"/>
        </w:rPr>
        <w:t xml:space="preserve">5.5 - </w:t>
      </w:r>
      <w:r w:rsidRPr="0095542F">
        <w:rPr>
          <w:rFonts w:eastAsiaTheme="minorHAnsi"/>
          <w:u w:val="single"/>
          <w:lang w:eastAsia="en-US"/>
        </w:rPr>
        <w:t>Resilience</w:t>
      </w:r>
    </w:p>
    <w:bookmarkEnd w:id="50"/>
    <w:p w14:paraId="42C6DF21"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Even though all participants had differing views regarding wellbeing and happiness, interestingly, they all agreed that resilience</w:t>
      </w:r>
      <w:r>
        <w:rPr>
          <w:rFonts w:eastAsiaTheme="minorHAnsi"/>
          <w:lang w:eastAsia="en-US"/>
        </w:rPr>
        <w:t xml:space="preserve"> is</w:t>
      </w:r>
      <w:r w:rsidRPr="00BF1755">
        <w:rPr>
          <w:rFonts w:eastAsiaTheme="minorHAnsi"/>
          <w:lang w:eastAsia="en-US"/>
        </w:rPr>
        <w:t xml:space="preserve"> necessary to achieve personal goals </w:t>
      </w:r>
      <w:r>
        <w:rPr>
          <w:rFonts w:eastAsiaTheme="minorHAnsi"/>
          <w:lang w:eastAsia="en-US"/>
        </w:rPr>
        <w:t xml:space="preserve">and </w:t>
      </w:r>
      <w:r w:rsidRPr="00BF1755">
        <w:rPr>
          <w:rFonts w:eastAsiaTheme="minorHAnsi"/>
          <w:lang w:eastAsia="en-US"/>
        </w:rPr>
        <w:t>relies heavily on a strengths-based approach to transition. They agreed that all YP are unique and that their educational journey will differ. According to the results, following a strengths-based approach to transition support would help to enhance overall wellbeing for all YP. Whilst each participant recognised the importance of positive emotions</w:t>
      </w:r>
      <w:r>
        <w:rPr>
          <w:rFonts w:eastAsiaTheme="minorHAnsi"/>
          <w:lang w:eastAsia="en-US"/>
        </w:rPr>
        <w:t xml:space="preserve">, </w:t>
      </w:r>
      <w:r w:rsidRPr="00BF1755">
        <w:rPr>
          <w:rFonts w:eastAsiaTheme="minorHAnsi"/>
          <w:lang w:eastAsia="en-US"/>
        </w:rPr>
        <w:t>such as happiness</w:t>
      </w:r>
      <w:r>
        <w:rPr>
          <w:rFonts w:eastAsiaTheme="minorHAnsi"/>
          <w:lang w:eastAsia="en-US"/>
        </w:rPr>
        <w:t>,</w:t>
      </w:r>
      <w:r w:rsidRPr="00BF1755">
        <w:rPr>
          <w:rFonts w:eastAsiaTheme="minorHAnsi"/>
          <w:lang w:eastAsia="en-US"/>
        </w:rPr>
        <w:t xml:space="preserve"> </w:t>
      </w:r>
      <w:r>
        <w:rPr>
          <w:rFonts w:eastAsiaTheme="minorHAnsi"/>
          <w:lang w:eastAsia="en-US"/>
        </w:rPr>
        <w:t>in</w:t>
      </w:r>
      <w:r w:rsidRPr="00BF1755">
        <w:rPr>
          <w:rFonts w:eastAsiaTheme="minorHAnsi"/>
          <w:lang w:eastAsia="en-US"/>
        </w:rPr>
        <w:t xml:space="preserve"> contributing to positive wellbeing, surprisingly, findings acknowledged that experiencing a range of emotions</w:t>
      </w:r>
      <w:r>
        <w:rPr>
          <w:rFonts w:eastAsiaTheme="minorHAnsi"/>
          <w:lang w:eastAsia="en-US"/>
        </w:rPr>
        <w:t>, both positive and negative,</w:t>
      </w:r>
      <w:r w:rsidRPr="00BF1755">
        <w:rPr>
          <w:rFonts w:eastAsiaTheme="minorHAnsi"/>
          <w:lang w:eastAsia="en-US"/>
        </w:rPr>
        <w:t xml:space="preserve"> is more realistic when experiencing transitio</w:t>
      </w:r>
      <w:r>
        <w:rPr>
          <w:rFonts w:eastAsiaTheme="minorHAnsi"/>
          <w:lang w:eastAsia="en-US"/>
        </w:rPr>
        <w:t>n, thereby corresponding with the work of Seligman (2011).</w:t>
      </w:r>
      <w:r w:rsidRPr="00BF1755">
        <w:rPr>
          <w:rFonts w:eastAsiaTheme="minorHAnsi"/>
          <w:lang w:eastAsia="en-US"/>
        </w:rPr>
        <w:t xml:space="preserve"> </w:t>
      </w:r>
    </w:p>
    <w:p w14:paraId="626ABAD2"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It was identified that instant gratification versus delayed gratification when</w:t>
      </w:r>
      <w:r>
        <w:rPr>
          <w:rFonts w:eastAsiaTheme="minorHAnsi"/>
          <w:lang w:eastAsia="en-US"/>
        </w:rPr>
        <w:t xml:space="preserve"> </w:t>
      </w:r>
      <w:r w:rsidRPr="00BF1755">
        <w:rPr>
          <w:rFonts w:eastAsiaTheme="minorHAnsi"/>
          <w:lang w:eastAsia="en-US"/>
        </w:rPr>
        <w:t>undertaking A Levels</w:t>
      </w:r>
      <w:r>
        <w:rPr>
          <w:rFonts w:eastAsiaTheme="minorHAnsi"/>
          <w:lang w:eastAsia="en-US"/>
        </w:rPr>
        <w:t xml:space="preserve"> for instance</w:t>
      </w:r>
      <w:r w:rsidRPr="00BF1755">
        <w:rPr>
          <w:rFonts w:eastAsiaTheme="minorHAnsi"/>
          <w:lang w:eastAsia="en-US"/>
        </w:rPr>
        <w:t>, is a much more realistic viewpoint than the expectation of feeling happiness all of the time</w:t>
      </w:r>
      <w:r w:rsidRPr="00921F1A">
        <w:rPr>
          <w:rFonts w:eastAsiaTheme="minorHAnsi"/>
          <w:lang w:eastAsia="en-US"/>
        </w:rPr>
        <w:t xml:space="preserve"> (</w:t>
      </w:r>
      <w:r>
        <w:rPr>
          <w:rFonts w:eastAsiaTheme="minorHAnsi"/>
          <w:lang w:eastAsia="en-US"/>
        </w:rPr>
        <w:t xml:space="preserve">Seligman 2011 and </w:t>
      </w:r>
      <w:r w:rsidRPr="00921F1A">
        <w:rPr>
          <w:rFonts w:eastAsiaTheme="minorHAnsi"/>
          <w:lang w:eastAsia="en-US"/>
        </w:rPr>
        <w:t xml:space="preserve">Dex and Hollingsworth 2012). </w:t>
      </w:r>
      <w:r w:rsidRPr="00BF1755">
        <w:rPr>
          <w:rFonts w:eastAsiaTheme="minorHAnsi"/>
          <w:lang w:eastAsia="en-US"/>
        </w:rPr>
        <w:t xml:space="preserve">The findings also show that discipline and motivation are contributing factors to achieving goals and aspirations and this process may not result in a YP feeling a sense of </w:t>
      </w:r>
      <w:r>
        <w:rPr>
          <w:rFonts w:eastAsiaTheme="minorHAnsi"/>
          <w:lang w:eastAsia="en-US"/>
        </w:rPr>
        <w:t xml:space="preserve">immediate or continued </w:t>
      </w:r>
      <w:r w:rsidRPr="00BF1755">
        <w:rPr>
          <w:rFonts w:eastAsiaTheme="minorHAnsi"/>
          <w:lang w:eastAsia="en-US"/>
        </w:rPr>
        <w:t>happiness. This mindset</w:t>
      </w:r>
      <w:r>
        <w:rPr>
          <w:rFonts w:eastAsiaTheme="minorHAnsi"/>
          <w:lang w:eastAsia="en-US"/>
        </w:rPr>
        <w:t xml:space="preserve"> can</w:t>
      </w:r>
      <w:r w:rsidRPr="00BF1755">
        <w:rPr>
          <w:rFonts w:eastAsiaTheme="minorHAnsi"/>
          <w:lang w:eastAsia="en-US"/>
        </w:rPr>
        <w:t xml:space="preserve"> be considered mature which </w:t>
      </w:r>
      <w:r>
        <w:rPr>
          <w:rFonts w:eastAsiaTheme="minorHAnsi"/>
          <w:lang w:eastAsia="en-US"/>
        </w:rPr>
        <w:t>arguably demonstrates</w:t>
      </w:r>
      <w:r w:rsidRPr="00BF1755">
        <w:rPr>
          <w:rFonts w:eastAsiaTheme="minorHAnsi"/>
          <w:lang w:eastAsia="en-US"/>
        </w:rPr>
        <w:t xml:space="preserve"> the</w:t>
      </w:r>
      <w:r>
        <w:rPr>
          <w:rFonts w:eastAsiaTheme="minorHAnsi"/>
          <w:lang w:eastAsia="en-US"/>
        </w:rPr>
        <w:t xml:space="preserve"> ability and </w:t>
      </w:r>
      <w:r w:rsidRPr="00BF1755">
        <w:rPr>
          <w:rFonts w:eastAsiaTheme="minorHAnsi"/>
          <w:lang w:eastAsia="en-US"/>
        </w:rPr>
        <w:t xml:space="preserve">competence of YP to contribute </w:t>
      </w:r>
      <w:r>
        <w:rPr>
          <w:rFonts w:eastAsiaTheme="minorHAnsi"/>
          <w:lang w:eastAsia="en-US"/>
        </w:rPr>
        <w:t xml:space="preserve">to their P16 </w:t>
      </w:r>
      <w:r w:rsidRPr="00BF1755">
        <w:rPr>
          <w:rFonts w:eastAsiaTheme="minorHAnsi"/>
          <w:lang w:eastAsia="en-US"/>
        </w:rPr>
        <w:t xml:space="preserve">transition planning. </w:t>
      </w:r>
    </w:p>
    <w:p w14:paraId="338DEF38" w14:textId="77777777" w:rsidR="00421BB4" w:rsidRDefault="00421BB4" w:rsidP="00421BB4">
      <w:pPr>
        <w:spacing w:after="200" w:line="360" w:lineRule="auto"/>
        <w:ind w:firstLine="360"/>
        <w:jc w:val="both"/>
        <w:rPr>
          <w:rFonts w:eastAsiaTheme="minorHAnsi"/>
          <w:lang w:eastAsia="en-US"/>
        </w:rPr>
      </w:pPr>
      <w:r w:rsidRPr="00BF1755">
        <w:rPr>
          <w:rFonts w:eastAsiaTheme="minorHAnsi"/>
          <w:lang w:eastAsia="en-US"/>
        </w:rPr>
        <w:t>This research offered a new perspective to</w:t>
      </w:r>
      <w:r>
        <w:rPr>
          <w:rFonts w:eastAsiaTheme="minorHAnsi"/>
          <w:lang w:eastAsia="en-US"/>
        </w:rPr>
        <w:t xml:space="preserve"> the researcher as it showed that</w:t>
      </w:r>
      <w:r w:rsidRPr="00BF1755">
        <w:rPr>
          <w:rFonts w:eastAsiaTheme="minorHAnsi"/>
          <w:lang w:eastAsia="en-US"/>
        </w:rPr>
        <w:t xml:space="preserve"> good transition </w:t>
      </w:r>
      <w:r>
        <w:rPr>
          <w:rFonts w:eastAsiaTheme="minorHAnsi"/>
          <w:lang w:eastAsia="en-US"/>
        </w:rPr>
        <w:t xml:space="preserve">naturally </w:t>
      </w:r>
      <w:r w:rsidRPr="00BF1755">
        <w:rPr>
          <w:rFonts w:eastAsiaTheme="minorHAnsi"/>
          <w:lang w:eastAsia="en-US"/>
        </w:rPr>
        <w:t>support strengthen</w:t>
      </w:r>
      <w:r>
        <w:rPr>
          <w:rFonts w:eastAsiaTheme="minorHAnsi"/>
          <w:lang w:eastAsia="en-US"/>
        </w:rPr>
        <w:t>s</w:t>
      </w:r>
      <w:r w:rsidRPr="00BF1755">
        <w:rPr>
          <w:rFonts w:eastAsiaTheme="minorHAnsi"/>
          <w:lang w:eastAsia="en-US"/>
        </w:rPr>
        <w:t xml:space="preserve"> overall wellbeing</w:t>
      </w:r>
      <w:r>
        <w:rPr>
          <w:rFonts w:eastAsiaTheme="minorHAnsi"/>
          <w:lang w:eastAsia="en-US"/>
        </w:rPr>
        <w:t xml:space="preserve">. </w:t>
      </w:r>
      <w:r w:rsidRPr="00BF1755">
        <w:rPr>
          <w:rFonts w:eastAsiaTheme="minorHAnsi"/>
          <w:lang w:eastAsia="en-US"/>
        </w:rPr>
        <w:t xml:space="preserve">Supporting the wellbeing of YP has taken precedence in schools in recent years, especially since the outbreak of the pandemic and is often approached separately within the timetable (Spratt 2017). Whilst there are many supporters of this, some argue that wellbeing does </w:t>
      </w:r>
      <w:r w:rsidRPr="00433453">
        <w:rPr>
          <w:rFonts w:eastAsiaTheme="minorHAnsi"/>
          <w:i/>
          <w:iCs/>
          <w:lang w:eastAsia="en-US"/>
        </w:rPr>
        <w:t>not</w:t>
      </w:r>
      <w:r w:rsidRPr="00BF1755">
        <w:rPr>
          <w:rFonts w:eastAsiaTheme="minorHAnsi"/>
          <w:lang w:eastAsia="en-US"/>
        </w:rPr>
        <w:t xml:space="preserve"> have to be addressed as a separate intervention but rather, </w:t>
      </w:r>
      <w:r>
        <w:rPr>
          <w:rFonts w:eastAsiaTheme="minorHAnsi"/>
          <w:lang w:eastAsia="en-US"/>
        </w:rPr>
        <w:t xml:space="preserve">encompasses </w:t>
      </w:r>
      <w:r w:rsidRPr="00BF1755">
        <w:rPr>
          <w:rFonts w:eastAsiaTheme="minorHAnsi"/>
          <w:lang w:eastAsia="en-US"/>
        </w:rPr>
        <w:t>all aspects of YP</w:t>
      </w:r>
      <w:r>
        <w:rPr>
          <w:rFonts w:eastAsiaTheme="minorHAnsi"/>
          <w:lang w:eastAsia="en-US"/>
        </w:rPr>
        <w:t>’s educational experience</w:t>
      </w:r>
      <w:r w:rsidRPr="00BF1755">
        <w:rPr>
          <w:rFonts w:eastAsiaTheme="minorHAnsi"/>
          <w:lang w:eastAsia="en-US"/>
        </w:rPr>
        <w:t>. This research has highlighted a potential gap in the ways in which transition planning and planning around wellbeing are addressed and planned for in schools.</w:t>
      </w:r>
    </w:p>
    <w:p w14:paraId="671F0485"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u w:val="single"/>
          <w:lang w:eastAsia="en-US"/>
        </w:rPr>
      </w:pPr>
    </w:p>
    <w:p w14:paraId="2BFD3F9B" w14:textId="77777777" w:rsidR="00421BB4" w:rsidRPr="008D2DC4" w:rsidRDefault="00421BB4" w:rsidP="00421BB4">
      <w:pPr>
        <w:widowControl w:val="0"/>
        <w:overflowPunct w:val="0"/>
        <w:autoSpaceDE w:val="0"/>
        <w:autoSpaceDN w:val="0"/>
        <w:adjustRightInd w:val="0"/>
        <w:spacing w:line="360" w:lineRule="auto"/>
        <w:jc w:val="both"/>
        <w:rPr>
          <w:rFonts w:eastAsiaTheme="minorHAnsi"/>
          <w:b/>
          <w:bCs/>
          <w:lang w:eastAsia="en-US"/>
        </w:rPr>
      </w:pPr>
      <w:r w:rsidRPr="008D2DC4">
        <w:rPr>
          <w:rFonts w:eastAsiaTheme="minorHAnsi"/>
          <w:b/>
          <w:bCs/>
          <w:lang w:eastAsia="en-US"/>
        </w:rPr>
        <w:lastRenderedPageBreak/>
        <w:t>5.3 Factors of good P16 transition processes</w:t>
      </w:r>
    </w:p>
    <w:p w14:paraId="2D7DD641" w14:textId="77777777" w:rsidR="00421BB4" w:rsidRDefault="00421BB4" w:rsidP="00421BB4">
      <w:pPr>
        <w:spacing w:after="200" w:line="360" w:lineRule="auto"/>
        <w:ind w:firstLine="360"/>
        <w:jc w:val="both"/>
        <w:rPr>
          <w:rFonts w:eastAsiaTheme="minorHAnsi"/>
          <w:lang w:eastAsia="en-US"/>
        </w:rPr>
      </w:pPr>
    </w:p>
    <w:p w14:paraId="4F915740" w14:textId="77777777" w:rsidR="00421BB4" w:rsidRPr="00BF1755" w:rsidRDefault="00421BB4" w:rsidP="00421BB4">
      <w:pPr>
        <w:widowControl w:val="0"/>
        <w:overflowPunct w:val="0"/>
        <w:autoSpaceDE w:val="0"/>
        <w:autoSpaceDN w:val="0"/>
        <w:adjustRightInd w:val="0"/>
        <w:spacing w:line="360" w:lineRule="auto"/>
        <w:jc w:val="both"/>
        <w:rPr>
          <w:rFonts w:eastAsiaTheme="minorHAnsi"/>
          <w:lang w:eastAsia="en-US"/>
        </w:rPr>
      </w:pPr>
      <w:r w:rsidRPr="002D3DF9">
        <w:rPr>
          <w:rFonts w:eastAsiaTheme="minorHAnsi"/>
          <w:noProof/>
          <w:sz w:val="28"/>
          <w:szCs w:val="28"/>
          <w:lang w:eastAsia="en-US"/>
        </w:rPr>
        <w:drawing>
          <wp:inline distT="0" distB="0" distL="0" distR="0" wp14:anchorId="76D128BC" wp14:editId="5114B985">
            <wp:extent cx="5486400" cy="3200400"/>
            <wp:effectExtent l="0" t="0" r="19050" b="0"/>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15CD11B6" w14:textId="77777777" w:rsidR="00421BB4" w:rsidRPr="002D3DF9" w:rsidRDefault="00421BB4" w:rsidP="00421BB4">
      <w:pPr>
        <w:widowControl w:val="0"/>
        <w:overflowPunct w:val="0"/>
        <w:autoSpaceDE w:val="0"/>
        <w:autoSpaceDN w:val="0"/>
        <w:adjustRightInd w:val="0"/>
        <w:spacing w:line="360" w:lineRule="auto"/>
        <w:ind w:firstLine="720"/>
        <w:jc w:val="both"/>
        <w:rPr>
          <w:rFonts w:eastAsiaTheme="minorHAnsi"/>
          <w:sz w:val="28"/>
          <w:szCs w:val="28"/>
          <w:lang w:eastAsia="en-US"/>
        </w:rPr>
      </w:pPr>
    </w:p>
    <w:p w14:paraId="772D3653" w14:textId="77777777" w:rsidR="00421BB4" w:rsidRPr="008D2DC4" w:rsidRDefault="00421BB4" w:rsidP="00421BB4">
      <w:pPr>
        <w:widowControl w:val="0"/>
        <w:overflowPunct w:val="0"/>
        <w:autoSpaceDE w:val="0"/>
        <w:autoSpaceDN w:val="0"/>
        <w:adjustRightInd w:val="0"/>
        <w:spacing w:line="360" w:lineRule="auto"/>
        <w:jc w:val="both"/>
        <w:rPr>
          <w:rFonts w:eastAsiaTheme="minorHAnsi"/>
          <w:i/>
          <w:iCs/>
          <w:lang w:eastAsia="en-US"/>
        </w:rPr>
      </w:pPr>
      <w:r w:rsidRPr="008D2DC4">
        <w:rPr>
          <w:rFonts w:eastAsiaTheme="minorHAnsi"/>
          <w:i/>
          <w:iCs/>
          <w:lang w:eastAsia="en-US"/>
        </w:rPr>
        <w:t>Figure 5.3 – Factors of Good P16 Transition Processes.</w:t>
      </w:r>
    </w:p>
    <w:p w14:paraId="1C8A0BBC"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p>
    <w:p w14:paraId="76F0EF41"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Pr>
          <w:rFonts w:eastAsiaTheme="minorHAnsi"/>
          <w:lang w:eastAsia="en-US"/>
        </w:rPr>
        <w:t>In summary (a</w:t>
      </w:r>
      <w:r w:rsidRPr="00BF1755">
        <w:rPr>
          <w:rFonts w:eastAsiaTheme="minorHAnsi"/>
          <w:lang w:eastAsia="en-US"/>
        </w:rPr>
        <w:t xml:space="preserve">s outlined in </w:t>
      </w:r>
      <w:r>
        <w:rPr>
          <w:rFonts w:eastAsiaTheme="minorHAnsi"/>
          <w:lang w:eastAsia="en-US"/>
        </w:rPr>
        <w:t>Chapter 2)</w:t>
      </w:r>
      <w:r w:rsidRPr="00BF1755">
        <w:rPr>
          <w:rFonts w:eastAsiaTheme="minorHAnsi"/>
          <w:lang w:eastAsia="en-US"/>
        </w:rPr>
        <w:t xml:space="preserve">, active participation that </w:t>
      </w:r>
      <w:r>
        <w:rPr>
          <w:rFonts w:eastAsiaTheme="minorHAnsi"/>
          <w:lang w:eastAsia="en-US"/>
        </w:rPr>
        <w:t>not only hears, but listens to the</w:t>
      </w:r>
      <w:r w:rsidRPr="00BF1755">
        <w:rPr>
          <w:rFonts w:eastAsiaTheme="minorHAnsi"/>
          <w:lang w:eastAsia="en-US"/>
        </w:rPr>
        <w:t xml:space="preserve"> voices of YP is seen as a key component to </w:t>
      </w:r>
      <w:r>
        <w:rPr>
          <w:rFonts w:eastAsiaTheme="minorHAnsi"/>
          <w:lang w:eastAsia="en-US"/>
        </w:rPr>
        <w:t xml:space="preserve">SEWB. In </w:t>
      </w:r>
      <w:r w:rsidRPr="00BF1755">
        <w:rPr>
          <w:rFonts w:eastAsiaTheme="minorHAnsi"/>
          <w:lang w:eastAsia="en-US"/>
        </w:rPr>
        <w:t>order for this to happen, participation must be sincere,</w:t>
      </w:r>
      <w:r>
        <w:rPr>
          <w:rFonts w:eastAsiaTheme="minorHAnsi"/>
          <w:lang w:eastAsia="en-US"/>
        </w:rPr>
        <w:t xml:space="preserve"> </w:t>
      </w:r>
      <w:r w:rsidRPr="00BF1755">
        <w:rPr>
          <w:rFonts w:eastAsiaTheme="minorHAnsi"/>
          <w:lang w:eastAsia="en-US"/>
        </w:rPr>
        <w:t>and person centred</w:t>
      </w:r>
      <w:r>
        <w:rPr>
          <w:rFonts w:eastAsiaTheme="minorHAnsi"/>
          <w:lang w:eastAsia="en-US"/>
        </w:rPr>
        <w:t xml:space="preserve"> as highlighted by </w:t>
      </w:r>
      <w:r w:rsidRPr="00BF1755">
        <w:rPr>
          <w:rFonts w:eastAsiaTheme="minorHAnsi"/>
          <w:lang w:eastAsia="en-US"/>
        </w:rPr>
        <w:t xml:space="preserve">Hall </w:t>
      </w:r>
      <w:r>
        <w:rPr>
          <w:rFonts w:eastAsiaTheme="minorHAnsi"/>
          <w:lang w:eastAsia="en-US"/>
        </w:rPr>
        <w:t>(</w:t>
      </w:r>
      <w:r w:rsidRPr="00BF1755">
        <w:rPr>
          <w:rFonts w:eastAsiaTheme="minorHAnsi"/>
          <w:lang w:eastAsia="en-US"/>
        </w:rPr>
        <w:t xml:space="preserve">2010). The findings </w:t>
      </w:r>
      <w:r>
        <w:rPr>
          <w:rFonts w:eastAsiaTheme="minorHAnsi"/>
          <w:lang w:eastAsia="en-US"/>
        </w:rPr>
        <w:t xml:space="preserve">of the study </w:t>
      </w:r>
      <w:r w:rsidRPr="00BF1755">
        <w:rPr>
          <w:rFonts w:eastAsiaTheme="minorHAnsi"/>
          <w:lang w:eastAsia="en-US"/>
        </w:rPr>
        <w:t>identified</w:t>
      </w:r>
      <w:r>
        <w:rPr>
          <w:rFonts w:eastAsiaTheme="minorHAnsi"/>
          <w:lang w:eastAsia="en-US"/>
        </w:rPr>
        <w:t xml:space="preserve"> that</w:t>
      </w:r>
      <w:r w:rsidRPr="00BF1755">
        <w:rPr>
          <w:rFonts w:eastAsiaTheme="minorHAnsi"/>
          <w:lang w:eastAsia="en-US"/>
        </w:rPr>
        <w:t xml:space="preserve">, as outlined in figure </w:t>
      </w:r>
      <w:r>
        <w:rPr>
          <w:rFonts w:eastAsiaTheme="minorHAnsi"/>
          <w:lang w:eastAsia="en-US"/>
        </w:rPr>
        <w:t>5</w:t>
      </w:r>
      <w:r w:rsidRPr="00BF1755">
        <w:rPr>
          <w:rFonts w:eastAsiaTheme="minorHAnsi"/>
          <w:lang w:eastAsia="en-US"/>
        </w:rPr>
        <w:t xml:space="preserve">.3 </w:t>
      </w:r>
      <w:r>
        <w:rPr>
          <w:rFonts w:eastAsiaTheme="minorHAnsi"/>
          <w:lang w:eastAsia="en-US"/>
        </w:rPr>
        <w:t>above;</w:t>
      </w:r>
      <w:r w:rsidRPr="00BF1755">
        <w:rPr>
          <w:rFonts w:eastAsiaTheme="minorHAnsi"/>
          <w:lang w:eastAsia="en-US"/>
        </w:rPr>
        <w:t xml:space="preserve"> a holistic and person-centred approach enables YP to recognise their </w:t>
      </w:r>
      <w:r>
        <w:rPr>
          <w:rFonts w:eastAsiaTheme="minorHAnsi"/>
          <w:lang w:eastAsia="en-US"/>
        </w:rPr>
        <w:t>own aspirations, partake in</w:t>
      </w:r>
      <w:r w:rsidRPr="00BF1755">
        <w:rPr>
          <w:rFonts w:eastAsiaTheme="minorHAnsi"/>
          <w:lang w:eastAsia="en-US"/>
        </w:rPr>
        <w:t xml:space="preserve"> </w:t>
      </w:r>
      <w:r>
        <w:rPr>
          <w:rFonts w:eastAsiaTheme="minorHAnsi"/>
          <w:lang w:eastAsia="en-US"/>
        </w:rPr>
        <w:t xml:space="preserve">meaningful </w:t>
      </w:r>
      <w:r w:rsidRPr="00BF1755">
        <w:rPr>
          <w:rFonts w:eastAsiaTheme="minorHAnsi"/>
          <w:lang w:eastAsia="en-US"/>
        </w:rPr>
        <w:t>exp</w:t>
      </w:r>
      <w:r>
        <w:rPr>
          <w:rFonts w:eastAsiaTheme="minorHAnsi"/>
          <w:lang w:eastAsia="en-US"/>
        </w:rPr>
        <w:t xml:space="preserve">eriential activities which in turn builds resilience in order to achieve their aspirations. </w:t>
      </w:r>
    </w:p>
    <w:p w14:paraId="14178727" w14:textId="77777777" w:rsidR="00421BB4" w:rsidRDefault="00421BB4" w:rsidP="00421BB4">
      <w:pPr>
        <w:widowControl w:val="0"/>
        <w:overflowPunct w:val="0"/>
        <w:autoSpaceDE w:val="0"/>
        <w:autoSpaceDN w:val="0"/>
        <w:adjustRightInd w:val="0"/>
        <w:spacing w:line="360" w:lineRule="auto"/>
        <w:rPr>
          <w:rFonts w:eastAsiaTheme="minorHAnsi"/>
          <w:b/>
          <w:bCs/>
          <w:u w:val="single"/>
          <w:lang w:eastAsia="en-US"/>
        </w:rPr>
      </w:pPr>
    </w:p>
    <w:p w14:paraId="65A8A46E" w14:textId="77777777" w:rsidR="00421BB4" w:rsidRDefault="00421BB4" w:rsidP="00421BB4">
      <w:pPr>
        <w:widowControl w:val="0"/>
        <w:overflowPunct w:val="0"/>
        <w:autoSpaceDE w:val="0"/>
        <w:autoSpaceDN w:val="0"/>
        <w:adjustRightInd w:val="0"/>
        <w:spacing w:line="360" w:lineRule="auto"/>
        <w:rPr>
          <w:rFonts w:eastAsiaTheme="minorHAnsi"/>
          <w:b/>
          <w:bCs/>
          <w:u w:val="single"/>
          <w:lang w:eastAsia="en-US"/>
        </w:rPr>
      </w:pPr>
    </w:p>
    <w:p w14:paraId="11B8F1D2" w14:textId="77777777" w:rsidR="00421BB4" w:rsidRDefault="00421BB4" w:rsidP="00421BB4">
      <w:pPr>
        <w:widowControl w:val="0"/>
        <w:overflowPunct w:val="0"/>
        <w:autoSpaceDE w:val="0"/>
        <w:autoSpaceDN w:val="0"/>
        <w:adjustRightInd w:val="0"/>
        <w:spacing w:line="360" w:lineRule="auto"/>
        <w:rPr>
          <w:rFonts w:eastAsiaTheme="minorHAnsi"/>
          <w:b/>
          <w:bCs/>
          <w:u w:val="single"/>
          <w:lang w:eastAsia="en-US"/>
        </w:rPr>
      </w:pPr>
    </w:p>
    <w:p w14:paraId="7F21C14E" w14:textId="77777777" w:rsidR="00421BB4" w:rsidRDefault="00421BB4" w:rsidP="00421BB4">
      <w:pPr>
        <w:widowControl w:val="0"/>
        <w:overflowPunct w:val="0"/>
        <w:autoSpaceDE w:val="0"/>
        <w:autoSpaceDN w:val="0"/>
        <w:adjustRightInd w:val="0"/>
        <w:spacing w:line="360" w:lineRule="auto"/>
        <w:rPr>
          <w:rFonts w:eastAsiaTheme="minorHAnsi"/>
          <w:b/>
          <w:bCs/>
          <w:u w:val="single"/>
          <w:lang w:eastAsia="en-US"/>
        </w:rPr>
      </w:pPr>
    </w:p>
    <w:p w14:paraId="4D01BA22" w14:textId="77777777" w:rsidR="00421BB4" w:rsidRDefault="00421BB4" w:rsidP="00421BB4">
      <w:pPr>
        <w:widowControl w:val="0"/>
        <w:overflowPunct w:val="0"/>
        <w:autoSpaceDE w:val="0"/>
        <w:autoSpaceDN w:val="0"/>
        <w:adjustRightInd w:val="0"/>
        <w:spacing w:line="360" w:lineRule="auto"/>
        <w:rPr>
          <w:rFonts w:eastAsiaTheme="minorHAnsi"/>
          <w:b/>
          <w:bCs/>
          <w:u w:val="single"/>
          <w:lang w:eastAsia="en-US"/>
        </w:rPr>
      </w:pPr>
    </w:p>
    <w:p w14:paraId="564E7A4D" w14:textId="77777777" w:rsidR="00421BB4" w:rsidRDefault="00421BB4" w:rsidP="00421BB4">
      <w:pPr>
        <w:widowControl w:val="0"/>
        <w:overflowPunct w:val="0"/>
        <w:autoSpaceDE w:val="0"/>
        <w:autoSpaceDN w:val="0"/>
        <w:adjustRightInd w:val="0"/>
        <w:spacing w:line="360" w:lineRule="auto"/>
        <w:rPr>
          <w:rFonts w:eastAsiaTheme="minorHAnsi"/>
          <w:b/>
          <w:bCs/>
          <w:u w:val="single"/>
          <w:lang w:eastAsia="en-US"/>
        </w:rPr>
      </w:pPr>
    </w:p>
    <w:p w14:paraId="1BB6AE8C" w14:textId="77777777" w:rsidR="00421BB4" w:rsidRDefault="00421BB4" w:rsidP="00421BB4">
      <w:pPr>
        <w:widowControl w:val="0"/>
        <w:overflowPunct w:val="0"/>
        <w:autoSpaceDE w:val="0"/>
        <w:autoSpaceDN w:val="0"/>
        <w:adjustRightInd w:val="0"/>
        <w:spacing w:line="360" w:lineRule="auto"/>
        <w:rPr>
          <w:rFonts w:eastAsiaTheme="minorHAnsi"/>
          <w:b/>
          <w:bCs/>
          <w:u w:val="single"/>
          <w:lang w:eastAsia="en-US"/>
        </w:rPr>
      </w:pPr>
    </w:p>
    <w:p w14:paraId="4A52EAC7" w14:textId="77777777" w:rsidR="00421BB4" w:rsidRDefault="00421BB4" w:rsidP="00421BB4">
      <w:pPr>
        <w:widowControl w:val="0"/>
        <w:overflowPunct w:val="0"/>
        <w:autoSpaceDE w:val="0"/>
        <w:autoSpaceDN w:val="0"/>
        <w:adjustRightInd w:val="0"/>
        <w:spacing w:line="360" w:lineRule="auto"/>
        <w:rPr>
          <w:rFonts w:eastAsiaTheme="minorHAnsi"/>
          <w:b/>
          <w:bCs/>
          <w:u w:val="single"/>
          <w:lang w:eastAsia="en-US"/>
        </w:rPr>
      </w:pPr>
    </w:p>
    <w:p w14:paraId="6A05BDCA" w14:textId="77777777" w:rsidR="00421BB4" w:rsidRDefault="00421BB4" w:rsidP="00421BB4">
      <w:pPr>
        <w:widowControl w:val="0"/>
        <w:overflowPunct w:val="0"/>
        <w:autoSpaceDE w:val="0"/>
        <w:autoSpaceDN w:val="0"/>
        <w:adjustRightInd w:val="0"/>
        <w:spacing w:line="360" w:lineRule="auto"/>
        <w:jc w:val="center"/>
        <w:rPr>
          <w:rFonts w:eastAsiaTheme="minorHAnsi"/>
          <w:b/>
          <w:bCs/>
          <w:sz w:val="28"/>
          <w:szCs w:val="28"/>
          <w:u w:val="single"/>
          <w:lang w:eastAsia="en-US"/>
        </w:rPr>
      </w:pPr>
      <w:bookmarkStart w:id="51" w:name="RESILIENCHAPTER6"/>
      <w:bookmarkStart w:id="52" w:name="CHAPTER6"/>
    </w:p>
    <w:p w14:paraId="794EE4FE" w14:textId="77777777" w:rsidR="00421BB4" w:rsidRPr="007C4D8B" w:rsidRDefault="00421BB4" w:rsidP="00421BB4">
      <w:pPr>
        <w:widowControl w:val="0"/>
        <w:overflowPunct w:val="0"/>
        <w:autoSpaceDE w:val="0"/>
        <w:autoSpaceDN w:val="0"/>
        <w:adjustRightInd w:val="0"/>
        <w:spacing w:line="360" w:lineRule="auto"/>
        <w:jc w:val="center"/>
        <w:rPr>
          <w:rFonts w:eastAsiaTheme="minorHAnsi"/>
          <w:b/>
          <w:bCs/>
          <w:sz w:val="28"/>
          <w:szCs w:val="28"/>
          <w:u w:val="single"/>
          <w:lang w:eastAsia="en-US"/>
        </w:rPr>
      </w:pPr>
      <w:r w:rsidRPr="007C4D8B">
        <w:rPr>
          <w:rFonts w:eastAsiaTheme="minorHAnsi"/>
          <w:b/>
          <w:bCs/>
          <w:sz w:val="28"/>
          <w:szCs w:val="28"/>
          <w:u w:val="single"/>
          <w:lang w:eastAsia="en-US"/>
        </w:rPr>
        <w:lastRenderedPageBreak/>
        <w:t>CHAPTER 6</w:t>
      </w:r>
    </w:p>
    <w:p w14:paraId="62B3D2B7" w14:textId="77777777" w:rsidR="00421BB4" w:rsidRPr="007C4D8B" w:rsidRDefault="00421BB4" w:rsidP="00421BB4">
      <w:pPr>
        <w:widowControl w:val="0"/>
        <w:overflowPunct w:val="0"/>
        <w:autoSpaceDE w:val="0"/>
        <w:autoSpaceDN w:val="0"/>
        <w:adjustRightInd w:val="0"/>
        <w:spacing w:line="360" w:lineRule="auto"/>
        <w:jc w:val="center"/>
        <w:rPr>
          <w:rFonts w:eastAsiaTheme="minorHAnsi"/>
          <w:b/>
          <w:bCs/>
          <w:sz w:val="28"/>
          <w:szCs w:val="28"/>
          <w:u w:val="single"/>
          <w:lang w:eastAsia="en-US"/>
        </w:rPr>
      </w:pPr>
      <w:r w:rsidRPr="007C4D8B">
        <w:rPr>
          <w:rFonts w:eastAsiaTheme="minorHAnsi"/>
          <w:b/>
          <w:bCs/>
          <w:sz w:val="28"/>
          <w:szCs w:val="28"/>
          <w:u w:val="single"/>
          <w:lang w:eastAsia="en-US"/>
        </w:rPr>
        <w:t>CONCLUSION</w:t>
      </w:r>
    </w:p>
    <w:bookmarkEnd w:id="51"/>
    <w:bookmarkEnd w:id="52"/>
    <w:p w14:paraId="27A7ACCB" w14:textId="77777777" w:rsidR="00421BB4" w:rsidRPr="00BF1755" w:rsidRDefault="00421BB4" w:rsidP="00421BB4">
      <w:pPr>
        <w:widowControl w:val="0"/>
        <w:overflowPunct w:val="0"/>
        <w:autoSpaceDE w:val="0"/>
        <w:autoSpaceDN w:val="0"/>
        <w:adjustRightInd w:val="0"/>
        <w:spacing w:line="360" w:lineRule="auto"/>
        <w:jc w:val="center"/>
        <w:rPr>
          <w:rFonts w:eastAsiaTheme="minorHAnsi"/>
          <w:b/>
          <w:bCs/>
          <w:u w:val="single"/>
          <w:lang w:eastAsia="en-US"/>
        </w:rPr>
      </w:pPr>
    </w:p>
    <w:p w14:paraId="669CBA51" w14:textId="77777777" w:rsidR="00421BB4" w:rsidRDefault="00421BB4" w:rsidP="00421BB4">
      <w:pPr>
        <w:spacing w:after="200" w:line="360" w:lineRule="auto"/>
        <w:ind w:firstLine="720"/>
        <w:jc w:val="both"/>
        <w:rPr>
          <w:rFonts w:eastAsiaTheme="minorHAnsi"/>
          <w:lang w:eastAsia="en-US"/>
        </w:rPr>
      </w:pPr>
      <w:r w:rsidRPr="00BF1755">
        <w:rPr>
          <w:rFonts w:eastAsiaTheme="minorHAnsi"/>
          <w:lang w:eastAsia="en-US"/>
        </w:rPr>
        <w:t>This research study has provided insight into</w:t>
      </w:r>
      <w:r>
        <w:rPr>
          <w:rFonts w:eastAsiaTheme="minorHAnsi"/>
          <w:lang w:eastAsia="en-US"/>
        </w:rPr>
        <w:t xml:space="preserve"> a relatively understudied area of P16 transition and is based around the</w:t>
      </w:r>
      <w:r w:rsidRPr="00BF1755">
        <w:rPr>
          <w:rFonts w:eastAsiaTheme="minorHAnsi"/>
          <w:lang w:eastAsia="en-US"/>
        </w:rPr>
        <w:t xml:space="preserve"> views and experiences of three YP transitioning at P16 in South</w:t>
      </w:r>
      <w:r>
        <w:rPr>
          <w:rFonts w:eastAsiaTheme="minorHAnsi"/>
          <w:lang w:eastAsia="en-US"/>
        </w:rPr>
        <w:t>west</w:t>
      </w:r>
      <w:r w:rsidRPr="00BF1755">
        <w:rPr>
          <w:rFonts w:eastAsiaTheme="minorHAnsi"/>
          <w:lang w:eastAsia="en-US"/>
        </w:rPr>
        <w:t xml:space="preserve"> Wales. It explored YP perceptions of wellbeing,</w:t>
      </w:r>
      <w:r>
        <w:rPr>
          <w:rFonts w:eastAsiaTheme="minorHAnsi"/>
          <w:lang w:eastAsia="en-US"/>
        </w:rPr>
        <w:t xml:space="preserve"> </w:t>
      </w:r>
      <w:r w:rsidRPr="00BF1755">
        <w:rPr>
          <w:rFonts w:eastAsiaTheme="minorHAnsi"/>
          <w:lang w:eastAsia="en-US"/>
        </w:rPr>
        <w:t xml:space="preserve">and the planning and support offered within secondary schools at the point of transition. </w:t>
      </w:r>
      <w:r>
        <w:rPr>
          <w:rFonts w:eastAsiaTheme="minorHAnsi"/>
          <w:lang w:eastAsia="en-US"/>
        </w:rPr>
        <w:t>T</w:t>
      </w:r>
      <w:r w:rsidRPr="00BF1755">
        <w:rPr>
          <w:rFonts w:eastAsiaTheme="minorHAnsi"/>
          <w:lang w:eastAsia="en-US"/>
        </w:rPr>
        <w:t xml:space="preserve">he main purpose of this research was to inform personal practice </w:t>
      </w:r>
      <w:r>
        <w:rPr>
          <w:rFonts w:eastAsiaTheme="minorHAnsi"/>
          <w:lang w:eastAsia="en-US"/>
        </w:rPr>
        <w:t>surrounding the</w:t>
      </w:r>
      <w:r w:rsidRPr="00BF1755">
        <w:rPr>
          <w:rFonts w:eastAsiaTheme="minorHAnsi"/>
          <w:lang w:eastAsia="en-US"/>
        </w:rPr>
        <w:t xml:space="preserve"> process</w:t>
      </w:r>
      <w:r>
        <w:rPr>
          <w:rFonts w:eastAsiaTheme="minorHAnsi"/>
          <w:lang w:eastAsia="en-US"/>
        </w:rPr>
        <w:t>es of P16 transition, which in turn</w:t>
      </w:r>
      <w:r w:rsidRPr="00BF1755">
        <w:rPr>
          <w:rFonts w:eastAsiaTheme="minorHAnsi"/>
          <w:lang w:eastAsia="en-US"/>
        </w:rPr>
        <w:t xml:space="preserve"> </w:t>
      </w:r>
      <w:r>
        <w:rPr>
          <w:rFonts w:eastAsiaTheme="minorHAnsi"/>
          <w:lang w:eastAsia="en-US"/>
        </w:rPr>
        <w:t>can</w:t>
      </w:r>
      <w:r w:rsidRPr="00BF1755">
        <w:rPr>
          <w:rFonts w:eastAsiaTheme="minorHAnsi"/>
          <w:lang w:eastAsia="en-US"/>
        </w:rPr>
        <w:t xml:space="preserve"> enhance wellbeing support. </w:t>
      </w:r>
      <w:r w:rsidRPr="00440794">
        <w:rPr>
          <w:rFonts w:eastAsiaTheme="minorHAnsi"/>
          <w:lang w:eastAsia="en-US"/>
        </w:rPr>
        <w:t xml:space="preserve">Findings from this study considered if the wellbeing support delivered in schools makes a positive contribution to the transition experience and the extent to which policy and practice in Wales recognises the value of good transition planning in order to support overall wellbeing. </w:t>
      </w:r>
    </w:p>
    <w:p w14:paraId="25A495B6" w14:textId="77777777" w:rsidR="00421BB4" w:rsidRPr="00C27868"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Pr>
          <w:rFonts w:eastAsiaTheme="minorHAnsi"/>
          <w:lang w:eastAsia="en-US"/>
        </w:rPr>
        <w:t>F</w:t>
      </w:r>
      <w:r w:rsidRPr="00BF1755">
        <w:rPr>
          <w:rFonts w:eastAsiaTheme="minorHAnsi"/>
          <w:lang w:eastAsia="en-US"/>
        </w:rPr>
        <w:t xml:space="preserve">urther knowledge was obtained during this research study to help </w:t>
      </w:r>
      <w:r>
        <w:rPr>
          <w:rFonts w:eastAsiaTheme="minorHAnsi"/>
          <w:lang w:eastAsia="en-US"/>
        </w:rPr>
        <w:t>uncover</w:t>
      </w:r>
      <w:r w:rsidRPr="00BF1755">
        <w:rPr>
          <w:rFonts w:eastAsiaTheme="minorHAnsi"/>
          <w:lang w:eastAsia="en-US"/>
        </w:rPr>
        <w:t xml:space="preserve"> the </w:t>
      </w:r>
      <w:r>
        <w:rPr>
          <w:rFonts w:eastAsiaTheme="minorHAnsi"/>
          <w:lang w:eastAsia="en-US"/>
        </w:rPr>
        <w:t>context</w:t>
      </w:r>
      <w:r w:rsidRPr="00BF1755">
        <w:rPr>
          <w:rFonts w:eastAsiaTheme="minorHAnsi"/>
          <w:lang w:eastAsia="en-US"/>
        </w:rPr>
        <w:t xml:space="preserve"> surrounding power and pupil participation </w:t>
      </w:r>
      <w:r>
        <w:rPr>
          <w:rFonts w:eastAsiaTheme="minorHAnsi"/>
          <w:lang w:eastAsia="en-US"/>
        </w:rPr>
        <w:t>and how such context</w:t>
      </w:r>
      <w:r w:rsidRPr="00BF1755">
        <w:rPr>
          <w:rFonts w:eastAsiaTheme="minorHAnsi"/>
          <w:lang w:eastAsia="en-US"/>
        </w:rPr>
        <w:t xml:space="preserve"> </w:t>
      </w:r>
      <w:r>
        <w:rPr>
          <w:rFonts w:eastAsiaTheme="minorHAnsi"/>
          <w:lang w:eastAsia="en-US"/>
        </w:rPr>
        <w:t>can be applied</w:t>
      </w:r>
      <w:r w:rsidRPr="00BF1755">
        <w:rPr>
          <w:rFonts w:eastAsiaTheme="minorHAnsi"/>
          <w:lang w:eastAsia="en-US"/>
        </w:rPr>
        <w:t xml:space="preserve"> in practice</w:t>
      </w:r>
      <w:r>
        <w:rPr>
          <w:rFonts w:eastAsiaTheme="minorHAnsi"/>
          <w:lang w:eastAsia="en-US"/>
        </w:rPr>
        <w:t>.</w:t>
      </w:r>
      <w:r w:rsidRPr="00BF1755">
        <w:rPr>
          <w:rFonts w:eastAsiaTheme="minorHAnsi"/>
          <w:lang w:eastAsia="en-US"/>
        </w:rPr>
        <w:t xml:space="preserve"> </w:t>
      </w:r>
      <w:r>
        <w:rPr>
          <w:rFonts w:eastAsiaTheme="minorHAnsi"/>
          <w:lang w:eastAsia="en-US"/>
        </w:rPr>
        <w:t>C</w:t>
      </w:r>
      <w:r w:rsidRPr="00BF1755">
        <w:rPr>
          <w:rFonts w:eastAsiaTheme="minorHAnsi"/>
          <w:lang w:eastAsia="en-US"/>
        </w:rPr>
        <w:t xml:space="preserve">urrent literature </w:t>
      </w:r>
      <w:r>
        <w:rPr>
          <w:rFonts w:eastAsiaTheme="minorHAnsi"/>
          <w:lang w:eastAsia="en-US"/>
        </w:rPr>
        <w:t>highlights the gaps</w:t>
      </w:r>
      <w:r w:rsidRPr="00BF1755">
        <w:rPr>
          <w:rFonts w:eastAsiaTheme="minorHAnsi"/>
          <w:lang w:eastAsia="en-US"/>
        </w:rPr>
        <w:t xml:space="preserve"> within research, such as the perceptions, experiences and reactions of </w:t>
      </w:r>
      <w:r>
        <w:rPr>
          <w:rFonts w:eastAsiaTheme="minorHAnsi"/>
          <w:lang w:eastAsia="en-US"/>
        </w:rPr>
        <w:t>some YP</w:t>
      </w:r>
      <w:r w:rsidRPr="00BF1755">
        <w:rPr>
          <w:rFonts w:eastAsiaTheme="minorHAnsi"/>
          <w:lang w:eastAsia="en-US"/>
        </w:rPr>
        <w:t>, which suggests opportunity for further investigation within P16 transition processes (Co</w:t>
      </w:r>
      <w:r>
        <w:rPr>
          <w:rFonts w:eastAsiaTheme="minorHAnsi"/>
          <w:lang w:eastAsia="en-US"/>
        </w:rPr>
        <w:t xml:space="preserve">hen </w:t>
      </w:r>
      <w:r w:rsidRPr="00AF267C">
        <w:rPr>
          <w:rFonts w:eastAsiaTheme="minorHAnsi"/>
          <w:i/>
          <w:iCs/>
          <w:lang w:eastAsia="en-US"/>
        </w:rPr>
        <w:t xml:space="preserve">et al. </w:t>
      </w:r>
      <w:r w:rsidRPr="00BF1755">
        <w:rPr>
          <w:rFonts w:eastAsiaTheme="minorHAnsi"/>
          <w:lang w:eastAsia="en-US"/>
        </w:rPr>
        <w:t xml:space="preserve">2018). Pupil voice and participation is a complex issue within itself and </w:t>
      </w:r>
      <w:r>
        <w:rPr>
          <w:rFonts w:eastAsiaTheme="minorHAnsi"/>
          <w:lang w:eastAsia="en-US"/>
        </w:rPr>
        <w:t>there is enough scope for focusing on this alone</w:t>
      </w:r>
      <w:r w:rsidRPr="00BF1755">
        <w:rPr>
          <w:rFonts w:eastAsiaTheme="minorHAnsi"/>
          <w:lang w:eastAsia="en-US"/>
        </w:rPr>
        <w:t>. While there were three significant topics within this research study</w:t>
      </w:r>
      <w:r>
        <w:rPr>
          <w:rFonts w:eastAsiaTheme="minorHAnsi"/>
          <w:lang w:eastAsia="en-US"/>
        </w:rPr>
        <w:t xml:space="preserve"> (</w:t>
      </w:r>
      <w:r w:rsidRPr="00BF1755">
        <w:rPr>
          <w:rFonts w:eastAsiaTheme="minorHAnsi"/>
          <w:lang w:eastAsia="en-US"/>
        </w:rPr>
        <w:t>transition, wellbeing, and pupil voice</w:t>
      </w:r>
      <w:r>
        <w:rPr>
          <w:rFonts w:eastAsiaTheme="minorHAnsi"/>
          <w:lang w:eastAsia="en-US"/>
        </w:rPr>
        <w:t>), it is arguable that a</w:t>
      </w:r>
      <w:r w:rsidRPr="00BF1755">
        <w:rPr>
          <w:rFonts w:eastAsiaTheme="minorHAnsi"/>
          <w:lang w:eastAsia="en-US"/>
        </w:rPr>
        <w:t xml:space="preserve"> more </w:t>
      </w:r>
      <w:r>
        <w:rPr>
          <w:rFonts w:eastAsiaTheme="minorHAnsi"/>
          <w:lang w:eastAsia="en-US"/>
        </w:rPr>
        <w:t>thorough</w:t>
      </w:r>
      <w:r w:rsidRPr="00BF1755">
        <w:rPr>
          <w:rFonts w:eastAsiaTheme="minorHAnsi"/>
          <w:lang w:eastAsia="en-US"/>
        </w:rPr>
        <w:t xml:space="preserve"> focus on </w:t>
      </w:r>
      <w:r>
        <w:rPr>
          <w:rFonts w:eastAsiaTheme="minorHAnsi"/>
          <w:lang w:eastAsia="en-US"/>
        </w:rPr>
        <w:t xml:space="preserve">merely </w:t>
      </w:r>
      <w:r w:rsidRPr="00BF1755">
        <w:rPr>
          <w:rFonts w:eastAsiaTheme="minorHAnsi"/>
          <w:lang w:eastAsia="en-US"/>
        </w:rPr>
        <w:t xml:space="preserve">one </w:t>
      </w:r>
      <w:r>
        <w:rPr>
          <w:rFonts w:eastAsiaTheme="minorHAnsi"/>
          <w:lang w:eastAsia="en-US"/>
        </w:rPr>
        <w:t>would have</w:t>
      </w:r>
      <w:r w:rsidRPr="00BF1755">
        <w:rPr>
          <w:rFonts w:eastAsiaTheme="minorHAnsi"/>
          <w:lang w:eastAsia="en-US"/>
        </w:rPr>
        <w:t xml:space="preserve"> reduce</w:t>
      </w:r>
      <w:r>
        <w:rPr>
          <w:rFonts w:eastAsiaTheme="minorHAnsi"/>
          <w:lang w:eastAsia="en-US"/>
        </w:rPr>
        <w:t>d</w:t>
      </w:r>
      <w:r w:rsidRPr="00BF1755">
        <w:rPr>
          <w:rFonts w:eastAsiaTheme="minorHAnsi"/>
          <w:lang w:eastAsia="en-US"/>
        </w:rPr>
        <w:t xml:space="preserve"> complexity</w:t>
      </w:r>
      <w:r>
        <w:rPr>
          <w:rFonts w:eastAsiaTheme="minorHAnsi"/>
          <w:lang w:eastAsia="en-US"/>
        </w:rPr>
        <w:t>. T</w:t>
      </w:r>
      <w:r w:rsidRPr="00BF1755">
        <w:rPr>
          <w:rFonts w:eastAsiaTheme="minorHAnsi"/>
          <w:lang w:eastAsia="en-US"/>
        </w:rPr>
        <w:t xml:space="preserve">his research </w:t>
      </w:r>
      <w:r>
        <w:rPr>
          <w:rFonts w:eastAsiaTheme="minorHAnsi"/>
          <w:lang w:eastAsia="en-US"/>
        </w:rPr>
        <w:t>allowed</w:t>
      </w:r>
      <w:r w:rsidRPr="00BF1755">
        <w:rPr>
          <w:rFonts w:eastAsiaTheme="minorHAnsi"/>
          <w:lang w:eastAsia="en-US"/>
        </w:rPr>
        <w:t xml:space="preserve"> </w:t>
      </w:r>
      <w:r>
        <w:rPr>
          <w:rFonts w:eastAsiaTheme="minorHAnsi"/>
          <w:lang w:eastAsia="en-US"/>
        </w:rPr>
        <w:t xml:space="preserve">for </w:t>
      </w:r>
      <w:r w:rsidRPr="00BF1755">
        <w:rPr>
          <w:rFonts w:eastAsiaTheme="minorHAnsi"/>
          <w:lang w:eastAsia="en-US"/>
        </w:rPr>
        <w:t>ric</w:t>
      </w:r>
      <w:r>
        <w:rPr>
          <w:rFonts w:eastAsiaTheme="minorHAnsi"/>
          <w:lang w:eastAsia="en-US"/>
        </w:rPr>
        <w:t xml:space="preserve">h </w:t>
      </w:r>
      <w:r w:rsidRPr="00BF1755">
        <w:rPr>
          <w:rFonts w:eastAsiaTheme="minorHAnsi"/>
          <w:lang w:eastAsia="en-US"/>
        </w:rPr>
        <w:t>and valuable insight into transition</w:t>
      </w:r>
      <w:r>
        <w:rPr>
          <w:rFonts w:eastAsiaTheme="minorHAnsi"/>
          <w:lang w:eastAsia="en-US"/>
        </w:rPr>
        <w:t xml:space="preserve"> whilst drawing on wellbeing and pupil voice</w:t>
      </w:r>
      <w:r w:rsidRPr="00BF1755">
        <w:rPr>
          <w:rFonts w:eastAsiaTheme="minorHAnsi"/>
          <w:lang w:eastAsia="en-US"/>
        </w:rPr>
        <w:t xml:space="preserve">. It has shown that transition is not always an empowering process and </w:t>
      </w:r>
      <w:r>
        <w:rPr>
          <w:rFonts w:eastAsiaTheme="minorHAnsi"/>
          <w:lang w:eastAsia="en-US"/>
        </w:rPr>
        <w:t>may</w:t>
      </w:r>
      <w:r w:rsidRPr="00BF1755">
        <w:rPr>
          <w:rFonts w:eastAsiaTheme="minorHAnsi"/>
          <w:lang w:eastAsia="en-US"/>
        </w:rPr>
        <w:t xml:space="preserve"> need </w:t>
      </w:r>
      <w:r>
        <w:rPr>
          <w:rFonts w:eastAsiaTheme="minorHAnsi"/>
          <w:lang w:eastAsia="en-US"/>
        </w:rPr>
        <w:t xml:space="preserve">include more </w:t>
      </w:r>
      <w:r w:rsidRPr="00BF1755">
        <w:rPr>
          <w:rFonts w:eastAsiaTheme="minorHAnsi"/>
          <w:lang w:eastAsia="en-US"/>
        </w:rPr>
        <w:t xml:space="preserve">research-informed debates about the lived experiences of </w:t>
      </w:r>
      <w:r>
        <w:rPr>
          <w:rFonts w:eastAsiaTheme="minorHAnsi"/>
          <w:lang w:eastAsia="en-US"/>
        </w:rPr>
        <w:t>YP</w:t>
      </w:r>
      <w:r w:rsidRPr="00BF1755">
        <w:rPr>
          <w:rFonts w:eastAsiaTheme="minorHAnsi"/>
          <w:lang w:eastAsia="en-US"/>
        </w:rPr>
        <w:t>, such as those experienced during transition (Leach and Lewis 2012).</w:t>
      </w:r>
    </w:p>
    <w:p w14:paraId="36102A41" w14:textId="77777777" w:rsidR="00421BB4" w:rsidRPr="00BF1755" w:rsidRDefault="00421BB4" w:rsidP="00421BB4">
      <w:pPr>
        <w:widowControl w:val="0"/>
        <w:overflowPunct w:val="0"/>
        <w:autoSpaceDE w:val="0"/>
        <w:autoSpaceDN w:val="0"/>
        <w:adjustRightInd w:val="0"/>
        <w:spacing w:line="360" w:lineRule="auto"/>
        <w:ind w:firstLine="360"/>
        <w:jc w:val="both"/>
        <w:rPr>
          <w:rFonts w:eastAsiaTheme="minorHAnsi"/>
          <w:lang w:eastAsia="en-US"/>
        </w:rPr>
      </w:pPr>
      <w:r w:rsidRPr="00BF1755">
        <w:rPr>
          <w:rFonts w:eastAsiaTheme="minorHAnsi"/>
          <w:lang w:eastAsia="en-US"/>
        </w:rPr>
        <w:t xml:space="preserve"> </w:t>
      </w:r>
      <w:r>
        <w:rPr>
          <w:rFonts w:eastAsiaTheme="minorHAnsi"/>
          <w:lang w:eastAsia="en-US"/>
        </w:rPr>
        <w:t>A distinctive finding revealed that when</w:t>
      </w:r>
      <w:r w:rsidRPr="00BF1755">
        <w:rPr>
          <w:rFonts w:eastAsiaTheme="minorHAnsi"/>
          <w:lang w:eastAsia="en-US"/>
        </w:rPr>
        <w:t xml:space="preserve"> transition support is planned and delivered holistically through a person centred and interactive approach, YP benefit by having a more positive transition experience. This in turn</w:t>
      </w:r>
      <w:r>
        <w:rPr>
          <w:rFonts w:eastAsiaTheme="minorHAnsi"/>
          <w:lang w:eastAsia="en-US"/>
        </w:rPr>
        <w:t xml:space="preserve"> may</w:t>
      </w:r>
      <w:r w:rsidRPr="00BF1755">
        <w:rPr>
          <w:rFonts w:eastAsiaTheme="minorHAnsi"/>
          <w:lang w:eastAsia="en-US"/>
        </w:rPr>
        <w:t xml:space="preserve"> help them to become increasingly resilient, achieve their goals and aspirations; thus, enhancing their overall</w:t>
      </w:r>
      <w:r>
        <w:rPr>
          <w:rFonts w:eastAsiaTheme="minorHAnsi"/>
          <w:lang w:eastAsia="en-US"/>
        </w:rPr>
        <w:t xml:space="preserve"> social and emotional</w:t>
      </w:r>
      <w:r w:rsidRPr="00BF1755">
        <w:rPr>
          <w:rFonts w:eastAsiaTheme="minorHAnsi"/>
          <w:lang w:eastAsia="en-US"/>
        </w:rPr>
        <w:t xml:space="preserve"> wellbeing. Knowledge </w:t>
      </w:r>
      <w:r>
        <w:rPr>
          <w:rFonts w:eastAsiaTheme="minorHAnsi"/>
          <w:lang w:eastAsia="en-US"/>
        </w:rPr>
        <w:t xml:space="preserve">relating to </w:t>
      </w:r>
      <w:r w:rsidRPr="00BF1755">
        <w:rPr>
          <w:rFonts w:eastAsiaTheme="minorHAnsi"/>
          <w:lang w:eastAsia="en-US"/>
        </w:rPr>
        <w:t>YP’s participation might contribute to change and improvement in</w:t>
      </w:r>
      <w:r>
        <w:rPr>
          <w:rFonts w:eastAsiaTheme="minorHAnsi"/>
          <w:lang w:eastAsia="en-US"/>
        </w:rPr>
        <w:t xml:space="preserve"> the</w:t>
      </w:r>
      <w:r w:rsidRPr="00BF1755">
        <w:rPr>
          <w:rFonts w:eastAsiaTheme="minorHAnsi"/>
          <w:lang w:eastAsia="en-US"/>
        </w:rPr>
        <w:t xml:space="preserve"> processes surrounding transition within school still remains limited, despite wider developments in understanding the benefits of participation to </w:t>
      </w:r>
      <w:r>
        <w:rPr>
          <w:rFonts w:eastAsiaTheme="minorHAnsi"/>
          <w:lang w:eastAsia="en-US"/>
        </w:rPr>
        <w:t xml:space="preserve">SEWB </w:t>
      </w:r>
      <w:r w:rsidRPr="00BF1755">
        <w:rPr>
          <w:rFonts w:eastAsiaTheme="minorHAnsi"/>
          <w:lang w:eastAsia="en-US"/>
        </w:rPr>
        <w:t xml:space="preserve">(Cook-Sather 2006, </w:t>
      </w:r>
      <w:r w:rsidRPr="00950806">
        <w:rPr>
          <w:rFonts w:eastAsiaTheme="minorHAnsi"/>
          <w:i/>
          <w:iCs/>
          <w:lang w:eastAsia="en-US"/>
        </w:rPr>
        <w:t>cited in</w:t>
      </w:r>
      <w:r w:rsidRPr="00BF1755">
        <w:rPr>
          <w:rFonts w:eastAsiaTheme="minorHAnsi"/>
          <w:lang w:eastAsia="en-US"/>
        </w:rPr>
        <w:t xml:space="preserve"> Bragg 2007).</w:t>
      </w:r>
      <w:r>
        <w:rPr>
          <w:rFonts w:eastAsiaTheme="minorHAnsi"/>
          <w:lang w:eastAsia="en-US"/>
        </w:rPr>
        <w:t xml:space="preserve"> T</w:t>
      </w:r>
      <w:r w:rsidRPr="00BF1755">
        <w:rPr>
          <w:rFonts w:eastAsiaTheme="minorHAnsi"/>
          <w:lang w:eastAsia="en-US"/>
        </w:rPr>
        <w:t>he fact that some research in this field, such as that carried out by Dex and Hollingworth</w:t>
      </w:r>
      <w:r>
        <w:rPr>
          <w:rFonts w:eastAsiaTheme="minorHAnsi"/>
          <w:lang w:eastAsia="en-US"/>
        </w:rPr>
        <w:t xml:space="preserve"> (2012)</w:t>
      </w:r>
      <w:r w:rsidRPr="00BF1755">
        <w:rPr>
          <w:rFonts w:eastAsiaTheme="minorHAnsi"/>
          <w:lang w:eastAsia="en-US"/>
        </w:rPr>
        <w:t>, has led to positive outcomes indicate</w:t>
      </w:r>
      <w:r>
        <w:rPr>
          <w:rFonts w:eastAsiaTheme="minorHAnsi"/>
          <w:lang w:eastAsia="en-US"/>
        </w:rPr>
        <w:t xml:space="preserve">s </w:t>
      </w:r>
      <w:r w:rsidRPr="00BF1755">
        <w:rPr>
          <w:rFonts w:eastAsiaTheme="minorHAnsi"/>
          <w:lang w:eastAsia="en-US"/>
        </w:rPr>
        <w:t>a</w:t>
      </w:r>
      <w:r>
        <w:rPr>
          <w:rFonts w:eastAsiaTheme="minorHAnsi"/>
          <w:lang w:eastAsia="en-US"/>
        </w:rPr>
        <w:t xml:space="preserve"> more</w:t>
      </w:r>
      <w:r w:rsidRPr="00BF1755">
        <w:rPr>
          <w:rFonts w:eastAsiaTheme="minorHAnsi"/>
          <w:lang w:eastAsia="en-US"/>
        </w:rPr>
        <w:t xml:space="preserve"> positive </w:t>
      </w:r>
      <w:r>
        <w:rPr>
          <w:rFonts w:eastAsiaTheme="minorHAnsi"/>
          <w:lang w:eastAsia="en-US"/>
        </w:rPr>
        <w:lastRenderedPageBreak/>
        <w:t>progression</w:t>
      </w:r>
      <w:r w:rsidRPr="00BF1755">
        <w:rPr>
          <w:rFonts w:eastAsiaTheme="minorHAnsi"/>
          <w:lang w:eastAsia="en-US"/>
        </w:rPr>
        <w:t xml:space="preserve"> for adults and </w:t>
      </w:r>
      <w:r>
        <w:rPr>
          <w:rFonts w:eastAsiaTheme="minorHAnsi"/>
          <w:lang w:eastAsia="en-US"/>
        </w:rPr>
        <w:t>YP working together during transition</w:t>
      </w:r>
      <w:r w:rsidRPr="00BF1755">
        <w:rPr>
          <w:rFonts w:eastAsiaTheme="minorHAnsi"/>
          <w:lang w:eastAsia="en-US"/>
        </w:rPr>
        <w:t xml:space="preserve">. </w:t>
      </w:r>
    </w:p>
    <w:p w14:paraId="2531CFDD"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Despite the links to pupil participation an</w:t>
      </w:r>
      <w:r>
        <w:rPr>
          <w:rFonts w:eastAsiaTheme="minorHAnsi"/>
          <w:lang w:eastAsia="en-US"/>
        </w:rPr>
        <w:t xml:space="preserve">d social and emotional </w:t>
      </w:r>
      <w:r w:rsidRPr="00BF1755">
        <w:rPr>
          <w:rFonts w:eastAsiaTheme="minorHAnsi"/>
          <w:lang w:eastAsia="en-US"/>
        </w:rPr>
        <w:t>wellbeing</w:t>
      </w:r>
      <w:r>
        <w:rPr>
          <w:rFonts w:eastAsiaTheme="minorHAnsi"/>
          <w:lang w:eastAsia="en-US"/>
        </w:rPr>
        <w:t xml:space="preserve">, </w:t>
      </w:r>
      <w:r w:rsidRPr="00BF1755">
        <w:rPr>
          <w:rFonts w:eastAsiaTheme="minorHAnsi"/>
          <w:lang w:eastAsia="en-US"/>
        </w:rPr>
        <w:t xml:space="preserve">the majority of </w:t>
      </w:r>
      <w:r>
        <w:rPr>
          <w:rFonts w:eastAsiaTheme="minorHAnsi"/>
          <w:lang w:eastAsia="en-US"/>
        </w:rPr>
        <w:t>wellbeing support</w:t>
      </w:r>
      <w:r w:rsidRPr="00BF1755">
        <w:rPr>
          <w:rFonts w:eastAsiaTheme="minorHAnsi"/>
          <w:lang w:eastAsia="en-US"/>
        </w:rPr>
        <w:t xml:space="preserve"> is</w:t>
      </w:r>
      <w:r>
        <w:rPr>
          <w:rFonts w:eastAsiaTheme="minorHAnsi"/>
          <w:lang w:eastAsia="en-US"/>
        </w:rPr>
        <w:t xml:space="preserve"> formed</w:t>
      </w:r>
      <w:r w:rsidRPr="00BF1755">
        <w:rPr>
          <w:rFonts w:eastAsiaTheme="minorHAnsi"/>
          <w:lang w:eastAsia="en-US"/>
        </w:rPr>
        <w:t xml:space="preserve"> on adult opinion, </w:t>
      </w:r>
      <w:r>
        <w:rPr>
          <w:rFonts w:eastAsiaTheme="minorHAnsi"/>
          <w:lang w:eastAsia="en-US"/>
        </w:rPr>
        <w:t xml:space="preserve">largely neglecting the </w:t>
      </w:r>
      <w:r w:rsidRPr="00BF1755">
        <w:rPr>
          <w:rFonts w:eastAsiaTheme="minorHAnsi"/>
          <w:lang w:eastAsia="en-US"/>
        </w:rPr>
        <w:t>participati</w:t>
      </w:r>
      <w:r>
        <w:rPr>
          <w:rFonts w:eastAsiaTheme="minorHAnsi"/>
          <w:lang w:eastAsia="en-US"/>
        </w:rPr>
        <w:t xml:space="preserve">on of the YP and their </w:t>
      </w:r>
      <w:r w:rsidRPr="00BF1755">
        <w:rPr>
          <w:rFonts w:eastAsiaTheme="minorHAnsi"/>
          <w:lang w:eastAsia="en-US"/>
        </w:rPr>
        <w:t>experiences</w:t>
      </w:r>
      <w:r>
        <w:rPr>
          <w:rFonts w:eastAsiaTheme="minorHAnsi"/>
          <w:lang w:eastAsia="en-US"/>
        </w:rPr>
        <w:t xml:space="preserve"> </w:t>
      </w:r>
      <w:r w:rsidRPr="00BF1755">
        <w:rPr>
          <w:rFonts w:eastAsiaTheme="minorHAnsi"/>
          <w:lang w:eastAsia="en-US"/>
        </w:rPr>
        <w:t>(Todd 2007,</w:t>
      </w:r>
      <w:r w:rsidRPr="00AB4DA0">
        <w:rPr>
          <w:rFonts w:eastAsiaTheme="minorHAnsi"/>
          <w:i/>
          <w:iCs/>
          <w:lang w:eastAsia="en-US"/>
        </w:rPr>
        <w:t xml:space="preserve"> cited in</w:t>
      </w:r>
      <w:r w:rsidRPr="00BF1755">
        <w:rPr>
          <w:rFonts w:eastAsiaTheme="minorHAnsi"/>
          <w:lang w:eastAsia="en-US"/>
        </w:rPr>
        <w:t xml:space="preserve"> Hall 2010). </w:t>
      </w:r>
      <w:r>
        <w:rPr>
          <w:rFonts w:eastAsiaTheme="minorHAnsi"/>
          <w:lang w:eastAsia="en-US"/>
        </w:rPr>
        <w:t>Arguably, this support is</w:t>
      </w:r>
      <w:r w:rsidRPr="00BF1755">
        <w:rPr>
          <w:rFonts w:eastAsiaTheme="minorHAnsi"/>
          <w:lang w:eastAsia="en-US"/>
        </w:rPr>
        <w:t xml:space="preserve"> developed according to the </w:t>
      </w:r>
      <w:r>
        <w:rPr>
          <w:rFonts w:eastAsiaTheme="minorHAnsi"/>
          <w:lang w:eastAsia="en-US"/>
        </w:rPr>
        <w:t xml:space="preserve">adults and </w:t>
      </w:r>
      <w:r w:rsidRPr="00BF1755">
        <w:rPr>
          <w:rFonts w:eastAsiaTheme="minorHAnsi"/>
          <w:lang w:eastAsia="en-US"/>
        </w:rPr>
        <w:t>teachers</w:t>
      </w:r>
      <w:r>
        <w:rPr>
          <w:rFonts w:eastAsiaTheme="minorHAnsi"/>
          <w:lang w:eastAsia="en-US"/>
        </w:rPr>
        <w:t>’</w:t>
      </w:r>
      <w:r w:rsidRPr="00BF1755">
        <w:rPr>
          <w:rFonts w:eastAsiaTheme="minorHAnsi"/>
          <w:lang w:eastAsia="en-US"/>
        </w:rPr>
        <w:t xml:space="preserve"> unconscious bias</w:t>
      </w:r>
      <w:r>
        <w:rPr>
          <w:rFonts w:eastAsiaTheme="minorHAnsi"/>
          <w:lang w:eastAsia="en-US"/>
        </w:rPr>
        <w:t>es</w:t>
      </w:r>
      <w:r w:rsidRPr="00BF1755">
        <w:rPr>
          <w:rFonts w:eastAsiaTheme="minorHAnsi"/>
          <w:lang w:eastAsia="en-US"/>
        </w:rPr>
        <w:t xml:space="preserve"> on how they perceive and value authentic pupil participation, and their perception of what wellbeing is and what support should look like (Wilson </w:t>
      </w:r>
      <w:r w:rsidRPr="007C4ABD">
        <w:rPr>
          <w:rFonts w:eastAsiaTheme="minorHAnsi"/>
          <w:i/>
          <w:iCs/>
          <w:lang w:eastAsia="en-US"/>
        </w:rPr>
        <w:t>et al</w:t>
      </w:r>
      <w:r w:rsidRPr="00BF1755">
        <w:rPr>
          <w:rFonts w:eastAsiaTheme="minorHAnsi"/>
          <w:lang w:eastAsia="en-US"/>
        </w:rPr>
        <w:t xml:space="preserve"> 2011, </w:t>
      </w:r>
      <w:r w:rsidRPr="00AB4DA0">
        <w:rPr>
          <w:rFonts w:eastAsiaTheme="minorHAnsi"/>
          <w:i/>
          <w:iCs/>
          <w:lang w:eastAsia="en-US"/>
        </w:rPr>
        <w:t>cited in</w:t>
      </w:r>
      <w:r w:rsidRPr="00BF1755">
        <w:rPr>
          <w:rFonts w:eastAsiaTheme="minorHAnsi"/>
          <w:lang w:eastAsia="en-US"/>
        </w:rPr>
        <w:t xml:space="preserve"> Ashbrook 2012</w:t>
      </w:r>
      <w:r>
        <w:rPr>
          <w:rFonts w:eastAsiaTheme="minorHAnsi"/>
          <w:lang w:eastAsia="en-US"/>
        </w:rPr>
        <w:t xml:space="preserve"> and Spratt 2017</w:t>
      </w:r>
      <w:r w:rsidRPr="00BF1755">
        <w:rPr>
          <w:rFonts w:eastAsiaTheme="minorHAnsi"/>
          <w:lang w:eastAsia="en-US"/>
        </w:rPr>
        <w:t xml:space="preserve">). </w:t>
      </w:r>
    </w:p>
    <w:p w14:paraId="0300195F" w14:textId="77777777" w:rsidR="00421BB4" w:rsidRDefault="00421BB4" w:rsidP="00421BB4">
      <w:pPr>
        <w:widowControl w:val="0"/>
        <w:overflowPunct w:val="0"/>
        <w:autoSpaceDE w:val="0"/>
        <w:autoSpaceDN w:val="0"/>
        <w:adjustRightInd w:val="0"/>
        <w:spacing w:line="360" w:lineRule="auto"/>
        <w:ind w:firstLine="720"/>
        <w:jc w:val="both"/>
        <w:rPr>
          <w:rFonts w:eastAsiaTheme="minorHAnsi"/>
          <w:lang w:eastAsia="en-US"/>
        </w:rPr>
      </w:pPr>
      <w:r w:rsidRPr="00BF1755">
        <w:rPr>
          <w:rFonts w:eastAsiaTheme="minorHAnsi"/>
          <w:lang w:eastAsia="en-US"/>
        </w:rPr>
        <w:t xml:space="preserve">Ultimately, adult </w:t>
      </w:r>
      <w:r>
        <w:rPr>
          <w:rFonts w:eastAsiaTheme="minorHAnsi"/>
          <w:lang w:eastAsia="en-US"/>
        </w:rPr>
        <w:t>recognition and most importantly, adult appreciation of pupil</w:t>
      </w:r>
      <w:r w:rsidRPr="00BF1755">
        <w:rPr>
          <w:rFonts w:eastAsiaTheme="minorHAnsi"/>
          <w:lang w:eastAsia="en-US"/>
        </w:rPr>
        <w:t xml:space="preserve"> voice is essential if we are to realise its potential within transition support</w:t>
      </w:r>
      <w:r>
        <w:rPr>
          <w:rFonts w:eastAsiaTheme="minorHAnsi"/>
          <w:lang w:eastAsia="en-US"/>
        </w:rPr>
        <w:t>.</w:t>
      </w:r>
      <w:r w:rsidRPr="00BF1755">
        <w:rPr>
          <w:rFonts w:eastAsiaTheme="minorHAnsi"/>
          <w:lang w:eastAsia="en-US"/>
        </w:rPr>
        <w:t xml:space="preserve"> </w:t>
      </w:r>
      <w:r>
        <w:rPr>
          <w:rFonts w:eastAsiaTheme="minorHAnsi"/>
          <w:lang w:eastAsia="en-US"/>
        </w:rPr>
        <w:t>T</w:t>
      </w:r>
      <w:r w:rsidRPr="00BF1755">
        <w:rPr>
          <w:rFonts w:eastAsiaTheme="minorHAnsi"/>
          <w:lang w:eastAsia="en-US"/>
        </w:rPr>
        <w:t xml:space="preserve">herefore, it </w:t>
      </w:r>
      <w:r>
        <w:rPr>
          <w:rFonts w:eastAsiaTheme="minorHAnsi"/>
          <w:lang w:eastAsia="en-US"/>
        </w:rPr>
        <w:t>is</w:t>
      </w:r>
      <w:r w:rsidRPr="00BF1755">
        <w:rPr>
          <w:rFonts w:eastAsiaTheme="minorHAnsi"/>
          <w:lang w:eastAsia="en-US"/>
        </w:rPr>
        <w:t xml:space="preserve"> </w:t>
      </w:r>
      <w:r>
        <w:rPr>
          <w:rFonts w:eastAsiaTheme="minorHAnsi"/>
          <w:lang w:eastAsia="en-US"/>
        </w:rPr>
        <w:t xml:space="preserve">perhaps </w:t>
      </w:r>
      <w:r w:rsidRPr="00BF1755">
        <w:rPr>
          <w:rFonts w:eastAsiaTheme="minorHAnsi"/>
          <w:lang w:eastAsia="en-US"/>
        </w:rPr>
        <w:t>important to</w:t>
      </w:r>
      <w:r>
        <w:rPr>
          <w:rFonts w:eastAsiaTheme="minorHAnsi"/>
          <w:lang w:eastAsia="en-US"/>
        </w:rPr>
        <w:t xml:space="preserve"> firstly</w:t>
      </w:r>
      <w:r w:rsidRPr="00BF1755">
        <w:rPr>
          <w:rFonts w:eastAsiaTheme="minorHAnsi"/>
          <w:lang w:eastAsia="en-US"/>
        </w:rPr>
        <w:t xml:space="preserve"> acknowledge</w:t>
      </w:r>
      <w:r>
        <w:rPr>
          <w:rFonts w:eastAsiaTheme="minorHAnsi"/>
          <w:lang w:eastAsia="en-US"/>
        </w:rPr>
        <w:t xml:space="preserve"> </w:t>
      </w:r>
      <w:r w:rsidRPr="00BF1755">
        <w:rPr>
          <w:rFonts w:eastAsiaTheme="minorHAnsi"/>
          <w:lang w:eastAsia="en-US"/>
        </w:rPr>
        <w:t>the reservations that teachers may or may not have towards</w:t>
      </w:r>
      <w:r>
        <w:rPr>
          <w:rFonts w:eastAsiaTheme="minorHAnsi"/>
          <w:lang w:eastAsia="en-US"/>
        </w:rPr>
        <w:t xml:space="preserve"> pupil participation and </w:t>
      </w:r>
      <w:r w:rsidRPr="00BF1755">
        <w:rPr>
          <w:rFonts w:eastAsiaTheme="minorHAnsi"/>
          <w:lang w:eastAsia="en-US"/>
        </w:rPr>
        <w:t xml:space="preserve">wellbeing </w:t>
      </w:r>
      <w:r>
        <w:rPr>
          <w:rFonts w:eastAsiaTheme="minorHAnsi"/>
          <w:lang w:eastAsia="en-US"/>
        </w:rPr>
        <w:t>if we are to improve</w:t>
      </w:r>
      <w:r w:rsidRPr="00BF1755">
        <w:rPr>
          <w:rFonts w:eastAsiaTheme="minorHAnsi"/>
          <w:lang w:eastAsia="en-US"/>
        </w:rPr>
        <w:t xml:space="preserve"> future research (Martin </w:t>
      </w:r>
      <w:r w:rsidRPr="007C4ABD">
        <w:rPr>
          <w:rFonts w:eastAsiaTheme="minorHAnsi"/>
          <w:i/>
          <w:iCs/>
          <w:lang w:eastAsia="en-US"/>
        </w:rPr>
        <w:t>et al</w:t>
      </w:r>
      <w:r w:rsidRPr="00BF1755">
        <w:rPr>
          <w:rFonts w:eastAsiaTheme="minorHAnsi"/>
          <w:lang w:eastAsia="en-US"/>
        </w:rPr>
        <w:t xml:space="preserve"> 2007, </w:t>
      </w:r>
      <w:r w:rsidRPr="00AB4DA0">
        <w:rPr>
          <w:rFonts w:eastAsiaTheme="minorHAnsi"/>
          <w:i/>
          <w:iCs/>
          <w:lang w:eastAsia="en-US"/>
        </w:rPr>
        <w:t>cited in</w:t>
      </w:r>
      <w:r w:rsidRPr="00BF1755">
        <w:rPr>
          <w:rFonts w:eastAsiaTheme="minorHAnsi"/>
          <w:lang w:eastAsia="en-US"/>
        </w:rPr>
        <w:t xml:space="preserve"> Leach and Lewis 2012).</w:t>
      </w:r>
      <w:r w:rsidRPr="00BF1755">
        <w:rPr>
          <w:rFonts w:eastAsiaTheme="minorEastAsia"/>
          <w:kern w:val="28"/>
        </w:rPr>
        <w:t xml:space="preserve"> </w:t>
      </w:r>
      <w:r w:rsidRPr="00BF1755">
        <w:rPr>
          <w:rFonts w:eastAsiaTheme="minorHAnsi"/>
          <w:lang w:eastAsia="en-US"/>
        </w:rPr>
        <w:t xml:space="preserve">More questions perhaps should have been raised </w:t>
      </w:r>
      <w:r>
        <w:rPr>
          <w:rFonts w:eastAsiaTheme="minorHAnsi"/>
          <w:lang w:eastAsia="en-US"/>
        </w:rPr>
        <w:t>then e</w:t>
      </w:r>
      <w:r w:rsidRPr="00BF1755">
        <w:rPr>
          <w:rFonts w:eastAsiaTheme="minorHAnsi"/>
          <w:lang w:eastAsia="en-US"/>
        </w:rPr>
        <w:t>xplored within this research surrounding the impact of C</w:t>
      </w:r>
      <w:r>
        <w:rPr>
          <w:rFonts w:eastAsiaTheme="minorHAnsi"/>
          <w:lang w:eastAsia="en-US"/>
        </w:rPr>
        <w:t>oronavirus</w:t>
      </w:r>
      <w:r w:rsidRPr="00BF1755">
        <w:rPr>
          <w:rFonts w:eastAsiaTheme="minorHAnsi"/>
          <w:lang w:eastAsia="en-US"/>
        </w:rPr>
        <w:t xml:space="preserve"> restrictions on transition experiences</w:t>
      </w:r>
      <w:r>
        <w:rPr>
          <w:rFonts w:eastAsiaTheme="minorHAnsi"/>
          <w:lang w:eastAsia="en-US"/>
        </w:rPr>
        <w:t>, including what measures could have been implemented following the</w:t>
      </w:r>
      <w:r w:rsidRPr="00BF1755">
        <w:rPr>
          <w:rFonts w:eastAsiaTheme="minorHAnsi"/>
          <w:lang w:eastAsia="en-US"/>
        </w:rPr>
        <w:t xml:space="preserve"> challenging circumstances</w:t>
      </w:r>
      <w:r>
        <w:rPr>
          <w:rFonts w:eastAsiaTheme="minorHAnsi"/>
          <w:lang w:eastAsia="en-US"/>
        </w:rPr>
        <w:t xml:space="preserve"> of recent years</w:t>
      </w:r>
      <w:r w:rsidRPr="00BF1755">
        <w:rPr>
          <w:rFonts w:eastAsiaTheme="minorHAnsi"/>
          <w:lang w:eastAsia="en-US"/>
        </w:rPr>
        <w:t xml:space="preserve">.  </w:t>
      </w:r>
    </w:p>
    <w:p w14:paraId="35D9FAF3" w14:textId="77777777" w:rsidR="00421BB4" w:rsidRDefault="00421BB4" w:rsidP="00421BB4">
      <w:pPr>
        <w:spacing w:after="200" w:line="360" w:lineRule="auto"/>
        <w:ind w:firstLine="720"/>
        <w:jc w:val="both"/>
        <w:rPr>
          <w:rFonts w:eastAsiaTheme="minorHAnsi"/>
          <w:lang w:eastAsia="en-US"/>
        </w:rPr>
      </w:pPr>
      <w:r w:rsidRPr="00BF1755">
        <w:rPr>
          <w:rFonts w:eastAsiaTheme="minorHAnsi"/>
          <w:lang w:eastAsia="en-US"/>
        </w:rPr>
        <w:t>While this research in not</w:t>
      </w:r>
      <w:r>
        <w:rPr>
          <w:rFonts w:eastAsiaTheme="minorHAnsi"/>
          <w:lang w:eastAsia="en-US"/>
        </w:rPr>
        <w:t xml:space="preserve"> entirely</w:t>
      </w:r>
      <w:r w:rsidRPr="00BF1755">
        <w:rPr>
          <w:rFonts w:eastAsiaTheme="minorHAnsi"/>
          <w:lang w:eastAsia="en-US"/>
        </w:rPr>
        <w:t xml:space="preserve"> unique in its approach, it does offer insight into the issues relating to </w:t>
      </w:r>
      <w:r>
        <w:rPr>
          <w:rFonts w:eastAsiaTheme="minorHAnsi"/>
          <w:lang w:eastAsia="en-US"/>
        </w:rPr>
        <w:t xml:space="preserve">ways in which good </w:t>
      </w:r>
      <w:r w:rsidRPr="00BF1755">
        <w:rPr>
          <w:rFonts w:eastAsiaTheme="minorHAnsi"/>
          <w:lang w:eastAsia="en-US"/>
        </w:rPr>
        <w:t xml:space="preserve">transition planning and experiences </w:t>
      </w:r>
      <w:r>
        <w:rPr>
          <w:rFonts w:eastAsiaTheme="minorHAnsi"/>
          <w:lang w:eastAsia="en-US"/>
        </w:rPr>
        <w:t>can positively impact upon</w:t>
      </w:r>
      <w:r w:rsidRPr="00BF1755">
        <w:rPr>
          <w:rFonts w:eastAsiaTheme="minorHAnsi"/>
          <w:lang w:eastAsia="en-US"/>
        </w:rPr>
        <w:t xml:space="preserve"> YP</w:t>
      </w:r>
      <w:r>
        <w:rPr>
          <w:rFonts w:eastAsiaTheme="minorHAnsi"/>
          <w:lang w:eastAsia="en-US"/>
        </w:rPr>
        <w:t>’s</w:t>
      </w:r>
      <w:r w:rsidRPr="00BF1755">
        <w:rPr>
          <w:rFonts w:eastAsiaTheme="minorHAnsi"/>
          <w:lang w:eastAsia="en-US"/>
        </w:rPr>
        <w:t xml:space="preserve"> overall wellbeing. </w:t>
      </w:r>
      <w:r>
        <w:rPr>
          <w:rFonts w:eastAsiaTheme="minorHAnsi"/>
          <w:lang w:eastAsia="en-US"/>
        </w:rPr>
        <w:t>T</w:t>
      </w:r>
      <w:r w:rsidRPr="00BF1755">
        <w:rPr>
          <w:rFonts w:eastAsiaTheme="minorHAnsi"/>
          <w:lang w:eastAsia="en-US"/>
        </w:rPr>
        <w:t>his</w:t>
      </w:r>
      <w:r>
        <w:rPr>
          <w:rFonts w:eastAsiaTheme="minorHAnsi"/>
          <w:lang w:eastAsia="en-US"/>
        </w:rPr>
        <w:t xml:space="preserve"> current</w:t>
      </w:r>
      <w:r w:rsidRPr="00BF1755">
        <w:rPr>
          <w:rFonts w:eastAsiaTheme="minorHAnsi"/>
          <w:lang w:eastAsia="en-US"/>
        </w:rPr>
        <w:t xml:space="preserve"> study </w:t>
      </w:r>
      <w:r>
        <w:rPr>
          <w:rFonts w:eastAsiaTheme="minorHAnsi"/>
          <w:lang w:eastAsia="en-US"/>
        </w:rPr>
        <w:t>justifies the development of</w:t>
      </w:r>
      <w:r w:rsidRPr="00BF1755">
        <w:rPr>
          <w:rFonts w:eastAsiaTheme="minorHAnsi"/>
          <w:lang w:eastAsia="en-US"/>
        </w:rPr>
        <w:t xml:space="preserve"> </w:t>
      </w:r>
      <w:r>
        <w:rPr>
          <w:rFonts w:eastAsiaTheme="minorHAnsi"/>
          <w:lang w:eastAsia="en-US"/>
        </w:rPr>
        <w:t>broader</w:t>
      </w:r>
      <w:r w:rsidRPr="00BF1755">
        <w:rPr>
          <w:rFonts w:eastAsiaTheme="minorHAnsi"/>
          <w:lang w:eastAsia="en-US"/>
        </w:rPr>
        <w:t xml:space="preserve"> investigation</w:t>
      </w:r>
      <w:r>
        <w:rPr>
          <w:rFonts w:eastAsiaTheme="minorHAnsi"/>
          <w:lang w:eastAsia="en-US"/>
        </w:rPr>
        <w:t>s</w:t>
      </w:r>
      <w:r w:rsidRPr="00BF1755">
        <w:rPr>
          <w:rFonts w:eastAsiaTheme="minorHAnsi"/>
          <w:lang w:eastAsia="en-US"/>
        </w:rPr>
        <w:t xml:space="preserve"> in the future</w:t>
      </w:r>
      <w:r>
        <w:rPr>
          <w:rFonts w:eastAsiaTheme="minorHAnsi"/>
          <w:lang w:eastAsia="en-US"/>
        </w:rPr>
        <w:t xml:space="preserve"> as</w:t>
      </w:r>
      <w:r w:rsidRPr="00BF1755">
        <w:rPr>
          <w:rFonts w:eastAsiaTheme="minorHAnsi"/>
          <w:lang w:eastAsia="en-US"/>
        </w:rPr>
        <w:t xml:space="preserve"> </w:t>
      </w:r>
      <w:r>
        <w:rPr>
          <w:rFonts w:eastAsiaTheme="minorHAnsi"/>
          <w:lang w:eastAsia="en-US"/>
        </w:rPr>
        <w:t xml:space="preserve">it </w:t>
      </w:r>
      <w:r w:rsidRPr="00BF1755">
        <w:rPr>
          <w:rFonts w:eastAsiaTheme="minorHAnsi"/>
          <w:lang w:eastAsia="en-US"/>
        </w:rPr>
        <w:t xml:space="preserve">highlighted the </w:t>
      </w:r>
      <w:r>
        <w:rPr>
          <w:rFonts w:eastAsiaTheme="minorHAnsi"/>
          <w:lang w:eastAsia="en-US"/>
        </w:rPr>
        <w:t xml:space="preserve">potential </w:t>
      </w:r>
      <w:r w:rsidRPr="00BF1755">
        <w:rPr>
          <w:rFonts w:eastAsiaTheme="minorHAnsi"/>
          <w:lang w:eastAsia="en-US"/>
        </w:rPr>
        <w:t xml:space="preserve">opportunity for transition support to be explored as part of the structured timetable and incorporated </w:t>
      </w:r>
      <w:r>
        <w:rPr>
          <w:rFonts w:eastAsiaTheme="minorHAnsi"/>
          <w:lang w:eastAsia="en-US"/>
        </w:rPr>
        <w:t>into the</w:t>
      </w:r>
      <w:r w:rsidRPr="00BF1755">
        <w:rPr>
          <w:rFonts w:eastAsiaTheme="minorHAnsi"/>
          <w:lang w:eastAsia="en-US"/>
        </w:rPr>
        <w:t xml:space="preserve"> YP learning </w:t>
      </w:r>
      <w:r>
        <w:rPr>
          <w:rFonts w:eastAsiaTheme="minorHAnsi"/>
          <w:lang w:eastAsia="en-US"/>
        </w:rPr>
        <w:t xml:space="preserve">experiences. In this study, this has been proposed within </w:t>
      </w:r>
      <w:r w:rsidRPr="00BF1755">
        <w:rPr>
          <w:rFonts w:eastAsiaTheme="minorHAnsi"/>
          <w:lang w:eastAsia="en-US"/>
        </w:rPr>
        <w:t xml:space="preserve">Health and Wellbeing sessions or within compulsory Welsh Baccalaureate for </w:t>
      </w:r>
      <w:r>
        <w:rPr>
          <w:rFonts w:eastAsiaTheme="minorHAnsi"/>
          <w:lang w:eastAsia="en-US"/>
        </w:rPr>
        <w:t>pupils</w:t>
      </w:r>
      <w:r w:rsidRPr="00BF1755">
        <w:rPr>
          <w:rFonts w:eastAsiaTheme="minorHAnsi"/>
          <w:lang w:eastAsia="en-US"/>
        </w:rPr>
        <w:t xml:space="preserve"> </w:t>
      </w:r>
      <w:r>
        <w:rPr>
          <w:rFonts w:eastAsiaTheme="minorHAnsi"/>
          <w:lang w:eastAsia="en-US"/>
        </w:rPr>
        <w:t>who are sixteen</w:t>
      </w:r>
      <w:r w:rsidRPr="00BF1755">
        <w:rPr>
          <w:rFonts w:eastAsiaTheme="minorHAnsi"/>
          <w:lang w:eastAsia="en-US"/>
        </w:rPr>
        <w:t xml:space="preserve"> </w:t>
      </w:r>
      <w:r>
        <w:rPr>
          <w:rFonts w:eastAsiaTheme="minorHAnsi"/>
          <w:lang w:eastAsia="en-US"/>
        </w:rPr>
        <w:t>or</w:t>
      </w:r>
      <w:r w:rsidRPr="00BF1755">
        <w:rPr>
          <w:rFonts w:eastAsiaTheme="minorHAnsi"/>
          <w:lang w:eastAsia="en-US"/>
        </w:rPr>
        <w:t xml:space="preserve"> over</w:t>
      </w:r>
      <w:r>
        <w:rPr>
          <w:rFonts w:eastAsiaTheme="minorHAnsi"/>
          <w:lang w:eastAsia="en-US"/>
        </w:rPr>
        <w:t xml:space="preserve"> in Wales.</w:t>
      </w:r>
      <w:r w:rsidRPr="00BF1755">
        <w:rPr>
          <w:rFonts w:eastAsiaTheme="minorHAnsi"/>
          <w:lang w:eastAsia="en-US"/>
        </w:rPr>
        <w:t xml:space="preserve"> It is within these sessions that YP </w:t>
      </w:r>
      <w:r>
        <w:rPr>
          <w:rFonts w:eastAsiaTheme="minorHAnsi"/>
          <w:lang w:eastAsia="en-US"/>
        </w:rPr>
        <w:t>may</w:t>
      </w:r>
      <w:r w:rsidRPr="00BF1755">
        <w:rPr>
          <w:rFonts w:eastAsiaTheme="minorHAnsi"/>
          <w:lang w:eastAsia="en-US"/>
        </w:rPr>
        <w:t xml:space="preserve"> have the opportunity to explore how their wellbeing could be enhanced during their transition</w:t>
      </w:r>
      <w:r>
        <w:rPr>
          <w:rFonts w:eastAsiaTheme="minorHAnsi"/>
          <w:lang w:eastAsia="en-US"/>
        </w:rPr>
        <w:t xml:space="preserve"> while striving towards their goals and aspirations. </w:t>
      </w:r>
    </w:p>
    <w:p w14:paraId="067D00EB" w14:textId="77777777" w:rsidR="00421BB4" w:rsidRPr="00B652B1" w:rsidRDefault="00421BB4" w:rsidP="00421BB4">
      <w:pPr>
        <w:spacing w:after="200" w:line="360" w:lineRule="auto"/>
        <w:ind w:firstLine="720"/>
        <w:jc w:val="both"/>
        <w:rPr>
          <w:rFonts w:eastAsiaTheme="minorHAnsi"/>
          <w:lang w:eastAsia="en-US"/>
        </w:rPr>
      </w:pPr>
      <w:r>
        <w:rPr>
          <w:rFonts w:eastAsiaTheme="minorHAnsi"/>
          <w:lang w:eastAsia="en-US"/>
        </w:rPr>
        <w:t xml:space="preserve">Corresponding with the national agenda for supporting P16 transition, this report can be seen to contribute to the wider view that proposes </w:t>
      </w:r>
      <w:r w:rsidRPr="00BF1755">
        <w:rPr>
          <w:rFonts w:eastAsiaTheme="minorHAnsi"/>
          <w:lang w:eastAsia="en-US"/>
        </w:rPr>
        <w:t xml:space="preserve">that </w:t>
      </w:r>
      <w:r>
        <w:rPr>
          <w:rFonts w:eastAsiaTheme="minorHAnsi"/>
          <w:lang w:eastAsia="en-US"/>
        </w:rPr>
        <w:t xml:space="preserve">not only should </w:t>
      </w:r>
      <w:r w:rsidRPr="00BF1755">
        <w:rPr>
          <w:rFonts w:eastAsiaTheme="minorHAnsi"/>
          <w:lang w:eastAsia="en-US"/>
        </w:rPr>
        <w:t xml:space="preserve">all </w:t>
      </w:r>
      <w:r>
        <w:rPr>
          <w:rFonts w:eastAsiaTheme="minorHAnsi"/>
          <w:lang w:eastAsia="en-US"/>
        </w:rPr>
        <w:t xml:space="preserve">YP </w:t>
      </w:r>
      <w:r w:rsidRPr="00BF1755">
        <w:rPr>
          <w:rFonts w:eastAsiaTheme="minorHAnsi"/>
          <w:lang w:eastAsia="en-US"/>
        </w:rPr>
        <w:t xml:space="preserve">be supported with their </w:t>
      </w:r>
      <w:r>
        <w:rPr>
          <w:rFonts w:eastAsiaTheme="minorHAnsi"/>
          <w:lang w:eastAsia="en-US"/>
        </w:rPr>
        <w:t xml:space="preserve">wellbeing during their </w:t>
      </w:r>
      <w:r w:rsidRPr="00BF1755">
        <w:rPr>
          <w:rFonts w:eastAsiaTheme="minorHAnsi"/>
          <w:lang w:eastAsia="en-US"/>
        </w:rPr>
        <w:t>educational journey</w:t>
      </w:r>
      <w:r>
        <w:rPr>
          <w:rFonts w:eastAsiaTheme="minorHAnsi"/>
          <w:lang w:eastAsia="en-US"/>
        </w:rPr>
        <w:t>, but should be active participants in the shaping of their own future. For</w:t>
      </w:r>
      <w:r w:rsidRPr="00BF1755">
        <w:rPr>
          <w:rFonts w:eastAsiaTheme="minorHAnsi"/>
          <w:lang w:eastAsia="en-US"/>
        </w:rPr>
        <w:t xml:space="preserve"> a true holistic </w:t>
      </w:r>
      <w:r>
        <w:rPr>
          <w:rFonts w:eastAsiaTheme="minorHAnsi"/>
          <w:lang w:eastAsia="en-US"/>
        </w:rPr>
        <w:t xml:space="preserve">and person-centred </w:t>
      </w:r>
      <w:r w:rsidRPr="00BF1755">
        <w:rPr>
          <w:rFonts w:eastAsiaTheme="minorHAnsi"/>
          <w:lang w:eastAsia="en-US"/>
        </w:rPr>
        <w:t xml:space="preserve">approach to </w:t>
      </w:r>
      <w:r>
        <w:rPr>
          <w:rFonts w:eastAsiaTheme="minorHAnsi"/>
          <w:lang w:eastAsia="en-US"/>
        </w:rPr>
        <w:t xml:space="preserve">P16 </w:t>
      </w:r>
      <w:r w:rsidRPr="00BF1755">
        <w:rPr>
          <w:rFonts w:eastAsiaTheme="minorHAnsi"/>
          <w:lang w:eastAsia="en-US"/>
        </w:rPr>
        <w:t xml:space="preserve">transition </w:t>
      </w:r>
      <w:r>
        <w:rPr>
          <w:rFonts w:eastAsiaTheme="minorHAnsi"/>
          <w:lang w:eastAsia="en-US"/>
        </w:rPr>
        <w:t>to occur however,</w:t>
      </w:r>
      <w:r w:rsidRPr="00BF1755">
        <w:rPr>
          <w:rFonts w:eastAsiaTheme="minorHAnsi"/>
          <w:lang w:eastAsia="en-US"/>
        </w:rPr>
        <w:t xml:space="preserve"> </w:t>
      </w:r>
      <w:r>
        <w:rPr>
          <w:rFonts w:eastAsiaTheme="minorHAnsi"/>
          <w:lang w:eastAsia="en-US"/>
        </w:rPr>
        <w:t xml:space="preserve">it is arguable that </w:t>
      </w:r>
      <w:r w:rsidRPr="00BF1755">
        <w:rPr>
          <w:rFonts w:eastAsiaTheme="minorHAnsi"/>
          <w:lang w:eastAsia="en-US"/>
        </w:rPr>
        <w:t xml:space="preserve">the status of transition </w:t>
      </w:r>
      <w:r>
        <w:rPr>
          <w:rFonts w:eastAsiaTheme="minorHAnsi"/>
          <w:lang w:eastAsia="en-US"/>
        </w:rPr>
        <w:t xml:space="preserve">needs </w:t>
      </w:r>
      <w:r w:rsidRPr="00BF1755">
        <w:rPr>
          <w:rFonts w:eastAsiaTheme="minorHAnsi"/>
          <w:lang w:eastAsia="en-US"/>
        </w:rPr>
        <w:t xml:space="preserve">to be raised </w:t>
      </w:r>
      <w:r>
        <w:rPr>
          <w:rFonts w:eastAsiaTheme="minorHAnsi"/>
          <w:lang w:eastAsia="en-US"/>
        </w:rPr>
        <w:t xml:space="preserve">firstly on a local level for this to take place successfully and authentically. </w:t>
      </w:r>
    </w:p>
    <w:p w14:paraId="762A0CAE" w14:textId="77777777" w:rsidR="00486073" w:rsidRDefault="00486073"/>
    <w:sectPr w:rsidR="004860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altName w:val="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8213B"/>
    <w:multiLevelType w:val="hybridMultilevel"/>
    <w:tmpl w:val="EA0EAFC4"/>
    <w:lvl w:ilvl="0" w:tplc="BBE61772">
      <w:start w:val="1"/>
      <w:numFmt w:val="bullet"/>
      <w:lvlText w:val=""/>
      <w:lvlJc w:val="left"/>
      <w:pPr>
        <w:ind w:left="450" w:hanging="360"/>
      </w:pPr>
      <w:rPr>
        <w:rFonts w:ascii="Symbol" w:hAnsi="Symbol" w:hint="default"/>
        <w:color w:val="ED7D31" w:themeColor="accent2"/>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1" w15:restartNumberingAfterBreak="0">
    <w:nsid w:val="0464301D"/>
    <w:multiLevelType w:val="hybridMultilevel"/>
    <w:tmpl w:val="430EF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B43A3"/>
    <w:multiLevelType w:val="hybridMultilevel"/>
    <w:tmpl w:val="FB18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B33E1"/>
    <w:multiLevelType w:val="hybridMultilevel"/>
    <w:tmpl w:val="3A1E201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F17802"/>
    <w:multiLevelType w:val="hybridMultilevel"/>
    <w:tmpl w:val="4E9C2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67A21"/>
    <w:multiLevelType w:val="hybridMultilevel"/>
    <w:tmpl w:val="8D685494"/>
    <w:lvl w:ilvl="0" w:tplc="0809000F">
      <w:start w:val="1"/>
      <w:numFmt w:val="decimal"/>
      <w:lvlText w:val="%1."/>
      <w:lvlJc w:val="left"/>
      <w:pPr>
        <w:ind w:left="4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3673BA"/>
    <w:multiLevelType w:val="hybridMultilevel"/>
    <w:tmpl w:val="C9EA8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606264"/>
    <w:multiLevelType w:val="multilevel"/>
    <w:tmpl w:val="E826B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477A86"/>
    <w:multiLevelType w:val="hybridMultilevel"/>
    <w:tmpl w:val="27321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458DE"/>
    <w:multiLevelType w:val="hybridMultilevel"/>
    <w:tmpl w:val="E656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C913C7"/>
    <w:multiLevelType w:val="hybridMultilevel"/>
    <w:tmpl w:val="FDCC3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94252B"/>
    <w:multiLevelType w:val="hybridMultilevel"/>
    <w:tmpl w:val="3BEC2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CC769D"/>
    <w:multiLevelType w:val="hybridMultilevel"/>
    <w:tmpl w:val="73BC7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B70F2"/>
    <w:multiLevelType w:val="hybridMultilevel"/>
    <w:tmpl w:val="90E29F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C7A392E"/>
    <w:multiLevelType w:val="hybridMultilevel"/>
    <w:tmpl w:val="B0926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7D067B"/>
    <w:multiLevelType w:val="hybridMultilevel"/>
    <w:tmpl w:val="25DA8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653917"/>
    <w:multiLevelType w:val="hybridMultilevel"/>
    <w:tmpl w:val="A83C9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B50D5C"/>
    <w:multiLevelType w:val="multilevel"/>
    <w:tmpl w:val="4EAEE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FD74FB"/>
    <w:multiLevelType w:val="hybridMultilevel"/>
    <w:tmpl w:val="51E8ABFE"/>
    <w:lvl w:ilvl="0" w:tplc="BBE61772">
      <w:start w:val="1"/>
      <w:numFmt w:val="bullet"/>
      <w:lvlText w:val=""/>
      <w:lvlJc w:val="left"/>
      <w:pPr>
        <w:ind w:left="54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B620A3"/>
    <w:multiLevelType w:val="multilevel"/>
    <w:tmpl w:val="A01CE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AE5C7B"/>
    <w:multiLevelType w:val="hybridMultilevel"/>
    <w:tmpl w:val="C044A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A329C7"/>
    <w:multiLevelType w:val="hybridMultilevel"/>
    <w:tmpl w:val="C276B5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FC7B6C"/>
    <w:multiLevelType w:val="hybridMultilevel"/>
    <w:tmpl w:val="7DEAF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510CCE"/>
    <w:multiLevelType w:val="hybridMultilevel"/>
    <w:tmpl w:val="FE489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D06891"/>
    <w:multiLevelType w:val="hybridMultilevel"/>
    <w:tmpl w:val="A5B0E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6E5AAE"/>
    <w:multiLevelType w:val="hybridMultilevel"/>
    <w:tmpl w:val="06D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121B6A"/>
    <w:multiLevelType w:val="hybridMultilevel"/>
    <w:tmpl w:val="B56C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9B1DFB"/>
    <w:multiLevelType w:val="hybridMultilevel"/>
    <w:tmpl w:val="CCD0F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0904EB"/>
    <w:multiLevelType w:val="hybridMultilevel"/>
    <w:tmpl w:val="FA32111C"/>
    <w:lvl w:ilvl="0" w:tplc="0809000F">
      <w:start w:val="1"/>
      <w:numFmt w:val="decimal"/>
      <w:lvlText w:val="%1."/>
      <w:lvlJc w:val="left"/>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467D5D"/>
    <w:multiLevelType w:val="hybridMultilevel"/>
    <w:tmpl w:val="63122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233DEE"/>
    <w:multiLevelType w:val="hybridMultilevel"/>
    <w:tmpl w:val="26CC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5F0BEB"/>
    <w:multiLevelType w:val="hybridMultilevel"/>
    <w:tmpl w:val="C2FE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E62726"/>
    <w:multiLevelType w:val="hybridMultilevel"/>
    <w:tmpl w:val="21505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9A731C"/>
    <w:multiLevelType w:val="hybridMultilevel"/>
    <w:tmpl w:val="FA32111C"/>
    <w:lvl w:ilvl="0" w:tplc="FFFFFFFF">
      <w:start w:val="1"/>
      <w:numFmt w:val="decimal"/>
      <w:lvlText w:val="%1."/>
      <w:lvlJc w:val="left"/>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D706D35"/>
    <w:multiLevelType w:val="hybridMultilevel"/>
    <w:tmpl w:val="8E584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0011E1"/>
    <w:multiLevelType w:val="hybridMultilevel"/>
    <w:tmpl w:val="98F6BEE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3F0427E"/>
    <w:multiLevelType w:val="hybridMultilevel"/>
    <w:tmpl w:val="1DD85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1541B1"/>
    <w:multiLevelType w:val="hybridMultilevel"/>
    <w:tmpl w:val="1488FB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245B28"/>
    <w:multiLevelType w:val="hybridMultilevel"/>
    <w:tmpl w:val="ADC61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951F76"/>
    <w:multiLevelType w:val="hybridMultilevel"/>
    <w:tmpl w:val="7DB04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1541D2"/>
    <w:multiLevelType w:val="hybridMultilevel"/>
    <w:tmpl w:val="07ACD4DC"/>
    <w:lvl w:ilvl="0" w:tplc="4B8808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E842AF"/>
    <w:multiLevelType w:val="hybridMultilevel"/>
    <w:tmpl w:val="D83AA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B62959"/>
    <w:multiLevelType w:val="hybridMultilevel"/>
    <w:tmpl w:val="EB9E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664BBA"/>
    <w:multiLevelType w:val="hybridMultilevel"/>
    <w:tmpl w:val="A5DA3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3C7FC2"/>
    <w:multiLevelType w:val="hybridMultilevel"/>
    <w:tmpl w:val="FF400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833557"/>
    <w:multiLevelType w:val="multilevel"/>
    <w:tmpl w:val="F0383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4"/>
  </w:num>
  <w:num w:numId="3">
    <w:abstractNumId w:val="40"/>
  </w:num>
  <w:num w:numId="4">
    <w:abstractNumId w:val="38"/>
  </w:num>
  <w:num w:numId="5">
    <w:abstractNumId w:val="27"/>
  </w:num>
  <w:num w:numId="6">
    <w:abstractNumId w:val="16"/>
  </w:num>
  <w:num w:numId="7">
    <w:abstractNumId w:val="25"/>
  </w:num>
  <w:num w:numId="8">
    <w:abstractNumId w:val="23"/>
  </w:num>
  <w:num w:numId="9">
    <w:abstractNumId w:val="43"/>
  </w:num>
  <w:num w:numId="10">
    <w:abstractNumId w:val="10"/>
  </w:num>
  <w:num w:numId="11">
    <w:abstractNumId w:val="26"/>
  </w:num>
  <w:num w:numId="12">
    <w:abstractNumId w:val="28"/>
  </w:num>
  <w:num w:numId="13">
    <w:abstractNumId w:val="33"/>
  </w:num>
  <w:num w:numId="14">
    <w:abstractNumId w:val="11"/>
  </w:num>
  <w:num w:numId="15">
    <w:abstractNumId w:val="29"/>
  </w:num>
  <w:num w:numId="16">
    <w:abstractNumId w:val="2"/>
  </w:num>
  <w:num w:numId="17">
    <w:abstractNumId w:val="14"/>
  </w:num>
  <w:num w:numId="18">
    <w:abstractNumId w:val="13"/>
  </w:num>
  <w:num w:numId="19">
    <w:abstractNumId w:val="34"/>
  </w:num>
  <w:num w:numId="20">
    <w:abstractNumId w:val="37"/>
  </w:num>
  <w:num w:numId="21">
    <w:abstractNumId w:val="21"/>
  </w:num>
  <w:num w:numId="22">
    <w:abstractNumId w:val="6"/>
  </w:num>
  <w:num w:numId="23">
    <w:abstractNumId w:val="42"/>
  </w:num>
  <w:num w:numId="24">
    <w:abstractNumId w:val="8"/>
  </w:num>
  <w:num w:numId="25">
    <w:abstractNumId w:val="22"/>
  </w:num>
  <w:num w:numId="26">
    <w:abstractNumId w:val="20"/>
  </w:num>
  <w:num w:numId="27">
    <w:abstractNumId w:val="1"/>
  </w:num>
  <w:num w:numId="28">
    <w:abstractNumId w:val="41"/>
  </w:num>
  <w:num w:numId="29">
    <w:abstractNumId w:val="15"/>
  </w:num>
  <w:num w:numId="30">
    <w:abstractNumId w:val="39"/>
  </w:num>
  <w:num w:numId="31">
    <w:abstractNumId w:val="24"/>
  </w:num>
  <w:num w:numId="32">
    <w:abstractNumId w:val="31"/>
  </w:num>
  <w:num w:numId="33">
    <w:abstractNumId w:val="9"/>
  </w:num>
  <w:num w:numId="34">
    <w:abstractNumId w:val="44"/>
  </w:num>
  <w:num w:numId="35">
    <w:abstractNumId w:val="12"/>
  </w:num>
  <w:num w:numId="36">
    <w:abstractNumId w:val="32"/>
  </w:num>
  <w:num w:numId="37">
    <w:abstractNumId w:val="36"/>
  </w:num>
  <w:num w:numId="38">
    <w:abstractNumId w:val="7"/>
  </w:num>
  <w:num w:numId="39">
    <w:abstractNumId w:val="17"/>
  </w:num>
  <w:num w:numId="40">
    <w:abstractNumId w:val="19"/>
  </w:num>
  <w:num w:numId="41">
    <w:abstractNumId w:val="45"/>
  </w:num>
  <w:num w:numId="42">
    <w:abstractNumId w:val="35"/>
  </w:num>
  <w:num w:numId="43">
    <w:abstractNumId w:val="3"/>
  </w:num>
  <w:num w:numId="44">
    <w:abstractNumId w:val="5"/>
  </w:num>
  <w:num w:numId="45">
    <w:abstractNumId w:val="18"/>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BB4"/>
    <w:rsid w:val="00421BB4"/>
    <w:rsid w:val="00486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954FC"/>
  <w15:chartTrackingRefBased/>
  <w15:docId w15:val="{C63CB4E2-B679-4C21-A585-F6074361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BB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421BB4"/>
    <w:pPr>
      <w:keepNext/>
      <w:tabs>
        <w:tab w:val="left" w:pos="5103"/>
      </w:tabs>
      <w:jc w:val="center"/>
      <w:outlineLvl w:val="0"/>
    </w:pPr>
    <w:rPr>
      <w:b/>
      <w:bCs/>
      <w:sz w:val="22"/>
      <w:szCs w:val="22"/>
      <w:lang w:eastAsia="en-US"/>
    </w:rPr>
  </w:style>
  <w:style w:type="paragraph" w:styleId="Heading2">
    <w:name w:val="heading 2"/>
    <w:basedOn w:val="Normal"/>
    <w:next w:val="Normal"/>
    <w:link w:val="Heading2Char"/>
    <w:uiPriority w:val="9"/>
    <w:semiHidden/>
    <w:unhideWhenUsed/>
    <w:qFormat/>
    <w:rsid w:val="00421B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421BB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21BB4"/>
    <w:rPr>
      <w:rFonts w:ascii="Times New Roman" w:eastAsia="Times New Roman" w:hAnsi="Times New Roman" w:cs="Times New Roman"/>
      <w:b/>
      <w:bCs/>
    </w:rPr>
  </w:style>
  <w:style w:type="character" w:customStyle="1" w:styleId="Heading2Char">
    <w:name w:val="Heading 2 Char"/>
    <w:basedOn w:val="DefaultParagraphFont"/>
    <w:link w:val="Heading2"/>
    <w:uiPriority w:val="9"/>
    <w:semiHidden/>
    <w:rsid w:val="00421BB4"/>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9"/>
    <w:rsid w:val="00421BB4"/>
    <w:rPr>
      <w:rFonts w:ascii="Times New Roman" w:eastAsia="Times New Roman" w:hAnsi="Times New Roman" w:cs="Times New Roman"/>
      <w:b/>
      <w:bCs/>
      <w:sz w:val="28"/>
      <w:szCs w:val="28"/>
    </w:rPr>
  </w:style>
  <w:style w:type="paragraph" w:styleId="ListParagraph">
    <w:name w:val="List Paragraph"/>
    <w:basedOn w:val="Normal"/>
    <w:uiPriority w:val="34"/>
    <w:qFormat/>
    <w:rsid w:val="00421BB4"/>
    <w:pPr>
      <w:ind w:left="720"/>
      <w:contextualSpacing/>
    </w:pPr>
  </w:style>
  <w:style w:type="paragraph" w:styleId="NormalWeb">
    <w:name w:val="Normal (Web)"/>
    <w:basedOn w:val="Normal"/>
    <w:uiPriority w:val="99"/>
    <w:unhideWhenUsed/>
    <w:rsid w:val="00421BB4"/>
    <w:pPr>
      <w:spacing w:before="100" w:beforeAutospacing="1" w:after="100" w:afterAutospacing="1"/>
    </w:pPr>
  </w:style>
  <w:style w:type="paragraph" w:styleId="Header">
    <w:name w:val="header"/>
    <w:basedOn w:val="Normal"/>
    <w:link w:val="HeaderChar"/>
    <w:uiPriority w:val="99"/>
    <w:unhideWhenUsed/>
    <w:rsid w:val="00421BB4"/>
    <w:pPr>
      <w:tabs>
        <w:tab w:val="center" w:pos="4513"/>
        <w:tab w:val="right" w:pos="9026"/>
      </w:tabs>
    </w:pPr>
  </w:style>
  <w:style w:type="character" w:customStyle="1" w:styleId="HeaderChar">
    <w:name w:val="Header Char"/>
    <w:basedOn w:val="DefaultParagraphFont"/>
    <w:link w:val="Header"/>
    <w:uiPriority w:val="99"/>
    <w:rsid w:val="00421BB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21BB4"/>
    <w:pPr>
      <w:tabs>
        <w:tab w:val="center" w:pos="4513"/>
        <w:tab w:val="right" w:pos="9026"/>
      </w:tabs>
    </w:pPr>
  </w:style>
  <w:style w:type="character" w:customStyle="1" w:styleId="FooterChar">
    <w:name w:val="Footer Char"/>
    <w:basedOn w:val="DefaultParagraphFont"/>
    <w:link w:val="Footer"/>
    <w:uiPriority w:val="99"/>
    <w:rsid w:val="00421BB4"/>
    <w:rPr>
      <w:rFonts w:ascii="Times New Roman" w:eastAsia="Times New Roman" w:hAnsi="Times New Roman" w:cs="Times New Roman"/>
      <w:sz w:val="24"/>
      <w:szCs w:val="24"/>
      <w:lang w:eastAsia="en-GB"/>
    </w:rPr>
  </w:style>
  <w:style w:type="paragraph" w:customStyle="1" w:styleId="paragraph">
    <w:name w:val="paragraph"/>
    <w:basedOn w:val="Normal"/>
    <w:rsid w:val="00421BB4"/>
    <w:pPr>
      <w:spacing w:before="100" w:beforeAutospacing="1" w:after="100" w:afterAutospacing="1"/>
    </w:pPr>
  </w:style>
  <w:style w:type="character" w:customStyle="1" w:styleId="eop">
    <w:name w:val="eop"/>
    <w:basedOn w:val="DefaultParagraphFont"/>
    <w:rsid w:val="00421BB4"/>
  </w:style>
  <w:style w:type="character" w:styleId="CommentReference">
    <w:name w:val="annotation reference"/>
    <w:basedOn w:val="DefaultParagraphFont"/>
    <w:uiPriority w:val="99"/>
    <w:semiHidden/>
    <w:unhideWhenUsed/>
    <w:rsid w:val="00421BB4"/>
    <w:rPr>
      <w:sz w:val="16"/>
      <w:szCs w:val="16"/>
    </w:rPr>
  </w:style>
  <w:style w:type="paragraph" w:styleId="CommentText">
    <w:name w:val="annotation text"/>
    <w:basedOn w:val="Normal"/>
    <w:link w:val="CommentTextChar"/>
    <w:uiPriority w:val="99"/>
    <w:semiHidden/>
    <w:unhideWhenUsed/>
    <w:rsid w:val="00421BB4"/>
    <w:rPr>
      <w:sz w:val="20"/>
      <w:szCs w:val="20"/>
    </w:rPr>
  </w:style>
  <w:style w:type="character" w:customStyle="1" w:styleId="CommentTextChar">
    <w:name w:val="Comment Text Char"/>
    <w:basedOn w:val="DefaultParagraphFont"/>
    <w:link w:val="CommentText"/>
    <w:uiPriority w:val="99"/>
    <w:semiHidden/>
    <w:rsid w:val="00421BB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21BB4"/>
    <w:rPr>
      <w:b/>
      <w:bCs/>
    </w:rPr>
  </w:style>
  <w:style w:type="character" w:customStyle="1" w:styleId="CommentSubjectChar">
    <w:name w:val="Comment Subject Char"/>
    <w:basedOn w:val="CommentTextChar"/>
    <w:link w:val="CommentSubject"/>
    <w:uiPriority w:val="99"/>
    <w:semiHidden/>
    <w:rsid w:val="00421BB4"/>
    <w:rPr>
      <w:rFonts w:ascii="Times New Roman" w:eastAsia="Times New Roman" w:hAnsi="Times New Roman" w:cs="Times New Roman"/>
      <w:b/>
      <w:bCs/>
      <w:sz w:val="20"/>
      <w:szCs w:val="20"/>
      <w:lang w:eastAsia="en-GB"/>
    </w:rPr>
  </w:style>
  <w:style w:type="paragraph" w:styleId="Revision">
    <w:name w:val="Revision"/>
    <w:hidden/>
    <w:uiPriority w:val="99"/>
    <w:semiHidden/>
    <w:rsid w:val="00421BB4"/>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21BB4"/>
    <w:rPr>
      <w:color w:val="0563C1" w:themeColor="hyperlink"/>
      <w:u w:val="single"/>
    </w:rPr>
  </w:style>
  <w:style w:type="character" w:styleId="UnresolvedMention">
    <w:name w:val="Unresolved Mention"/>
    <w:basedOn w:val="DefaultParagraphFont"/>
    <w:uiPriority w:val="99"/>
    <w:semiHidden/>
    <w:unhideWhenUsed/>
    <w:rsid w:val="00421BB4"/>
    <w:rPr>
      <w:color w:val="605E5C"/>
      <w:shd w:val="clear" w:color="auto" w:fill="E1DFDD"/>
    </w:rPr>
  </w:style>
  <w:style w:type="table" w:styleId="TableGrid">
    <w:name w:val="Table Grid"/>
    <w:basedOn w:val="TableNormal"/>
    <w:uiPriority w:val="39"/>
    <w:rsid w:val="00421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421BB4"/>
    <w:pPr>
      <w:ind w:left="720" w:hanging="720"/>
    </w:pPr>
    <w:rPr>
      <w:b/>
      <w:bCs/>
      <w:sz w:val="22"/>
      <w:szCs w:val="22"/>
      <w:lang w:eastAsia="en-US"/>
    </w:rPr>
  </w:style>
  <w:style w:type="character" w:customStyle="1" w:styleId="BodyText2Char">
    <w:name w:val="Body Text 2 Char"/>
    <w:basedOn w:val="DefaultParagraphFont"/>
    <w:link w:val="BodyText2"/>
    <w:uiPriority w:val="99"/>
    <w:rsid w:val="00421BB4"/>
    <w:rPr>
      <w:rFonts w:ascii="Times New Roman" w:eastAsia="Times New Roman" w:hAnsi="Times New Roman" w:cs="Times New Roman"/>
      <w:b/>
      <w:bCs/>
    </w:rPr>
  </w:style>
  <w:style w:type="paragraph" w:customStyle="1" w:styleId="deannah1">
    <w:name w:val="deannah1"/>
    <w:basedOn w:val="Normal"/>
    <w:uiPriority w:val="99"/>
    <w:rsid w:val="00421BB4"/>
    <w:pPr>
      <w:keepNext/>
      <w:spacing w:after="240"/>
    </w:pPr>
    <w:rPr>
      <w:b/>
      <w:bCs/>
      <w:lang w:eastAsia="en-US"/>
    </w:rPr>
  </w:style>
  <w:style w:type="paragraph" w:styleId="BalloonText">
    <w:name w:val="Balloon Text"/>
    <w:basedOn w:val="Normal"/>
    <w:link w:val="BalloonTextChar"/>
    <w:uiPriority w:val="99"/>
    <w:semiHidden/>
    <w:rsid w:val="00421BB4"/>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421BB4"/>
    <w:rPr>
      <w:rFonts w:ascii="Tahoma" w:eastAsia="Times New Roman" w:hAnsi="Tahoma" w:cs="Tahoma"/>
      <w:sz w:val="16"/>
      <w:szCs w:val="16"/>
    </w:rPr>
  </w:style>
  <w:style w:type="character" w:styleId="FollowedHyperlink">
    <w:name w:val="FollowedHyperlink"/>
    <w:uiPriority w:val="99"/>
    <w:semiHidden/>
    <w:rsid w:val="00421BB4"/>
    <w:rPr>
      <w:color w:val="800080"/>
      <w:u w:val="single"/>
    </w:rPr>
  </w:style>
  <w:style w:type="character" w:customStyle="1" w:styleId="Hyperlink1">
    <w:name w:val="Hyperlink1"/>
    <w:uiPriority w:val="99"/>
    <w:rsid w:val="00421BB4"/>
    <w:rPr>
      <w:color w:val="535353"/>
      <w:u w:val="single"/>
      <w:effect w:val="none"/>
    </w:rPr>
  </w:style>
  <w:style w:type="paragraph" w:customStyle="1" w:styleId="NormalWeb1">
    <w:name w:val="Normal (Web)1"/>
    <w:basedOn w:val="Normal"/>
    <w:uiPriority w:val="99"/>
    <w:rsid w:val="00421BB4"/>
    <w:pPr>
      <w:spacing w:before="100" w:beforeAutospacing="1" w:after="300"/>
    </w:pPr>
  </w:style>
  <w:style w:type="character" w:styleId="PageNumber">
    <w:name w:val="page number"/>
    <w:basedOn w:val="DefaultParagraphFont"/>
    <w:uiPriority w:val="99"/>
    <w:rsid w:val="00421BB4"/>
  </w:style>
  <w:style w:type="character" w:styleId="Strong">
    <w:name w:val="Strong"/>
    <w:uiPriority w:val="22"/>
    <w:qFormat/>
    <w:rsid w:val="00421BB4"/>
    <w:rPr>
      <w:b/>
      <w:bCs/>
    </w:rPr>
  </w:style>
  <w:style w:type="paragraph" w:customStyle="1" w:styleId="xxmsonormal">
    <w:name w:val="x_x_msonormal"/>
    <w:basedOn w:val="Normal"/>
    <w:rsid w:val="00421BB4"/>
    <w:pPr>
      <w:spacing w:before="100" w:beforeAutospacing="1" w:after="100" w:afterAutospacing="1"/>
    </w:pPr>
  </w:style>
  <w:style w:type="character" w:customStyle="1" w:styleId="apple-style-span">
    <w:name w:val="apple-style-span"/>
    <w:rsid w:val="00421BB4"/>
  </w:style>
  <w:style w:type="character" w:customStyle="1" w:styleId="hps">
    <w:name w:val="hps"/>
    <w:rsid w:val="00421BB4"/>
  </w:style>
  <w:style w:type="character" w:customStyle="1" w:styleId="shorttext">
    <w:name w:val="short_text"/>
    <w:rsid w:val="00421BB4"/>
  </w:style>
  <w:style w:type="paragraph" w:styleId="NoSpacing">
    <w:name w:val="No Spacing"/>
    <w:basedOn w:val="Normal"/>
    <w:link w:val="NoSpacingChar"/>
    <w:uiPriority w:val="1"/>
    <w:qFormat/>
    <w:rsid w:val="00421BB4"/>
    <w:rPr>
      <w:rFonts w:asciiTheme="majorHAnsi" w:eastAsiaTheme="majorEastAsia" w:hAnsiTheme="majorHAnsi" w:cstheme="majorBidi"/>
      <w:sz w:val="22"/>
      <w:szCs w:val="22"/>
      <w:lang w:eastAsia="en-US"/>
    </w:rPr>
  </w:style>
  <w:style w:type="character" w:customStyle="1" w:styleId="NoSpacingChar">
    <w:name w:val="No Spacing Char"/>
    <w:basedOn w:val="DefaultParagraphFont"/>
    <w:link w:val="NoSpacing"/>
    <w:uiPriority w:val="1"/>
    <w:rsid w:val="00421BB4"/>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Layout" Target="diagrams/layout5.xml"/><Relationship Id="rId3" Type="http://schemas.openxmlformats.org/officeDocument/2006/relationships/settings" Target="settings.xml"/><Relationship Id="rId21" Type="http://schemas.openxmlformats.org/officeDocument/2006/relationships/diagramLayout" Target="diagrams/layout4.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diagramData" Target="diagrams/data5.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29" Type="http://schemas.microsoft.com/office/2007/relationships/diagramDrawing" Target="diagrams/drawing5.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Colors" Target="diagrams/colors5.xm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theme" Target="theme/theme1.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diagramQuickStyle" Target="diagrams/quickStyle5.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12478A-8868-40DB-8C23-FBE60FC28F2C}" type="doc">
      <dgm:prSet loTypeId="urn:microsoft.com/office/officeart/2005/8/layout/vList2" loCatId="list" qsTypeId="urn:microsoft.com/office/officeart/2005/8/quickstyle/simple4" qsCatId="simple" csTypeId="urn:microsoft.com/office/officeart/2005/8/colors/colorful2" csCatId="colorful" phldr="1"/>
      <dgm:spPr/>
      <dgm:t>
        <a:bodyPr/>
        <a:lstStyle/>
        <a:p>
          <a:endParaRPr lang="en-US"/>
        </a:p>
      </dgm:t>
    </dgm:pt>
    <dgm:pt modelId="{FCB00954-530A-4938-A190-2AB122B63096}">
      <dgm:prSet custT="1"/>
      <dgm:spPr>
        <a:xfrm>
          <a:off x="0" y="356952"/>
          <a:ext cx="5731510" cy="287819"/>
        </a:xfrm>
        <a:prstGeom prst="roundRect">
          <a:avLst/>
        </a:prstGeom>
        <a:solidFill>
          <a:schemeClr val="accent5">
            <a:lumMod val="60000"/>
            <a:lumOff val="40000"/>
          </a:schemeClr>
        </a:solidFill>
        <a:ln>
          <a:noFill/>
        </a:ln>
        <a:effectLst>
          <a:outerShdw blurRad="50800" dist="38100" dir="5400000" rotWithShape="0">
            <a:srgbClr val="000000">
              <a:alpha val="35000"/>
            </a:srgbClr>
          </a:outerShdw>
        </a:effectLst>
      </dgm:spPr>
      <dgm:t>
        <a:bodyPr/>
        <a:lstStyle/>
        <a:p>
          <a:pPr>
            <a:buFont typeface="Symbol" panose="05050102010706020507" pitchFamily="18" charset="2"/>
            <a:buNone/>
          </a:pPr>
          <a:r>
            <a:rPr lang="en-GB" sz="1200">
              <a:solidFill>
                <a:sysClr val="windowText" lastClr="000000"/>
              </a:solidFill>
              <a:latin typeface="Times New Roman" panose="02020603050405020304" pitchFamily="18" charset="0"/>
              <a:ea typeface="+mn-ea"/>
              <a:cs typeface="Times New Roman" panose="02020603050405020304" pitchFamily="18" charset="0"/>
            </a:rPr>
            <a:t>Person centredness</a:t>
          </a:r>
        </a:p>
      </dgm:t>
    </dgm:pt>
    <dgm:pt modelId="{0C0F2B90-27C9-48CE-8208-5D10D6E65785}" type="parTrans" cxnId="{63E741A2-38D8-423D-A3E3-9BFAD6BD0442}">
      <dgm:prSet/>
      <dgm:spPr/>
      <dgm:t>
        <a:bodyPr/>
        <a:lstStyle/>
        <a:p>
          <a:endParaRPr lang="en-GB"/>
        </a:p>
      </dgm:t>
    </dgm:pt>
    <dgm:pt modelId="{1B6EED38-8678-4990-8C22-3CAABC3D869A}" type="sibTrans" cxnId="{63E741A2-38D8-423D-A3E3-9BFAD6BD0442}">
      <dgm:prSet/>
      <dgm:spPr/>
      <dgm:t>
        <a:bodyPr/>
        <a:lstStyle/>
        <a:p>
          <a:endParaRPr lang="en-GB"/>
        </a:p>
      </dgm:t>
    </dgm:pt>
    <dgm:pt modelId="{4906EF78-D3B8-4453-8BA7-218CADBF9DC8}">
      <dgm:prSet custT="1"/>
      <dgm:spPr>
        <a:xfrm>
          <a:off x="0" y="1324092"/>
          <a:ext cx="5731510" cy="287819"/>
        </a:xfrm>
        <a:prstGeom prst="roundRect">
          <a:avLst/>
        </a:prstGeom>
        <a:solidFill>
          <a:schemeClr val="accent5">
            <a:lumMod val="60000"/>
            <a:lumOff val="40000"/>
          </a:schemeClr>
        </a:solidFill>
        <a:ln>
          <a:noFill/>
        </a:ln>
        <a:effectLst>
          <a:outerShdw blurRad="50800" dist="38100" dir="5400000" rotWithShape="0">
            <a:srgbClr val="000000">
              <a:alpha val="35000"/>
            </a:srgbClr>
          </a:outerShdw>
        </a:effectLst>
      </dgm:spPr>
      <dgm:t>
        <a:bodyPr/>
        <a:lstStyle/>
        <a:p>
          <a:pPr>
            <a:buFont typeface="Symbol" panose="05050102010706020507" pitchFamily="18" charset="2"/>
            <a:buNone/>
          </a:pPr>
          <a:r>
            <a:rPr lang="en-GB" sz="1200">
              <a:solidFill>
                <a:sysClr val="windowText" lastClr="000000"/>
              </a:solidFill>
              <a:latin typeface="Times New Roman" panose="02020603050405020304" pitchFamily="18" charset="0"/>
              <a:ea typeface="+mn-ea"/>
              <a:cs typeface="Times New Roman" panose="02020603050405020304" pitchFamily="18" charset="0"/>
            </a:rPr>
            <a:t>Experiential opportunities</a:t>
          </a:r>
        </a:p>
      </dgm:t>
    </dgm:pt>
    <dgm:pt modelId="{372AB4CD-F048-492D-9CB6-A4088669C3B9}" type="parTrans" cxnId="{12B94315-5AA9-47D6-B731-2E6187E69B14}">
      <dgm:prSet/>
      <dgm:spPr/>
      <dgm:t>
        <a:bodyPr/>
        <a:lstStyle/>
        <a:p>
          <a:endParaRPr lang="en-GB"/>
        </a:p>
      </dgm:t>
    </dgm:pt>
    <dgm:pt modelId="{05A05562-18C5-4F55-B1BB-3EDC01BDCA63}" type="sibTrans" cxnId="{12B94315-5AA9-47D6-B731-2E6187E69B14}">
      <dgm:prSet/>
      <dgm:spPr/>
      <dgm:t>
        <a:bodyPr/>
        <a:lstStyle/>
        <a:p>
          <a:endParaRPr lang="en-GB"/>
        </a:p>
      </dgm:t>
    </dgm:pt>
    <dgm:pt modelId="{1A763F09-F1D4-4FC4-B0B1-4522B35FC976}">
      <dgm:prSet custT="1"/>
      <dgm:spPr>
        <a:xfrm>
          <a:off x="0" y="15730"/>
          <a:ext cx="5731510" cy="287819"/>
        </a:xfrm>
        <a:prstGeom prst="roundRect">
          <a:avLst/>
        </a:prstGeom>
        <a:solidFill>
          <a:schemeClr val="accent5">
            <a:lumMod val="60000"/>
            <a:lumOff val="40000"/>
          </a:schemeClr>
        </a:solidFill>
        <a:ln>
          <a:noFill/>
        </a:ln>
        <a:effectLst>
          <a:outerShdw blurRad="50800" dist="38100" dir="5400000" rotWithShape="0">
            <a:srgbClr val="000000">
              <a:alpha val="35000"/>
            </a:srgbClr>
          </a:outerShdw>
        </a:effectLst>
      </dgm:spPr>
      <dgm:t>
        <a:bodyPr/>
        <a:lstStyle/>
        <a:p>
          <a:pPr>
            <a:buFont typeface="Symbol" panose="05050102010706020507" pitchFamily="18" charset="2"/>
            <a:buNone/>
          </a:pPr>
          <a:r>
            <a:rPr lang="en-GB" sz="1200">
              <a:solidFill>
                <a:sysClr val="windowText" lastClr="000000"/>
              </a:solidFill>
              <a:latin typeface="Times New Roman" panose="02020603050405020304" pitchFamily="18" charset="0"/>
              <a:ea typeface="+mn-ea"/>
              <a:cs typeface="Times New Roman" panose="02020603050405020304" pitchFamily="18" charset="0"/>
            </a:rPr>
            <a:t>Holistic approach</a:t>
          </a:r>
        </a:p>
      </dgm:t>
    </dgm:pt>
    <dgm:pt modelId="{C6CF10A1-BFEE-4885-AD9C-C05C203B8AED}" type="sibTrans" cxnId="{65F67C8D-DF1D-4345-91D8-33E2C339E3B5}">
      <dgm:prSet/>
      <dgm:spPr/>
      <dgm:t>
        <a:bodyPr/>
        <a:lstStyle/>
        <a:p>
          <a:endParaRPr lang="en-GB"/>
        </a:p>
      </dgm:t>
    </dgm:pt>
    <dgm:pt modelId="{AD914F24-5631-4FE5-B319-2343B52ECD31}" type="parTrans" cxnId="{65F67C8D-DF1D-4345-91D8-33E2C339E3B5}">
      <dgm:prSet/>
      <dgm:spPr/>
      <dgm:t>
        <a:bodyPr/>
        <a:lstStyle/>
        <a:p>
          <a:endParaRPr lang="en-GB"/>
        </a:p>
      </dgm:t>
    </dgm:pt>
    <dgm:pt modelId="{ED347FCA-9F89-45DD-B88A-DAE2B94F1FBD}">
      <dgm:prSet custT="1"/>
      <dgm:spPr>
        <a:xfrm>
          <a:off x="0" y="1001712"/>
          <a:ext cx="5731510" cy="287819"/>
        </a:xfrm>
        <a:prstGeom prst="roundRect">
          <a:avLst/>
        </a:prstGeom>
        <a:solidFill>
          <a:schemeClr val="accent5">
            <a:lumMod val="60000"/>
            <a:lumOff val="40000"/>
          </a:schemeClr>
        </a:solidFill>
        <a:ln>
          <a:noFill/>
        </a:ln>
        <a:effectLst>
          <a:outerShdw blurRad="50800" dist="38100" dir="5400000" rotWithShape="0">
            <a:srgbClr val="000000">
              <a:alpha val="35000"/>
            </a:srgbClr>
          </a:outerShdw>
        </a:effectLst>
      </dgm:spPr>
      <dgm:t>
        <a:bodyPr/>
        <a:lstStyle/>
        <a:p>
          <a:pPr>
            <a:buFont typeface="Symbol" panose="05050102010706020507" pitchFamily="18" charset="2"/>
            <a:buNone/>
          </a:pPr>
          <a:r>
            <a:rPr lang="en-GB" sz="1200">
              <a:solidFill>
                <a:sysClr val="windowText" lastClr="000000"/>
              </a:solidFill>
              <a:latin typeface="Times New Roman" panose="02020603050405020304" pitchFamily="18" charset="0"/>
              <a:ea typeface="+mn-ea"/>
              <a:cs typeface="Times New Roman" panose="02020603050405020304" pitchFamily="18" charset="0"/>
            </a:rPr>
            <a:t>Socialisation</a:t>
          </a:r>
        </a:p>
      </dgm:t>
    </dgm:pt>
    <dgm:pt modelId="{55E5F856-2D7A-4FCD-92E3-5BFBC6CA69EE}" type="sibTrans" cxnId="{AE80C08D-261B-4335-A60E-BE6C2C415669}">
      <dgm:prSet/>
      <dgm:spPr/>
      <dgm:t>
        <a:bodyPr/>
        <a:lstStyle/>
        <a:p>
          <a:endParaRPr lang="en-GB"/>
        </a:p>
      </dgm:t>
    </dgm:pt>
    <dgm:pt modelId="{C9651F43-D3EB-4494-91DA-1F5CE3603319}" type="parTrans" cxnId="{AE80C08D-261B-4335-A60E-BE6C2C415669}">
      <dgm:prSet/>
      <dgm:spPr/>
      <dgm:t>
        <a:bodyPr/>
        <a:lstStyle/>
        <a:p>
          <a:endParaRPr lang="en-GB"/>
        </a:p>
      </dgm:t>
    </dgm:pt>
    <dgm:pt modelId="{E5DDACD6-EE61-45D5-875B-8F3633F2CEE1}">
      <dgm:prSet custT="1"/>
      <dgm:spPr>
        <a:xfrm>
          <a:off x="0" y="679332"/>
          <a:ext cx="5731510" cy="287819"/>
        </a:xfrm>
        <a:prstGeom prst="roundRect">
          <a:avLst/>
        </a:prstGeom>
        <a:solidFill>
          <a:schemeClr val="accent5">
            <a:lumMod val="60000"/>
            <a:lumOff val="40000"/>
          </a:schemeClr>
        </a:solidFill>
        <a:ln>
          <a:noFill/>
        </a:ln>
        <a:effectLst>
          <a:outerShdw blurRad="50800" dist="38100" dir="5400000" rotWithShape="0">
            <a:srgbClr val="000000">
              <a:alpha val="35000"/>
            </a:srgbClr>
          </a:outerShdw>
        </a:effectLst>
      </dgm:spPr>
      <dgm:t>
        <a:bodyPr/>
        <a:lstStyle/>
        <a:p>
          <a:pPr>
            <a:buFont typeface="Symbol" panose="05050102010706020507" pitchFamily="18" charset="2"/>
            <a:buNone/>
          </a:pPr>
          <a:r>
            <a:rPr lang="en-GB" sz="1200">
              <a:solidFill>
                <a:sysClr val="windowText" lastClr="000000"/>
              </a:solidFill>
              <a:latin typeface="Times New Roman" panose="02020603050405020304" pitchFamily="18" charset="0"/>
              <a:ea typeface="+mn-ea"/>
              <a:cs typeface="Times New Roman" panose="02020603050405020304" pitchFamily="18" charset="0"/>
            </a:rPr>
            <a:t>Security</a:t>
          </a:r>
        </a:p>
      </dgm:t>
    </dgm:pt>
    <dgm:pt modelId="{194A60B5-4345-4410-BEC2-D228CF833A78}" type="sibTrans" cxnId="{5D439F89-C53D-4303-A469-167AFC3F6FA9}">
      <dgm:prSet/>
      <dgm:spPr/>
      <dgm:t>
        <a:bodyPr/>
        <a:lstStyle/>
        <a:p>
          <a:endParaRPr lang="en-GB"/>
        </a:p>
      </dgm:t>
    </dgm:pt>
    <dgm:pt modelId="{60F09F09-22B9-4A1B-996B-E843E17BB98D}" type="parTrans" cxnId="{5D439F89-C53D-4303-A469-167AFC3F6FA9}">
      <dgm:prSet/>
      <dgm:spPr/>
      <dgm:t>
        <a:bodyPr/>
        <a:lstStyle/>
        <a:p>
          <a:endParaRPr lang="en-GB"/>
        </a:p>
      </dgm:t>
    </dgm:pt>
    <dgm:pt modelId="{C8CE8A07-F0F9-44AB-BAF2-F34390A19EFD}">
      <dgm:prSe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Main themes</a:t>
          </a:r>
        </a:p>
      </dgm:t>
    </dgm:pt>
    <dgm:pt modelId="{5441CFA0-EBAA-498B-A473-93BD7D0DB607}" type="parTrans" cxnId="{5D2C3569-A24D-4099-BE60-9E48564AAF6C}">
      <dgm:prSet/>
      <dgm:spPr/>
      <dgm:t>
        <a:bodyPr/>
        <a:lstStyle/>
        <a:p>
          <a:endParaRPr lang="en-GB"/>
        </a:p>
      </dgm:t>
    </dgm:pt>
    <dgm:pt modelId="{F048EBDF-B584-4051-99D2-053C7EFDE69F}" type="sibTrans" cxnId="{5D2C3569-A24D-4099-BE60-9E48564AAF6C}">
      <dgm:prSet/>
      <dgm:spPr/>
      <dgm:t>
        <a:bodyPr/>
        <a:lstStyle/>
        <a:p>
          <a:endParaRPr lang="en-GB"/>
        </a:p>
      </dgm:t>
    </dgm:pt>
    <dgm:pt modelId="{54E438D4-3FBE-4395-9B4C-9609F7A1C944}">
      <dgm:prSe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Sub-themes</a:t>
          </a:r>
        </a:p>
      </dgm:t>
    </dgm:pt>
    <dgm:pt modelId="{9D46E8A0-A8D7-45C8-A9B5-E7EC19EFA3F5}" type="parTrans" cxnId="{4722848A-909C-40D6-95CC-D1F947F5C8F9}">
      <dgm:prSet/>
      <dgm:spPr/>
      <dgm:t>
        <a:bodyPr/>
        <a:lstStyle/>
        <a:p>
          <a:endParaRPr lang="en-GB"/>
        </a:p>
      </dgm:t>
    </dgm:pt>
    <dgm:pt modelId="{8A8D46B0-EA6C-493A-9905-C5852DBB6EF9}" type="sibTrans" cxnId="{4722848A-909C-40D6-95CC-D1F947F5C8F9}">
      <dgm:prSet/>
      <dgm:spPr/>
      <dgm:t>
        <a:bodyPr/>
        <a:lstStyle/>
        <a:p>
          <a:endParaRPr lang="en-GB"/>
        </a:p>
      </dgm:t>
    </dgm:pt>
    <dgm:pt modelId="{81A6BFED-DD2B-497C-AAAD-227B95BB2061}">
      <dgm:prSet custT="1"/>
      <dgm:spPr>
        <a:solidFill>
          <a:schemeClr val="accent5">
            <a:lumMod val="60000"/>
            <a:lumOff val="40000"/>
          </a:schemeClr>
        </a:solidFill>
      </dgm:spPr>
      <dgm:t>
        <a:bodyPr/>
        <a:lstStyle/>
        <a:p>
          <a:r>
            <a:rPr lang="en-GB" sz="1200">
              <a:solidFill>
                <a:sysClr val="windowText" lastClr="000000"/>
              </a:solidFill>
              <a:latin typeface="Times New Roman" panose="02020603050405020304" pitchFamily="18" charset="0"/>
              <a:cs typeface="Times New Roman" panose="02020603050405020304" pitchFamily="18" charset="0"/>
            </a:rPr>
            <a:t>Resilience to achieve personal goals</a:t>
          </a:r>
        </a:p>
      </dgm:t>
    </dgm:pt>
    <dgm:pt modelId="{024E5171-58D0-48A1-8547-6D48C612BBE6}" type="parTrans" cxnId="{BCB76768-005D-42BF-942C-161AFB873F7E}">
      <dgm:prSet/>
      <dgm:spPr/>
      <dgm:t>
        <a:bodyPr/>
        <a:lstStyle/>
        <a:p>
          <a:endParaRPr lang="en-GB"/>
        </a:p>
      </dgm:t>
    </dgm:pt>
    <dgm:pt modelId="{829CC8E8-16AC-4F27-BC98-D0491E98911C}" type="sibTrans" cxnId="{BCB76768-005D-42BF-942C-161AFB873F7E}">
      <dgm:prSet/>
      <dgm:spPr/>
      <dgm:t>
        <a:bodyPr/>
        <a:lstStyle/>
        <a:p>
          <a:endParaRPr lang="en-GB"/>
        </a:p>
      </dgm:t>
    </dgm:pt>
    <dgm:pt modelId="{8F724F42-472C-4A6F-A372-709C9C9701C8}" type="pres">
      <dgm:prSet presAssocID="{EB12478A-8868-40DB-8C23-FBE60FC28F2C}" presName="linear" presStyleCnt="0">
        <dgm:presLayoutVars>
          <dgm:animLvl val="lvl"/>
          <dgm:resizeHandles val="exact"/>
        </dgm:presLayoutVars>
      </dgm:prSet>
      <dgm:spPr/>
    </dgm:pt>
    <dgm:pt modelId="{11336A58-B9AD-44B0-9735-EF4DC8E6BFD0}" type="pres">
      <dgm:prSet presAssocID="{C8CE8A07-F0F9-44AB-BAF2-F34390A19EFD}" presName="parentText" presStyleLbl="node1" presStyleIdx="0" presStyleCnt="8">
        <dgm:presLayoutVars>
          <dgm:chMax val="0"/>
          <dgm:bulletEnabled val="1"/>
        </dgm:presLayoutVars>
      </dgm:prSet>
      <dgm:spPr/>
    </dgm:pt>
    <dgm:pt modelId="{A8ED58D8-0F18-49B0-A00C-49AE8BF883B9}" type="pres">
      <dgm:prSet presAssocID="{F048EBDF-B584-4051-99D2-053C7EFDE69F}" presName="spacer" presStyleCnt="0"/>
      <dgm:spPr/>
    </dgm:pt>
    <dgm:pt modelId="{F3E21DB9-9B80-400F-9E75-DECA0FDCF502}" type="pres">
      <dgm:prSet presAssocID="{1A763F09-F1D4-4FC4-B0B1-4522B35FC976}" presName="parentText" presStyleLbl="node1" presStyleIdx="1" presStyleCnt="8" custLinFactNeighborX="319" custLinFactNeighborY="-54520">
        <dgm:presLayoutVars>
          <dgm:chMax val="0"/>
          <dgm:bulletEnabled val="1"/>
        </dgm:presLayoutVars>
      </dgm:prSet>
      <dgm:spPr/>
    </dgm:pt>
    <dgm:pt modelId="{B67F6F54-DF72-4427-B065-5A2F102D9013}" type="pres">
      <dgm:prSet presAssocID="{C6CF10A1-BFEE-4885-AD9C-C05C203B8AED}" presName="spacer" presStyleCnt="0"/>
      <dgm:spPr/>
    </dgm:pt>
    <dgm:pt modelId="{5BB8F25F-4D58-4C99-A550-522D565CA1D3}" type="pres">
      <dgm:prSet presAssocID="{FCB00954-530A-4938-A190-2AB122B63096}" presName="parentText" presStyleLbl="node1" presStyleIdx="2" presStyleCnt="8">
        <dgm:presLayoutVars>
          <dgm:chMax val="0"/>
          <dgm:bulletEnabled val="1"/>
        </dgm:presLayoutVars>
      </dgm:prSet>
      <dgm:spPr/>
    </dgm:pt>
    <dgm:pt modelId="{BBEC59C8-4AA0-4591-90BC-B7825CEA8EAC}" type="pres">
      <dgm:prSet presAssocID="{1B6EED38-8678-4990-8C22-3CAABC3D869A}" presName="spacer" presStyleCnt="0"/>
      <dgm:spPr/>
    </dgm:pt>
    <dgm:pt modelId="{0367F546-EF6B-4833-8B4A-02F4459581AE}" type="pres">
      <dgm:prSet presAssocID="{E5DDACD6-EE61-45D5-875B-8F3633F2CEE1}" presName="parentText" presStyleLbl="node1" presStyleIdx="3" presStyleCnt="8">
        <dgm:presLayoutVars>
          <dgm:chMax val="0"/>
          <dgm:bulletEnabled val="1"/>
        </dgm:presLayoutVars>
      </dgm:prSet>
      <dgm:spPr/>
    </dgm:pt>
    <dgm:pt modelId="{3FCD83FD-95FB-43AF-9292-B74844761212}" type="pres">
      <dgm:prSet presAssocID="{194A60B5-4345-4410-BEC2-D228CF833A78}" presName="spacer" presStyleCnt="0"/>
      <dgm:spPr/>
    </dgm:pt>
    <dgm:pt modelId="{7C4C046B-99C5-4498-BE2E-7747D510C9EA}" type="pres">
      <dgm:prSet presAssocID="{54E438D4-3FBE-4395-9B4C-9609F7A1C944}" presName="parentText" presStyleLbl="node1" presStyleIdx="4" presStyleCnt="8">
        <dgm:presLayoutVars>
          <dgm:chMax val="0"/>
          <dgm:bulletEnabled val="1"/>
        </dgm:presLayoutVars>
      </dgm:prSet>
      <dgm:spPr/>
    </dgm:pt>
    <dgm:pt modelId="{B78AF2A6-6FA2-4931-9AF7-D7C95799216B}" type="pres">
      <dgm:prSet presAssocID="{8A8D46B0-EA6C-493A-9905-C5852DBB6EF9}" presName="spacer" presStyleCnt="0"/>
      <dgm:spPr/>
    </dgm:pt>
    <dgm:pt modelId="{9A8B1CCC-C451-4F37-84C6-CC9EEE143C48}" type="pres">
      <dgm:prSet presAssocID="{ED347FCA-9F89-45DD-B88A-DAE2B94F1FBD}" presName="parentText" presStyleLbl="node1" presStyleIdx="5" presStyleCnt="8">
        <dgm:presLayoutVars>
          <dgm:chMax val="0"/>
          <dgm:bulletEnabled val="1"/>
        </dgm:presLayoutVars>
      </dgm:prSet>
      <dgm:spPr/>
    </dgm:pt>
    <dgm:pt modelId="{5D817146-9968-44B0-9328-DC6A401BEF66}" type="pres">
      <dgm:prSet presAssocID="{55E5F856-2D7A-4FCD-92E3-5BFBC6CA69EE}" presName="spacer" presStyleCnt="0"/>
      <dgm:spPr/>
    </dgm:pt>
    <dgm:pt modelId="{EA10F438-CEC8-42AD-93C7-CF2479974515}" type="pres">
      <dgm:prSet presAssocID="{4906EF78-D3B8-4453-8BA7-218CADBF9DC8}" presName="parentText" presStyleLbl="node1" presStyleIdx="6" presStyleCnt="8">
        <dgm:presLayoutVars>
          <dgm:chMax val="0"/>
          <dgm:bulletEnabled val="1"/>
        </dgm:presLayoutVars>
      </dgm:prSet>
      <dgm:spPr/>
    </dgm:pt>
    <dgm:pt modelId="{105F325B-6C41-4E3D-A87A-EE803CCFCC4F}" type="pres">
      <dgm:prSet presAssocID="{05A05562-18C5-4F55-B1BB-3EDC01BDCA63}" presName="spacer" presStyleCnt="0"/>
      <dgm:spPr/>
    </dgm:pt>
    <dgm:pt modelId="{9756D976-164D-4BAC-A26A-C0CBD8231841}" type="pres">
      <dgm:prSet presAssocID="{81A6BFED-DD2B-497C-AAAD-227B95BB2061}" presName="parentText" presStyleLbl="node1" presStyleIdx="7" presStyleCnt="8">
        <dgm:presLayoutVars>
          <dgm:chMax val="0"/>
          <dgm:bulletEnabled val="1"/>
        </dgm:presLayoutVars>
      </dgm:prSet>
      <dgm:spPr/>
    </dgm:pt>
  </dgm:ptLst>
  <dgm:cxnLst>
    <dgm:cxn modelId="{63242E0E-2B5C-4F25-9277-189E2775C334}" type="presOf" srcId="{EB12478A-8868-40DB-8C23-FBE60FC28F2C}" destId="{8F724F42-472C-4A6F-A372-709C9C9701C8}" srcOrd="0" destOrd="0" presId="urn:microsoft.com/office/officeart/2005/8/layout/vList2"/>
    <dgm:cxn modelId="{B096C414-9E4F-4BB3-8BA8-8B4DA91BA823}" type="presOf" srcId="{FCB00954-530A-4938-A190-2AB122B63096}" destId="{5BB8F25F-4D58-4C99-A550-522D565CA1D3}" srcOrd="0" destOrd="0" presId="urn:microsoft.com/office/officeart/2005/8/layout/vList2"/>
    <dgm:cxn modelId="{12B94315-5AA9-47D6-B731-2E6187E69B14}" srcId="{EB12478A-8868-40DB-8C23-FBE60FC28F2C}" destId="{4906EF78-D3B8-4453-8BA7-218CADBF9DC8}" srcOrd="6" destOrd="0" parTransId="{372AB4CD-F048-492D-9CB6-A4088669C3B9}" sibTransId="{05A05562-18C5-4F55-B1BB-3EDC01BDCA63}"/>
    <dgm:cxn modelId="{45324519-88B8-400C-9FA4-9E44176F9BBB}" type="presOf" srcId="{1A763F09-F1D4-4FC4-B0B1-4522B35FC976}" destId="{F3E21DB9-9B80-400F-9E75-DECA0FDCF502}" srcOrd="0" destOrd="0" presId="urn:microsoft.com/office/officeart/2005/8/layout/vList2"/>
    <dgm:cxn modelId="{BCB76768-005D-42BF-942C-161AFB873F7E}" srcId="{EB12478A-8868-40DB-8C23-FBE60FC28F2C}" destId="{81A6BFED-DD2B-497C-AAAD-227B95BB2061}" srcOrd="7" destOrd="0" parTransId="{024E5171-58D0-48A1-8547-6D48C612BBE6}" sibTransId="{829CC8E8-16AC-4F27-BC98-D0491E98911C}"/>
    <dgm:cxn modelId="{5D2C3569-A24D-4099-BE60-9E48564AAF6C}" srcId="{EB12478A-8868-40DB-8C23-FBE60FC28F2C}" destId="{C8CE8A07-F0F9-44AB-BAF2-F34390A19EFD}" srcOrd="0" destOrd="0" parTransId="{5441CFA0-EBAA-498B-A473-93BD7D0DB607}" sibTransId="{F048EBDF-B584-4051-99D2-053C7EFDE69F}"/>
    <dgm:cxn modelId="{9BD80D6F-FE37-418F-991C-B1FF889D1A0C}" type="presOf" srcId="{54E438D4-3FBE-4395-9B4C-9609F7A1C944}" destId="{7C4C046B-99C5-4498-BE2E-7747D510C9EA}" srcOrd="0" destOrd="0" presId="urn:microsoft.com/office/officeart/2005/8/layout/vList2"/>
    <dgm:cxn modelId="{C7E47551-E96E-4FDD-87AD-EF7294302AC9}" type="presOf" srcId="{C8CE8A07-F0F9-44AB-BAF2-F34390A19EFD}" destId="{11336A58-B9AD-44B0-9735-EF4DC8E6BFD0}" srcOrd="0" destOrd="0" presId="urn:microsoft.com/office/officeart/2005/8/layout/vList2"/>
    <dgm:cxn modelId="{5D439F89-C53D-4303-A469-167AFC3F6FA9}" srcId="{EB12478A-8868-40DB-8C23-FBE60FC28F2C}" destId="{E5DDACD6-EE61-45D5-875B-8F3633F2CEE1}" srcOrd="3" destOrd="0" parTransId="{60F09F09-22B9-4A1B-996B-E843E17BB98D}" sibTransId="{194A60B5-4345-4410-BEC2-D228CF833A78}"/>
    <dgm:cxn modelId="{B456328A-36DC-48A1-A574-468AAE592F29}" type="presOf" srcId="{81A6BFED-DD2B-497C-AAAD-227B95BB2061}" destId="{9756D976-164D-4BAC-A26A-C0CBD8231841}" srcOrd="0" destOrd="0" presId="urn:microsoft.com/office/officeart/2005/8/layout/vList2"/>
    <dgm:cxn modelId="{4722848A-909C-40D6-95CC-D1F947F5C8F9}" srcId="{EB12478A-8868-40DB-8C23-FBE60FC28F2C}" destId="{54E438D4-3FBE-4395-9B4C-9609F7A1C944}" srcOrd="4" destOrd="0" parTransId="{9D46E8A0-A8D7-45C8-A9B5-E7EC19EFA3F5}" sibTransId="{8A8D46B0-EA6C-493A-9905-C5852DBB6EF9}"/>
    <dgm:cxn modelId="{65F67C8D-DF1D-4345-91D8-33E2C339E3B5}" srcId="{EB12478A-8868-40DB-8C23-FBE60FC28F2C}" destId="{1A763F09-F1D4-4FC4-B0B1-4522B35FC976}" srcOrd="1" destOrd="0" parTransId="{AD914F24-5631-4FE5-B319-2343B52ECD31}" sibTransId="{C6CF10A1-BFEE-4885-AD9C-C05C203B8AED}"/>
    <dgm:cxn modelId="{AE80C08D-261B-4335-A60E-BE6C2C415669}" srcId="{EB12478A-8868-40DB-8C23-FBE60FC28F2C}" destId="{ED347FCA-9F89-45DD-B88A-DAE2B94F1FBD}" srcOrd="5" destOrd="0" parTransId="{C9651F43-D3EB-4494-91DA-1F5CE3603319}" sibTransId="{55E5F856-2D7A-4FCD-92E3-5BFBC6CA69EE}"/>
    <dgm:cxn modelId="{63E741A2-38D8-423D-A3E3-9BFAD6BD0442}" srcId="{EB12478A-8868-40DB-8C23-FBE60FC28F2C}" destId="{FCB00954-530A-4938-A190-2AB122B63096}" srcOrd="2" destOrd="0" parTransId="{0C0F2B90-27C9-48CE-8208-5D10D6E65785}" sibTransId="{1B6EED38-8678-4990-8C22-3CAABC3D869A}"/>
    <dgm:cxn modelId="{03F89CC6-7314-4048-A74A-18F46DC2DB2F}" type="presOf" srcId="{ED347FCA-9F89-45DD-B88A-DAE2B94F1FBD}" destId="{9A8B1CCC-C451-4F37-84C6-CC9EEE143C48}" srcOrd="0" destOrd="0" presId="urn:microsoft.com/office/officeart/2005/8/layout/vList2"/>
    <dgm:cxn modelId="{9814FCE9-3A5F-44E8-830E-559A3E56EEB9}" type="presOf" srcId="{E5DDACD6-EE61-45D5-875B-8F3633F2CEE1}" destId="{0367F546-EF6B-4833-8B4A-02F4459581AE}" srcOrd="0" destOrd="0" presId="urn:microsoft.com/office/officeart/2005/8/layout/vList2"/>
    <dgm:cxn modelId="{B77773FF-431C-4F48-A82E-E9C112C3EE54}" type="presOf" srcId="{4906EF78-D3B8-4453-8BA7-218CADBF9DC8}" destId="{EA10F438-CEC8-42AD-93C7-CF2479974515}" srcOrd="0" destOrd="0" presId="urn:microsoft.com/office/officeart/2005/8/layout/vList2"/>
    <dgm:cxn modelId="{CE62B447-47CE-4341-9464-6974EFC158E9}" type="presParOf" srcId="{8F724F42-472C-4A6F-A372-709C9C9701C8}" destId="{11336A58-B9AD-44B0-9735-EF4DC8E6BFD0}" srcOrd="0" destOrd="0" presId="urn:microsoft.com/office/officeart/2005/8/layout/vList2"/>
    <dgm:cxn modelId="{F367D061-F042-4339-906A-45F0F4483497}" type="presParOf" srcId="{8F724F42-472C-4A6F-A372-709C9C9701C8}" destId="{A8ED58D8-0F18-49B0-A00C-49AE8BF883B9}" srcOrd="1" destOrd="0" presId="urn:microsoft.com/office/officeart/2005/8/layout/vList2"/>
    <dgm:cxn modelId="{32C6CD1A-8DB3-44E3-9213-001D2D112166}" type="presParOf" srcId="{8F724F42-472C-4A6F-A372-709C9C9701C8}" destId="{F3E21DB9-9B80-400F-9E75-DECA0FDCF502}" srcOrd="2" destOrd="0" presId="urn:microsoft.com/office/officeart/2005/8/layout/vList2"/>
    <dgm:cxn modelId="{83C14A99-325B-432B-A623-8249B278B748}" type="presParOf" srcId="{8F724F42-472C-4A6F-A372-709C9C9701C8}" destId="{B67F6F54-DF72-4427-B065-5A2F102D9013}" srcOrd="3" destOrd="0" presId="urn:microsoft.com/office/officeart/2005/8/layout/vList2"/>
    <dgm:cxn modelId="{55F75EFF-5075-449A-994A-7046737F1E0F}" type="presParOf" srcId="{8F724F42-472C-4A6F-A372-709C9C9701C8}" destId="{5BB8F25F-4D58-4C99-A550-522D565CA1D3}" srcOrd="4" destOrd="0" presId="urn:microsoft.com/office/officeart/2005/8/layout/vList2"/>
    <dgm:cxn modelId="{F035B688-0090-432A-B90B-E3720AA658BF}" type="presParOf" srcId="{8F724F42-472C-4A6F-A372-709C9C9701C8}" destId="{BBEC59C8-4AA0-4591-90BC-B7825CEA8EAC}" srcOrd="5" destOrd="0" presId="urn:microsoft.com/office/officeart/2005/8/layout/vList2"/>
    <dgm:cxn modelId="{ADD0FC78-B8BA-4844-BB8D-6026A59A17E4}" type="presParOf" srcId="{8F724F42-472C-4A6F-A372-709C9C9701C8}" destId="{0367F546-EF6B-4833-8B4A-02F4459581AE}" srcOrd="6" destOrd="0" presId="urn:microsoft.com/office/officeart/2005/8/layout/vList2"/>
    <dgm:cxn modelId="{09CF0CE3-C4AA-4642-AE2E-B2E1ADED8E0A}" type="presParOf" srcId="{8F724F42-472C-4A6F-A372-709C9C9701C8}" destId="{3FCD83FD-95FB-43AF-9292-B74844761212}" srcOrd="7" destOrd="0" presId="urn:microsoft.com/office/officeart/2005/8/layout/vList2"/>
    <dgm:cxn modelId="{001A2AA4-3E8A-4107-8A1E-68B1EB7A2DC8}" type="presParOf" srcId="{8F724F42-472C-4A6F-A372-709C9C9701C8}" destId="{7C4C046B-99C5-4498-BE2E-7747D510C9EA}" srcOrd="8" destOrd="0" presId="urn:microsoft.com/office/officeart/2005/8/layout/vList2"/>
    <dgm:cxn modelId="{CF94912A-5B10-4BA6-B562-374F977B1E48}" type="presParOf" srcId="{8F724F42-472C-4A6F-A372-709C9C9701C8}" destId="{B78AF2A6-6FA2-4931-9AF7-D7C95799216B}" srcOrd="9" destOrd="0" presId="urn:microsoft.com/office/officeart/2005/8/layout/vList2"/>
    <dgm:cxn modelId="{41E141ED-2F07-4518-88C7-7CC0DDC92AC8}" type="presParOf" srcId="{8F724F42-472C-4A6F-A372-709C9C9701C8}" destId="{9A8B1CCC-C451-4F37-84C6-CC9EEE143C48}" srcOrd="10" destOrd="0" presId="urn:microsoft.com/office/officeart/2005/8/layout/vList2"/>
    <dgm:cxn modelId="{38EB2A58-CE6A-4E11-883B-A38B1E977545}" type="presParOf" srcId="{8F724F42-472C-4A6F-A372-709C9C9701C8}" destId="{5D817146-9968-44B0-9328-DC6A401BEF66}" srcOrd="11" destOrd="0" presId="urn:microsoft.com/office/officeart/2005/8/layout/vList2"/>
    <dgm:cxn modelId="{2A729F72-A03C-4DA5-AB3C-547089C0405A}" type="presParOf" srcId="{8F724F42-472C-4A6F-A372-709C9C9701C8}" destId="{EA10F438-CEC8-42AD-93C7-CF2479974515}" srcOrd="12" destOrd="0" presId="urn:microsoft.com/office/officeart/2005/8/layout/vList2"/>
    <dgm:cxn modelId="{BB288EB0-58DA-4DD4-8F1A-BCBF0435B561}" type="presParOf" srcId="{8F724F42-472C-4A6F-A372-709C9C9701C8}" destId="{105F325B-6C41-4E3D-A87A-EE803CCFCC4F}" srcOrd="13" destOrd="0" presId="urn:microsoft.com/office/officeart/2005/8/layout/vList2"/>
    <dgm:cxn modelId="{774B5C75-CB46-4E9B-856B-B49D25016945}" type="presParOf" srcId="{8F724F42-472C-4A6F-A372-709C9C9701C8}" destId="{9756D976-164D-4BAC-A26A-C0CBD8231841}" srcOrd="14" destOrd="0" presId="urn:microsoft.com/office/officeart/2005/8/layout/vList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F406ED6-733E-4B60-821C-D79A311F09B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B7BC4FEE-C348-4B96-8FDD-CAFDFEB9F8F8}">
      <dgm:prSet phldrT="[Text]" custT="1"/>
      <dgm:spPr>
        <a:xfrm>
          <a:off x="2135423" y="1746"/>
          <a:ext cx="1215553" cy="607776"/>
        </a:xfrm>
        <a:prstGeom prst="rect">
          <a:avLst/>
        </a:prstGeom>
        <a:solidFill>
          <a:sysClr val="window" lastClr="FFFFFF"/>
        </a:solidFill>
        <a:ln w="12700" cap="flat" cmpd="sng" algn="ctr">
          <a:solidFill>
            <a:schemeClr val="accent2">
              <a:lumMod val="75000"/>
            </a:schemeClr>
          </a:solidFill>
          <a:prstDash val="solid"/>
          <a:miter lim="800000"/>
        </a:ln>
        <a:effectLst/>
      </dgm:spPr>
      <dgm:t>
        <a:bodyPr/>
        <a:lstStyle/>
        <a:p>
          <a:pPr>
            <a:buNone/>
          </a:pPr>
          <a:r>
            <a:rPr lang="en-GB" sz="1800" b="1">
              <a:solidFill>
                <a:schemeClr val="accent2">
                  <a:lumMod val="75000"/>
                </a:schemeClr>
              </a:solidFill>
              <a:latin typeface="Times New Roman" panose="02020603050405020304" pitchFamily="18" charset="0"/>
              <a:ea typeface="+mn-ea"/>
              <a:cs typeface="Times New Roman" panose="02020603050405020304" pitchFamily="18" charset="0"/>
            </a:rPr>
            <a:t>Holistic approach</a:t>
          </a:r>
        </a:p>
      </dgm:t>
    </dgm:pt>
    <dgm:pt modelId="{A870DC6C-E2B4-4038-AD99-C2028835DDBD}" type="parTrans" cxnId="{6870F312-0AAB-42C9-9F33-694C79E64870}">
      <dgm:prSet/>
      <dgm:spPr/>
      <dgm:t>
        <a:bodyPr/>
        <a:lstStyle/>
        <a:p>
          <a:endParaRPr lang="en-GB"/>
        </a:p>
      </dgm:t>
    </dgm:pt>
    <dgm:pt modelId="{A2D0F61F-17D2-47D3-943F-29E1EA4D06FD}" type="sibTrans" cxnId="{6870F312-0AAB-42C9-9F33-694C79E64870}">
      <dgm:prSet/>
      <dgm:spPr/>
      <dgm:t>
        <a:bodyPr/>
        <a:lstStyle/>
        <a:p>
          <a:endParaRPr lang="en-GB"/>
        </a:p>
      </dgm:t>
    </dgm:pt>
    <dgm:pt modelId="{E93D3FEC-6282-4F15-AE8E-6C21AA4BF6C0}" type="asst">
      <dgm:prSet phldrT="[Text]" custT="1"/>
      <dgm:spPr>
        <a:xfrm>
          <a:off x="1400013" y="864790"/>
          <a:ext cx="1215553" cy="607776"/>
        </a:xfrm>
        <a:prstGeom prst="rect">
          <a:avLst/>
        </a:prstGeom>
        <a:solidFill>
          <a:sysClr val="window" lastClr="FFFFFF"/>
        </a:solidFill>
        <a:ln w="12700" cap="flat" cmpd="sng" algn="ctr">
          <a:solidFill>
            <a:schemeClr val="accent2">
              <a:lumMod val="75000"/>
            </a:schemeClr>
          </a:solidFill>
          <a:prstDash val="solid"/>
          <a:miter lim="800000"/>
        </a:ln>
        <a:effectLst/>
      </dgm:spPr>
      <dgm:t>
        <a:bodyPr/>
        <a:lstStyle/>
        <a:p>
          <a:pPr>
            <a:buNone/>
          </a:pPr>
          <a:r>
            <a:rPr lang="en-GB" sz="1600" b="1">
              <a:solidFill>
                <a:schemeClr val="accent2">
                  <a:lumMod val="75000"/>
                </a:schemeClr>
              </a:solidFill>
              <a:latin typeface="Times New Roman" panose="02020603050405020304" pitchFamily="18" charset="0"/>
              <a:ea typeface="+mn-ea"/>
              <a:cs typeface="Times New Roman" panose="02020603050405020304" pitchFamily="18" charset="0"/>
            </a:rPr>
            <a:t>Person Centredness</a:t>
          </a:r>
        </a:p>
      </dgm:t>
    </dgm:pt>
    <dgm:pt modelId="{3FB079C8-7317-4870-BA04-F85C1DA30B43}" type="parTrans" cxnId="{A348A3E6-445F-4A5B-8061-92C5A108FA85}">
      <dgm:prSet/>
      <dgm:spPr>
        <a:xfrm>
          <a:off x="2615566" y="609523"/>
          <a:ext cx="127633" cy="559154"/>
        </a:xfrm>
        <a:custGeom>
          <a:avLst/>
          <a:gdLst/>
          <a:ahLst/>
          <a:cxnLst/>
          <a:rect l="0" t="0" r="0" b="0"/>
          <a:pathLst>
            <a:path>
              <a:moveTo>
                <a:pt x="127633" y="0"/>
              </a:moveTo>
              <a:lnTo>
                <a:pt x="127633" y="559154"/>
              </a:lnTo>
              <a:lnTo>
                <a:pt x="0" y="55915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4007CB2A-6AC4-4D3B-9AD0-FDB24E98FA71}" type="sibTrans" cxnId="{A348A3E6-445F-4A5B-8061-92C5A108FA85}">
      <dgm:prSet/>
      <dgm:spPr/>
      <dgm:t>
        <a:bodyPr/>
        <a:lstStyle/>
        <a:p>
          <a:endParaRPr lang="en-GB"/>
        </a:p>
      </dgm:t>
    </dgm:pt>
    <dgm:pt modelId="{F01160D5-AAB3-4D94-A241-B8C612E7FD5A}">
      <dgm:prSet phldrT="[Text]" custT="1"/>
      <dgm:spPr>
        <a:xfrm>
          <a:off x="1400013" y="1727833"/>
          <a:ext cx="1215553" cy="607776"/>
        </a:xfrm>
        <a:prstGeom prst="rect">
          <a:avLst/>
        </a:prstGeom>
        <a:solidFill>
          <a:sysClr val="window" lastClr="FFFFFF"/>
        </a:solidFill>
        <a:ln w="12700" cap="flat" cmpd="sng" algn="ctr">
          <a:solidFill>
            <a:srgbClr val="4472C4">
              <a:lumMod val="75000"/>
            </a:srgbClr>
          </a:solidFill>
          <a:prstDash val="solid"/>
          <a:miter lim="800000"/>
        </a:ln>
        <a:effectLst/>
      </dgm:spPr>
      <dgm:t>
        <a:bodyPr/>
        <a:lstStyle/>
        <a:p>
          <a:pPr>
            <a:buNone/>
          </a:pPr>
          <a:r>
            <a:rPr lang="en-GB" sz="1400" b="1">
              <a:solidFill>
                <a:schemeClr val="accent1">
                  <a:lumMod val="60000"/>
                  <a:lumOff val="40000"/>
                </a:schemeClr>
              </a:solidFill>
              <a:latin typeface="Times New Roman" panose="02020603050405020304" pitchFamily="18" charset="0"/>
              <a:ea typeface="+mn-ea"/>
              <a:cs typeface="Times New Roman" panose="02020603050405020304" pitchFamily="18" charset="0"/>
            </a:rPr>
            <a:t>Experiential</a:t>
          </a:r>
        </a:p>
        <a:p>
          <a:pPr>
            <a:buNone/>
          </a:pPr>
          <a:r>
            <a:rPr lang="en-GB" sz="1400" b="1">
              <a:solidFill>
                <a:schemeClr val="accent1">
                  <a:lumMod val="60000"/>
                  <a:lumOff val="40000"/>
                </a:schemeClr>
              </a:solidFill>
              <a:latin typeface="Times New Roman" panose="02020603050405020304" pitchFamily="18" charset="0"/>
              <a:ea typeface="+mn-ea"/>
              <a:cs typeface="Times New Roman" panose="02020603050405020304" pitchFamily="18" charset="0"/>
            </a:rPr>
            <a:t>opportunities</a:t>
          </a:r>
        </a:p>
      </dgm:t>
    </dgm:pt>
    <dgm:pt modelId="{42503053-B33A-4381-94A2-19EB8C3736D3}" type="parTrans" cxnId="{2B02EB3E-EC48-442F-B766-3BDB9B95D467}">
      <dgm:prSet/>
      <dgm:spPr>
        <a:xfrm>
          <a:off x="2007790" y="609523"/>
          <a:ext cx="735409" cy="1118309"/>
        </a:xfrm>
        <a:custGeom>
          <a:avLst/>
          <a:gdLst/>
          <a:ahLst/>
          <a:cxnLst/>
          <a:rect l="0" t="0" r="0" b="0"/>
          <a:pathLst>
            <a:path>
              <a:moveTo>
                <a:pt x="735409" y="0"/>
              </a:moveTo>
              <a:lnTo>
                <a:pt x="735409" y="990676"/>
              </a:lnTo>
              <a:lnTo>
                <a:pt x="0" y="990676"/>
              </a:lnTo>
              <a:lnTo>
                <a:pt x="0" y="1118309"/>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6D3C09E2-FA81-459F-9B49-B4C8D651B1FD}" type="sibTrans" cxnId="{2B02EB3E-EC48-442F-B766-3BDB9B95D467}">
      <dgm:prSet/>
      <dgm:spPr/>
      <dgm:t>
        <a:bodyPr/>
        <a:lstStyle/>
        <a:p>
          <a:endParaRPr lang="en-GB"/>
        </a:p>
      </dgm:t>
    </dgm:pt>
    <dgm:pt modelId="{5A922E32-03B1-46A0-A482-CD8871141B5E}" type="asst">
      <dgm:prSet custT="1"/>
      <dgm:spPr>
        <a:xfrm>
          <a:off x="2870833" y="864790"/>
          <a:ext cx="1215553" cy="607776"/>
        </a:xfrm>
        <a:prstGeom prst="rect">
          <a:avLst/>
        </a:prstGeom>
        <a:solidFill>
          <a:sysClr val="window" lastClr="FFFFFF"/>
        </a:solidFill>
        <a:ln w="12700" cap="flat" cmpd="sng" algn="ctr">
          <a:solidFill>
            <a:schemeClr val="accent2">
              <a:lumMod val="75000"/>
            </a:schemeClr>
          </a:solidFill>
          <a:prstDash val="solid"/>
          <a:miter lim="800000"/>
        </a:ln>
        <a:effectLst/>
      </dgm:spPr>
      <dgm:t>
        <a:bodyPr/>
        <a:lstStyle/>
        <a:p>
          <a:pPr>
            <a:buNone/>
          </a:pPr>
          <a:r>
            <a:rPr lang="en-GB" sz="1600" b="1">
              <a:solidFill>
                <a:schemeClr val="accent2">
                  <a:lumMod val="75000"/>
                </a:schemeClr>
              </a:solidFill>
              <a:latin typeface="Times New Roman" panose="02020603050405020304" pitchFamily="18" charset="0"/>
              <a:ea typeface="+mn-ea"/>
              <a:cs typeface="Times New Roman" panose="02020603050405020304" pitchFamily="18" charset="0"/>
            </a:rPr>
            <a:t>Security</a:t>
          </a:r>
        </a:p>
      </dgm:t>
    </dgm:pt>
    <dgm:pt modelId="{B853DFF8-9388-4F5D-BC9A-D042F733AA35}" type="parTrans" cxnId="{A0E59D24-12CE-4270-831E-3171C24CFC6C}">
      <dgm:prSet/>
      <dgm:spPr>
        <a:xfrm>
          <a:off x="2743200" y="609523"/>
          <a:ext cx="127633" cy="559154"/>
        </a:xfrm>
        <a:custGeom>
          <a:avLst/>
          <a:gdLst/>
          <a:ahLst/>
          <a:cxnLst/>
          <a:rect l="0" t="0" r="0" b="0"/>
          <a:pathLst>
            <a:path>
              <a:moveTo>
                <a:pt x="0" y="0"/>
              </a:moveTo>
              <a:lnTo>
                <a:pt x="0" y="559154"/>
              </a:lnTo>
              <a:lnTo>
                <a:pt x="127633" y="55915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AD9A2F98-73C7-4A1F-A42E-26241075253A}" type="sibTrans" cxnId="{A0E59D24-12CE-4270-831E-3171C24CFC6C}">
      <dgm:prSet/>
      <dgm:spPr/>
      <dgm:t>
        <a:bodyPr/>
        <a:lstStyle/>
        <a:p>
          <a:endParaRPr lang="en-GB"/>
        </a:p>
      </dgm:t>
    </dgm:pt>
    <dgm:pt modelId="{AB2A5EE0-9D4E-45B2-8F3E-228F7D8C67B3}">
      <dgm:prSet phldrT="[Text]" custT="1"/>
      <dgm:spPr>
        <a:xfrm>
          <a:off x="2870833" y="1727833"/>
          <a:ext cx="1215553" cy="607776"/>
        </a:xfrm>
        <a:prstGeom prst="rect">
          <a:avLst/>
        </a:prstGeom>
        <a:solidFill>
          <a:sysClr val="window" lastClr="FFFFFF"/>
        </a:solidFill>
        <a:ln w="12700" cap="flat" cmpd="sng" algn="ctr">
          <a:solidFill>
            <a:srgbClr val="4472C4">
              <a:lumMod val="75000"/>
            </a:srgbClr>
          </a:solidFill>
          <a:prstDash val="solid"/>
          <a:miter lim="800000"/>
        </a:ln>
        <a:effectLst/>
      </dgm:spPr>
      <dgm:t>
        <a:bodyPr/>
        <a:lstStyle/>
        <a:p>
          <a:pPr>
            <a:buNone/>
          </a:pPr>
          <a:r>
            <a:rPr lang="en-GB" sz="1400" b="1">
              <a:solidFill>
                <a:schemeClr val="accent1">
                  <a:lumMod val="60000"/>
                  <a:lumOff val="40000"/>
                </a:schemeClr>
              </a:solidFill>
              <a:latin typeface="Times New Roman" panose="02020603050405020304" pitchFamily="18" charset="0"/>
              <a:ea typeface="+mn-ea"/>
              <a:cs typeface="Times New Roman" panose="02020603050405020304" pitchFamily="18" charset="0"/>
            </a:rPr>
            <a:t>Socialisation</a:t>
          </a:r>
        </a:p>
      </dgm:t>
    </dgm:pt>
    <dgm:pt modelId="{6C76FEB4-40CE-4FAC-BC08-EC33F6631F3F}" type="sibTrans" cxnId="{C93827E4-EF7A-451C-80CF-1E420F63231C}">
      <dgm:prSet/>
      <dgm:spPr/>
      <dgm:t>
        <a:bodyPr/>
        <a:lstStyle/>
        <a:p>
          <a:endParaRPr lang="en-GB"/>
        </a:p>
      </dgm:t>
    </dgm:pt>
    <dgm:pt modelId="{44608D28-565B-420F-808F-9B2D13D40D00}" type="parTrans" cxnId="{C93827E4-EF7A-451C-80CF-1E420F63231C}">
      <dgm:prSet/>
      <dgm:spPr>
        <a:xfrm>
          <a:off x="2743200" y="609523"/>
          <a:ext cx="735409" cy="1118309"/>
        </a:xfrm>
        <a:custGeom>
          <a:avLst/>
          <a:gdLst/>
          <a:ahLst/>
          <a:cxnLst/>
          <a:rect l="0" t="0" r="0" b="0"/>
          <a:pathLst>
            <a:path>
              <a:moveTo>
                <a:pt x="0" y="0"/>
              </a:moveTo>
              <a:lnTo>
                <a:pt x="0" y="990676"/>
              </a:lnTo>
              <a:lnTo>
                <a:pt x="735409" y="990676"/>
              </a:lnTo>
              <a:lnTo>
                <a:pt x="735409" y="1118309"/>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8C33DB70-3541-4C14-B573-01757F98D362}">
      <dgm:prSet custT="1"/>
      <dgm:spPr>
        <a:xfrm>
          <a:off x="2233287" y="2592623"/>
          <a:ext cx="1215553" cy="607776"/>
        </a:xfrm>
        <a:prstGeom prst="rect">
          <a:avLst/>
        </a:prstGeom>
        <a:solidFill>
          <a:sysClr val="window" lastClr="FFFFFF"/>
        </a:solidFill>
        <a:ln w="12700" cap="flat" cmpd="sng" algn="ctr">
          <a:solidFill>
            <a:srgbClr val="4472C4">
              <a:lumMod val="75000"/>
            </a:srgbClr>
          </a:solidFill>
          <a:prstDash val="solid"/>
          <a:miter lim="800000"/>
        </a:ln>
        <a:effectLst/>
      </dgm:spPr>
      <dgm:t>
        <a:bodyPr/>
        <a:lstStyle/>
        <a:p>
          <a:pPr>
            <a:buNone/>
          </a:pPr>
          <a:r>
            <a:rPr lang="en-GB" sz="1400" b="1">
              <a:solidFill>
                <a:schemeClr val="accent1">
                  <a:lumMod val="60000"/>
                  <a:lumOff val="40000"/>
                </a:schemeClr>
              </a:solidFill>
              <a:latin typeface="Times New Roman" panose="02020603050405020304" pitchFamily="18" charset="0"/>
              <a:ea typeface="+mn-ea"/>
              <a:cs typeface="Times New Roman" panose="02020603050405020304" pitchFamily="18" charset="0"/>
            </a:rPr>
            <a:t>Resilience to achieve goals</a:t>
          </a:r>
        </a:p>
      </dgm:t>
    </dgm:pt>
    <dgm:pt modelId="{BAD87390-D7E3-4AFB-8118-90803B13F44A}" type="parTrans" cxnId="{1C2B360A-444F-4C1D-9599-51C4E3D8C70B}">
      <dgm:prSet/>
      <dgm:spPr>
        <a:xfrm>
          <a:off x="1521568" y="2335609"/>
          <a:ext cx="711718" cy="560901"/>
        </a:xfrm>
        <a:custGeom>
          <a:avLst/>
          <a:gdLst/>
          <a:ahLst/>
          <a:cxnLst/>
          <a:rect l="0" t="0" r="0" b="0"/>
          <a:pathLst>
            <a:path>
              <a:moveTo>
                <a:pt x="0" y="0"/>
              </a:moveTo>
              <a:lnTo>
                <a:pt x="0" y="560901"/>
              </a:lnTo>
              <a:lnTo>
                <a:pt x="711718" y="56090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endParaRPr lang="en-GB"/>
        </a:p>
      </dgm:t>
    </dgm:pt>
    <dgm:pt modelId="{5F083D00-7538-4CC6-B400-1C3E1868E610}" type="sibTrans" cxnId="{1C2B360A-444F-4C1D-9599-51C4E3D8C70B}">
      <dgm:prSet/>
      <dgm:spPr/>
      <dgm:t>
        <a:bodyPr/>
        <a:lstStyle/>
        <a:p>
          <a:endParaRPr lang="en-GB"/>
        </a:p>
      </dgm:t>
    </dgm:pt>
    <dgm:pt modelId="{A6464E18-B4EC-4A7C-82D6-ACCE525A3567}" type="pres">
      <dgm:prSet presAssocID="{AF406ED6-733E-4B60-821C-D79A311F09B5}" presName="hierChild1" presStyleCnt="0">
        <dgm:presLayoutVars>
          <dgm:orgChart val="1"/>
          <dgm:chPref val="1"/>
          <dgm:dir/>
          <dgm:animOne val="branch"/>
          <dgm:animLvl val="lvl"/>
          <dgm:resizeHandles/>
        </dgm:presLayoutVars>
      </dgm:prSet>
      <dgm:spPr/>
    </dgm:pt>
    <dgm:pt modelId="{FF8DD869-A8FF-4CDA-97A5-3C34C38AB41C}" type="pres">
      <dgm:prSet presAssocID="{B7BC4FEE-C348-4B96-8FDD-CAFDFEB9F8F8}" presName="hierRoot1" presStyleCnt="0">
        <dgm:presLayoutVars>
          <dgm:hierBranch val="init"/>
        </dgm:presLayoutVars>
      </dgm:prSet>
      <dgm:spPr/>
    </dgm:pt>
    <dgm:pt modelId="{90BFD6C5-AB61-4860-B163-019259709A6B}" type="pres">
      <dgm:prSet presAssocID="{B7BC4FEE-C348-4B96-8FDD-CAFDFEB9F8F8}" presName="rootComposite1" presStyleCnt="0"/>
      <dgm:spPr/>
    </dgm:pt>
    <dgm:pt modelId="{94E1506C-56BB-49B8-906C-C443955C0F97}" type="pres">
      <dgm:prSet presAssocID="{B7BC4FEE-C348-4B96-8FDD-CAFDFEB9F8F8}" presName="rootText1" presStyleLbl="node0" presStyleIdx="0" presStyleCnt="1">
        <dgm:presLayoutVars>
          <dgm:chPref val="3"/>
        </dgm:presLayoutVars>
      </dgm:prSet>
      <dgm:spPr/>
    </dgm:pt>
    <dgm:pt modelId="{AE6EB9AE-4E24-402E-9271-8A5AB6DDB917}" type="pres">
      <dgm:prSet presAssocID="{B7BC4FEE-C348-4B96-8FDD-CAFDFEB9F8F8}" presName="rootConnector1" presStyleLbl="node1" presStyleIdx="0" presStyleCnt="0"/>
      <dgm:spPr/>
    </dgm:pt>
    <dgm:pt modelId="{02E3F182-2F3D-4BB2-89AE-F5E02A6A6314}" type="pres">
      <dgm:prSet presAssocID="{B7BC4FEE-C348-4B96-8FDD-CAFDFEB9F8F8}" presName="hierChild2" presStyleCnt="0"/>
      <dgm:spPr/>
    </dgm:pt>
    <dgm:pt modelId="{EBD01083-9AAB-4826-8431-CB725FBB7807}" type="pres">
      <dgm:prSet presAssocID="{42503053-B33A-4381-94A2-19EB8C3736D3}" presName="Name37" presStyleLbl="parChTrans1D2" presStyleIdx="0" presStyleCnt="4"/>
      <dgm:spPr/>
    </dgm:pt>
    <dgm:pt modelId="{623CD689-FD15-4CE2-8517-29DC75692892}" type="pres">
      <dgm:prSet presAssocID="{F01160D5-AAB3-4D94-A241-B8C612E7FD5A}" presName="hierRoot2" presStyleCnt="0">
        <dgm:presLayoutVars>
          <dgm:hierBranch val="init"/>
        </dgm:presLayoutVars>
      </dgm:prSet>
      <dgm:spPr/>
    </dgm:pt>
    <dgm:pt modelId="{DB52DBA0-9934-449E-BD4E-B3BF320E699E}" type="pres">
      <dgm:prSet presAssocID="{F01160D5-AAB3-4D94-A241-B8C612E7FD5A}" presName="rootComposite" presStyleCnt="0"/>
      <dgm:spPr/>
    </dgm:pt>
    <dgm:pt modelId="{8BF9591F-1F66-4002-A84B-BA61F1788DE7}" type="pres">
      <dgm:prSet presAssocID="{F01160D5-AAB3-4D94-A241-B8C612E7FD5A}" presName="rootText" presStyleLbl="node2" presStyleIdx="0" presStyleCnt="2">
        <dgm:presLayoutVars>
          <dgm:chPref val="3"/>
        </dgm:presLayoutVars>
      </dgm:prSet>
      <dgm:spPr/>
    </dgm:pt>
    <dgm:pt modelId="{449921AD-5DC2-448F-9B45-C5CCA53B5CB9}" type="pres">
      <dgm:prSet presAssocID="{F01160D5-AAB3-4D94-A241-B8C612E7FD5A}" presName="rootConnector" presStyleLbl="node2" presStyleIdx="0" presStyleCnt="2"/>
      <dgm:spPr/>
    </dgm:pt>
    <dgm:pt modelId="{5160658C-1C65-4974-9A62-CDD29184A887}" type="pres">
      <dgm:prSet presAssocID="{F01160D5-AAB3-4D94-A241-B8C612E7FD5A}" presName="hierChild4" presStyleCnt="0"/>
      <dgm:spPr/>
    </dgm:pt>
    <dgm:pt modelId="{0AFF1902-B4E1-44E4-9C09-229B1E06BA4C}" type="pres">
      <dgm:prSet presAssocID="{BAD87390-D7E3-4AFB-8118-90803B13F44A}" presName="Name37" presStyleLbl="parChTrans1D3" presStyleIdx="0" presStyleCnt="1"/>
      <dgm:spPr/>
    </dgm:pt>
    <dgm:pt modelId="{9811A1F2-BA51-4C8B-B8BE-068C6BAD4390}" type="pres">
      <dgm:prSet presAssocID="{8C33DB70-3541-4C14-B573-01757F98D362}" presName="hierRoot2" presStyleCnt="0">
        <dgm:presLayoutVars>
          <dgm:hierBranch val="init"/>
        </dgm:presLayoutVars>
      </dgm:prSet>
      <dgm:spPr/>
    </dgm:pt>
    <dgm:pt modelId="{D34BA023-A115-45AC-9413-A1E9DCFC8D06}" type="pres">
      <dgm:prSet presAssocID="{8C33DB70-3541-4C14-B573-01757F98D362}" presName="rootComposite" presStyleCnt="0"/>
      <dgm:spPr/>
    </dgm:pt>
    <dgm:pt modelId="{FC6E5B3C-A608-4FA8-8A7C-A812FC560449}" type="pres">
      <dgm:prSet presAssocID="{8C33DB70-3541-4C14-B573-01757F98D362}" presName="rootText" presStyleLbl="node3" presStyleIdx="0" presStyleCnt="1" custLinFactNeighborX="43551" custLinFactNeighborY="288">
        <dgm:presLayoutVars>
          <dgm:chPref val="3"/>
        </dgm:presLayoutVars>
      </dgm:prSet>
      <dgm:spPr/>
    </dgm:pt>
    <dgm:pt modelId="{7B070DA6-3177-4BC1-A7A3-E0213F5A59F9}" type="pres">
      <dgm:prSet presAssocID="{8C33DB70-3541-4C14-B573-01757F98D362}" presName="rootConnector" presStyleLbl="node3" presStyleIdx="0" presStyleCnt="1"/>
      <dgm:spPr/>
    </dgm:pt>
    <dgm:pt modelId="{C5ED31C0-6FEB-4080-A987-9D06D05F59D2}" type="pres">
      <dgm:prSet presAssocID="{8C33DB70-3541-4C14-B573-01757F98D362}" presName="hierChild4" presStyleCnt="0"/>
      <dgm:spPr/>
    </dgm:pt>
    <dgm:pt modelId="{A94233CF-0A5B-41C8-BC3D-686A5177D56F}" type="pres">
      <dgm:prSet presAssocID="{8C33DB70-3541-4C14-B573-01757F98D362}" presName="hierChild5" presStyleCnt="0"/>
      <dgm:spPr/>
    </dgm:pt>
    <dgm:pt modelId="{B23412F4-B5B8-478F-94F0-8473AEB305C9}" type="pres">
      <dgm:prSet presAssocID="{F01160D5-AAB3-4D94-A241-B8C612E7FD5A}" presName="hierChild5" presStyleCnt="0"/>
      <dgm:spPr/>
    </dgm:pt>
    <dgm:pt modelId="{85A41C25-6DFC-474F-8A72-F8285339F10D}" type="pres">
      <dgm:prSet presAssocID="{44608D28-565B-420F-808F-9B2D13D40D00}" presName="Name37" presStyleLbl="parChTrans1D2" presStyleIdx="1" presStyleCnt="4"/>
      <dgm:spPr/>
    </dgm:pt>
    <dgm:pt modelId="{EA0BD498-712A-40EE-930D-8E1FE00FF54B}" type="pres">
      <dgm:prSet presAssocID="{AB2A5EE0-9D4E-45B2-8F3E-228F7D8C67B3}" presName="hierRoot2" presStyleCnt="0">
        <dgm:presLayoutVars>
          <dgm:hierBranch val="init"/>
        </dgm:presLayoutVars>
      </dgm:prSet>
      <dgm:spPr/>
    </dgm:pt>
    <dgm:pt modelId="{E54D05AA-1949-4EA2-9C48-DFC768146A7F}" type="pres">
      <dgm:prSet presAssocID="{AB2A5EE0-9D4E-45B2-8F3E-228F7D8C67B3}" presName="rootComposite" presStyleCnt="0"/>
      <dgm:spPr/>
    </dgm:pt>
    <dgm:pt modelId="{F491078D-D475-4D1C-8314-9530082E4075}" type="pres">
      <dgm:prSet presAssocID="{AB2A5EE0-9D4E-45B2-8F3E-228F7D8C67B3}" presName="rootText" presStyleLbl="node2" presStyleIdx="1" presStyleCnt="2">
        <dgm:presLayoutVars>
          <dgm:chPref val="3"/>
        </dgm:presLayoutVars>
      </dgm:prSet>
      <dgm:spPr/>
    </dgm:pt>
    <dgm:pt modelId="{C56CD4C4-C462-4ECC-9483-C4D646368B3F}" type="pres">
      <dgm:prSet presAssocID="{AB2A5EE0-9D4E-45B2-8F3E-228F7D8C67B3}" presName="rootConnector" presStyleLbl="node2" presStyleIdx="1" presStyleCnt="2"/>
      <dgm:spPr/>
    </dgm:pt>
    <dgm:pt modelId="{6CC2097B-F72B-45DE-B6C7-6B11C45BB229}" type="pres">
      <dgm:prSet presAssocID="{AB2A5EE0-9D4E-45B2-8F3E-228F7D8C67B3}" presName="hierChild4" presStyleCnt="0"/>
      <dgm:spPr/>
    </dgm:pt>
    <dgm:pt modelId="{3A3C4609-5973-4D7A-BF5E-4BB8F7126683}" type="pres">
      <dgm:prSet presAssocID="{AB2A5EE0-9D4E-45B2-8F3E-228F7D8C67B3}" presName="hierChild5" presStyleCnt="0"/>
      <dgm:spPr/>
    </dgm:pt>
    <dgm:pt modelId="{D966BE5A-DEFD-4712-BC95-55BE2A69B819}" type="pres">
      <dgm:prSet presAssocID="{B7BC4FEE-C348-4B96-8FDD-CAFDFEB9F8F8}" presName="hierChild3" presStyleCnt="0"/>
      <dgm:spPr/>
    </dgm:pt>
    <dgm:pt modelId="{2858243B-42F0-4A60-9D63-B0B576764374}" type="pres">
      <dgm:prSet presAssocID="{3FB079C8-7317-4870-BA04-F85C1DA30B43}" presName="Name111" presStyleLbl="parChTrans1D2" presStyleIdx="2" presStyleCnt="4"/>
      <dgm:spPr/>
    </dgm:pt>
    <dgm:pt modelId="{E9A8CA69-5F61-441B-A1CA-2095B43E4E60}" type="pres">
      <dgm:prSet presAssocID="{E93D3FEC-6282-4F15-AE8E-6C21AA4BF6C0}" presName="hierRoot3" presStyleCnt="0">
        <dgm:presLayoutVars>
          <dgm:hierBranch val="init"/>
        </dgm:presLayoutVars>
      </dgm:prSet>
      <dgm:spPr/>
    </dgm:pt>
    <dgm:pt modelId="{F98DEBC7-A5B9-4499-AD06-24B067AC4188}" type="pres">
      <dgm:prSet presAssocID="{E93D3FEC-6282-4F15-AE8E-6C21AA4BF6C0}" presName="rootComposite3" presStyleCnt="0"/>
      <dgm:spPr/>
    </dgm:pt>
    <dgm:pt modelId="{DD76A58C-8AA9-4999-B4A1-4F1658793B6C}" type="pres">
      <dgm:prSet presAssocID="{E93D3FEC-6282-4F15-AE8E-6C21AA4BF6C0}" presName="rootText3" presStyleLbl="asst1" presStyleIdx="0" presStyleCnt="2">
        <dgm:presLayoutVars>
          <dgm:chPref val="3"/>
        </dgm:presLayoutVars>
      </dgm:prSet>
      <dgm:spPr/>
    </dgm:pt>
    <dgm:pt modelId="{06D6C539-2858-4C9C-A8E1-935FCCBCEF35}" type="pres">
      <dgm:prSet presAssocID="{E93D3FEC-6282-4F15-AE8E-6C21AA4BF6C0}" presName="rootConnector3" presStyleLbl="asst1" presStyleIdx="0" presStyleCnt="2"/>
      <dgm:spPr/>
    </dgm:pt>
    <dgm:pt modelId="{6CE15811-643F-430D-8235-F06044937992}" type="pres">
      <dgm:prSet presAssocID="{E93D3FEC-6282-4F15-AE8E-6C21AA4BF6C0}" presName="hierChild6" presStyleCnt="0"/>
      <dgm:spPr/>
    </dgm:pt>
    <dgm:pt modelId="{E3C60399-6DD1-4C42-B34E-F2EBC02763D4}" type="pres">
      <dgm:prSet presAssocID="{E93D3FEC-6282-4F15-AE8E-6C21AA4BF6C0}" presName="hierChild7" presStyleCnt="0"/>
      <dgm:spPr/>
    </dgm:pt>
    <dgm:pt modelId="{2E91FC50-6127-4EDB-876D-83138F2CB0FD}" type="pres">
      <dgm:prSet presAssocID="{B853DFF8-9388-4F5D-BC9A-D042F733AA35}" presName="Name111" presStyleLbl="parChTrans1D2" presStyleIdx="3" presStyleCnt="4"/>
      <dgm:spPr/>
    </dgm:pt>
    <dgm:pt modelId="{4C68CB9F-40E4-427D-8671-140E059A5196}" type="pres">
      <dgm:prSet presAssocID="{5A922E32-03B1-46A0-A482-CD8871141B5E}" presName="hierRoot3" presStyleCnt="0">
        <dgm:presLayoutVars>
          <dgm:hierBranch val="init"/>
        </dgm:presLayoutVars>
      </dgm:prSet>
      <dgm:spPr/>
    </dgm:pt>
    <dgm:pt modelId="{C722D81F-AB83-4CA2-B1A1-B635C7367C81}" type="pres">
      <dgm:prSet presAssocID="{5A922E32-03B1-46A0-A482-CD8871141B5E}" presName="rootComposite3" presStyleCnt="0"/>
      <dgm:spPr/>
    </dgm:pt>
    <dgm:pt modelId="{D087E583-DCF5-42A9-AD4C-E67908EFDDF2}" type="pres">
      <dgm:prSet presAssocID="{5A922E32-03B1-46A0-A482-CD8871141B5E}" presName="rootText3" presStyleLbl="asst1" presStyleIdx="1" presStyleCnt="2">
        <dgm:presLayoutVars>
          <dgm:chPref val="3"/>
        </dgm:presLayoutVars>
      </dgm:prSet>
      <dgm:spPr/>
    </dgm:pt>
    <dgm:pt modelId="{42E9E858-AF53-41CE-90FC-01B1330D4D08}" type="pres">
      <dgm:prSet presAssocID="{5A922E32-03B1-46A0-A482-CD8871141B5E}" presName="rootConnector3" presStyleLbl="asst1" presStyleIdx="1" presStyleCnt="2"/>
      <dgm:spPr/>
    </dgm:pt>
    <dgm:pt modelId="{26F5B86F-1F34-4A01-9A26-FC476BD950E1}" type="pres">
      <dgm:prSet presAssocID="{5A922E32-03B1-46A0-A482-CD8871141B5E}" presName="hierChild6" presStyleCnt="0"/>
      <dgm:spPr/>
    </dgm:pt>
    <dgm:pt modelId="{3BF3676C-68D6-4A8C-A318-E1340EF50B97}" type="pres">
      <dgm:prSet presAssocID="{5A922E32-03B1-46A0-A482-CD8871141B5E}" presName="hierChild7" presStyleCnt="0"/>
      <dgm:spPr/>
    </dgm:pt>
  </dgm:ptLst>
  <dgm:cxnLst>
    <dgm:cxn modelId="{1C2B360A-444F-4C1D-9599-51C4E3D8C70B}" srcId="{F01160D5-AAB3-4D94-A241-B8C612E7FD5A}" destId="{8C33DB70-3541-4C14-B573-01757F98D362}" srcOrd="0" destOrd="0" parTransId="{BAD87390-D7E3-4AFB-8118-90803B13F44A}" sibTransId="{5F083D00-7538-4CC6-B400-1C3E1868E610}"/>
    <dgm:cxn modelId="{6870F312-0AAB-42C9-9F33-694C79E64870}" srcId="{AF406ED6-733E-4B60-821C-D79A311F09B5}" destId="{B7BC4FEE-C348-4B96-8FDD-CAFDFEB9F8F8}" srcOrd="0" destOrd="0" parTransId="{A870DC6C-E2B4-4038-AD99-C2028835DDBD}" sibTransId="{A2D0F61F-17D2-47D3-943F-29E1EA4D06FD}"/>
    <dgm:cxn modelId="{8DB3DA14-A2F8-47CA-AD80-E654839D0D69}" type="presOf" srcId="{AB2A5EE0-9D4E-45B2-8F3E-228F7D8C67B3}" destId="{F491078D-D475-4D1C-8314-9530082E4075}" srcOrd="0" destOrd="0" presId="urn:microsoft.com/office/officeart/2005/8/layout/orgChart1"/>
    <dgm:cxn modelId="{59CC991C-90A2-496A-91AA-2BC62712B525}" type="presOf" srcId="{AF406ED6-733E-4B60-821C-D79A311F09B5}" destId="{A6464E18-B4EC-4A7C-82D6-ACCE525A3567}" srcOrd="0" destOrd="0" presId="urn:microsoft.com/office/officeart/2005/8/layout/orgChart1"/>
    <dgm:cxn modelId="{EF71E622-C75C-4E5D-9305-49B02205C599}" type="presOf" srcId="{3FB079C8-7317-4870-BA04-F85C1DA30B43}" destId="{2858243B-42F0-4A60-9D63-B0B576764374}" srcOrd="0" destOrd="0" presId="urn:microsoft.com/office/officeart/2005/8/layout/orgChart1"/>
    <dgm:cxn modelId="{E1672E24-C64F-429A-9EA0-4D529B98432D}" type="presOf" srcId="{E93D3FEC-6282-4F15-AE8E-6C21AA4BF6C0}" destId="{06D6C539-2858-4C9C-A8E1-935FCCBCEF35}" srcOrd="1" destOrd="0" presId="urn:microsoft.com/office/officeart/2005/8/layout/orgChart1"/>
    <dgm:cxn modelId="{A0E59D24-12CE-4270-831E-3171C24CFC6C}" srcId="{B7BC4FEE-C348-4B96-8FDD-CAFDFEB9F8F8}" destId="{5A922E32-03B1-46A0-A482-CD8871141B5E}" srcOrd="1" destOrd="0" parTransId="{B853DFF8-9388-4F5D-BC9A-D042F733AA35}" sibTransId="{AD9A2F98-73C7-4A1F-A42E-26241075253A}"/>
    <dgm:cxn modelId="{A851B32E-5AE1-447C-8CE5-A50D480B3F7A}" type="presOf" srcId="{8C33DB70-3541-4C14-B573-01757F98D362}" destId="{7B070DA6-3177-4BC1-A7A3-E0213F5A59F9}" srcOrd="1" destOrd="0" presId="urn:microsoft.com/office/officeart/2005/8/layout/orgChart1"/>
    <dgm:cxn modelId="{28F03A3A-0B53-46BA-9BB6-DADD8C95D6D3}" type="presOf" srcId="{E93D3FEC-6282-4F15-AE8E-6C21AA4BF6C0}" destId="{DD76A58C-8AA9-4999-B4A1-4F1658793B6C}" srcOrd="0" destOrd="0" presId="urn:microsoft.com/office/officeart/2005/8/layout/orgChart1"/>
    <dgm:cxn modelId="{2B02EB3E-EC48-442F-B766-3BDB9B95D467}" srcId="{B7BC4FEE-C348-4B96-8FDD-CAFDFEB9F8F8}" destId="{F01160D5-AAB3-4D94-A241-B8C612E7FD5A}" srcOrd="2" destOrd="0" parTransId="{42503053-B33A-4381-94A2-19EB8C3736D3}" sibTransId="{6D3C09E2-FA81-459F-9B49-B4C8D651B1FD}"/>
    <dgm:cxn modelId="{C5FFEB49-C86D-4B47-8F6B-527FB785D115}" type="presOf" srcId="{BAD87390-D7E3-4AFB-8118-90803B13F44A}" destId="{0AFF1902-B4E1-44E4-9C09-229B1E06BA4C}" srcOrd="0" destOrd="0" presId="urn:microsoft.com/office/officeart/2005/8/layout/orgChart1"/>
    <dgm:cxn modelId="{51591B6C-111F-4445-9B10-5285A89F531E}" type="presOf" srcId="{5A922E32-03B1-46A0-A482-CD8871141B5E}" destId="{D087E583-DCF5-42A9-AD4C-E67908EFDDF2}" srcOrd="0" destOrd="0" presId="urn:microsoft.com/office/officeart/2005/8/layout/orgChart1"/>
    <dgm:cxn modelId="{102B894D-7166-4DBF-99D1-0D84F60BB2F5}" type="presOf" srcId="{F01160D5-AAB3-4D94-A241-B8C612E7FD5A}" destId="{8BF9591F-1F66-4002-A84B-BA61F1788DE7}" srcOrd="0" destOrd="0" presId="urn:microsoft.com/office/officeart/2005/8/layout/orgChart1"/>
    <dgm:cxn modelId="{93EF9458-DCDC-4C19-8767-702D18B967F6}" type="presOf" srcId="{8C33DB70-3541-4C14-B573-01757F98D362}" destId="{FC6E5B3C-A608-4FA8-8A7C-A812FC560449}" srcOrd="0" destOrd="0" presId="urn:microsoft.com/office/officeart/2005/8/layout/orgChart1"/>
    <dgm:cxn modelId="{192C1D7D-787D-4A89-BE8D-54DA8D1FC04E}" type="presOf" srcId="{42503053-B33A-4381-94A2-19EB8C3736D3}" destId="{EBD01083-9AAB-4826-8431-CB725FBB7807}" srcOrd="0" destOrd="0" presId="urn:microsoft.com/office/officeart/2005/8/layout/orgChart1"/>
    <dgm:cxn modelId="{27313786-AC1D-47B0-ABB2-7A5391DFC7AE}" type="presOf" srcId="{F01160D5-AAB3-4D94-A241-B8C612E7FD5A}" destId="{449921AD-5DC2-448F-9B45-C5CCA53B5CB9}" srcOrd="1" destOrd="0" presId="urn:microsoft.com/office/officeart/2005/8/layout/orgChart1"/>
    <dgm:cxn modelId="{9DBD4CD7-FF79-4E52-84F4-DE1EEE4E8D79}" type="presOf" srcId="{AB2A5EE0-9D4E-45B2-8F3E-228F7D8C67B3}" destId="{C56CD4C4-C462-4ECC-9483-C4D646368B3F}" srcOrd="1" destOrd="0" presId="urn:microsoft.com/office/officeart/2005/8/layout/orgChart1"/>
    <dgm:cxn modelId="{A73D7EDD-A477-440F-A539-06FF736A54F0}" type="presOf" srcId="{B7BC4FEE-C348-4B96-8FDD-CAFDFEB9F8F8}" destId="{94E1506C-56BB-49B8-906C-C443955C0F97}" srcOrd="0" destOrd="0" presId="urn:microsoft.com/office/officeart/2005/8/layout/orgChart1"/>
    <dgm:cxn modelId="{C93827E4-EF7A-451C-80CF-1E420F63231C}" srcId="{B7BC4FEE-C348-4B96-8FDD-CAFDFEB9F8F8}" destId="{AB2A5EE0-9D4E-45B2-8F3E-228F7D8C67B3}" srcOrd="3" destOrd="0" parTransId="{44608D28-565B-420F-808F-9B2D13D40D00}" sibTransId="{6C76FEB4-40CE-4FAC-BC08-EC33F6631F3F}"/>
    <dgm:cxn modelId="{A348A3E6-445F-4A5B-8061-92C5A108FA85}" srcId="{B7BC4FEE-C348-4B96-8FDD-CAFDFEB9F8F8}" destId="{E93D3FEC-6282-4F15-AE8E-6C21AA4BF6C0}" srcOrd="0" destOrd="0" parTransId="{3FB079C8-7317-4870-BA04-F85C1DA30B43}" sibTransId="{4007CB2A-6AC4-4D3B-9AD0-FDB24E98FA71}"/>
    <dgm:cxn modelId="{A155F7E6-30FB-466F-9724-6EA6A30392C8}" type="presOf" srcId="{44608D28-565B-420F-808F-9B2D13D40D00}" destId="{85A41C25-6DFC-474F-8A72-F8285339F10D}" srcOrd="0" destOrd="0" presId="urn:microsoft.com/office/officeart/2005/8/layout/orgChart1"/>
    <dgm:cxn modelId="{27E68EEB-6117-4F57-A9EF-47855397FCBF}" type="presOf" srcId="{B7BC4FEE-C348-4B96-8FDD-CAFDFEB9F8F8}" destId="{AE6EB9AE-4E24-402E-9271-8A5AB6DDB917}" srcOrd="1" destOrd="0" presId="urn:microsoft.com/office/officeart/2005/8/layout/orgChart1"/>
    <dgm:cxn modelId="{FE8882EC-F70E-46B5-9583-88E13199D64B}" type="presOf" srcId="{B853DFF8-9388-4F5D-BC9A-D042F733AA35}" destId="{2E91FC50-6127-4EDB-876D-83138F2CB0FD}" srcOrd="0" destOrd="0" presId="urn:microsoft.com/office/officeart/2005/8/layout/orgChart1"/>
    <dgm:cxn modelId="{A5F8E1FA-C9CE-4EC6-8C2B-4E3634ACF26F}" type="presOf" srcId="{5A922E32-03B1-46A0-A482-CD8871141B5E}" destId="{42E9E858-AF53-41CE-90FC-01B1330D4D08}" srcOrd="1" destOrd="0" presId="urn:microsoft.com/office/officeart/2005/8/layout/orgChart1"/>
    <dgm:cxn modelId="{51094EB9-307D-40AA-A53B-1F4A073884B6}" type="presParOf" srcId="{A6464E18-B4EC-4A7C-82D6-ACCE525A3567}" destId="{FF8DD869-A8FF-4CDA-97A5-3C34C38AB41C}" srcOrd="0" destOrd="0" presId="urn:microsoft.com/office/officeart/2005/8/layout/orgChart1"/>
    <dgm:cxn modelId="{B660CEEA-A135-4BAE-8956-6856B8C755CA}" type="presParOf" srcId="{FF8DD869-A8FF-4CDA-97A5-3C34C38AB41C}" destId="{90BFD6C5-AB61-4860-B163-019259709A6B}" srcOrd="0" destOrd="0" presId="urn:microsoft.com/office/officeart/2005/8/layout/orgChart1"/>
    <dgm:cxn modelId="{9153799D-4D27-4249-90C2-69B9390069BB}" type="presParOf" srcId="{90BFD6C5-AB61-4860-B163-019259709A6B}" destId="{94E1506C-56BB-49B8-906C-C443955C0F97}" srcOrd="0" destOrd="0" presId="urn:microsoft.com/office/officeart/2005/8/layout/orgChart1"/>
    <dgm:cxn modelId="{7BA48D5F-5DE4-482B-AC95-1B860DA43B62}" type="presParOf" srcId="{90BFD6C5-AB61-4860-B163-019259709A6B}" destId="{AE6EB9AE-4E24-402E-9271-8A5AB6DDB917}" srcOrd="1" destOrd="0" presId="urn:microsoft.com/office/officeart/2005/8/layout/orgChart1"/>
    <dgm:cxn modelId="{20D6BA37-0DAA-4BA0-8DEB-36AA8B9F3790}" type="presParOf" srcId="{FF8DD869-A8FF-4CDA-97A5-3C34C38AB41C}" destId="{02E3F182-2F3D-4BB2-89AE-F5E02A6A6314}" srcOrd="1" destOrd="0" presId="urn:microsoft.com/office/officeart/2005/8/layout/orgChart1"/>
    <dgm:cxn modelId="{7D4242B1-C466-4BA1-8E05-8A5FF86F9EF8}" type="presParOf" srcId="{02E3F182-2F3D-4BB2-89AE-F5E02A6A6314}" destId="{EBD01083-9AAB-4826-8431-CB725FBB7807}" srcOrd="0" destOrd="0" presId="urn:microsoft.com/office/officeart/2005/8/layout/orgChart1"/>
    <dgm:cxn modelId="{122CF745-EBE7-4D42-9D38-49AFAADF29D0}" type="presParOf" srcId="{02E3F182-2F3D-4BB2-89AE-F5E02A6A6314}" destId="{623CD689-FD15-4CE2-8517-29DC75692892}" srcOrd="1" destOrd="0" presId="urn:microsoft.com/office/officeart/2005/8/layout/orgChart1"/>
    <dgm:cxn modelId="{25CA8CDE-656F-4B03-9AA7-8BBCD7A83E40}" type="presParOf" srcId="{623CD689-FD15-4CE2-8517-29DC75692892}" destId="{DB52DBA0-9934-449E-BD4E-B3BF320E699E}" srcOrd="0" destOrd="0" presId="urn:microsoft.com/office/officeart/2005/8/layout/orgChart1"/>
    <dgm:cxn modelId="{CCD7E29B-1267-4D6E-A492-9CEF44E88340}" type="presParOf" srcId="{DB52DBA0-9934-449E-BD4E-B3BF320E699E}" destId="{8BF9591F-1F66-4002-A84B-BA61F1788DE7}" srcOrd="0" destOrd="0" presId="urn:microsoft.com/office/officeart/2005/8/layout/orgChart1"/>
    <dgm:cxn modelId="{4BA13A2E-07AE-4C08-BBB9-DFF0D6DBB5C1}" type="presParOf" srcId="{DB52DBA0-9934-449E-BD4E-B3BF320E699E}" destId="{449921AD-5DC2-448F-9B45-C5CCA53B5CB9}" srcOrd="1" destOrd="0" presId="urn:microsoft.com/office/officeart/2005/8/layout/orgChart1"/>
    <dgm:cxn modelId="{B7041E07-5A2D-4CAC-8B80-1565D8E10A32}" type="presParOf" srcId="{623CD689-FD15-4CE2-8517-29DC75692892}" destId="{5160658C-1C65-4974-9A62-CDD29184A887}" srcOrd="1" destOrd="0" presId="urn:microsoft.com/office/officeart/2005/8/layout/orgChart1"/>
    <dgm:cxn modelId="{E0D3D4BE-F8A9-4DB4-B7BD-C7E416DE7044}" type="presParOf" srcId="{5160658C-1C65-4974-9A62-CDD29184A887}" destId="{0AFF1902-B4E1-44E4-9C09-229B1E06BA4C}" srcOrd="0" destOrd="0" presId="urn:microsoft.com/office/officeart/2005/8/layout/orgChart1"/>
    <dgm:cxn modelId="{6F4D3B52-24F6-4622-BB94-3D86A061DE9B}" type="presParOf" srcId="{5160658C-1C65-4974-9A62-CDD29184A887}" destId="{9811A1F2-BA51-4C8B-B8BE-068C6BAD4390}" srcOrd="1" destOrd="0" presId="urn:microsoft.com/office/officeart/2005/8/layout/orgChart1"/>
    <dgm:cxn modelId="{693DC52C-A456-414B-B2E8-B10B2713BB2F}" type="presParOf" srcId="{9811A1F2-BA51-4C8B-B8BE-068C6BAD4390}" destId="{D34BA023-A115-45AC-9413-A1E9DCFC8D06}" srcOrd="0" destOrd="0" presId="urn:microsoft.com/office/officeart/2005/8/layout/orgChart1"/>
    <dgm:cxn modelId="{988BEDF9-B527-4ED8-847E-F70A2A2AA150}" type="presParOf" srcId="{D34BA023-A115-45AC-9413-A1E9DCFC8D06}" destId="{FC6E5B3C-A608-4FA8-8A7C-A812FC560449}" srcOrd="0" destOrd="0" presId="urn:microsoft.com/office/officeart/2005/8/layout/orgChart1"/>
    <dgm:cxn modelId="{99E5BAEB-8EC6-46A9-BF1A-F21CA3185130}" type="presParOf" srcId="{D34BA023-A115-45AC-9413-A1E9DCFC8D06}" destId="{7B070DA6-3177-4BC1-A7A3-E0213F5A59F9}" srcOrd="1" destOrd="0" presId="urn:microsoft.com/office/officeart/2005/8/layout/orgChart1"/>
    <dgm:cxn modelId="{7965FE6D-3F0F-479D-8032-60BB0F93EB31}" type="presParOf" srcId="{9811A1F2-BA51-4C8B-B8BE-068C6BAD4390}" destId="{C5ED31C0-6FEB-4080-A987-9D06D05F59D2}" srcOrd="1" destOrd="0" presId="urn:microsoft.com/office/officeart/2005/8/layout/orgChart1"/>
    <dgm:cxn modelId="{08FBE1B5-C19F-41B4-A790-4AC9A5C96939}" type="presParOf" srcId="{9811A1F2-BA51-4C8B-B8BE-068C6BAD4390}" destId="{A94233CF-0A5B-41C8-BC3D-686A5177D56F}" srcOrd="2" destOrd="0" presId="urn:microsoft.com/office/officeart/2005/8/layout/orgChart1"/>
    <dgm:cxn modelId="{A1BB4E34-20A7-4F3B-AC28-CCCB1A86F386}" type="presParOf" srcId="{623CD689-FD15-4CE2-8517-29DC75692892}" destId="{B23412F4-B5B8-478F-94F0-8473AEB305C9}" srcOrd="2" destOrd="0" presId="urn:microsoft.com/office/officeart/2005/8/layout/orgChart1"/>
    <dgm:cxn modelId="{5607B915-C96F-4B07-9F7A-D8FE0278B1BD}" type="presParOf" srcId="{02E3F182-2F3D-4BB2-89AE-F5E02A6A6314}" destId="{85A41C25-6DFC-474F-8A72-F8285339F10D}" srcOrd="2" destOrd="0" presId="urn:microsoft.com/office/officeart/2005/8/layout/orgChart1"/>
    <dgm:cxn modelId="{3275393A-9685-49CD-8E4F-6C142C4E0A91}" type="presParOf" srcId="{02E3F182-2F3D-4BB2-89AE-F5E02A6A6314}" destId="{EA0BD498-712A-40EE-930D-8E1FE00FF54B}" srcOrd="3" destOrd="0" presId="urn:microsoft.com/office/officeart/2005/8/layout/orgChart1"/>
    <dgm:cxn modelId="{92489A5F-E689-4174-AA7A-56A169C26170}" type="presParOf" srcId="{EA0BD498-712A-40EE-930D-8E1FE00FF54B}" destId="{E54D05AA-1949-4EA2-9C48-DFC768146A7F}" srcOrd="0" destOrd="0" presId="urn:microsoft.com/office/officeart/2005/8/layout/orgChart1"/>
    <dgm:cxn modelId="{A41F97F4-8DB0-4C9A-949A-C59B3D057EDE}" type="presParOf" srcId="{E54D05AA-1949-4EA2-9C48-DFC768146A7F}" destId="{F491078D-D475-4D1C-8314-9530082E4075}" srcOrd="0" destOrd="0" presId="urn:microsoft.com/office/officeart/2005/8/layout/orgChart1"/>
    <dgm:cxn modelId="{8B50C896-CBF0-4693-AE69-FC9138C2D706}" type="presParOf" srcId="{E54D05AA-1949-4EA2-9C48-DFC768146A7F}" destId="{C56CD4C4-C462-4ECC-9483-C4D646368B3F}" srcOrd="1" destOrd="0" presId="urn:microsoft.com/office/officeart/2005/8/layout/orgChart1"/>
    <dgm:cxn modelId="{29BCD5EB-8573-45A3-A19E-C123EFB7E486}" type="presParOf" srcId="{EA0BD498-712A-40EE-930D-8E1FE00FF54B}" destId="{6CC2097B-F72B-45DE-B6C7-6B11C45BB229}" srcOrd="1" destOrd="0" presId="urn:microsoft.com/office/officeart/2005/8/layout/orgChart1"/>
    <dgm:cxn modelId="{555EBC49-7F37-4545-9BCE-3B7CCC52110F}" type="presParOf" srcId="{EA0BD498-712A-40EE-930D-8E1FE00FF54B}" destId="{3A3C4609-5973-4D7A-BF5E-4BB8F7126683}" srcOrd="2" destOrd="0" presId="urn:microsoft.com/office/officeart/2005/8/layout/orgChart1"/>
    <dgm:cxn modelId="{4BD051F2-5869-4674-B33E-2EBEBD17F375}" type="presParOf" srcId="{FF8DD869-A8FF-4CDA-97A5-3C34C38AB41C}" destId="{D966BE5A-DEFD-4712-BC95-55BE2A69B819}" srcOrd="2" destOrd="0" presId="urn:microsoft.com/office/officeart/2005/8/layout/orgChart1"/>
    <dgm:cxn modelId="{86CAF924-26F1-4AEC-8A3C-E58401921798}" type="presParOf" srcId="{D966BE5A-DEFD-4712-BC95-55BE2A69B819}" destId="{2858243B-42F0-4A60-9D63-B0B576764374}" srcOrd="0" destOrd="0" presId="urn:microsoft.com/office/officeart/2005/8/layout/orgChart1"/>
    <dgm:cxn modelId="{3DF39D54-6CDD-4C58-88BD-D1F62D9B9033}" type="presParOf" srcId="{D966BE5A-DEFD-4712-BC95-55BE2A69B819}" destId="{E9A8CA69-5F61-441B-A1CA-2095B43E4E60}" srcOrd="1" destOrd="0" presId="urn:microsoft.com/office/officeart/2005/8/layout/orgChart1"/>
    <dgm:cxn modelId="{B08E4CD2-7921-44D3-891D-9FE44F553152}" type="presParOf" srcId="{E9A8CA69-5F61-441B-A1CA-2095B43E4E60}" destId="{F98DEBC7-A5B9-4499-AD06-24B067AC4188}" srcOrd="0" destOrd="0" presId="urn:microsoft.com/office/officeart/2005/8/layout/orgChart1"/>
    <dgm:cxn modelId="{C5D43906-8272-4A75-B3F8-7FAC0C6C55D0}" type="presParOf" srcId="{F98DEBC7-A5B9-4499-AD06-24B067AC4188}" destId="{DD76A58C-8AA9-4999-B4A1-4F1658793B6C}" srcOrd="0" destOrd="0" presId="urn:microsoft.com/office/officeart/2005/8/layout/orgChart1"/>
    <dgm:cxn modelId="{D32F4730-3669-4FDB-8976-B96616DEA7D9}" type="presParOf" srcId="{F98DEBC7-A5B9-4499-AD06-24B067AC4188}" destId="{06D6C539-2858-4C9C-A8E1-935FCCBCEF35}" srcOrd="1" destOrd="0" presId="urn:microsoft.com/office/officeart/2005/8/layout/orgChart1"/>
    <dgm:cxn modelId="{671F98F4-54F8-4DEA-9107-6830CA420B5A}" type="presParOf" srcId="{E9A8CA69-5F61-441B-A1CA-2095B43E4E60}" destId="{6CE15811-643F-430D-8235-F06044937992}" srcOrd="1" destOrd="0" presId="urn:microsoft.com/office/officeart/2005/8/layout/orgChart1"/>
    <dgm:cxn modelId="{31BC08B4-3CCB-4C63-99A5-E6FD298C7879}" type="presParOf" srcId="{E9A8CA69-5F61-441B-A1CA-2095B43E4E60}" destId="{E3C60399-6DD1-4C42-B34E-F2EBC02763D4}" srcOrd="2" destOrd="0" presId="urn:microsoft.com/office/officeart/2005/8/layout/orgChart1"/>
    <dgm:cxn modelId="{6EF923A8-5898-4046-B8F6-4DE4D738FD51}" type="presParOf" srcId="{D966BE5A-DEFD-4712-BC95-55BE2A69B819}" destId="{2E91FC50-6127-4EDB-876D-83138F2CB0FD}" srcOrd="2" destOrd="0" presId="urn:microsoft.com/office/officeart/2005/8/layout/orgChart1"/>
    <dgm:cxn modelId="{728C23F6-78B6-43EC-B811-08C20186F6AC}" type="presParOf" srcId="{D966BE5A-DEFD-4712-BC95-55BE2A69B819}" destId="{4C68CB9F-40E4-427D-8671-140E059A5196}" srcOrd="3" destOrd="0" presId="urn:microsoft.com/office/officeart/2005/8/layout/orgChart1"/>
    <dgm:cxn modelId="{19C19954-5663-4646-95A8-1A5FAA6EADB9}" type="presParOf" srcId="{4C68CB9F-40E4-427D-8671-140E059A5196}" destId="{C722D81F-AB83-4CA2-B1A1-B635C7367C81}" srcOrd="0" destOrd="0" presId="urn:microsoft.com/office/officeart/2005/8/layout/orgChart1"/>
    <dgm:cxn modelId="{9A34AAA8-1089-4886-9B4B-C9FC36826248}" type="presParOf" srcId="{C722D81F-AB83-4CA2-B1A1-B635C7367C81}" destId="{D087E583-DCF5-42A9-AD4C-E67908EFDDF2}" srcOrd="0" destOrd="0" presId="urn:microsoft.com/office/officeart/2005/8/layout/orgChart1"/>
    <dgm:cxn modelId="{8300199F-6EB6-4AB1-9EED-D388702F850F}" type="presParOf" srcId="{C722D81F-AB83-4CA2-B1A1-B635C7367C81}" destId="{42E9E858-AF53-41CE-90FC-01B1330D4D08}" srcOrd="1" destOrd="0" presId="urn:microsoft.com/office/officeart/2005/8/layout/orgChart1"/>
    <dgm:cxn modelId="{B03A5337-22AA-40C7-900B-2E01C00E347A}" type="presParOf" srcId="{4C68CB9F-40E4-427D-8671-140E059A5196}" destId="{26F5B86F-1F34-4A01-9A26-FC476BD950E1}" srcOrd="1" destOrd="0" presId="urn:microsoft.com/office/officeart/2005/8/layout/orgChart1"/>
    <dgm:cxn modelId="{91070DB4-DD64-4EB8-8289-17F55F88ED84}" type="presParOf" srcId="{4C68CB9F-40E4-427D-8671-140E059A5196}" destId="{3BF3676C-68D6-4A8C-A318-E1340EF50B97}"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6B67DF0-F793-499A-89EF-AA2CA9FC9894}" type="doc">
      <dgm:prSet loTypeId="urn:microsoft.com/office/officeart/2005/8/layout/target1" loCatId="relationship" qsTypeId="urn:microsoft.com/office/officeart/2005/8/quickstyle/simple1" qsCatId="simple" csTypeId="urn:microsoft.com/office/officeart/2005/8/colors/accent1_2" csCatId="accent1" phldr="1"/>
      <dgm:spPr/>
      <dgm:t>
        <a:bodyPr/>
        <a:lstStyle/>
        <a:p>
          <a:endParaRPr lang="en-GB"/>
        </a:p>
      </dgm:t>
    </dgm:pt>
    <dgm:pt modelId="{4606816A-F5D2-4F70-B0CD-EF5626F6019D}">
      <dgm:prSet phldrT="[Text]" custT="1"/>
      <dgm:spPr>
        <a:xfrm>
          <a:off x="3652044" y="-44759"/>
          <a:ext cx="2233186" cy="873269"/>
        </a:xfrm>
        <a:prstGeom prst="rect">
          <a:avLst/>
        </a:prstGeom>
        <a:noFill/>
        <a:ln>
          <a:noFill/>
        </a:ln>
        <a:effectLst/>
      </dgm:spPr>
      <dgm:t>
        <a:bodyPr/>
        <a:lstStyle/>
        <a:p>
          <a:pPr algn="just">
            <a:buNone/>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Holistic appraoch and PC </a:t>
          </a:r>
          <a:r>
            <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YP at the centre of their educational journey - their </a:t>
          </a: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voices </a:t>
          </a:r>
          <a:r>
            <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heard during any transitional experience - </a:t>
          </a: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involvement</a:t>
          </a:r>
          <a:r>
            <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in developing transition policy and practice.</a:t>
          </a:r>
        </a:p>
      </dgm:t>
    </dgm:pt>
    <dgm:pt modelId="{416B5FA1-894C-4C6D-9D73-3E87D44549AB}" type="parTrans" cxnId="{E879FB45-5A3B-4BF8-8585-45AD17821EFD}">
      <dgm:prSet/>
      <dgm:spPr/>
      <dgm:t>
        <a:bodyPr/>
        <a:lstStyle/>
        <a:p>
          <a:endParaRPr lang="en-GB"/>
        </a:p>
      </dgm:t>
    </dgm:pt>
    <dgm:pt modelId="{82D55446-25B7-4055-9878-DD7302160E01}" type="sibTrans" cxnId="{E879FB45-5A3B-4BF8-8585-45AD17821EFD}">
      <dgm:prSet/>
      <dgm:spPr/>
      <dgm:t>
        <a:bodyPr/>
        <a:lstStyle/>
        <a:p>
          <a:endParaRPr lang="en-GB"/>
        </a:p>
      </dgm:t>
    </dgm:pt>
    <dgm:pt modelId="{C438CB6C-5721-47DA-91AF-8E9D790ACFF3}">
      <dgm:prSet phldrT="[Text]" custT="1"/>
      <dgm:spPr>
        <a:xfrm>
          <a:off x="3646510" y="870274"/>
          <a:ext cx="2358049" cy="634440"/>
        </a:xfrm>
        <a:prstGeom prst="rect">
          <a:avLst/>
        </a:prstGeom>
        <a:noFill/>
        <a:ln>
          <a:noFill/>
        </a:ln>
        <a:effectLst/>
      </dgm:spPr>
      <dgm:t>
        <a:bodyPr/>
        <a:lstStyle/>
        <a:p>
          <a:pPr algn="l">
            <a:lnSpc>
              <a:spcPct val="90000"/>
            </a:lnSpc>
            <a:buNone/>
          </a:pPr>
          <a:endPar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algn="just">
            <a:lnSpc>
              <a:spcPct val="100000"/>
            </a:lnSpc>
            <a:buNone/>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Security</a:t>
          </a:r>
          <a:r>
            <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and support provided through building relationships - friends, family, teaching staff, external practitioners - working together to help to support a smooth transition. </a:t>
          </a:r>
        </a:p>
        <a:p>
          <a:pPr algn="just">
            <a:lnSpc>
              <a:spcPct val="100000"/>
            </a:lnSpc>
            <a:buNone/>
          </a:pPr>
          <a:endPar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AA6F17AA-EEA0-4529-A033-E7ECA18FBFA0}" type="parTrans" cxnId="{9E2D9F16-F65F-4D92-9B2E-7C1B258D6C2A}">
      <dgm:prSet/>
      <dgm:spPr/>
      <dgm:t>
        <a:bodyPr/>
        <a:lstStyle/>
        <a:p>
          <a:endParaRPr lang="en-GB"/>
        </a:p>
      </dgm:t>
    </dgm:pt>
    <dgm:pt modelId="{1D504F49-9679-4EB2-A1BC-1DB4A9C28583}" type="sibTrans" cxnId="{9E2D9F16-F65F-4D92-9B2E-7C1B258D6C2A}">
      <dgm:prSet/>
      <dgm:spPr/>
      <dgm:t>
        <a:bodyPr/>
        <a:lstStyle/>
        <a:p>
          <a:endParaRPr lang="en-GB"/>
        </a:p>
      </dgm:t>
    </dgm:pt>
    <dgm:pt modelId="{7344EC72-F8A8-4976-82B0-884EC95640A9}">
      <dgm:prSet phldrT="[Text]"/>
      <dgm:spPr>
        <a:xfrm>
          <a:off x="3628594" y="1328587"/>
          <a:ext cx="1326356" cy="634440"/>
        </a:xfrm>
        <a:prstGeom prst="rect">
          <a:avLst/>
        </a:prstGeom>
        <a:noFill/>
        <a:ln>
          <a:noFill/>
        </a:ln>
        <a:effectLst/>
      </dgm:spPr>
      <dgm:t>
        <a:bodyPr/>
        <a:lstStyle/>
        <a:p>
          <a:pPr>
            <a:buNone/>
          </a:pPr>
          <a:endParaRPr lang="en-GB">
            <a:solidFill>
              <a:sysClr val="windowText" lastClr="000000">
                <a:hueOff val="0"/>
                <a:satOff val="0"/>
                <a:lumOff val="0"/>
                <a:alphaOff val="0"/>
              </a:sysClr>
            </a:solidFill>
            <a:latin typeface="Calibri" panose="020F0502020204030204"/>
            <a:ea typeface="+mn-ea"/>
            <a:cs typeface="+mn-cs"/>
          </a:endParaRPr>
        </a:p>
      </dgm:t>
    </dgm:pt>
    <dgm:pt modelId="{6BACE1C5-D379-456E-BD00-919533AB7BBA}" type="parTrans" cxnId="{D63E5C14-8AA4-44E8-A2ED-F18BD7CFD4C3}">
      <dgm:prSet/>
      <dgm:spPr/>
      <dgm:t>
        <a:bodyPr/>
        <a:lstStyle/>
        <a:p>
          <a:endParaRPr lang="en-GB"/>
        </a:p>
      </dgm:t>
    </dgm:pt>
    <dgm:pt modelId="{059D748D-6E36-4B9E-BED4-F2FB6C939BA4}" type="sibTrans" cxnId="{D63E5C14-8AA4-44E8-A2ED-F18BD7CFD4C3}">
      <dgm:prSet/>
      <dgm:spPr/>
      <dgm:t>
        <a:bodyPr/>
        <a:lstStyle/>
        <a:p>
          <a:endParaRPr lang="en-GB"/>
        </a:p>
      </dgm:t>
    </dgm:pt>
    <dgm:pt modelId="{32EA4EC8-01D4-40E8-9A5D-FEED12377FBF}">
      <dgm:prSet custT="1"/>
      <dgm:spPr>
        <a:xfrm>
          <a:off x="3674629" y="1250811"/>
          <a:ext cx="2329930" cy="1487927"/>
        </a:xfrm>
        <a:prstGeom prst="rect">
          <a:avLst/>
        </a:prstGeom>
        <a:noFill/>
        <a:ln>
          <a:noFill/>
        </a:ln>
        <a:effectLst/>
      </dgm:spPr>
      <dgm:t>
        <a:bodyPr/>
        <a:lstStyle/>
        <a:p>
          <a:pPr algn="just">
            <a:buNone/>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Experiential opportunities </a:t>
          </a:r>
          <a:r>
            <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and participation allow YP to develop </a:t>
          </a: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resilience</a:t>
          </a:r>
          <a:r>
            <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to challenges faced during their transitional journey and successfully achieve their </a:t>
          </a: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goals</a:t>
          </a:r>
          <a:r>
            <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and aspirations; thus supporting their overall welbeing.   </a:t>
          </a:r>
        </a:p>
      </dgm:t>
    </dgm:pt>
    <dgm:pt modelId="{534DFA9D-915E-4644-A046-8DC57B689B5B}" type="parTrans" cxnId="{9AE1B81A-EB43-4F94-BA06-EEB61ABC4BC9}">
      <dgm:prSet/>
      <dgm:spPr/>
      <dgm:t>
        <a:bodyPr/>
        <a:lstStyle/>
        <a:p>
          <a:endParaRPr lang="en-GB"/>
        </a:p>
      </dgm:t>
    </dgm:pt>
    <dgm:pt modelId="{1943AF5F-6867-47D2-91B7-B9673CFF4816}" type="sibTrans" cxnId="{9AE1B81A-EB43-4F94-BA06-EEB61ABC4BC9}">
      <dgm:prSet/>
      <dgm:spPr/>
      <dgm:t>
        <a:bodyPr/>
        <a:lstStyle/>
        <a:p>
          <a:endParaRPr lang="en-GB"/>
        </a:p>
      </dgm:t>
    </dgm:pt>
    <dgm:pt modelId="{90C6514A-8BC3-44F4-8329-B96859828E50}" type="pres">
      <dgm:prSet presAssocID="{16B67DF0-F793-499A-89EF-AA2CA9FC9894}" presName="composite" presStyleCnt="0">
        <dgm:presLayoutVars>
          <dgm:chMax val="5"/>
          <dgm:dir/>
          <dgm:resizeHandles val="exact"/>
        </dgm:presLayoutVars>
      </dgm:prSet>
      <dgm:spPr/>
    </dgm:pt>
    <dgm:pt modelId="{167E6DFA-7439-47DB-8FBF-16EC7364E129}" type="pres">
      <dgm:prSet presAssocID="{4606816A-F5D2-4F70-B0CD-EF5626F6019D}" presName="circle1" presStyleLbl="lnNode1" presStyleIdx="0" presStyleCnt="4" custScaleX="134155" custScaleY="136606"/>
      <dgm:spPr>
        <a:xfrm>
          <a:off x="1605965" y="2011503"/>
          <a:ext cx="508307" cy="517594"/>
        </a:xfrm>
        <a:prstGeom prst="ellipse">
          <a:avLst/>
        </a:prstGeom>
        <a:solidFill>
          <a:schemeClr val="accent5">
            <a:lumMod val="20000"/>
            <a:lumOff val="80000"/>
          </a:schemeClr>
        </a:solidFill>
        <a:ln w="12700" cap="flat" cmpd="sng" algn="ctr">
          <a:solidFill>
            <a:sysClr val="window" lastClr="FFFFFF">
              <a:hueOff val="0"/>
              <a:satOff val="0"/>
              <a:lumOff val="0"/>
              <a:alphaOff val="0"/>
            </a:sysClr>
          </a:solidFill>
          <a:prstDash val="solid"/>
          <a:miter lim="800000"/>
        </a:ln>
        <a:effectLst/>
      </dgm:spPr>
    </dgm:pt>
    <dgm:pt modelId="{D1F53B58-3A82-44B6-891A-E6723E7D4C64}" type="pres">
      <dgm:prSet presAssocID="{4606816A-F5D2-4F70-B0CD-EF5626F6019D}" presName="text1" presStyleLbl="revTx" presStyleIdx="0" presStyleCnt="4" custScaleX="168370" custScaleY="137644" custLinFactNeighborX="35953" custLinFactNeighborY="2356">
        <dgm:presLayoutVars>
          <dgm:bulletEnabled val="1"/>
        </dgm:presLayoutVars>
      </dgm:prSet>
      <dgm:spPr/>
    </dgm:pt>
    <dgm:pt modelId="{DF265E5B-4A3F-4792-AAD5-0035DAFF915D}" type="pres">
      <dgm:prSet presAssocID="{4606816A-F5D2-4F70-B0CD-EF5626F6019D}" presName="line1" presStyleLbl="callout" presStyleIdx="0" presStyleCnt="8"/>
      <dgm:spPr>
        <a:xfrm>
          <a:off x="3297005" y="376927"/>
          <a:ext cx="331589" cy="0"/>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gm:spPr>
    </dgm:pt>
    <dgm:pt modelId="{7A482744-86EF-475D-847E-75353058D144}" type="pres">
      <dgm:prSet presAssocID="{4606816A-F5D2-4F70-B0CD-EF5626F6019D}" presName="d1" presStyleLbl="callout" presStyleIdx="1" presStyleCnt="8"/>
      <dgm:spPr>
        <a:xfrm rot="5400000">
          <a:off x="1630217" y="585828"/>
          <a:ext cx="1874583" cy="1458991"/>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gm:spPr>
    </dgm:pt>
    <dgm:pt modelId="{F06FACC8-C11D-4A76-AF03-6E3C470B6DEF}" type="pres">
      <dgm:prSet presAssocID="{C438CB6C-5721-47DA-91AF-8E9D790ACFF3}" presName="circle2" presStyleLbl="lnNode1" presStyleIdx="1" presStyleCnt="4" custScaleX="121631" custScaleY="122448"/>
      <dgm:spPr>
        <a:xfrm>
          <a:off x="1168837" y="1574375"/>
          <a:ext cx="1382564" cy="1391850"/>
        </a:xfrm>
        <a:prstGeom prst="ellipse">
          <a:avLst/>
        </a:prstGeom>
        <a:solidFill>
          <a:schemeClr val="accent5">
            <a:lumMod val="40000"/>
            <a:lumOff val="60000"/>
          </a:schemeClr>
        </a:solidFill>
        <a:ln w="12700" cap="flat" cmpd="sng" algn="ctr">
          <a:solidFill>
            <a:sysClr val="window" lastClr="FFFFFF">
              <a:hueOff val="0"/>
              <a:satOff val="0"/>
              <a:lumOff val="0"/>
              <a:alphaOff val="0"/>
            </a:sysClr>
          </a:solidFill>
          <a:prstDash val="solid"/>
          <a:miter lim="800000"/>
        </a:ln>
        <a:effectLst/>
      </dgm:spPr>
    </dgm:pt>
    <dgm:pt modelId="{4897D08B-9CFD-4D01-94C7-1F6BE66B06B0}" type="pres">
      <dgm:prSet presAssocID="{C438CB6C-5721-47DA-91AF-8E9D790ACFF3}" presName="text2" presStyleLbl="revTx" presStyleIdx="1" presStyleCnt="4" custScaleX="177784" custLinFactNeighborX="42261" custLinFactNeighborY="27761">
        <dgm:presLayoutVars>
          <dgm:bulletEnabled val="1"/>
        </dgm:presLayoutVars>
      </dgm:prSet>
      <dgm:spPr/>
    </dgm:pt>
    <dgm:pt modelId="{3C602924-F0AA-4254-B9DE-21518C146046}" type="pres">
      <dgm:prSet presAssocID="{C438CB6C-5721-47DA-91AF-8E9D790ACFF3}" presName="line2" presStyleLbl="callout" presStyleIdx="2" presStyleCnt="8"/>
      <dgm:spPr>
        <a:xfrm>
          <a:off x="3297005" y="1011367"/>
          <a:ext cx="331589" cy="0"/>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gm:spPr>
    </dgm:pt>
    <dgm:pt modelId="{2B4AB58C-A319-4B04-AED4-EB591D256905}" type="pres">
      <dgm:prSet presAssocID="{C438CB6C-5721-47DA-91AF-8E9D790ACFF3}" presName="d2" presStyleLbl="callout" presStyleIdx="3" presStyleCnt="8"/>
      <dgm:spPr>
        <a:xfrm rot="5400000">
          <a:off x="1954732" y="1209879"/>
          <a:ext cx="1539457" cy="1142876"/>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gm:spPr>
    </dgm:pt>
    <dgm:pt modelId="{A0195411-43F6-4FDE-9560-D03F0411FB48}" type="pres">
      <dgm:prSet presAssocID="{7344EC72-F8A8-4976-82B0-884EC95640A9}" presName="circle3" presStyleLbl="lnNode1" presStyleIdx="2" presStyleCnt="4" custScaleX="121951" custScaleY="120087"/>
      <dgm:spPr>
        <a:xfrm>
          <a:off x="704951" y="1132789"/>
          <a:ext cx="2310335" cy="2275022"/>
        </a:xfrm>
        <a:prstGeom prst="ellipse">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gm:spPr>
    </dgm:pt>
    <dgm:pt modelId="{F3760FE0-1276-4BE4-A6E0-D218F631BBC9}" type="pres">
      <dgm:prSet presAssocID="{7344EC72-F8A8-4976-82B0-884EC95640A9}" presName="text3" presStyleLbl="revTx" presStyleIdx="2" presStyleCnt="4">
        <dgm:presLayoutVars>
          <dgm:bulletEnabled val="1"/>
        </dgm:presLayoutVars>
      </dgm:prSet>
      <dgm:spPr/>
    </dgm:pt>
    <dgm:pt modelId="{6C44AD72-5B02-44AA-9C01-5A3EF8976DDB}" type="pres">
      <dgm:prSet presAssocID="{7344EC72-F8A8-4976-82B0-884EC95640A9}" presName="line3" presStyleLbl="callout" presStyleIdx="4" presStyleCnt="8"/>
      <dgm:spPr>
        <a:xfrm>
          <a:off x="3297005" y="1645808"/>
          <a:ext cx="331589" cy="0"/>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gm:spPr>
    </dgm:pt>
    <dgm:pt modelId="{3CD98B2E-F8A8-438E-ACAF-925A08E716CB}" type="pres">
      <dgm:prSet presAssocID="{7344EC72-F8A8-4976-82B0-884EC95640A9}" presName="d3" presStyleLbl="callout" presStyleIdx="5" presStyleCnt="8"/>
      <dgm:spPr>
        <a:xfrm rot="5400000">
          <a:off x="2268858" y="1791486"/>
          <a:ext cx="1174267" cy="882026"/>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gm:spPr>
    </dgm:pt>
    <dgm:pt modelId="{73B12717-B9EB-4CD6-820D-86DF9D38D250}" type="pres">
      <dgm:prSet presAssocID="{32EA4EC8-01D4-40E8-9A5D-FEED12377FBF}" presName="circle4" presStyleLbl="lnNode1" presStyleIdx="3" presStyleCnt="4"/>
      <dgm:spPr>
        <a:xfrm>
          <a:off x="533763" y="943944"/>
          <a:ext cx="2652712" cy="2652712"/>
        </a:xfrm>
        <a:prstGeom prst="ellipse">
          <a:avLst/>
        </a:prstGeom>
        <a:solidFill>
          <a:sysClr val="window" lastClr="FFFFFF"/>
        </a:solidFill>
        <a:ln w="12700" cap="flat" cmpd="sng" algn="ctr">
          <a:solidFill>
            <a:sysClr val="window" lastClr="FFFFFF">
              <a:hueOff val="0"/>
              <a:satOff val="0"/>
              <a:lumOff val="0"/>
              <a:alphaOff val="0"/>
            </a:sysClr>
          </a:solidFill>
          <a:prstDash val="solid"/>
          <a:miter lim="800000"/>
        </a:ln>
        <a:effectLst/>
      </dgm:spPr>
    </dgm:pt>
    <dgm:pt modelId="{75D286CC-B9E2-418A-9955-0BFA5726CECC}" type="pres">
      <dgm:prSet presAssocID="{32EA4EC8-01D4-40E8-9A5D-FEED12377FBF}" presName="text4" presStyleLbl="revTx" presStyleIdx="3" presStyleCnt="4" custScaleX="175664" custScaleY="234526" custLinFactNeighborX="41303" custLinFactNeighborY="-44996">
        <dgm:presLayoutVars>
          <dgm:bulletEnabled val="1"/>
        </dgm:presLayoutVars>
      </dgm:prSet>
      <dgm:spPr/>
    </dgm:pt>
    <dgm:pt modelId="{C778F988-A5F6-452E-ABF3-69A798CF1C62}" type="pres">
      <dgm:prSet presAssocID="{32EA4EC8-01D4-40E8-9A5D-FEED12377FBF}" presName="line4" presStyleLbl="callout" presStyleIdx="6" presStyleCnt="8"/>
      <dgm:spPr>
        <a:xfrm>
          <a:off x="3297005" y="2280248"/>
          <a:ext cx="331589" cy="0"/>
        </a:xfrm>
        <a:prstGeom prst="line">
          <a:avLst/>
        </a:prstGeom>
        <a:solidFill>
          <a:srgbClr val="4472C4">
            <a:hueOff val="0"/>
            <a:satOff val="0"/>
            <a:lumOff val="0"/>
            <a:alphaOff val="0"/>
          </a:srgbClr>
        </a:solidFill>
        <a:ln w="12700" cap="flat" cmpd="sng" algn="ctr">
          <a:noFill/>
          <a:prstDash val="solid"/>
          <a:miter lim="800000"/>
        </a:ln>
        <a:effectLst/>
      </dgm:spPr>
    </dgm:pt>
    <dgm:pt modelId="{07AE1502-2F80-4EFA-86F4-C25EDE386860}" type="pres">
      <dgm:prSet presAssocID="{32EA4EC8-01D4-40E8-9A5D-FEED12377FBF}" presName="d4" presStyleLbl="callout" presStyleIdx="7" presStyleCnt="8"/>
      <dgm:spPr>
        <a:xfrm rot="5400000">
          <a:off x="2583735" y="2375392"/>
          <a:ext cx="807131" cy="616313"/>
        </a:xfrm>
        <a:prstGeom prst="line">
          <a:avLst/>
        </a:prstGeom>
        <a:solidFill>
          <a:srgbClr val="4472C4">
            <a:hueOff val="0"/>
            <a:satOff val="0"/>
            <a:lumOff val="0"/>
            <a:alphaOff val="0"/>
          </a:srgbClr>
        </a:solidFill>
        <a:ln w="12700" cap="flat" cmpd="sng" algn="ctr">
          <a:noFill/>
          <a:prstDash val="solid"/>
          <a:miter lim="800000"/>
        </a:ln>
        <a:effectLst/>
      </dgm:spPr>
    </dgm:pt>
  </dgm:ptLst>
  <dgm:cxnLst>
    <dgm:cxn modelId="{BEC4880A-C4B6-486A-88BC-6D762DA25996}" type="presOf" srcId="{C438CB6C-5721-47DA-91AF-8E9D790ACFF3}" destId="{4897D08B-9CFD-4D01-94C7-1F6BE66B06B0}" srcOrd="0" destOrd="0" presId="urn:microsoft.com/office/officeart/2005/8/layout/target1"/>
    <dgm:cxn modelId="{D63E5C14-8AA4-44E8-A2ED-F18BD7CFD4C3}" srcId="{16B67DF0-F793-499A-89EF-AA2CA9FC9894}" destId="{7344EC72-F8A8-4976-82B0-884EC95640A9}" srcOrd="2" destOrd="0" parTransId="{6BACE1C5-D379-456E-BD00-919533AB7BBA}" sibTransId="{059D748D-6E36-4B9E-BED4-F2FB6C939BA4}"/>
    <dgm:cxn modelId="{9E2D9F16-F65F-4D92-9B2E-7C1B258D6C2A}" srcId="{16B67DF0-F793-499A-89EF-AA2CA9FC9894}" destId="{C438CB6C-5721-47DA-91AF-8E9D790ACFF3}" srcOrd="1" destOrd="0" parTransId="{AA6F17AA-EEA0-4529-A033-E7ECA18FBFA0}" sibTransId="{1D504F49-9679-4EB2-A1BC-1DB4A9C28583}"/>
    <dgm:cxn modelId="{9AE1B81A-EB43-4F94-BA06-EEB61ABC4BC9}" srcId="{16B67DF0-F793-499A-89EF-AA2CA9FC9894}" destId="{32EA4EC8-01D4-40E8-9A5D-FEED12377FBF}" srcOrd="3" destOrd="0" parTransId="{534DFA9D-915E-4644-A046-8DC57B689B5B}" sibTransId="{1943AF5F-6867-47D2-91B7-B9673CFF4816}"/>
    <dgm:cxn modelId="{E879FB45-5A3B-4BF8-8585-45AD17821EFD}" srcId="{16B67DF0-F793-499A-89EF-AA2CA9FC9894}" destId="{4606816A-F5D2-4F70-B0CD-EF5626F6019D}" srcOrd="0" destOrd="0" parTransId="{416B5FA1-894C-4C6D-9D73-3E87D44549AB}" sibTransId="{82D55446-25B7-4055-9878-DD7302160E01}"/>
    <dgm:cxn modelId="{BA6AC146-106A-4326-86CC-6745C7A7A7CB}" type="presOf" srcId="{16B67DF0-F793-499A-89EF-AA2CA9FC9894}" destId="{90C6514A-8BC3-44F4-8329-B96859828E50}" srcOrd="0" destOrd="0" presId="urn:microsoft.com/office/officeart/2005/8/layout/target1"/>
    <dgm:cxn modelId="{B650D871-95A9-408C-AF41-2B2DF63BB387}" type="presOf" srcId="{32EA4EC8-01D4-40E8-9A5D-FEED12377FBF}" destId="{75D286CC-B9E2-418A-9955-0BFA5726CECC}" srcOrd="0" destOrd="0" presId="urn:microsoft.com/office/officeart/2005/8/layout/target1"/>
    <dgm:cxn modelId="{E847C78A-23F4-4ED0-9C43-175CB76AF234}" type="presOf" srcId="{4606816A-F5D2-4F70-B0CD-EF5626F6019D}" destId="{D1F53B58-3A82-44B6-891A-E6723E7D4C64}" srcOrd="0" destOrd="0" presId="urn:microsoft.com/office/officeart/2005/8/layout/target1"/>
    <dgm:cxn modelId="{418F77A2-445B-4F75-8FAB-F24232CA86B6}" type="presOf" srcId="{7344EC72-F8A8-4976-82B0-884EC95640A9}" destId="{F3760FE0-1276-4BE4-A6E0-D218F631BBC9}" srcOrd="0" destOrd="0" presId="urn:microsoft.com/office/officeart/2005/8/layout/target1"/>
    <dgm:cxn modelId="{34325288-6782-4037-961F-393DB0815015}" type="presParOf" srcId="{90C6514A-8BC3-44F4-8329-B96859828E50}" destId="{167E6DFA-7439-47DB-8FBF-16EC7364E129}" srcOrd="0" destOrd="0" presId="urn:microsoft.com/office/officeart/2005/8/layout/target1"/>
    <dgm:cxn modelId="{0A3D0857-B113-42E3-9914-37FD6E9507E5}" type="presParOf" srcId="{90C6514A-8BC3-44F4-8329-B96859828E50}" destId="{D1F53B58-3A82-44B6-891A-E6723E7D4C64}" srcOrd="1" destOrd="0" presId="urn:microsoft.com/office/officeart/2005/8/layout/target1"/>
    <dgm:cxn modelId="{2DC098C1-EFBD-41BF-87C0-710A577BE4D1}" type="presParOf" srcId="{90C6514A-8BC3-44F4-8329-B96859828E50}" destId="{DF265E5B-4A3F-4792-AAD5-0035DAFF915D}" srcOrd="2" destOrd="0" presId="urn:microsoft.com/office/officeart/2005/8/layout/target1"/>
    <dgm:cxn modelId="{E9387BC3-F8A6-4A57-A1AB-361138EF94A9}" type="presParOf" srcId="{90C6514A-8BC3-44F4-8329-B96859828E50}" destId="{7A482744-86EF-475D-847E-75353058D144}" srcOrd="3" destOrd="0" presId="urn:microsoft.com/office/officeart/2005/8/layout/target1"/>
    <dgm:cxn modelId="{A31AF01A-ED67-4BCA-B624-FB581008D185}" type="presParOf" srcId="{90C6514A-8BC3-44F4-8329-B96859828E50}" destId="{F06FACC8-C11D-4A76-AF03-6E3C470B6DEF}" srcOrd="4" destOrd="0" presId="urn:microsoft.com/office/officeart/2005/8/layout/target1"/>
    <dgm:cxn modelId="{A3456F09-2A29-4C2D-90EC-9EB9F7362C37}" type="presParOf" srcId="{90C6514A-8BC3-44F4-8329-B96859828E50}" destId="{4897D08B-9CFD-4D01-94C7-1F6BE66B06B0}" srcOrd="5" destOrd="0" presId="urn:microsoft.com/office/officeart/2005/8/layout/target1"/>
    <dgm:cxn modelId="{6EB0E9A5-1154-4EDF-A1F9-CD3AA5D23314}" type="presParOf" srcId="{90C6514A-8BC3-44F4-8329-B96859828E50}" destId="{3C602924-F0AA-4254-B9DE-21518C146046}" srcOrd="6" destOrd="0" presId="urn:microsoft.com/office/officeart/2005/8/layout/target1"/>
    <dgm:cxn modelId="{474EFA40-84D0-4602-85F0-1AB84EF6711C}" type="presParOf" srcId="{90C6514A-8BC3-44F4-8329-B96859828E50}" destId="{2B4AB58C-A319-4B04-AED4-EB591D256905}" srcOrd="7" destOrd="0" presId="urn:microsoft.com/office/officeart/2005/8/layout/target1"/>
    <dgm:cxn modelId="{A265BB8F-664D-469F-BECA-7EBA47B56E82}" type="presParOf" srcId="{90C6514A-8BC3-44F4-8329-B96859828E50}" destId="{A0195411-43F6-4FDE-9560-D03F0411FB48}" srcOrd="8" destOrd="0" presId="urn:microsoft.com/office/officeart/2005/8/layout/target1"/>
    <dgm:cxn modelId="{DAB0DBFD-B152-4AB1-9144-74AE602B1C6A}" type="presParOf" srcId="{90C6514A-8BC3-44F4-8329-B96859828E50}" destId="{F3760FE0-1276-4BE4-A6E0-D218F631BBC9}" srcOrd="9" destOrd="0" presId="urn:microsoft.com/office/officeart/2005/8/layout/target1"/>
    <dgm:cxn modelId="{806B0287-0989-405D-ADA6-F48E19C81C52}" type="presParOf" srcId="{90C6514A-8BC3-44F4-8329-B96859828E50}" destId="{6C44AD72-5B02-44AA-9C01-5A3EF8976DDB}" srcOrd="10" destOrd="0" presId="urn:microsoft.com/office/officeart/2005/8/layout/target1"/>
    <dgm:cxn modelId="{6F8187E2-4159-409A-B716-8A7FE924F17B}" type="presParOf" srcId="{90C6514A-8BC3-44F4-8329-B96859828E50}" destId="{3CD98B2E-F8A8-438E-ACAF-925A08E716CB}" srcOrd="11" destOrd="0" presId="urn:microsoft.com/office/officeart/2005/8/layout/target1"/>
    <dgm:cxn modelId="{E336C543-0523-4BC7-BA0E-7E0FBDF39595}" type="presParOf" srcId="{90C6514A-8BC3-44F4-8329-B96859828E50}" destId="{73B12717-B9EB-4CD6-820D-86DF9D38D250}" srcOrd="12" destOrd="0" presId="urn:microsoft.com/office/officeart/2005/8/layout/target1"/>
    <dgm:cxn modelId="{71E531C2-A5F4-4271-A9B3-F2EE51A1E411}" type="presParOf" srcId="{90C6514A-8BC3-44F4-8329-B96859828E50}" destId="{75D286CC-B9E2-418A-9955-0BFA5726CECC}" srcOrd="13" destOrd="0" presId="urn:microsoft.com/office/officeart/2005/8/layout/target1"/>
    <dgm:cxn modelId="{F59B3BAC-8FB9-4F8F-939E-8AE63D917CAD}" type="presParOf" srcId="{90C6514A-8BC3-44F4-8329-B96859828E50}" destId="{C778F988-A5F6-452E-ABF3-69A798CF1C62}" srcOrd="14" destOrd="0" presId="urn:microsoft.com/office/officeart/2005/8/layout/target1"/>
    <dgm:cxn modelId="{B91B623B-CD92-4419-AB20-7D1BD75888F9}" type="presParOf" srcId="{90C6514A-8BC3-44F4-8329-B96859828E50}" destId="{07AE1502-2F80-4EFA-86F4-C25EDE386860}" srcOrd="15" destOrd="0" presId="urn:microsoft.com/office/officeart/2005/8/layout/targe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DF2D6DC-4708-4162-805E-70529FB6BCA2}" type="doc">
      <dgm:prSet loTypeId="urn:microsoft.com/office/officeart/2005/8/layout/pyramid1" loCatId="pyramid" qsTypeId="urn:microsoft.com/office/officeart/2005/8/quickstyle/simple1" qsCatId="simple" csTypeId="urn:microsoft.com/office/officeart/2005/8/colors/accent1_2" csCatId="accent1" phldr="1"/>
      <dgm:spPr/>
    </dgm:pt>
    <dgm:pt modelId="{AA8203E3-1A84-4778-B50C-6B20FAA1ABAE}">
      <dgm:prSet phldrT="[Text]" custT="1"/>
      <dgm:spPr>
        <a:xfrm>
          <a:off x="977900" y="0"/>
          <a:ext cx="977899" cy="799041"/>
        </a:xfrm>
        <a:prstGeom prst="trapezoid">
          <a:avLst>
            <a:gd name="adj" fmla="val 61192"/>
          </a:avLst>
        </a:prstGeom>
        <a:solidFill>
          <a:schemeClr val="accent5">
            <a:lumMod val="75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a:solidFill>
                <a:sysClr val="windowText" lastClr="000000"/>
              </a:solidFill>
              <a:latin typeface="Times New Roman" panose="02020603050405020304" pitchFamily="18" charset="0"/>
              <a:ea typeface="+mn-ea"/>
              <a:cs typeface="Times New Roman" panose="02020603050405020304" pitchFamily="18" charset="0"/>
            </a:rPr>
            <a:t>Resili-ence</a:t>
          </a:r>
        </a:p>
        <a:p>
          <a:pPr>
            <a:buNone/>
          </a:pPr>
          <a:r>
            <a:rPr lang="en-GB" sz="1000">
              <a:solidFill>
                <a:sysClr val="windowText" lastClr="000000"/>
              </a:solidFill>
              <a:latin typeface="Times New Roman" panose="02020603050405020304" pitchFamily="18" charset="0"/>
              <a:ea typeface="+mn-ea"/>
              <a:cs typeface="Times New Roman" panose="02020603050405020304" pitchFamily="18" charset="0"/>
            </a:rPr>
            <a:t> goals </a:t>
          </a:r>
        </a:p>
      </dgm:t>
    </dgm:pt>
    <dgm:pt modelId="{76A8AC56-E2D5-4F45-96C8-FCD6636B9AD2}" type="parTrans" cxnId="{EA8EDD8D-9B20-4BBB-8D98-A84EACBEE6FF}">
      <dgm:prSet/>
      <dgm:spPr/>
      <dgm:t>
        <a:bodyPr/>
        <a:lstStyle/>
        <a:p>
          <a:endParaRPr lang="en-GB"/>
        </a:p>
      </dgm:t>
    </dgm:pt>
    <dgm:pt modelId="{0D265C9E-1B2F-4A2B-938B-915FD5CCCF5B}" type="sibTrans" cxnId="{EA8EDD8D-9B20-4BBB-8D98-A84EACBEE6FF}">
      <dgm:prSet/>
      <dgm:spPr/>
      <dgm:t>
        <a:bodyPr/>
        <a:lstStyle/>
        <a:p>
          <a:endParaRPr lang="en-GB"/>
        </a:p>
      </dgm:t>
    </dgm:pt>
    <dgm:pt modelId="{7AEDC757-F08F-46CB-8E19-79052A7DB537}">
      <dgm:prSet phldrT="[Text]" custT="1"/>
      <dgm:spPr>
        <a:xfrm>
          <a:off x="488950" y="799041"/>
          <a:ext cx="1955799" cy="799041"/>
        </a:xfrm>
        <a:prstGeom prst="trapezoid">
          <a:avLst>
            <a:gd name="adj" fmla="val 61192"/>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a:solidFill>
                <a:sysClr val="windowText" lastClr="000000"/>
              </a:solidFill>
              <a:latin typeface="Times New Roman" panose="02020603050405020304" pitchFamily="18" charset="0"/>
              <a:ea typeface="+mn-ea"/>
              <a:cs typeface="Times New Roman" panose="02020603050405020304" pitchFamily="18" charset="0"/>
            </a:rPr>
            <a:t>Wellbeing  supported  through the PC appraoch to transition  </a:t>
          </a:r>
        </a:p>
      </dgm:t>
    </dgm:pt>
    <dgm:pt modelId="{F5E5E458-C80D-427E-B1F1-9DD8D0C7BA8F}" type="parTrans" cxnId="{79D373C7-AA75-44D0-B242-3A8961504C2C}">
      <dgm:prSet/>
      <dgm:spPr/>
      <dgm:t>
        <a:bodyPr/>
        <a:lstStyle/>
        <a:p>
          <a:endParaRPr lang="en-GB"/>
        </a:p>
      </dgm:t>
    </dgm:pt>
    <dgm:pt modelId="{4E538658-8B73-4CB9-992D-B31BC9EC4677}" type="sibTrans" cxnId="{79D373C7-AA75-44D0-B242-3A8961504C2C}">
      <dgm:prSet/>
      <dgm:spPr/>
      <dgm:t>
        <a:bodyPr/>
        <a:lstStyle/>
        <a:p>
          <a:endParaRPr lang="en-GB"/>
        </a:p>
      </dgm:t>
    </dgm:pt>
    <dgm:pt modelId="{EC6F5970-4D44-4D99-8FF9-F6CEAEE3565C}">
      <dgm:prSet phldrT="[Text]" custT="1"/>
      <dgm:spPr>
        <a:xfrm>
          <a:off x="0" y="1593624"/>
          <a:ext cx="2933699" cy="799041"/>
        </a:xfrm>
        <a:prstGeom prst="trapezoid">
          <a:avLst>
            <a:gd name="adj" fmla="val 61192"/>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a:solidFill>
                <a:sysClr val="windowText" lastClr="000000"/>
              </a:solidFill>
              <a:latin typeface="Times New Roman" panose="02020603050405020304" pitchFamily="18" charset="0"/>
              <a:ea typeface="+mn-ea"/>
              <a:cs typeface="Times New Roman" panose="02020603050405020304" pitchFamily="18" charset="0"/>
            </a:rPr>
            <a:t>Good person centred transition planning and support involving </a:t>
          </a:r>
          <a:r>
            <a:rPr lang="en-GB" sz="1000" b="1" i="1">
              <a:solidFill>
                <a:sysClr val="windowText" lastClr="000000"/>
              </a:solidFill>
              <a:latin typeface="Times New Roman" panose="02020603050405020304" pitchFamily="18" charset="0"/>
              <a:ea typeface="+mn-ea"/>
              <a:cs typeface="Times New Roman" panose="02020603050405020304" pitchFamily="18" charset="0"/>
            </a:rPr>
            <a:t>all YP</a:t>
          </a:r>
        </a:p>
      </dgm:t>
    </dgm:pt>
    <dgm:pt modelId="{AC637921-5B73-4707-9FB8-7980ABCFD3FE}" type="parTrans" cxnId="{2438B318-20E3-4DB3-8266-A05751F3B0D4}">
      <dgm:prSet/>
      <dgm:spPr/>
      <dgm:t>
        <a:bodyPr/>
        <a:lstStyle/>
        <a:p>
          <a:endParaRPr lang="en-GB"/>
        </a:p>
      </dgm:t>
    </dgm:pt>
    <dgm:pt modelId="{9ADE20F1-6191-4A72-93FA-C542A98F4835}" type="sibTrans" cxnId="{2438B318-20E3-4DB3-8266-A05751F3B0D4}">
      <dgm:prSet/>
      <dgm:spPr/>
      <dgm:t>
        <a:bodyPr/>
        <a:lstStyle/>
        <a:p>
          <a:endParaRPr lang="en-GB"/>
        </a:p>
      </dgm:t>
    </dgm:pt>
    <dgm:pt modelId="{38C837B8-44B5-4123-86F1-C8E60856F442}" type="pres">
      <dgm:prSet presAssocID="{DDF2D6DC-4708-4162-805E-70529FB6BCA2}" presName="Name0" presStyleCnt="0">
        <dgm:presLayoutVars>
          <dgm:dir/>
          <dgm:animLvl val="lvl"/>
          <dgm:resizeHandles val="exact"/>
        </dgm:presLayoutVars>
      </dgm:prSet>
      <dgm:spPr/>
    </dgm:pt>
    <dgm:pt modelId="{50E7D789-2D86-4D9E-984F-947F5B488B83}" type="pres">
      <dgm:prSet presAssocID="{AA8203E3-1A84-4778-B50C-6B20FAA1ABAE}" presName="Name8" presStyleCnt="0"/>
      <dgm:spPr/>
    </dgm:pt>
    <dgm:pt modelId="{0CE86BAF-80E3-4B08-9962-99D74DD269F1}" type="pres">
      <dgm:prSet presAssocID="{AA8203E3-1A84-4778-B50C-6B20FAA1ABAE}" presName="level" presStyleLbl="node1" presStyleIdx="0" presStyleCnt="3">
        <dgm:presLayoutVars>
          <dgm:chMax val="1"/>
          <dgm:bulletEnabled val="1"/>
        </dgm:presLayoutVars>
      </dgm:prSet>
      <dgm:spPr/>
    </dgm:pt>
    <dgm:pt modelId="{22570EF2-32A5-407A-891F-054D7CE645DD}" type="pres">
      <dgm:prSet presAssocID="{AA8203E3-1A84-4778-B50C-6B20FAA1ABAE}" presName="levelTx" presStyleLbl="revTx" presStyleIdx="0" presStyleCnt="0">
        <dgm:presLayoutVars>
          <dgm:chMax val="1"/>
          <dgm:bulletEnabled val="1"/>
        </dgm:presLayoutVars>
      </dgm:prSet>
      <dgm:spPr/>
    </dgm:pt>
    <dgm:pt modelId="{84D40B21-7B83-4274-A4C1-EB2386ADDFC5}" type="pres">
      <dgm:prSet presAssocID="{7AEDC757-F08F-46CB-8E19-79052A7DB537}" presName="Name8" presStyleCnt="0"/>
      <dgm:spPr/>
    </dgm:pt>
    <dgm:pt modelId="{4BE7CF77-0AEA-4CBE-B075-94E65DA8786D}" type="pres">
      <dgm:prSet presAssocID="{7AEDC757-F08F-46CB-8E19-79052A7DB537}" presName="level" presStyleLbl="node1" presStyleIdx="1" presStyleCnt="3" custLinFactNeighborX="492" custLinFactNeighborY="-1205">
        <dgm:presLayoutVars>
          <dgm:chMax val="1"/>
          <dgm:bulletEnabled val="1"/>
        </dgm:presLayoutVars>
      </dgm:prSet>
      <dgm:spPr/>
    </dgm:pt>
    <dgm:pt modelId="{B8F61E57-42BC-4713-9927-6022130AB415}" type="pres">
      <dgm:prSet presAssocID="{7AEDC757-F08F-46CB-8E19-79052A7DB537}" presName="levelTx" presStyleLbl="revTx" presStyleIdx="0" presStyleCnt="0">
        <dgm:presLayoutVars>
          <dgm:chMax val="1"/>
          <dgm:bulletEnabled val="1"/>
        </dgm:presLayoutVars>
      </dgm:prSet>
      <dgm:spPr/>
    </dgm:pt>
    <dgm:pt modelId="{E5959C6E-9431-428F-B7B2-193B74FFD2E3}" type="pres">
      <dgm:prSet presAssocID="{EC6F5970-4D44-4D99-8FF9-F6CEAEE3565C}" presName="Name8" presStyleCnt="0"/>
      <dgm:spPr/>
    </dgm:pt>
    <dgm:pt modelId="{EB2B1308-4B1A-40C0-9C25-E524FDF684F2}" type="pres">
      <dgm:prSet presAssocID="{EC6F5970-4D44-4D99-8FF9-F6CEAEE3565C}" presName="level" presStyleLbl="node1" presStyleIdx="2" presStyleCnt="3" custLinFactNeighborX="-152" custLinFactNeighborY="-558">
        <dgm:presLayoutVars>
          <dgm:chMax val="1"/>
          <dgm:bulletEnabled val="1"/>
        </dgm:presLayoutVars>
      </dgm:prSet>
      <dgm:spPr/>
    </dgm:pt>
    <dgm:pt modelId="{D86FCF35-C680-4DDB-86A2-76D46778D925}" type="pres">
      <dgm:prSet presAssocID="{EC6F5970-4D44-4D99-8FF9-F6CEAEE3565C}" presName="levelTx" presStyleLbl="revTx" presStyleIdx="0" presStyleCnt="0">
        <dgm:presLayoutVars>
          <dgm:chMax val="1"/>
          <dgm:bulletEnabled val="1"/>
        </dgm:presLayoutVars>
      </dgm:prSet>
      <dgm:spPr/>
    </dgm:pt>
  </dgm:ptLst>
  <dgm:cxnLst>
    <dgm:cxn modelId="{2438B318-20E3-4DB3-8266-A05751F3B0D4}" srcId="{DDF2D6DC-4708-4162-805E-70529FB6BCA2}" destId="{EC6F5970-4D44-4D99-8FF9-F6CEAEE3565C}" srcOrd="2" destOrd="0" parTransId="{AC637921-5B73-4707-9FB8-7980ABCFD3FE}" sibTransId="{9ADE20F1-6191-4A72-93FA-C542A98F4835}"/>
    <dgm:cxn modelId="{8479CA24-E750-4A82-BC50-0902930E3344}" type="presOf" srcId="{EC6F5970-4D44-4D99-8FF9-F6CEAEE3565C}" destId="{EB2B1308-4B1A-40C0-9C25-E524FDF684F2}" srcOrd="0" destOrd="0" presId="urn:microsoft.com/office/officeart/2005/8/layout/pyramid1"/>
    <dgm:cxn modelId="{FEDA7837-6872-4482-9BBC-8F3242F47569}" type="presOf" srcId="{AA8203E3-1A84-4778-B50C-6B20FAA1ABAE}" destId="{22570EF2-32A5-407A-891F-054D7CE645DD}" srcOrd="1" destOrd="0" presId="urn:microsoft.com/office/officeart/2005/8/layout/pyramid1"/>
    <dgm:cxn modelId="{4343224D-9DCB-4026-B35B-121CE8003A59}" type="presOf" srcId="{EC6F5970-4D44-4D99-8FF9-F6CEAEE3565C}" destId="{D86FCF35-C680-4DDB-86A2-76D46778D925}" srcOrd="1" destOrd="0" presId="urn:microsoft.com/office/officeart/2005/8/layout/pyramid1"/>
    <dgm:cxn modelId="{EA8EDD8D-9B20-4BBB-8D98-A84EACBEE6FF}" srcId="{DDF2D6DC-4708-4162-805E-70529FB6BCA2}" destId="{AA8203E3-1A84-4778-B50C-6B20FAA1ABAE}" srcOrd="0" destOrd="0" parTransId="{76A8AC56-E2D5-4F45-96C8-FCD6636B9AD2}" sibTransId="{0D265C9E-1B2F-4A2B-938B-915FD5CCCF5B}"/>
    <dgm:cxn modelId="{4C297D8E-B367-4585-ABFB-0930EC72FEEF}" type="presOf" srcId="{7AEDC757-F08F-46CB-8E19-79052A7DB537}" destId="{B8F61E57-42BC-4713-9927-6022130AB415}" srcOrd="1" destOrd="0" presId="urn:microsoft.com/office/officeart/2005/8/layout/pyramid1"/>
    <dgm:cxn modelId="{A892A593-D77A-4F65-83BC-B40F12F3443D}" type="presOf" srcId="{DDF2D6DC-4708-4162-805E-70529FB6BCA2}" destId="{38C837B8-44B5-4123-86F1-C8E60856F442}" srcOrd="0" destOrd="0" presId="urn:microsoft.com/office/officeart/2005/8/layout/pyramid1"/>
    <dgm:cxn modelId="{15466BC0-9396-403F-9CD8-892F9FD3ABC2}" type="presOf" srcId="{AA8203E3-1A84-4778-B50C-6B20FAA1ABAE}" destId="{0CE86BAF-80E3-4B08-9962-99D74DD269F1}" srcOrd="0" destOrd="0" presId="urn:microsoft.com/office/officeart/2005/8/layout/pyramid1"/>
    <dgm:cxn modelId="{79D373C7-AA75-44D0-B242-3A8961504C2C}" srcId="{DDF2D6DC-4708-4162-805E-70529FB6BCA2}" destId="{7AEDC757-F08F-46CB-8E19-79052A7DB537}" srcOrd="1" destOrd="0" parTransId="{F5E5E458-C80D-427E-B1F1-9DD8D0C7BA8F}" sibTransId="{4E538658-8B73-4CB9-992D-B31BC9EC4677}"/>
    <dgm:cxn modelId="{10BD81D5-B5F9-4023-8C05-A5E16169DE97}" type="presOf" srcId="{7AEDC757-F08F-46CB-8E19-79052A7DB537}" destId="{4BE7CF77-0AEA-4CBE-B075-94E65DA8786D}" srcOrd="0" destOrd="0" presId="urn:microsoft.com/office/officeart/2005/8/layout/pyramid1"/>
    <dgm:cxn modelId="{1C69FEA8-8F54-4599-9924-38E7BFB05223}" type="presParOf" srcId="{38C837B8-44B5-4123-86F1-C8E60856F442}" destId="{50E7D789-2D86-4D9E-984F-947F5B488B83}" srcOrd="0" destOrd="0" presId="urn:microsoft.com/office/officeart/2005/8/layout/pyramid1"/>
    <dgm:cxn modelId="{3220BF4C-10CE-4A04-94EC-5D6235F85DA3}" type="presParOf" srcId="{50E7D789-2D86-4D9E-984F-947F5B488B83}" destId="{0CE86BAF-80E3-4B08-9962-99D74DD269F1}" srcOrd="0" destOrd="0" presId="urn:microsoft.com/office/officeart/2005/8/layout/pyramid1"/>
    <dgm:cxn modelId="{E6F9EDCA-ACB5-4102-96CA-6EB9D3968B67}" type="presParOf" srcId="{50E7D789-2D86-4D9E-984F-947F5B488B83}" destId="{22570EF2-32A5-407A-891F-054D7CE645DD}" srcOrd="1" destOrd="0" presId="urn:microsoft.com/office/officeart/2005/8/layout/pyramid1"/>
    <dgm:cxn modelId="{0F253C66-E18C-49DD-B5FD-790C5E6F3171}" type="presParOf" srcId="{38C837B8-44B5-4123-86F1-C8E60856F442}" destId="{84D40B21-7B83-4274-A4C1-EB2386ADDFC5}" srcOrd="1" destOrd="0" presId="urn:microsoft.com/office/officeart/2005/8/layout/pyramid1"/>
    <dgm:cxn modelId="{08818D4D-E70B-49FC-B468-EDCF89706C72}" type="presParOf" srcId="{84D40B21-7B83-4274-A4C1-EB2386ADDFC5}" destId="{4BE7CF77-0AEA-4CBE-B075-94E65DA8786D}" srcOrd="0" destOrd="0" presId="urn:microsoft.com/office/officeart/2005/8/layout/pyramid1"/>
    <dgm:cxn modelId="{1CD6C714-3518-4E49-A514-6AEB99E4738A}" type="presParOf" srcId="{84D40B21-7B83-4274-A4C1-EB2386ADDFC5}" destId="{B8F61E57-42BC-4713-9927-6022130AB415}" srcOrd="1" destOrd="0" presId="urn:microsoft.com/office/officeart/2005/8/layout/pyramid1"/>
    <dgm:cxn modelId="{D52C06D2-B7AC-42FF-A117-C1DB9095E796}" type="presParOf" srcId="{38C837B8-44B5-4123-86F1-C8E60856F442}" destId="{E5959C6E-9431-428F-B7B2-193B74FFD2E3}" srcOrd="2" destOrd="0" presId="urn:microsoft.com/office/officeart/2005/8/layout/pyramid1"/>
    <dgm:cxn modelId="{2AB4745C-2CAF-43FC-AB50-B385F3797276}" type="presParOf" srcId="{E5959C6E-9431-428F-B7B2-193B74FFD2E3}" destId="{EB2B1308-4B1A-40C0-9C25-E524FDF684F2}" srcOrd="0" destOrd="0" presId="urn:microsoft.com/office/officeart/2005/8/layout/pyramid1"/>
    <dgm:cxn modelId="{0B851B26-5BA5-4F19-97B4-B48BC42FCD96}" type="presParOf" srcId="{E5959C6E-9431-428F-B7B2-193B74FFD2E3}" destId="{D86FCF35-C680-4DDB-86A2-76D46778D925}" srcOrd="1" destOrd="0" presId="urn:microsoft.com/office/officeart/2005/8/layout/pyramid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1C366FA-4983-4D9D-BC61-AF9D3DF98C93}" type="doc">
      <dgm:prSet loTypeId="urn:microsoft.com/office/officeart/2005/8/layout/hProcess9" loCatId="process" qsTypeId="urn:microsoft.com/office/officeart/2005/8/quickstyle/simple1" qsCatId="simple" csTypeId="urn:microsoft.com/office/officeart/2005/8/colors/accent1_2" csCatId="accent1" phldr="1"/>
      <dgm:spPr/>
    </dgm:pt>
    <dgm:pt modelId="{5B78CF1F-8478-4A99-A785-49C2D89F6338}">
      <dgm:prSet phldrT="[Text]"/>
      <dgm:spPr>
        <a:xfrm>
          <a:off x="2745" y="960120"/>
          <a:ext cx="1320700" cy="1280160"/>
        </a:xfrm>
        <a:prstGeom prst="roundRect">
          <a:avLst/>
        </a:prstGeom>
        <a:solidFill>
          <a:srgbClr val="84ACB6">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Times New Roman" panose="02020603050405020304" pitchFamily="18" charset="0"/>
              <a:ea typeface="+mn-ea"/>
              <a:cs typeface="Times New Roman" panose="02020603050405020304" pitchFamily="18" charset="0"/>
            </a:rPr>
            <a:t>Holistic, PC approach to transition and wellbeing - embedded within the curriculum.</a:t>
          </a:r>
        </a:p>
      </dgm:t>
    </dgm:pt>
    <dgm:pt modelId="{21EBB85D-3EF3-4735-8093-D49777BED5D3}" type="parTrans" cxnId="{26C9C2D3-C167-4BE5-874A-A3DF79800355}">
      <dgm:prSet/>
      <dgm:spPr/>
      <dgm:t>
        <a:bodyPr/>
        <a:lstStyle/>
        <a:p>
          <a:endParaRPr lang="en-GB"/>
        </a:p>
      </dgm:t>
    </dgm:pt>
    <dgm:pt modelId="{37A796D1-5127-4C2E-896F-70007EBF1FA9}" type="sibTrans" cxnId="{26C9C2D3-C167-4BE5-874A-A3DF79800355}">
      <dgm:prSet/>
      <dgm:spPr/>
      <dgm:t>
        <a:bodyPr/>
        <a:lstStyle/>
        <a:p>
          <a:endParaRPr lang="en-GB"/>
        </a:p>
      </dgm:t>
    </dgm:pt>
    <dgm:pt modelId="{8EC7F92E-F6B8-4C06-8202-8F0C6EE3EEC5}">
      <dgm:prSet phldrT="[Text]"/>
      <dgm:spPr>
        <a:xfrm>
          <a:off x="2776217" y="960120"/>
          <a:ext cx="1320700" cy="1280160"/>
        </a:xfrm>
        <a:prstGeom prst="roundRect">
          <a:avLst/>
        </a:prstGeom>
        <a:solidFill>
          <a:srgbClr val="84ACB6">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Times New Roman" panose="02020603050405020304" pitchFamily="18" charset="0"/>
              <a:ea typeface="+mn-ea"/>
              <a:cs typeface="Times New Roman" panose="02020603050405020304" pitchFamily="18" charset="0"/>
            </a:rPr>
            <a:t>Meaningful, practical experiences.</a:t>
          </a:r>
        </a:p>
      </dgm:t>
    </dgm:pt>
    <dgm:pt modelId="{9DF73ACC-640F-4AE1-99AA-B0A59ED130B1}" type="parTrans" cxnId="{17B11D1B-94FB-4837-850C-E8AA4715BFE8}">
      <dgm:prSet/>
      <dgm:spPr/>
      <dgm:t>
        <a:bodyPr/>
        <a:lstStyle/>
        <a:p>
          <a:endParaRPr lang="en-GB"/>
        </a:p>
      </dgm:t>
    </dgm:pt>
    <dgm:pt modelId="{E872AEEF-0A78-4575-AE6A-2F718208BD79}" type="sibTrans" cxnId="{17B11D1B-94FB-4837-850C-E8AA4715BFE8}">
      <dgm:prSet/>
      <dgm:spPr/>
      <dgm:t>
        <a:bodyPr/>
        <a:lstStyle/>
        <a:p>
          <a:endParaRPr lang="en-GB"/>
        </a:p>
      </dgm:t>
    </dgm:pt>
    <dgm:pt modelId="{610EE7BF-6643-4094-AE24-41A3FD6112AB}">
      <dgm:prSet phldrT="[Text]"/>
      <dgm:spPr>
        <a:xfrm>
          <a:off x="4162953" y="960120"/>
          <a:ext cx="1320700" cy="1280160"/>
        </a:xfrm>
        <a:prstGeom prst="roundRect">
          <a:avLst/>
        </a:prstGeom>
        <a:solidFill>
          <a:srgbClr val="84ACB6">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Times New Roman" panose="02020603050405020304" pitchFamily="18" charset="0"/>
              <a:ea typeface="+mn-ea"/>
              <a:cs typeface="Times New Roman" panose="02020603050405020304" pitchFamily="18" charset="0"/>
            </a:rPr>
            <a:t>Building resilience to successfully reach aspirations and continue on life's journey.</a:t>
          </a:r>
        </a:p>
      </dgm:t>
    </dgm:pt>
    <dgm:pt modelId="{68060DDC-2E55-45AA-9D33-71C868068B15}" type="parTrans" cxnId="{F2150FD5-CF05-4DD7-9ED6-48416F57EC3B}">
      <dgm:prSet/>
      <dgm:spPr/>
      <dgm:t>
        <a:bodyPr/>
        <a:lstStyle/>
        <a:p>
          <a:endParaRPr lang="en-GB"/>
        </a:p>
      </dgm:t>
    </dgm:pt>
    <dgm:pt modelId="{2757F5D7-2A87-4A86-8733-837E027DE2C5}" type="sibTrans" cxnId="{F2150FD5-CF05-4DD7-9ED6-48416F57EC3B}">
      <dgm:prSet/>
      <dgm:spPr/>
      <dgm:t>
        <a:bodyPr/>
        <a:lstStyle/>
        <a:p>
          <a:endParaRPr lang="en-GB"/>
        </a:p>
      </dgm:t>
    </dgm:pt>
    <dgm:pt modelId="{0B39197F-CBC5-4DF7-8D41-1E144024CF78}">
      <dgm:prSet/>
      <dgm:spPr>
        <a:xfrm>
          <a:off x="1389481" y="960120"/>
          <a:ext cx="1320700" cy="1280160"/>
        </a:xfrm>
        <a:prstGeom prst="roundRect">
          <a:avLst/>
        </a:prstGeom>
        <a:solidFill>
          <a:srgbClr val="84ACB6">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Text" lastClr="000000"/>
              </a:solidFill>
              <a:latin typeface="Times New Roman" panose="02020603050405020304" pitchFamily="18" charset="0"/>
              <a:ea typeface="+mn-ea"/>
              <a:cs typeface="Times New Roman" panose="02020603050405020304" pitchFamily="18" charset="0"/>
            </a:rPr>
            <a:t>All YP's goals and aspirations are valued - opportunities for voice and build relationships.</a:t>
          </a:r>
        </a:p>
      </dgm:t>
    </dgm:pt>
    <dgm:pt modelId="{0EE619FD-6C06-448C-BA00-5A60063BD514}" type="sibTrans" cxnId="{BCAFB3C2-1890-4A8A-AF57-AE8AFBCEDC0F}">
      <dgm:prSet/>
      <dgm:spPr/>
      <dgm:t>
        <a:bodyPr/>
        <a:lstStyle/>
        <a:p>
          <a:endParaRPr lang="en-GB"/>
        </a:p>
      </dgm:t>
    </dgm:pt>
    <dgm:pt modelId="{C476A3D0-CE67-49ED-B08C-CA2C4D919623}" type="parTrans" cxnId="{BCAFB3C2-1890-4A8A-AF57-AE8AFBCEDC0F}">
      <dgm:prSet/>
      <dgm:spPr/>
      <dgm:t>
        <a:bodyPr/>
        <a:lstStyle/>
        <a:p>
          <a:endParaRPr lang="en-GB"/>
        </a:p>
      </dgm:t>
    </dgm:pt>
    <dgm:pt modelId="{40078A8C-6DF8-4923-A250-E32486845BC5}" type="pres">
      <dgm:prSet presAssocID="{E1C366FA-4983-4D9D-BC61-AF9D3DF98C93}" presName="CompostProcess" presStyleCnt="0">
        <dgm:presLayoutVars>
          <dgm:dir/>
          <dgm:resizeHandles val="exact"/>
        </dgm:presLayoutVars>
      </dgm:prSet>
      <dgm:spPr/>
    </dgm:pt>
    <dgm:pt modelId="{FB5C42EB-8368-42C6-819A-933CD83747DF}" type="pres">
      <dgm:prSet presAssocID="{E1C366FA-4983-4D9D-BC61-AF9D3DF98C93}" presName="arrow" presStyleLbl="bgShp" presStyleIdx="0" presStyleCnt="1"/>
      <dgm:spPr>
        <a:xfrm>
          <a:off x="411479" y="0"/>
          <a:ext cx="4663440" cy="3200400"/>
        </a:xfrm>
        <a:prstGeom prst="rightArrow">
          <a:avLst/>
        </a:prstGeom>
        <a:solidFill>
          <a:srgbClr val="3494BA">
            <a:lumMod val="60000"/>
            <a:lumOff val="40000"/>
          </a:srgbClr>
        </a:solidFill>
        <a:ln>
          <a:noFill/>
        </a:ln>
        <a:effectLst/>
      </dgm:spPr>
    </dgm:pt>
    <dgm:pt modelId="{23A7C789-1334-4031-8D6C-3ED91954CCDA}" type="pres">
      <dgm:prSet presAssocID="{E1C366FA-4983-4D9D-BC61-AF9D3DF98C93}" presName="linearProcess" presStyleCnt="0"/>
      <dgm:spPr/>
    </dgm:pt>
    <dgm:pt modelId="{97F3609C-EAE0-409E-8E75-5A50BD23DDF1}" type="pres">
      <dgm:prSet presAssocID="{5B78CF1F-8478-4A99-A785-49C2D89F6338}" presName="textNode" presStyleLbl="node1" presStyleIdx="0" presStyleCnt="4">
        <dgm:presLayoutVars>
          <dgm:bulletEnabled val="1"/>
        </dgm:presLayoutVars>
      </dgm:prSet>
      <dgm:spPr/>
    </dgm:pt>
    <dgm:pt modelId="{A8F6EE1D-1D60-4D60-8A53-4E9A05C9EE7D}" type="pres">
      <dgm:prSet presAssocID="{37A796D1-5127-4C2E-896F-70007EBF1FA9}" presName="sibTrans" presStyleCnt="0"/>
      <dgm:spPr/>
    </dgm:pt>
    <dgm:pt modelId="{CF0FB083-2B45-41E1-9ADF-015B75175F96}" type="pres">
      <dgm:prSet presAssocID="{0B39197F-CBC5-4DF7-8D41-1E144024CF78}" presName="textNode" presStyleLbl="node1" presStyleIdx="1" presStyleCnt="4">
        <dgm:presLayoutVars>
          <dgm:bulletEnabled val="1"/>
        </dgm:presLayoutVars>
      </dgm:prSet>
      <dgm:spPr/>
    </dgm:pt>
    <dgm:pt modelId="{BBC348B9-7744-41B6-B5D0-B9614E191EF4}" type="pres">
      <dgm:prSet presAssocID="{0EE619FD-6C06-448C-BA00-5A60063BD514}" presName="sibTrans" presStyleCnt="0"/>
      <dgm:spPr/>
    </dgm:pt>
    <dgm:pt modelId="{CB58BA98-1110-4D9E-AB88-B3F666B84069}" type="pres">
      <dgm:prSet presAssocID="{8EC7F92E-F6B8-4C06-8202-8F0C6EE3EEC5}" presName="textNode" presStyleLbl="node1" presStyleIdx="2" presStyleCnt="4" custLinFactNeighborX="8393" custLinFactNeighborY="433">
        <dgm:presLayoutVars>
          <dgm:bulletEnabled val="1"/>
        </dgm:presLayoutVars>
      </dgm:prSet>
      <dgm:spPr/>
    </dgm:pt>
    <dgm:pt modelId="{C4DFB935-66B7-40E1-8F7C-2DF0528CCE97}" type="pres">
      <dgm:prSet presAssocID="{E872AEEF-0A78-4575-AE6A-2F718208BD79}" presName="sibTrans" presStyleCnt="0"/>
      <dgm:spPr/>
    </dgm:pt>
    <dgm:pt modelId="{659A42FF-76FC-445B-938A-9CBFD859C08D}" type="pres">
      <dgm:prSet presAssocID="{610EE7BF-6643-4094-AE24-41A3FD6112AB}" presName="textNode" presStyleLbl="node1" presStyleIdx="3" presStyleCnt="4">
        <dgm:presLayoutVars>
          <dgm:bulletEnabled val="1"/>
        </dgm:presLayoutVars>
      </dgm:prSet>
      <dgm:spPr/>
    </dgm:pt>
  </dgm:ptLst>
  <dgm:cxnLst>
    <dgm:cxn modelId="{0B513C0D-0C3B-458C-8A68-E0F696AFE12D}" type="presOf" srcId="{0B39197F-CBC5-4DF7-8D41-1E144024CF78}" destId="{CF0FB083-2B45-41E1-9ADF-015B75175F96}" srcOrd="0" destOrd="0" presId="urn:microsoft.com/office/officeart/2005/8/layout/hProcess9"/>
    <dgm:cxn modelId="{9A848318-EE85-47A6-9199-7D40F2D81BA8}" type="presOf" srcId="{E1C366FA-4983-4D9D-BC61-AF9D3DF98C93}" destId="{40078A8C-6DF8-4923-A250-E32486845BC5}" srcOrd="0" destOrd="0" presId="urn:microsoft.com/office/officeart/2005/8/layout/hProcess9"/>
    <dgm:cxn modelId="{17B11D1B-94FB-4837-850C-E8AA4715BFE8}" srcId="{E1C366FA-4983-4D9D-BC61-AF9D3DF98C93}" destId="{8EC7F92E-F6B8-4C06-8202-8F0C6EE3EEC5}" srcOrd="2" destOrd="0" parTransId="{9DF73ACC-640F-4AE1-99AA-B0A59ED130B1}" sibTransId="{E872AEEF-0A78-4575-AE6A-2F718208BD79}"/>
    <dgm:cxn modelId="{31051743-2A1C-4138-BF23-76CB94F6569F}" type="presOf" srcId="{610EE7BF-6643-4094-AE24-41A3FD6112AB}" destId="{659A42FF-76FC-445B-938A-9CBFD859C08D}" srcOrd="0" destOrd="0" presId="urn:microsoft.com/office/officeart/2005/8/layout/hProcess9"/>
    <dgm:cxn modelId="{C9FF08B0-CF7B-4C8F-8E4C-93BA84EF36D7}" type="presOf" srcId="{8EC7F92E-F6B8-4C06-8202-8F0C6EE3EEC5}" destId="{CB58BA98-1110-4D9E-AB88-B3F666B84069}" srcOrd="0" destOrd="0" presId="urn:microsoft.com/office/officeart/2005/8/layout/hProcess9"/>
    <dgm:cxn modelId="{BCAFB3C2-1890-4A8A-AF57-AE8AFBCEDC0F}" srcId="{E1C366FA-4983-4D9D-BC61-AF9D3DF98C93}" destId="{0B39197F-CBC5-4DF7-8D41-1E144024CF78}" srcOrd="1" destOrd="0" parTransId="{C476A3D0-CE67-49ED-B08C-CA2C4D919623}" sibTransId="{0EE619FD-6C06-448C-BA00-5A60063BD514}"/>
    <dgm:cxn modelId="{2BAFF5C5-1804-4B00-ADA5-241AA31E65F6}" type="presOf" srcId="{5B78CF1F-8478-4A99-A785-49C2D89F6338}" destId="{97F3609C-EAE0-409E-8E75-5A50BD23DDF1}" srcOrd="0" destOrd="0" presId="urn:microsoft.com/office/officeart/2005/8/layout/hProcess9"/>
    <dgm:cxn modelId="{26C9C2D3-C167-4BE5-874A-A3DF79800355}" srcId="{E1C366FA-4983-4D9D-BC61-AF9D3DF98C93}" destId="{5B78CF1F-8478-4A99-A785-49C2D89F6338}" srcOrd="0" destOrd="0" parTransId="{21EBB85D-3EF3-4735-8093-D49777BED5D3}" sibTransId="{37A796D1-5127-4C2E-896F-70007EBF1FA9}"/>
    <dgm:cxn modelId="{F2150FD5-CF05-4DD7-9ED6-48416F57EC3B}" srcId="{E1C366FA-4983-4D9D-BC61-AF9D3DF98C93}" destId="{610EE7BF-6643-4094-AE24-41A3FD6112AB}" srcOrd="3" destOrd="0" parTransId="{68060DDC-2E55-45AA-9D33-71C868068B15}" sibTransId="{2757F5D7-2A87-4A86-8733-837E027DE2C5}"/>
    <dgm:cxn modelId="{91F8F4FB-9A91-48C9-98E4-EB683A98E6AD}" type="presParOf" srcId="{40078A8C-6DF8-4923-A250-E32486845BC5}" destId="{FB5C42EB-8368-42C6-819A-933CD83747DF}" srcOrd="0" destOrd="0" presId="urn:microsoft.com/office/officeart/2005/8/layout/hProcess9"/>
    <dgm:cxn modelId="{23823915-A8C7-4A7D-8ED1-FE0CFE2ECC1A}" type="presParOf" srcId="{40078A8C-6DF8-4923-A250-E32486845BC5}" destId="{23A7C789-1334-4031-8D6C-3ED91954CCDA}" srcOrd="1" destOrd="0" presId="urn:microsoft.com/office/officeart/2005/8/layout/hProcess9"/>
    <dgm:cxn modelId="{1163CBCC-8086-4606-8804-BD433FD5D987}" type="presParOf" srcId="{23A7C789-1334-4031-8D6C-3ED91954CCDA}" destId="{97F3609C-EAE0-409E-8E75-5A50BD23DDF1}" srcOrd="0" destOrd="0" presId="urn:microsoft.com/office/officeart/2005/8/layout/hProcess9"/>
    <dgm:cxn modelId="{5B95273D-0455-42D2-96FF-467A481817F6}" type="presParOf" srcId="{23A7C789-1334-4031-8D6C-3ED91954CCDA}" destId="{A8F6EE1D-1D60-4D60-8A53-4E9A05C9EE7D}" srcOrd="1" destOrd="0" presId="urn:microsoft.com/office/officeart/2005/8/layout/hProcess9"/>
    <dgm:cxn modelId="{27C64528-6A95-4E41-B3DD-F4182C5388C9}" type="presParOf" srcId="{23A7C789-1334-4031-8D6C-3ED91954CCDA}" destId="{CF0FB083-2B45-41E1-9ADF-015B75175F96}" srcOrd="2" destOrd="0" presId="urn:microsoft.com/office/officeart/2005/8/layout/hProcess9"/>
    <dgm:cxn modelId="{BDE91F7B-88B2-4574-96C4-AA2D0B6C1E53}" type="presParOf" srcId="{23A7C789-1334-4031-8D6C-3ED91954CCDA}" destId="{BBC348B9-7744-41B6-B5D0-B9614E191EF4}" srcOrd="3" destOrd="0" presId="urn:microsoft.com/office/officeart/2005/8/layout/hProcess9"/>
    <dgm:cxn modelId="{CA5CCC94-6F96-4C5D-AC44-EBEBDC7521B0}" type="presParOf" srcId="{23A7C789-1334-4031-8D6C-3ED91954CCDA}" destId="{CB58BA98-1110-4D9E-AB88-B3F666B84069}" srcOrd="4" destOrd="0" presId="urn:microsoft.com/office/officeart/2005/8/layout/hProcess9"/>
    <dgm:cxn modelId="{20B8456B-9948-448C-866B-AD34C18942F6}" type="presParOf" srcId="{23A7C789-1334-4031-8D6C-3ED91954CCDA}" destId="{C4DFB935-66B7-40E1-8F7C-2DF0528CCE97}" srcOrd="5" destOrd="0" presId="urn:microsoft.com/office/officeart/2005/8/layout/hProcess9"/>
    <dgm:cxn modelId="{7F68332D-D57F-4E76-92ED-27B47582F7DF}" type="presParOf" srcId="{23A7C789-1334-4031-8D6C-3ED91954CCDA}" destId="{659A42FF-76FC-445B-938A-9CBFD859C08D}" srcOrd="6" destOrd="0" presId="urn:microsoft.com/office/officeart/2005/8/layout/hProcess9"/>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336A58-B9AD-44B0-9735-EF4DC8E6BFD0}">
      <dsp:nvSpPr>
        <dsp:cNvPr id="0" name=""/>
        <dsp:cNvSpPr/>
      </dsp:nvSpPr>
      <dsp:spPr>
        <a:xfrm>
          <a:off x="0" y="394"/>
          <a:ext cx="2838796" cy="275041"/>
        </a:xfrm>
        <a:prstGeom prst="round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Main themes</a:t>
          </a:r>
        </a:p>
      </dsp:txBody>
      <dsp:txXfrm>
        <a:off x="13426" y="13820"/>
        <a:ext cx="2811944" cy="248189"/>
      </dsp:txXfrm>
    </dsp:sp>
    <dsp:sp modelId="{F3E21DB9-9B80-400F-9E75-DECA0FDCF502}">
      <dsp:nvSpPr>
        <dsp:cNvPr id="0" name=""/>
        <dsp:cNvSpPr/>
      </dsp:nvSpPr>
      <dsp:spPr>
        <a:xfrm>
          <a:off x="0" y="281851"/>
          <a:ext cx="2838796" cy="275041"/>
        </a:xfrm>
        <a:prstGeom prst="roundRect">
          <a:avLst/>
        </a:prstGeom>
        <a:solidFill>
          <a:schemeClr val="accent5">
            <a:lumMod val="60000"/>
            <a:lumOff val="40000"/>
          </a:schemeClr>
        </a:solidFill>
        <a:ln>
          <a:noFill/>
        </a:ln>
        <a:effectLst>
          <a:outerShdw blurRad="50800" dist="381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Holistic approach</a:t>
          </a:r>
        </a:p>
      </dsp:txBody>
      <dsp:txXfrm>
        <a:off x="13426" y="295277"/>
        <a:ext cx="2811944" cy="248189"/>
      </dsp:txXfrm>
    </dsp:sp>
    <dsp:sp modelId="{5BB8F25F-4D58-4C99-A550-522D565CA1D3}">
      <dsp:nvSpPr>
        <dsp:cNvPr id="0" name=""/>
        <dsp:cNvSpPr/>
      </dsp:nvSpPr>
      <dsp:spPr>
        <a:xfrm>
          <a:off x="0" y="578687"/>
          <a:ext cx="2838796" cy="275041"/>
        </a:xfrm>
        <a:prstGeom prst="roundRect">
          <a:avLst/>
        </a:prstGeom>
        <a:solidFill>
          <a:schemeClr val="accent5">
            <a:lumMod val="60000"/>
            <a:lumOff val="40000"/>
          </a:schemeClr>
        </a:solidFill>
        <a:ln>
          <a:noFill/>
        </a:ln>
        <a:effectLst>
          <a:outerShdw blurRad="50800" dist="381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Person centredness</a:t>
          </a:r>
        </a:p>
      </dsp:txBody>
      <dsp:txXfrm>
        <a:off x="13426" y="592113"/>
        <a:ext cx="2811944" cy="248189"/>
      </dsp:txXfrm>
    </dsp:sp>
    <dsp:sp modelId="{0367F546-EF6B-4833-8B4A-02F4459581AE}">
      <dsp:nvSpPr>
        <dsp:cNvPr id="0" name=""/>
        <dsp:cNvSpPr/>
      </dsp:nvSpPr>
      <dsp:spPr>
        <a:xfrm>
          <a:off x="0" y="867833"/>
          <a:ext cx="2838796" cy="275041"/>
        </a:xfrm>
        <a:prstGeom prst="roundRect">
          <a:avLst/>
        </a:prstGeom>
        <a:solidFill>
          <a:schemeClr val="accent5">
            <a:lumMod val="60000"/>
            <a:lumOff val="40000"/>
          </a:schemeClr>
        </a:solidFill>
        <a:ln>
          <a:noFill/>
        </a:ln>
        <a:effectLst>
          <a:outerShdw blurRad="50800" dist="381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Security</a:t>
          </a:r>
        </a:p>
      </dsp:txBody>
      <dsp:txXfrm>
        <a:off x="13426" y="881259"/>
        <a:ext cx="2811944" cy="248189"/>
      </dsp:txXfrm>
    </dsp:sp>
    <dsp:sp modelId="{7C4C046B-99C5-4498-BE2E-7747D510C9EA}">
      <dsp:nvSpPr>
        <dsp:cNvPr id="0" name=""/>
        <dsp:cNvSpPr/>
      </dsp:nvSpPr>
      <dsp:spPr>
        <a:xfrm>
          <a:off x="0" y="1156979"/>
          <a:ext cx="2838796" cy="275041"/>
        </a:xfrm>
        <a:prstGeom prst="roundRect">
          <a:avLst/>
        </a:prstGeom>
        <a:gradFill rotWithShape="0">
          <a:gsLst>
            <a:gs pos="0">
              <a:schemeClr val="accent2">
                <a:hueOff val="-831636"/>
                <a:satOff val="-47959"/>
                <a:lumOff val="4930"/>
                <a:alphaOff val="0"/>
                <a:satMod val="103000"/>
                <a:lumMod val="102000"/>
                <a:tint val="94000"/>
              </a:schemeClr>
            </a:gs>
            <a:gs pos="50000">
              <a:schemeClr val="accent2">
                <a:hueOff val="-831636"/>
                <a:satOff val="-47959"/>
                <a:lumOff val="4930"/>
                <a:alphaOff val="0"/>
                <a:satMod val="110000"/>
                <a:lumMod val="100000"/>
                <a:shade val="100000"/>
              </a:schemeClr>
            </a:gs>
            <a:gs pos="100000">
              <a:schemeClr val="accent2">
                <a:hueOff val="-831636"/>
                <a:satOff val="-47959"/>
                <a:lumOff val="493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Sub-themes</a:t>
          </a:r>
        </a:p>
      </dsp:txBody>
      <dsp:txXfrm>
        <a:off x="13426" y="1170405"/>
        <a:ext cx="2811944" cy="248189"/>
      </dsp:txXfrm>
    </dsp:sp>
    <dsp:sp modelId="{9A8B1CCC-C451-4F37-84C6-CC9EEE143C48}">
      <dsp:nvSpPr>
        <dsp:cNvPr id="0" name=""/>
        <dsp:cNvSpPr/>
      </dsp:nvSpPr>
      <dsp:spPr>
        <a:xfrm>
          <a:off x="0" y="1446125"/>
          <a:ext cx="2838796" cy="275041"/>
        </a:xfrm>
        <a:prstGeom prst="roundRect">
          <a:avLst/>
        </a:prstGeom>
        <a:solidFill>
          <a:schemeClr val="accent5">
            <a:lumMod val="60000"/>
            <a:lumOff val="40000"/>
          </a:schemeClr>
        </a:solidFill>
        <a:ln>
          <a:noFill/>
        </a:ln>
        <a:effectLst>
          <a:outerShdw blurRad="50800" dist="381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Socialisation</a:t>
          </a:r>
        </a:p>
      </dsp:txBody>
      <dsp:txXfrm>
        <a:off x="13426" y="1459551"/>
        <a:ext cx="2811944" cy="248189"/>
      </dsp:txXfrm>
    </dsp:sp>
    <dsp:sp modelId="{EA10F438-CEC8-42AD-93C7-CF2479974515}">
      <dsp:nvSpPr>
        <dsp:cNvPr id="0" name=""/>
        <dsp:cNvSpPr/>
      </dsp:nvSpPr>
      <dsp:spPr>
        <a:xfrm>
          <a:off x="0" y="1735271"/>
          <a:ext cx="2838796" cy="275041"/>
        </a:xfrm>
        <a:prstGeom prst="roundRect">
          <a:avLst/>
        </a:prstGeom>
        <a:solidFill>
          <a:schemeClr val="accent5">
            <a:lumMod val="60000"/>
            <a:lumOff val="40000"/>
          </a:schemeClr>
        </a:solidFill>
        <a:ln>
          <a:noFill/>
        </a:ln>
        <a:effectLst>
          <a:outerShdw blurRad="50800" dist="381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Experiential opportunities</a:t>
          </a:r>
        </a:p>
      </dsp:txBody>
      <dsp:txXfrm>
        <a:off x="13426" y="1748697"/>
        <a:ext cx="2811944" cy="248189"/>
      </dsp:txXfrm>
    </dsp:sp>
    <dsp:sp modelId="{9756D976-164D-4BAC-A26A-C0CBD8231841}">
      <dsp:nvSpPr>
        <dsp:cNvPr id="0" name=""/>
        <dsp:cNvSpPr/>
      </dsp:nvSpPr>
      <dsp:spPr>
        <a:xfrm>
          <a:off x="0" y="2024417"/>
          <a:ext cx="2838796" cy="275041"/>
        </a:xfrm>
        <a:prstGeom prst="roundRect">
          <a:avLst/>
        </a:prstGeom>
        <a:solidFill>
          <a:schemeClr val="accent5">
            <a:lumMod val="60000"/>
            <a:lumOff val="40000"/>
          </a:schemeClr>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Resilience to achieve personal goals</a:t>
          </a:r>
        </a:p>
      </dsp:txBody>
      <dsp:txXfrm>
        <a:off x="13426" y="2037843"/>
        <a:ext cx="2811944" cy="2481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91FC50-6127-4EDB-876D-83138F2CB0FD}">
      <dsp:nvSpPr>
        <dsp:cNvPr id="0" name=""/>
        <dsp:cNvSpPr/>
      </dsp:nvSpPr>
      <dsp:spPr>
        <a:xfrm>
          <a:off x="2743200" y="609523"/>
          <a:ext cx="127633" cy="559154"/>
        </a:xfrm>
        <a:custGeom>
          <a:avLst/>
          <a:gdLst/>
          <a:ahLst/>
          <a:cxnLst/>
          <a:rect l="0" t="0" r="0" b="0"/>
          <a:pathLst>
            <a:path>
              <a:moveTo>
                <a:pt x="0" y="0"/>
              </a:moveTo>
              <a:lnTo>
                <a:pt x="0" y="559154"/>
              </a:lnTo>
              <a:lnTo>
                <a:pt x="127633" y="5591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858243B-42F0-4A60-9D63-B0B576764374}">
      <dsp:nvSpPr>
        <dsp:cNvPr id="0" name=""/>
        <dsp:cNvSpPr/>
      </dsp:nvSpPr>
      <dsp:spPr>
        <a:xfrm>
          <a:off x="2615566" y="609523"/>
          <a:ext cx="127633" cy="559154"/>
        </a:xfrm>
        <a:custGeom>
          <a:avLst/>
          <a:gdLst/>
          <a:ahLst/>
          <a:cxnLst/>
          <a:rect l="0" t="0" r="0" b="0"/>
          <a:pathLst>
            <a:path>
              <a:moveTo>
                <a:pt x="127633" y="0"/>
              </a:moveTo>
              <a:lnTo>
                <a:pt x="127633" y="559154"/>
              </a:lnTo>
              <a:lnTo>
                <a:pt x="0" y="55915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5A41C25-6DFC-474F-8A72-F8285339F10D}">
      <dsp:nvSpPr>
        <dsp:cNvPr id="0" name=""/>
        <dsp:cNvSpPr/>
      </dsp:nvSpPr>
      <dsp:spPr>
        <a:xfrm>
          <a:off x="2743200" y="609523"/>
          <a:ext cx="735409" cy="1118309"/>
        </a:xfrm>
        <a:custGeom>
          <a:avLst/>
          <a:gdLst/>
          <a:ahLst/>
          <a:cxnLst/>
          <a:rect l="0" t="0" r="0" b="0"/>
          <a:pathLst>
            <a:path>
              <a:moveTo>
                <a:pt x="0" y="0"/>
              </a:moveTo>
              <a:lnTo>
                <a:pt x="0" y="990676"/>
              </a:lnTo>
              <a:lnTo>
                <a:pt x="735409" y="990676"/>
              </a:lnTo>
              <a:lnTo>
                <a:pt x="735409" y="1118309"/>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AFF1902-B4E1-44E4-9C09-229B1E06BA4C}">
      <dsp:nvSpPr>
        <dsp:cNvPr id="0" name=""/>
        <dsp:cNvSpPr/>
      </dsp:nvSpPr>
      <dsp:spPr>
        <a:xfrm>
          <a:off x="1521568" y="2335609"/>
          <a:ext cx="711718" cy="560901"/>
        </a:xfrm>
        <a:custGeom>
          <a:avLst/>
          <a:gdLst/>
          <a:ahLst/>
          <a:cxnLst/>
          <a:rect l="0" t="0" r="0" b="0"/>
          <a:pathLst>
            <a:path>
              <a:moveTo>
                <a:pt x="0" y="0"/>
              </a:moveTo>
              <a:lnTo>
                <a:pt x="0" y="560901"/>
              </a:lnTo>
              <a:lnTo>
                <a:pt x="711718" y="56090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BD01083-9AAB-4826-8431-CB725FBB7807}">
      <dsp:nvSpPr>
        <dsp:cNvPr id="0" name=""/>
        <dsp:cNvSpPr/>
      </dsp:nvSpPr>
      <dsp:spPr>
        <a:xfrm>
          <a:off x="2007790" y="609523"/>
          <a:ext cx="735409" cy="1118309"/>
        </a:xfrm>
        <a:custGeom>
          <a:avLst/>
          <a:gdLst/>
          <a:ahLst/>
          <a:cxnLst/>
          <a:rect l="0" t="0" r="0" b="0"/>
          <a:pathLst>
            <a:path>
              <a:moveTo>
                <a:pt x="735409" y="0"/>
              </a:moveTo>
              <a:lnTo>
                <a:pt x="735409" y="990676"/>
              </a:lnTo>
              <a:lnTo>
                <a:pt x="0" y="990676"/>
              </a:lnTo>
              <a:lnTo>
                <a:pt x="0" y="1118309"/>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4E1506C-56BB-49B8-906C-C443955C0F97}">
      <dsp:nvSpPr>
        <dsp:cNvPr id="0" name=""/>
        <dsp:cNvSpPr/>
      </dsp:nvSpPr>
      <dsp:spPr>
        <a:xfrm>
          <a:off x="2135423" y="1746"/>
          <a:ext cx="1215553" cy="607776"/>
        </a:xfrm>
        <a:prstGeom prst="rect">
          <a:avLst/>
        </a:prstGeom>
        <a:solidFill>
          <a:sysClr val="window" lastClr="FFFFFF"/>
        </a:solidFill>
        <a:ln w="12700" cap="flat" cmpd="sng" algn="ctr">
          <a:solidFill>
            <a:schemeClr val="accent2">
              <a:lumMod val="75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b="1" kern="1200">
              <a:solidFill>
                <a:schemeClr val="accent2">
                  <a:lumMod val="75000"/>
                </a:schemeClr>
              </a:solidFill>
              <a:latin typeface="Times New Roman" panose="02020603050405020304" pitchFamily="18" charset="0"/>
              <a:ea typeface="+mn-ea"/>
              <a:cs typeface="Times New Roman" panose="02020603050405020304" pitchFamily="18" charset="0"/>
            </a:rPr>
            <a:t>Holistic approach</a:t>
          </a:r>
        </a:p>
      </dsp:txBody>
      <dsp:txXfrm>
        <a:off x="2135423" y="1746"/>
        <a:ext cx="1215553" cy="607776"/>
      </dsp:txXfrm>
    </dsp:sp>
    <dsp:sp modelId="{8BF9591F-1F66-4002-A84B-BA61F1788DE7}">
      <dsp:nvSpPr>
        <dsp:cNvPr id="0" name=""/>
        <dsp:cNvSpPr/>
      </dsp:nvSpPr>
      <dsp:spPr>
        <a:xfrm>
          <a:off x="1400013" y="1727833"/>
          <a:ext cx="1215553" cy="607776"/>
        </a:xfrm>
        <a:prstGeom prst="rect">
          <a:avLst/>
        </a:prstGeom>
        <a:solidFill>
          <a:sysClr val="window" lastClr="FFFFFF"/>
        </a:solidFill>
        <a:ln w="12700" cap="flat" cmpd="sng" algn="ctr">
          <a:solidFill>
            <a:srgbClr val="4472C4">
              <a:lumMod val="75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accent1">
                  <a:lumMod val="60000"/>
                  <a:lumOff val="40000"/>
                </a:schemeClr>
              </a:solidFill>
              <a:latin typeface="Times New Roman" panose="02020603050405020304" pitchFamily="18" charset="0"/>
              <a:ea typeface="+mn-ea"/>
              <a:cs typeface="Times New Roman" panose="02020603050405020304" pitchFamily="18" charset="0"/>
            </a:rPr>
            <a:t>Experiential</a:t>
          </a:r>
        </a:p>
        <a:p>
          <a:pPr marL="0" lvl="0" indent="0" algn="ctr" defTabSz="622300">
            <a:lnSpc>
              <a:spcPct val="90000"/>
            </a:lnSpc>
            <a:spcBef>
              <a:spcPct val="0"/>
            </a:spcBef>
            <a:spcAft>
              <a:spcPct val="35000"/>
            </a:spcAft>
            <a:buNone/>
          </a:pPr>
          <a:r>
            <a:rPr lang="en-GB" sz="1400" b="1" kern="1200">
              <a:solidFill>
                <a:schemeClr val="accent1">
                  <a:lumMod val="60000"/>
                  <a:lumOff val="40000"/>
                </a:schemeClr>
              </a:solidFill>
              <a:latin typeface="Times New Roman" panose="02020603050405020304" pitchFamily="18" charset="0"/>
              <a:ea typeface="+mn-ea"/>
              <a:cs typeface="Times New Roman" panose="02020603050405020304" pitchFamily="18" charset="0"/>
            </a:rPr>
            <a:t>opportunities</a:t>
          </a:r>
        </a:p>
      </dsp:txBody>
      <dsp:txXfrm>
        <a:off x="1400013" y="1727833"/>
        <a:ext cx="1215553" cy="607776"/>
      </dsp:txXfrm>
    </dsp:sp>
    <dsp:sp modelId="{FC6E5B3C-A608-4FA8-8A7C-A812FC560449}">
      <dsp:nvSpPr>
        <dsp:cNvPr id="0" name=""/>
        <dsp:cNvSpPr/>
      </dsp:nvSpPr>
      <dsp:spPr>
        <a:xfrm>
          <a:off x="2233287" y="2592623"/>
          <a:ext cx="1215553" cy="607776"/>
        </a:xfrm>
        <a:prstGeom prst="rect">
          <a:avLst/>
        </a:prstGeom>
        <a:solidFill>
          <a:sysClr val="window" lastClr="FFFFFF"/>
        </a:solidFill>
        <a:ln w="12700" cap="flat" cmpd="sng" algn="ctr">
          <a:solidFill>
            <a:srgbClr val="4472C4">
              <a:lumMod val="75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accent1">
                  <a:lumMod val="60000"/>
                  <a:lumOff val="40000"/>
                </a:schemeClr>
              </a:solidFill>
              <a:latin typeface="Times New Roman" panose="02020603050405020304" pitchFamily="18" charset="0"/>
              <a:ea typeface="+mn-ea"/>
              <a:cs typeface="Times New Roman" panose="02020603050405020304" pitchFamily="18" charset="0"/>
            </a:rPr>
            <a:t>Resilience to achieve goals</a:t>
          </a:r>
        </a:p>
      </dsp:txBody>
      <dsp:txXfrm>
        <a:off x="2233287" y="2592623"/>
        <a:ext cx="1215553" cy="607776"/>
      </dsp:txXfrm>
    </dsp:sp>
    <dsp:sp modelId="{F491078D-D475-4D1C-8314-9530082E4075}">
      <dsp:nvSpPr>
        <dsp:cNvPr id="0" name=""/>
        <dsp:cNvSpPr/>
      </dsp:nvSpPr>
      <dsp:spPr>
        <a:xfrm>
          <a:off x="2870833" y="1727833"/>
          <a:ext cx="1215553" cy="607776"/>
        </a:xfrm>
        <a:prstGeom prst="rect">
          <a:avLst/>
        </a:prstGeom>
        <a:solidFill>
          <a:sysClr val="window" lastClr="FFFFFF"/>
        </a:solidFill>
        <a:ln w="12700" cap="flat" cmpd="sng" algn="ctr">
          <a:solidFill>
            <a:srgbClr val="4472C4">
              <a:lumMod val="75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accent1">
                  <a:lumMod val="60000"/>
                  <a:lumOff val="40000"/>
                </a:schemeClr>
              </a:solidFill>
              <a:latin typeface="Times New Roman" panose="02020603050405020304" pitchFamily="18" charset="0"/>
              <a:ea typeface="+mn-ea"/>
              <a:cs typeface="Times New Roman" panose="02020603050405020304" pitchFamily="18" charset="0"/>
            </a:rPr>
            <a:t>Socialisation</a:t>
          </a:r>
        </a:p>
      </dsp:txBody>
      <dsp:txXfrm>
        <a:off x="2870833" y="1727833"/>
        <a:ext cx="1215553" cy="607776"/>
      </dsp:txXfrm>
    </dsp:sp>
    <dsp:sp modelId="{DD76A58C-8AA9-4999-B4A1-4F1658793B6C}">
      <dsp:nvSpPr>
        <dsp:cNvPr id="0" name=""/>
        <dsp:cNvSpPr/>
      </dsp:nvSpPr>
      <dsp:spPr>
        <a:xfrm>
          <a:off x="1400013" y="864790"/>
          <a:ext cx="1215553" cy="607776"/>
        </a:xfrm>
        <a:prstGeom prst="rect">
          <a:avLst/>
        </a:prstGeom>
        <a:solidFill>
          <a:sysClr val="window" lastClr="FFFFFF"/>
        </a:solidFill>
        <a:ln w="12700" cap="flat" cmpd="sng" algn="ctr">
          <a:solidFill>
            <a:schemeClr val="accent2">
              <a:lumMod val="75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chemeClr val="accent2">
                  <a:lumMod val="75000"/>
                </a:schemeClr>
              </a:solidFill>
              <a:latin typeface="Times New Roman" panose="02020603050405020304" pitchFamily="18" charset="0"/>
              <a:ea typeface="+mn-ea"/>
              <a:cs typeface="Times New Roman" panose="02020603050405020304" pitchFamily="18" charset="0"/>
            </a:rPr>
            <a:t>Person Centredness</a:t>
          </a:r>
        </a:p>
      </dsp:txBody>
      <dsp:txXfrm>
        <a:off x="1400013" y="864790"/>
        <a:ext cx="1215553" cy="607776"/>
      </dsp:txXfrm>
    </dsp:sp>
    <dsp:sp modelId="{D087E583-DCF5-42A9-AD4C-E67908EFDDF2}">
      <dsp:nvSpPr>
        <dsp:cNvPr id="0" name=""/>
        <dsp:cNvSpPr/>
      </dsp:nvSpPr>
      <dsp:spPr>
        <a:xfrm>
          <a:off x="2870833" y="864790"/>
          <a:ext cx="1215553" cy="607776"/>
        </a:xfrm>
        <a:prstGeom prst="rect">
          <a:avLst/>
        </a:prstGeom>
        <a:solidFill>
          <a:sysClr val="window" lastClr="FFFFFF"/>
        </a:solidFill>
        <a:ln w="12700" cap="flat" cmpd="sng" algn="ctr">
          <a:solidFill>
            <a:schemeClr val="accent2">
              <a:lumMod val="75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b="1" kern="1200">
              <a:solidFill>
                <a:schemeClr val="accent2">
                  <a:lumMod val="75000"/>
                </a:schemeClr>
              </a:solidFill>
              <a:latin typeface="Times New Roman" panose="02020603050405020304" pitchFamily="18" charset="0"/>
              <a:ea typeface="+mn-ea"/>
              <a:cs typeface="Times New Roman" panose="02020603050405020304" pitchFamily="18" charset="0"/>
            </a:rPr>
            <a:t>Security</a:t>
          </a:r>
        </a:p>
      </dsp:txBody>
      <dsp:txXfrm>
        <a:off x="2870833" y="864790"/>
        <a:ext cx="1215553" cy="60777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B12717-B9EB-4CD6-820D-86DF9D38D250}">
      <dsp:nvSpPr>
        <dsp:cNvPr id="0" name=""/>
        <dsp:cNvSpPr/>
      </dsp:nvSpPr>
      <dsp:spPr>
        <a:xfrm>
          <a:off x="533763" y="943944"/>
          <a:ext cx="2652712" cy="2652712"/>
        </a:xfrm>
        <a:prstGeom prst="ellipse">
          <a:avLst/>
        </a:prstGeom>
        <a:solidFill>
          <a:sysClr val="window" lastClr="FFFFFF"/>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0195411-43F6-4FDE-9560-D03F0411FB48}">
      <dsp:nvSpPr>
        <dsp:cNvPr id="0" name=""/>
        <dsp:cNvSpPr/>
      </dsp:nvSpPr>
      <dsp:spPr>
        <a:xfrm>
          <a:off x="704951" y="1132789"/>
          <a:ext cx="2310335" cy="2275022"/>
        </a:xfrm>
        <a:prstGeom prst="ellipse">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06FACC8-C11D-4A76-AF03-6E3C470B6DEF}">
      <dsp:nvSpPr>
        <dsp:cNvPr id="0" name=""/>
        <dsp:cNvSpPr/>
      </dsp:nvSpPr>
      <dsp:spPr>
        <a:xfrm>
          <a:off x="1168837" y="1574375"/>
          <a:ext cx="1382564" cy="1391850"/>
        </a:xfrm>
        <a:prstGeom prst="ellipse">
          <a:avLst/>
        </a:prstGeom>
        <a:solidFill>
          <a:schemeClr val="accent5">
            <a:lumMod val="40000"/>
            <a:lumOff val="6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67E6DFA-7439-47DB-8FBF-16EC7364E129}">
      <dsp:nvSpPr>
        <dsp:cNvPr id="0" name=""/>
        <dsp:cNvSpPr/>
      </dsp:nvSpPr>
      <dsp:spPr>
        <a:xfrm>
          <a:off x="1605965" y="2011503"/>
          <a:ext cx="508307" cy="517594"/>
        </a:xfrm>
        <a:prstGeom prst="ellipse">
          <a:avLst/>
        </a:prstGeom>
        <a:solidFill>
          <a:schemeClr val="accent5">
            <a:lumMod val="20000"/>
            <a:lumOff val="8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1F53B58-3A82-44B6-891A-E6723E7D4C64}">
      <dsp:nvSpPr>
        <dsp:cNvPr id="0" name=""/>
        <dsp:cNvSpPr/>
      </dsp:nvSpPr>
      <dsp:spPr>
        <a:xfrm>
          <a:off x="3652044" y="-44759"/>
          <a:ext cx="2233186" cy="87326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just"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Holistic appraoch and PC </a:t>
          </a: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YP at the centre of their educational journey - their </a:t>
          </a: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voices </a:t>
          </a: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heard during any transitional experience - </a:t>
          </a: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involvement</a:t>
          </a: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in developing transition policy and practice.</a:t>
          </a:r>
        </a:p>
      </dsp:txBody>
      <dsp:txXfrm>
        <a:off x="3652044" y="-44759"/>
        <a:ext cx="2233186" cy="873269"/>
      </dsp:txXfrm>
    </dsp:sp>
    <dsp:sp modelId="{DF265E5B-4A3F-4792-AAD5-0035DAFF915D}">
      <dsp:nvSpPr>
        <dsp:cNvPr id="0" name=""/>
        <dsp:cNvSpPr/>
      </dsp:nvSpPr>
      <dsp:spPr>
        <a:xfrm>
          <a:off x="3297005" y="376927"/>
          <a:ext cx="331589" cy="0"/>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7A482744-86EF-475D-847E-75353058D144}">
      <dsp:nvSpPr>
        <dsp:cNvPr id="0" name=""/>
        <dsp:cNvSpPr/>
      </dsp:nvSpPr>
      <dsp:spPr>
        <a:xfrm rot="5400000">
          <a:off x="1630217" y="585828"/>
          <a:ext cx="1874583" cy="1458991"/>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4897D08B-9CFD-4D01-94C7-1F6BE66B06B0}">
      <dsp:nvSpPr>
        <dsp:cNvPr id="0" name=""/>
        <dsp:cNvSpPr/>
      </dsp:nvSpPr>
      <dsp:spPr>
        <a:xfrm>
          <a:off x="3646510" y="870274"/>
          <a:ext cx="2358049" cy="6344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endPar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a:p>
          <a:pPr marL="0" lvl="0" indent="0" algn="just" defTabSz="444500">
            <a:lnSpc>
              <a:spcPct val="100000"/>
            </a:lnSpc>
            <a:spcBef>
              <a:spcPct val="0"/>
            </a:spcBef>
            <a:spcAft>
              <a:spcPct val="35000"/>
            </a:spcAft>
            <a:buNone/>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Security</a:t>
          </a: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and support provided through building relationships - friends, family, teaching staff, external practitioners - working together to help to support a smooth transition. </a:t>
          </a:r>
        </a:p>
        <a:p>
          <a:pPr marL="0" lvl="0" indent="0" algn="just" defTabSz="444500">
            <a:lnSpc>
              <a:spcPct val="100000"/>
            </a:lnSpc>
            <a:spcBef>
              <a:spcPct val="0"/>
            </a:spcBef>
            <a:spcAft>
              <a:spcPct val="35000"/>
            </a:spcAft>
            <a:buNone/>
          </a:pPr>
          <a:endPar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646510" y="870274"/>
        <a:ext cx="2358049" cy="634440"/>
      </dsp:txXfrm>
    </dsp:sp>
    <dsp:sp modelId="{3C602924-F0AA-4254-B9DE-21518C146046}">
      <dsp:nvSpPr>
        <dsp:cNvPr id="0" name=""/>
        <dsp:cNvSpPr/>
      </dsp:nvSpPr>
      <dsp:spPr>
        <a:xfrm>
          <a:off x="3297005" y="1011367"/>
          <a:ext cx="331589" cy="0"/>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2B4AB58C-A319-4B04-AED4-EB591D256905}">
      <dsp:nvSpPr>
        <dsp:cNvPr id="0" name=""/>
        <dsp:cNvSpPr/>
      </dsp:nvSpPr>
      <dsp:spPr>
        <a:xfrm rot="5400000">
          <a:off x="1954732" y="1209879"/>
          <a:ext cx="1539457" cy="1142876"/>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F3760FE0-1276-4BE4-A6E0-D218F631BBC9}">
      <dsp:nvSpPr>
        <dsp:cNvPr id="0" name=""/>
        <dsp:cNvSpPr/>
      </dsp:nvSpPr>
      <dsp:spPr>
        <a:xfrm>
          <a:off x="3628594" y="1328587"/>
          <a:ext cx="1326356" cy="6344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0256" tIns="48260" rIns="48260" bIns="48260" numCol="1" spcCol="1270" anchor="ctr" anchorCtr="0">
          <a:noAutofit/>
        </a:bodyPr>
        <a:lstStyle/>
        <a:p>
          <a:pPr marL="0" lvl="0" indent="0" algn="l" defTabSz="1689100">
            <a:lnSpc>
              <a:spcPct val="90000"/>
            </a:lnSpc>
            <a:spcBef>
              <a:spcPct val="0"/>
            </a:spcBef>
            <a:spcAft>
              <a:spcPct val="35000"/>
            </a:spcAft>
            <a:buNone/>
          </a:pPr>
          <a:endParaRPr lang="en-GB" sz="3800" kern="1200">
            <a:solidFill>
              <a:sysClr val="windowText" lastClr="000000">
                <a:hueOff val="0"/>
                <a:satOff val="0"/>
                <a:lumOff val="0"/>
                <a:alphaOff val="0"/>
              </a:sysClr>
            </a:solidFill>
            <a:latin typeface="Calibri" panose="020F0502020204030204"/>
            <a:ea typeface="+mn-ea"/>
            <a:cs typeface="+mn-cs"/>
          </a:endParaRPr>
        </a:p>
      </dsp:txBody>
      <dsp:txXfrm>
        <a:off x="3628594" y="1328587"/>
        <a:ext cx="1326356" cy="634440"/>
      </dsp:txXfrm>
    </dsp:sp>
    <dsp:sp modelId="{6C44AD72-5B02-44AA-9C01-5A3EF8976DDB}">
      <dsp:nvSpPr>
        <dsp:cNvPr id="0" name=""/>
        <dsp:cNvSpPr/>
      </dsp:nvSpPr>
      <dsp:spPr>
        <a:xfrm>
          <a:off x="3297005" y="1645808"/>
          <a:ext cx="331589" cy="0"/>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3CD98B2E-F8A8-438E-ACAF-925A08E716CB}">
      <dsp:nvSpPr>
        <dsp:cNvPr id="0" name=""/>
        <dsp:cNvSpPr/>
      </dsp:nvSpPr>
      <dsp:spPr>
        <a:xfrm rot="5400000">
          <a:off x="2268858" y="1791486"/>
          <a:ext cx="1174267" cy="882026"/>
        </a:xfrm>
        <a:prstGeom prst="line">
          <a:avLst/>
        </a:prstGeom>
        <a:solidFill>
          <a:srgbClr val="4472C4">
            <a:hueOff val="0"/>
            <a:satOff val="0"/>
            <a:lumOff val="0"/>
            <a:alphaOff val="0"/>
          </a:srgbClr>
        </a:solidFill>
        <a:ln w="12700" cap="flat" cmpd="sng" algn="ctr">
          <a:solidFill>
            <a:srgbClr val="4472C4">
              <a:tint val="5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75D286CC-B9E2-418A-9955-0BFA5726CECC}">
      <dsp:nvSpPr>
        <dsp:cNvPr id="0" name=""/>
        <dsp:cNvSpPr/>
      </dsp:nvSpPr>
      <dsp:spPr>
        <a:xfrm>
          <a:off x="3674629" y="1250811"/>
          <a:ext cx="2329930" cy="14879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just" defTabSz="4445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Experiential opportunities </a:t>
          </a: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and participation allow YP to develop </a:t>
          </a: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resilience</a:t>
          </a: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to challenges faced during their transitional journey and successfully achieve their </a:t>
          </a: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goals</a:t>
          </a: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and aspirations; thus supporting their overall welbeing.   </a:t>
          </a:r>
        </a:p>
      </dsp:txBody>
      <dsp:txXfrm>
        <a:off x="3674629" y="1250811"/>
        <a:ext cx="2329930" cy="1487927"/>
      </dsp:txXfrm>
    </dsp:sp>
    <dsp:sp modelId="{C778F988-A5F6-452E-ABF3-69A798CF1C62}">
      <dsp:nvSpPr>
        <dsp:cNvPr id="0" name=""/>
        <dsp:cNvSpPr/>
      </dsp:nvSpPr>
      <dsp:spPr>
        <a:xfrm>
          <a:off x="3297005" y="2280248"/>
          <a:ext cx="331589" cy="0"/>
        </a:xfrm>
        <a:prstGeom prst="line">
          <a:avLst/>
        </a:prstGeom>
        <a:solidFill>
          <a:srgbClr val="4472C4">
            <a:hueOff val="0"/>
            <a:satOff val="0"/>
            <a:lumOff val="0"/>
            <a:alphaOff val="0"/>
          </a:srgbClr>
        </a:solidFill>
        <a:ln w="12700" cap="flat" cmpd="sng" algn="ctr">
          <a:noFill/>
          <a:prstDash val="solid"/>
          <a:miter lim="800000"/>
        </a:ln>
        <a:effectLst/>
      </dsp:spPr>
      <dsp:style>
        <a:lnRef idx="2">
          <a:scrgbClr r="0" g="0" b="0"/>
        </a:lnRef>
        <a:fillRef idx="1">
          <a:scrgbClr r="0" g="0" b="0"/>
        </a:fillRef>
        <a:effectRef idx="0">
          <a:scrgbClr r="0" g="0" b="0"/>
        </a:effectRef>
        <a:fontRef idx="minor"/>
      </dsp:style>
    </dsp:sp>
    <dsp:sp modelId="{07AE1502-2F80-4EFA-86F4-C25EDE386860}">
      <dsp:nvSpPr>
        <dsp:cNvPr id="0" name=""/>
        <dsp:cNvSpPr/>
      </dsp:nvSpPr>
      <dsp:spPr>
        <a:xfrm rot="5400000">
          <a:off x="2583735" y="2375392"/>
          <a:ext cx="807131" cy="616313"/>
        </a:xfrm>
        <a:prstGeom prst="line">
          <a:avLst/>
        </a:prstGeom>
        <a:solidFill>
          <a:srgbClr val="4472C4">
            <a:hueOff val="0"/>
            <a:satOff val="0"/>
            <a:lumOff val="0"/>
            <a:alphaOff val="0"/>
          </a:srgbClr>
        </a:solidFill>
        <a:ln w="12700" cap="flat" cmpd="sng" algn="ctr">
          <a:no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E86BAF-80E3-4B08-9962-99D74DD269F1}">
      <dsp:nvSpPr>
        <dsp:cNvPr id="0" name=""/>
        <dsp:cNvSpPr/>
      </dsp:nvSpPr>
      <dsp:spPr>
        <a:xfrm>
          <a:off x="961601" y="0"/>
          <a:ext cx="961601" cy="775758"/>
        </a:xfrm>
        <a:prstGeom prst="trapezoid">
          <a:avLst>
            <a:gd name="adj" fmla="val 61192"/>
          </a:avLst>
        </a:prstGeom>
        <a:solidFill>
          <a:schemeClr val="accent5">
            <a:lumMod val="75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ea typeface="+mn-ea"/>
              <a:cs typeface="Times New Roman" panose="02020603050405020304" pitchFamily="18" charset="0"/>
            </a:rPr>
            <a:t>Resili-ence</a:t>
          </a:r>
        </a:p>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ea typeface="+mn-ea"/>
              <a:cs typeface="Times New Roman" panose="02020603050405020304" pitchFamily="18" charset="0"/>
            </a:rPr>
            <a:t> goals </a:t>
          </a:r>
        </a:p>
      </dsp:txBody>
      <dsp:txXfrm>
        <a:off x="1278069" y="255306"/>
        <a:ext cx="328665" cy="520452"/>
      </dsp:txXfrm>
    </dsp:sp>
    <dsp:sp modelId="{4BE7CF77-0AEA-4CBE-B075-94E65DA8786D}">
      <dsp:nvSpPr>
        <dsp:cNvPr id="0" name=""/>
        <dsp:cNvSpPr/>
      </dsp:nvSpPr>
      <dsp:spPr>
        <a:xfrm>
          <a:off x="490262" y="766410"/>
          <a:ext cx="1923203" cy="775758"/>
        </a:xfrm>
        <a:prstGeom prst="trapezoid">
          <a:avLst>
            <a:gd name="adj" fmla="val 61192"/>
          </a:avLst>
        </a:prstGeom>
        <a:solidFill>
          <a:schemeClr val="accent5">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ea typeface="+mn-ea"/>
              <a:cs typeface="Times New Roman" panose="02020603050405020304" pitchFamily="18" charset="0"/>
            </a:rPr>
            <a:t>Wellbeing  supported  through the PC appraoch to transition  </a:t>
          </a:r>
        </a:p>
      </dsp:txBody>
      <dsp:txXfrm>
        <a:off x="1143291" y="962799"/>
        <a:ext cx="617146" cy="579369"/>
      </dsp:txXfrm>
    </dsp:sp>
    <dsp:sp modelId="{EB2B1308-4B1A-40C0-9C25-E524FDF684F2}">
      <dsp:nvSpPr>
        <dsp:cNvPr id="0" name=""/>
        <dsp:cNvSpPr/>
      </dsp:nvSpPr>
      <dsp:spPr>
        <a:xfrm>
          <a:off x="0" y="1547187"/>
          <a:ext cx="2884805" cy="775758"/>
        </a:xfrm>
        <a:prstGeom prst="trapezoid">
          <a:avLst>
            <a:gd name="adj" fmla="val 61192"/>
          </a:avLst>
        </a:prstGeom>
        <a:solidFill>
          <a:schemeClr val="accent1">
            <a:lumMod val="60000"/>
            <a:lumOff val="4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ea typeface="+mn-ea"/>
              <a:cs typeface="Times New Roman" panose="02020603050405020304" pitchFamily="18" charset="0"/>
            </a:rPr>
            <a:t>Good person centred transition planning and support involving </a:t>
          </a:r>
          <a:r>
            <a:rPr lang="en-GB" sz="1000" b="1" i="1" kern="1200">
              <a:solidFill>
                <a:sysClr val="windowText" lastClr="000000"/>
              </a:solidFill>
              <a:latin typeface="Times New Roman" panose="02020603050405020304" pitchFamily="18" charset="0"/>
              <a:ea typeface="+mn-ea"/>
              <a:cs typeface="Times New Roman" panose="02020603050405020304" pitchFamily="18" charset="0"/>
            </a:rPr>
            <a:t>all YP</a:t>
          </a:r>
        </a:p>
      </dsp:txBody>
      <dsp:txXfrm>
        <a:off x="821308" y="1678113"/>
        <a:ext cx="1242187" cy="64483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5C42EB-8368-42C6-819A-933CD83747DF}">
      <dsp:nvSpPr>
        <dsp:cNvPr id="0" name=""/>
        <dsp:cNvSpPr/>
      </dsp:nvSpPr>
      <dsp:spPr>
        <a:xfrm>
          <a:off x="411479" y="0"/>
          <a:ext cx="4663440" cy="3200400"/>
        </a:xfrm>
        <a:prstGeom prst="rightArrow">
          <a:avLst/>
        </a:prstGeom>
        <a:solidFill>
          <a:srgbClr val="3494BA">
            <a:lumMod val="60000"/>
            <a:lumOff val="40000"/>
          </a:srgbClr>
        </a:solidFill>
        <a:ln>
          <a:noFill/>
        </a:ln>
        <a:effectLst/>
      </dsp:spPr>
      <dsp:style>
        <a:lnRef idx="0">
          <a:scrgbClr r="0" g="0" b="0"/>
        </a:lnRef>
        <a:fillRef idx="1">
          <a:scrgbClr r="0" g="0" b="0"/>
        </a:fillRef>
        <a:effectRef idx="0">
          <a:scrgbClr r="0" g="0" b="0"/>
        </a:effectRef>
        <a:fontRef idx="minor"/>
      </dsp:style>
    </dsp:sp>
    <dsp:sp modelId="{97F3609C-EAE0-409E-8E75-5A50BD23DDF1}">
      <dsp:nvSpPr>
        <dsp:cNvPr id="0" name=""/>
        <dsp:cNvSpPr/>
      </dsp:nvSpPr>
      <dsp:spPr>
        <a:xfrm>
          <a:off x="2745" y="960120"/>
          <a:ext cx="1320700" cy="1280160"/>
        </a:xfrm>
        <a:prstGeom prst="roundRect">
          <a:avLst/>
        </a:prstGeom>
        <a:solidFill>
          <a:srgbClr val="84ACB6">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Holistic, PC approach to transition and wellbeing - embedded within the curriculum.</a:t>
          </a:r>
        </a:p>
      </dsp:txBody>
      <dsp:txXfrm>
        <a:off x="65237" y="1022612"/>
        <a:ext cx="1195716" cy="1155176"/>
      </dsp:txXfrm>
    </dsp:sp>
    <dsp:sp modelId="{CF0FB083-2B45-41E1-9ADF-015B75175F96}">
      <dsp:nvSpPr>
        <dsp:cNvPr id="0" name=""/>
        <dsp:cNvSpPr/>
      </dsp:nvSpPr>
      <dsp:spPr>
        <a:xfrm>
          <a:off x="1389481" y="960120"/>
          <a:ext cx="1320700" cy="1280160"/>
        </a:xfrm>
        <a:prstGeom prst="roundRect">
          <a:avLst/>
        </a:prstGeom>
        <a:solidFill>
          <a:srgbClr val="84ACB6">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All YP's goals and aspirations are valued - opportunities for voice and build relationships.</a:t>
          </a:r>
        </a:p>
      </dsp:txBody>
      <dsp:txXfrm>
        <a:off x="1451973" y="1022612"/>
        <a:ext cx="1195716" cy="1155176"/>
      </dsp:txXfrm>
    </dsp:sp>
    <dsp:sp modelId="{CB58BA98-1110-4D9E-AB88-B3F666B84069}">
      <dsp:nvSpPr>
        <dsp:cNvPr id="0" name=""/>
        <dsp:cNvSpPr/>
      </dsp:nvSpPr>
      <dsp:spPr>
        <a:xfrm>
          <a:off x="2781759" y="965663"/>
          <a:ext cx="1320700" cy="1280160"/>
        </a:xfrm>
        <a:prstGeom prst="roundRect">
          <a:avLst/>
        </a:prstGeom>
        <a:solidFill>
          <a:srgbClr val="84ACB6">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Meaningful, practical experiences.</a:t>
          </a:r>
        </a:p>
      </dsp:txBody>
      <dsp:txXfrm>
        <a:off x="2844251" y="1028155"/>
        <a:ext cx="1195716" cy="1155176"/>
      </dsp:txXfrm>
    </dsp:sp>
    <dsp:sp modelId="{659A42FF-76FC-445B-938A-9CBFD859C08D}">
      <dsp:nvSpPr>
        <dsp:cNvPr id="0" name=""/>
        <dsp:cNvSpPr/>
      </dsp:nvSpPr>
      <dsp:spPr>
        <a:xfrm>
          <a:off x="4162953" y="960120"/>
          <a:ext cx="1320700" cy="1280160"/>
        </a:xfrm>
        <a:prstGeom prst="roundRect">
          <a:avLst/>
        </a:prstGeom>
        <a:solidFill>
          <a:srgbClr val="84ACB6">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Building resilience to successfully reach aspirations and continue on life's journey.</a:t>
          </a:r>
        </a:p>
      </dsp:txBody>
      <dsp:txXfrm>
        <a:off x="4225445" y="1022612"/>
        <a:ext cx="119571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15958</Words>
  <Characters>90965</Characters>
  <Application>Microsoft Office Word</Application>
  <DocSecurity>0</DocSecurity>
  <Lines>758</Lines>
  <Paragraphs>213</Paragraphs>
  <ScaleCrop>false</ScaleCrop>
  <Company/>
  <LinksUpToDate>false</LinksUpToDate>
  <CharactersWithSpaces>106710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G Livingstone</dc:creator>
  <cp:keywords/>
  <dc:description/>
  <cp:lastModifiedBy>Deborah G Livingstone</cp:lastModifiedBy>
  <cp:revision>1</cp:revision>
  <dcterms:created xsi:type="dcterms:W3CDTF">2022-04-25T21:59:00Z</dcterms:created>
  <dcterms:modified xsi:type="dcterms:W3CDTF">2022-04-25T22:00:00Z</dcterms:modified>
</cp:coreProperties>
</file>