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2B33538B" w:rsidR="00063B4C" w:rsidRDefault="00907E97" w:rsidP="00063B4C">
      <w:pPr>
        <w:ind w:right="1229"/>
      </w:pPr>
      <w:r>
        <w:t xml:space="preserve"> </w:t>
      </w: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22337895"/>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AED5A34" w:rsidR="00604A87" w:rsidRPr="00604A87" w:rsidRDefault="00604A87" w:rsidP="00604A87">
      <w:pPr>
        <w:rPr>
          <w:rFonts w:eastAsia="Times New Roman" w:cs="Arial"/>
        </w:rPr>
      </w:pPr>
      <w:r w:rsidRPr="00604A87">
        <w:rPr>
          <w:rFonts w:eastAsia="Times New Roman" w:cs="Arial"/>
        </w:rPr>
        <w:t>Signed</w:t>
      </w:r>
      <w:r w:rsidR="00BB4079">
        <w:rPr>
          <w:rFonts w:eastAsia="Times New Roman" w:cs="Arial"/>
        </w:rPr>
        <w:t xml:space="preserve"> N HAROON</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07655662" w:rsidR="00604A87" w:rsidRPr="00604A87" w:rsidRDefault="00604A87" w:rsidP="00604A87">
      <w:pPr>
        <w:rPr>
          <w:rFonts w:eastAsia="Times New Roman" w:cs="Arial"/>
        </w:rPr>
      </w:pPr>
      <w:r w:rsidRPr="00604A87">
        <w:rPr>
          <w:rFonts w:eastAsia="Times New Roman" w:cs="Arial"/>
        </w:rPr>
        <w:t>Signed</w:t>
      </w:r>
      <w:r w:rsidR="00BB4079">
        <w:rPr>
          <w:rFonts w:eastAsia="Times New Roman" w:cs="Arial"/>
        </w:rPr>
        <w:t xml:space="preserve"> N HAROON</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4F3625AF"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1ABDE2FA" w:rsidR="00604A87" w:rsidRPr="00604A87" w:rsidRDefault="00604A87" w:rsidP="00604A87">
      <w:pPr>
        <w:rPr>
          <w:rFonts w:eastAsia="Times New Roman" w:cs="Arial"/>
        </w:rPr>
      </w:pPr>
      <w:r w:rsidRPr="00604A87">
        <w:rPr>
          <w:rFonts w:eastAsia="Times New Roman" w:cs="Arial"/>
        </w:rPr>
        <w:t>Signe</w:t>
      </w:r>
      <w:r w:rsidR="00BB4079">
        <w:rPr>
          <w:rFonts w:eastAsia="Times New Roman" w:cs="Arial"/>
        </w:rPr>
        <w:t>d N HAROON</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F043696" w:rsidR="00604A87" w:rsidRPr="00604A87" w:rsidRDefault="00604A87" w:rsidP="00604A87">
      <w:pPr>
        <w:rPr>
          <w:rFonts w:eastAsia="Times New Roman" w:cs="Arial"/>
        </w:rPr>
      </w:pPr>
      <w:r w:rsidRPr="00604A87">
        <w:rPr>
          <w:rFonts w:eastAsia="Times New Roman" w:cs="Arial"/>
        </w:rPr>
        <w:t>Signed</w:t>
      </w:r>
      <w:r w:rsidR="000D3914">
        <w:rPr>
          <w:rFonts w:eastAsia="Times New Roman" w:cs="Arial"/>
        </w:rPr>
        <w:t xml:space="preserve"> N HAROON</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74D10353"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w:t>
      </w:r>
      <w:r w:rsidR="00984CA3">
        <w:rPr>
          <w:rFonts w:eastAsia="Times New Roman" w:cs="Arial"/>
        </w:rPr>
        <w:t>'</w:t>
      </w:r>
      <w:r w:rsidRPr="00604A87">
        <w:rPr>
          <w:rFonts w:eastAsia="Times New Roman" w:cs="Arial"/>
        </w:rPr>
        <w:t>s IT system to those who have consent to use the system.</w:t>
      </w:r>
    </w:p>
    <w:p w14:paraId="73D7762F" w14:textId="65FD7EA7" w:rsidR="00604A87" w:rsidRPr="00604A87" w:rsidRDefault="00604A87" w:rsidP="00604A87">
      <w:pPr>
        <w:rPr>
          <w:rFonts w:eastAsia="Times New Roman" w:cs="Arial"/>
        </w:rPr>
      </w:pPr>
      <w:r w:rsidRPr="00604A87">
        <w:rPr>
          <w:rFonts w:eastAsia="Times New Roman" w:cs="Arial"/>
        </w:rPr>
        <w:t>Signed</w:t>
      </w:r>
      <w:r w:rsidR="000D3914">
        <w:rPr>
          <w:rFonts w:eastAsia="Times New Roman" w:cs="Arial"/>
        </w:rPr>
        <w:t xml:space="preserve"> N HAROON</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73A697BB" w14:textId="77777777" w:rsidR="006847DE" w:rsidRPr="006847DE" w:rsidRDefault="006847DE" w:rsidP="006847DE">
      <w:pPr>
        <w:jc w:val="center"/>
        <w:rPr>
          <w:b/>
          <w:bCs/>
          <w:sz w:val="36"/>
          <w:szCs w:val="36"/>
        </w:rPr>
      </w:pPr>
      <w:r w:rsidRPr="006847DE">
        <w:rPr>
          <w:b/>
          <w:bCs/>
          <w:sz w:val="36"/>
          <w:szCs w:val="36"/>
        </w:rPr>
        <w:lastRenderedPageBreak/>
        <w:t xml:space="preserve">How did the COVID-19 pandemic affect the rate of depression and anxiety amongst younger </w:t>
      </w:r>
      <w:proofErr w:type="gramStart"/>
      <w:r w:rsidRPr="006847DE">
        <w:rPr>
          <w:b/>
          <w:bCs/>
          <w:sz w:val="36"/>
          <w:szCs w:val="36"/>
        </w:rPr>
        <w:t>adults(</w:t>
      </w:r>
      <w:proofErr w:type="gramEnd"/>
      <w:r w:rsidRPr="006847DE">
        <w:rPr>
          <w:b/>
          <w:bCs/>
          <w:sz w:val="36"/>
          <w:szCs w:val="36"/>
        </w:rPr>
        <w:t>18-30) in the UK?</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3F8DA723" w14:textId="6CA9DC6B" w:rsidR="00995444" w:rsidRPr="00907E97" w:rsidRDefault="008200B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lang w:val="nl-NL"/>
        </w:rPr>
      </w:pPr>
      <w:r w:rsidRPr="00907E97">
        <w:rPr>
          <w:rFonts w:eastAsia="Arial Unicode MS" w:cs="Arial"/>
          <w:b/>
          <w:sz w:val="56"/>
          <w:szCs w:val="56"/>
          <w:lang w:val="nl-NL"/>
        </w:rPr>
        <w:t>Student Name:</w:t>
      </w:r>
      <w:r w:rsidR="00C23DCB" w:rsidRPr="00907E97">
        <w:rPr>
          <w:rFonts w:eastAsia="Arial Unicode MS" w:cs="Arial"/>
          <w:b/>
          <w:sz w:val="56"/>
          <w:szCs w:val="56"/>
          <w:lang w:val="nl-NL"/>
        </w:rPr>
        <w:t xml:space="preserve"> Nazia Sabrina Haroon</w:t>
      </w:r>
    </w:p>
    <w:p w14:paraId="1B7A2B0A" w14:textId="0C2795F1" w:rsidR="008200BE" w:rsidRPr="00907E97" w:rsidRDefault="008200B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lang w:val="nl-NL"/>
        </w:rPr>
      </w:pPr>
      <w:r w:rsidRPr="00907E97">
        <w:rPr>
          <w:rFonts w:eastAsia="Arial Unicode MS" w:cs="Arial"/>
          <w:b/>
          <w:sz w:val="56"/>
          <w:szCs w:val="56"/>
          <w:lang w:val="nl-NL"/>
        </w:rPr>
        <w:t xml:space="preserve">Student ID: </w:t>
      </w:r>
      <w:r w:rsidR="00DB6FBD" w:rsidRPr="00907E97">
        <w:rPr>
          <w:rFonts w:eastAsia="Arial Unicode MS" w:cs="Arial"/>
          <w:b/>
          <w:sz w:val="56"/>
          <w:szCs w:val="56"/>
          <w:lang w:val="nl-NL"/>
        </w:rPr>
        <w:t>2208947</w:t>
      </w:r>
    </w:p>
    <w:p w14:paraId="3851CFD8" w14:textId="77777777" w:rsidR="00995444" w:rsidRPr="00907E9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lang w:val="nl-NL"/>
        </w:rPr>
      </w:pPr>
      <w:r w:rsidRPr="00907E97">
        <w:rPr>
          <w:rFonts w:eastAsia="Arial Unicode MS" w:cs="Arial Unicode MS"/>
          <w:lang w:val="nl-NL"/>
        </w:rPr>
        <w:tab/>
      </w:r>
    </w:p>
    <w:p w14:paraId="359F5B0D" w14:textId="77777777" w:rsidR="00995444" w:rsidRPr="00907E9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lang w:val="nl-NL"/>
        </w:rPr>
      </w:pPr>
    </w:p>
    <w:p w14:paraId="11885DD2" w14:textId="77777777" w:rsidR="00995444" w:rsidRPr="00907E97"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lang w:val="nl-NL"/>
        </w:rPr>
      </w:pPr>
    </w:p>
    <w:p w14:paraId="2057C793" w14:textId="4B79F1A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r w:rsidR="00C23DCB">
        <w:rPr>
          <w:rFonts w:eastAsia="Arial Unicode MS" w:cs="Arial"/>
          <w:sz w:val="40"/>
          <w:szCs w:val="40"/>
        </w:rPr>
        <w:t>.</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3280B">
      <w:pPr>
        <w:pStyle w:val="NormalWeb"/>
        <w:shd w:val="clear" w:color="auto" w:fill="FFFFFF"/>
        <w:spacing w:before="0" w:beforeAutospacing="0" w:after="150" w:afterAutospacing="0" w:line="300" w:lineRule="atLeast"/>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3280B">
      <w:pPr>
        <w:pStyle w:val="NormalWeb"/>
        <w:shd w:val="clear" w:color="auto" w:fill="FFFFFF"/>
        <w:spacing w:before="0" w:beforeAutospacing="0" w:after="150" w:afterAutospacing="0" w:line="300" w:lineRule="atLeast"/>
        <w:jc w:val="both"/>
        <w:rPr>
          <w:rFonts w:ascii="Aptos" w:hAnsi="Aptos" w:cs="Arial"/>
          <w:color w:val="333333"/>
          <w:sz w:val="22"/>
          <w:szCs w:val="22"/>
        </w:rPr>
      </w:pPr>
      <w:r w:rsidRPr="00995444">
        <w:rPr>
          <w:rFonts w:ascii="Aptos" w:hAnsi="Aptos" w:cs="Arial"/>
          <w:color w:val="333333"/>
          <w:sz w:val="22"/>
          <w:szCs w:val="22"/>
        </w:rPr>
        <w:lastRenderedPageBreak/>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68249928" w14:textId="1BD2B8EE"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roofErr w:type="gramStart"/>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w:t>
      </w:r>
      <w:proofErr w:type="gramEnd"/>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3B281E02" w14:textId="77777777" w:rsidR="003108C0" w:rsidRPr="003108C0" w:rsidRDefault="003108C0" w:rsidP="003108C0">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w:rPr>
      </w:pPr>
      <w:r w:rsidRPr="003108C0">
        <w:rPr>
          <w:rFonts w:eastAsia="Arial Unicode MS" w:cs="Arial"/>
        </w:rPr>
        <w:t>The COVID-19 pandemic had a major impact on everyday life and created serious challenges for mental health across the world. In the UK, young adults aged 18–30 were particularly affected due to disrupted education, job insecurity, social isolation, and uncertainty about the future. This dissertation explores how the COVID-19 pandemic affected the rates of depression and anxiety among young adults in the UK and why this issue is important for health and social care practice.</w:t>
      </w:r>
    </w:p>
    <w:p w14:paraId="0D13FBEF" w14:textId="0A0DD8B2" w:rsidR="003108C0" w:rsidRPr="003108C0" w:rsidRDefault="003108C0" w:rsidP="003108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w:rPr>
      </w:pPr>
      <w:r w:rsidRPr="003108C0">
        <w:rPr>
          <w:rFonts w:eastAsia="Arial Unicode MS" w:cs="Arial"/>
        </w:rPr>
        <w:t>Th</w:t>
      </w:r>
      <w:r w:rsidR="00C23DCB">
        <w:rPr>
          <w:rFonts w:eastAsia="Arial Unicode MS" w:cs="Arial"/>
        </w:rPr>
        <w:t>is study aimed</w:t>
      </w:r>
      <w:r w:rsidRPr="003108C0">
        <w:rPr>
          <w:rFonts w:eastAsia="Arial Unicode MS" w:cs="Arial"/>
        </w:rPr>
        <w:t xml:space="preserve"> to examine changes in depression and anxiety during the pandemic and to understand the main factors contributing to poor mental health outcomes in this age group. A desk-based literature review was used as the research method. Relevant academic articles, government reports, and public health data published from 2020 onwards were systematically searched and analysed. A thematic analysis approach was applied to identify key patterns and themes across the literature.</w:t>
      </w:r>
    </w:p>
    <w:p w14:paraId="52B4C50F" w14:textId="77777777" w:rsidR="003108C0" w:rsidRPr="003108C0" w:rsidRDefault="003108C0" w:rsidP="003108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w:rPr>
      </w:pPr>
      <w:r w:rsidRPr="003108C0">
        <w:rPr>
          <w:rFonts w:eastAsia="Arial Unicode MS" w:cs="Arial"/>
        </w:rPr>
        <w:t>The findings show that rates of depression and anxiety increased significantly among young adults during the pandemic. Three main themes were identified: social isolation, economic and financial insecurity, and difficulties accessing mental health services alongside individual resilience. Lockdowns and reduced social contact led to increased loneliness and emotional distress. Job losses, reduced income, and financial uncertainty increased stress and anxiety. At the same time, many young adults experienced long waiting times and barriers to accessing mental health support, which worsened symptoms. Some individuals showed resilience through coping strategies and social support, but this was not sufficient for everyone.</w:t>
      </w:r>
    </w:p>
    <w:p w14:paraId="7BF8A3FE" w14:textId="77777777" w:rsidR="003108C0" w:rsidRPr="003108C0" w:rsidRDefault="003108C0" w:rsidP="003108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w:rPr>
      </w:pPr>
      <w:r w:rsidRPr="003108C0">
        <w:rPr>
          <w:rFonts w:eastAsia="Arial Unicode MS" w:cs="Arial"/>
        </w:rPr>
        <w:t xml:space="preserve">This study has some limitations, including reliance on existing literature and self-reported data, which may affect accuracy. However, the findings highlight important implications for practice. The dissertation recommends improving early access to mental health services, addressing social and economic inequalities, and strengthening resilience </w:t>
      </w:r>
      <w:r w:rsidRPr="003108C0">
        <w:rPr>
          <w:rFonts w:eastAsia="Arial Unicode MS" w:cs="Arial"/>
        </w:rPr>
        <w:lastRenderedPageBreak/>
        <w:t xml:space="preserve">through education and community support. These recommendations aim to better support young adults’ mental health in future public health crises and beyond. </w:t>
      </w:r>
    </w:p>
    <w:p w14:paraId="101AA6A9" w14:textId="760F11BB" w:rsidR="0025020C" w:rsidRDefault="0025020C"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Pr>
          <w:rFonts w:ascii="Times New Roman" w:eastAsia="Arial Unicode MS" w:hAnsi="Times New Roman" w:cs="Times New Roman"/>
          <w:b/>
          <w:sz w:val="24"/>
          <w:szCs w:val="24"/>
        </w:rPr>
        <w:t xml:space="preserve">   </w:t>
      </w:r>
      <w:r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5BFA27A" w14:textId="795692A1" w:rsidR="00804B94" w:rsidRPr="00EF6341" w:rsidRDefault="00804B94" w:rsidP="00804B94">
      <w:pPr>
        <w:pStyle w:val="Heading1"/>
        <w:spacing w:line="360" w:lineRule="auto"/>
        <w:ind w:left="0"/>
        <w:jc w:val="center"/>
        <w:rPr>
          <w:rFonts w:ascii="Aptos" w:hAnsi="Aptos"/>
          <w:b w:val="0"/>
        </w:rPr>
      </w:pPr>
      <w:bookmarkStart w:id="1" w:name="_Toc222337896"/>
      <w:r>
        <w:rPr>
          <w:rFonts w:ascii="Aptos" w:hAnsi="Aptos"/>
        </w:rPr>
        <w:t>Table of Contents</w:t>
      </w:r>
      <w:bookmarkEnd w:id="1"/>
    </w:p>
    <w:sdt>
      <w:sdtPr>
        <w:rPr>
          <w:rFonts w:ascii="Aptos" w:eastAsiaTheme="minorEastAsia" w:hAnsi="Aptos" w:cstheme="minorBidi"/>
          <w:color w:val="auto"/>
          <w:kern w:val="2"/>
          <w:sz w:val="22"/>
          <w:szCs w:val="22"/>
          <w:lang w:val="en-GB" w:eastAsia="zh-CN"/>
          <w14:ligatures w14:val="standardContextual"/>
        </w:rPr>
        <w:id w:val="823781245"/>
        <w:docPartObj>
          <w:docPartGallery w:val="Table of Contents"/>
          <w:docPartUnique/>
        </w:docPartObj>
      </w:sdtPr>
      <w:sdtEndPr>
        <w:rPr>
          <w:b/>
          <w:bCs/>
          <w:noProof/>
        </w:rPr>
      </w:sdtEndPr>
      <w:sdtContent>
        <w:p w14:paraId="63057285" w14:textId="086151D5" w:rsidR="008200BE" w:rsidRDefault="008200BE">
          <w:pPr>
            <w:pStyle w:val="TOCHeading"/>
          </w:pPr>
          <w:r>
            <w:t>Contents</w:t>
          </w:r>
        </w:p>
        <w:p w14:paraId="3F804865" w14:textId="1CD23836" w:rsidR="00DC0424" w:rsidRDefault="008200BE">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2337895" w:history="1">
            <w:r w:rsidR="00DC0424" w:rsidRPr="00D91934">
              <w:rPr>
                <w:rStyle w:val="Hyperlink"/>
                <w:rFonts w:cs="Arial"/>
                <w:noProof/>
                <w:lang w:bidi="en-GB"/>
              </w:rPr>
              <w:t>Disclaimer</w:t>
            </w:r>
            <w:r w:rsidR="00DC0424">
              <w:rPr>
                <w:noProof/>
                <w:webHidden/>
              </w:rPr>
              <w:tab/>
            </w:r>
            <w:r w:rsidR="00DC0424">
              <w:rPr>
                <w:noProof/>
                <w:webHidden/>
              </w:rPr>
              <w:fldChar w:fldCharType="begin"/>
            </w:r>
            <w:r w:rsidR="00DC0424">
              <w:rPr>
                <w:noProof/>
                <w:webHidden/>
              </w:rPr>
              <w:instrText xml:space="preserve"> PAGEREF _Toc222337895 \h </w:instrText>
            </w:r>
            <w:r w:rsidR="00DC0424">
              <w:rPr>
                <w:noProof/>
                <w:webHidden/>
              </w:rPr>
            </w:r>
            <w:r w:rsidR="00DC0424">
              <w:rPr>
                <w:noProof/>
                <w:webHidden/>
              </w:rPr>
              <w:fldChar w:fldCharType="separate"/>
            </w:r>
            <w:r w:rsidR="00DC0424">
              <w:rPr>
                <w:noProof/>
                <w:webHidden/>
              </w:rPr>
              <w:t>1</w:t>
            </w:r>
            <w:r w:rsidR="00DC0424">
              <w:rPr>
                <w:noProof/>
                <w:webHidden/>
              </w:rPr>
              <w:fldChar w:fldCharType="end"/>
            </w:r>
          </w:hyperlink>
        </w:p>
        <w:p w14:paraId="376613D3" w14:textId="24513F74" w:rsidR="00DC0424" w:rsidRDefault="00DC0424">
          <w:pPr>
            <w:pStyle w:val="TOC1"/>
            <w:tabs>
              <w:tab w:val="right" w:leader="dot" w:pos="9016"/>
            </w:tabs>
            <w:rPr>
              <w:rFonts w:asciiTheme="minorHAnsi" w:hAnsiTheme="minorHAnsi"/>
              <w:noProof/>
              <w:sz w:val="24"/>
              <w:szCs w:val="24"/>
              <w:lang w:eastAsia="en-GB"/>
            </w:rPr>
          </w:pPr>
          <w:hyperlink w:anchor="_Toc222337896" w:history="1">
            <w:r w:rsidRPr="00D91934">
              <w:rPr>
                <w:rStyle w:val="Hyperlink"/>
                <w:noProof/>
                <w:lang w:bidi="en-GB"/>
              </w:rPr>
              <w:t>Table of Contents</w:t>
            </w:r>
            <w:r>
              <w:rPr>
                <w:noProof/>
                <w:webHidden/>
              </w:rPr>
              <w:tab/>
            </w:r>
            <w:r>
              <w:rPr>
                <w:noProof/>
                <w:webHidden/>
              </w:rPr>
              <w:fldChar w:fldCharType="begin"/>
            </w:r>
            <w:r>
              <w:rPr>
                <w:noProof/>
                <w:webHidden/>
              </w:rPr>
              <w:instrText xml:space="preserve"> PAGEREF _Toc222337896 \h </w:instrText>
            </w:r>
            <w:r>
              <w:rPr>
                <w:noProof/>
                <w:webHidden/>
              </w:rPr>
            </w:r>
            <w:r>
              <w:rPr>
                <w:noProof/>
                <w:webHidden/>
              </w:rPr>
              <w:fldChar w:fldCharType="separate"/>
            </w:r>
            <w:r>
              <w:rPr>
                <w:noProof/>
                <w:webHidden/>
              </w:rPr>
              <w:t>5</w:t>
            </w:r>
            <w:r>
              <w:rPr>
                <w:noProof/>
                <w:webHidden/>
              </w:rPr>
              <w:fldChar w:fldCharType="end"/>
            </w:r>
          </w:hyperlink>
        </w:p>
        <w:p w14:paraId="621343EA" w14:textId="6EA85E1C" w:rsidR="00DC0424" w:rsidRDefault="00DC0424">
          <w:pPr>
            <w:pStyle w:val="TOC1"/>
            <w:tabs>
              <w:tab w:val="right" w:leader="dot" w:pos="9016"/>
            </w:tabs>
            <w:rPr>
              <w:rFonts w:asciiTheme="minorHAnsi" w:hAnsiTheme="minorHAnsi"/>
              <w:noProof/>
              <w:sz w:val="24"/>
              <w:szCs w:val="24"/>
              <w:lang w:eastAsia="en-GB"/>
            </w:rPr>
          </w:pPr>
          <w:hyperlink w:anchor="_Toc222337897" w:history="1">
            <w:r w:rsidRPr="00D91934">
              <w:rPr>
                <w:rStyle w:val="Hyperlink"/>
                <w:noProof/>
                <w:lang w:bidi="en-GB"/>
              </w:rPr>
              <w:t>Chapter 1 – Introduction</w:t>
            </w:r>
            <w:r>
              <w:rPr>
                <w:noProof/>
                <w:webHidden/>
              </w:rPr>
              <w:tab/>
            </w:r>
            <w:r>
              <w:rPr>
                <w:noProof/>
                <w:webHidden/>
              </w:rPr>
              <w:fldChar w:fldCharType="begin"/>
            </w:r>
            <w:r>
              <w:rPr>
                <w:noProof/>
                <w:webHidden/>
              </w:rPr>
              <w:instrText xml:space="preserve"> PAGEREF _Toc222337897 \h </w:instrText>
            </w:r>
            <w:r>
              <w:rPr>
                <w:noProof/>
                <w:webHidden/>
              </w:rPr>
            </w:r>
            <w:r>
              <w:rPr>
                <w:noProof/>
                <w:webHidden/>
              </w:rPr>
              <w:fldChar w:fldCharType="separate"/>
            </w:r>
            <w:r>
              <w:rPr>
                <w:noProof/>
                <w:webHidden/>
              </w:rPr>
              <w:t>6</w:t>
            </w:r>
            <w:r>
              <w:rPr>
                <w:noProof/>
                <w:webHidden/>
              </w:rPr>
              <w:fldChar w:fldCharType="end"/>
            </w:r>
          </w:hyperlink>
        </w:p>
        <w:p w14:paraId="1821660A" w14:textId="4B16FDF8" w:rsidR="00DC0424" w:rsidRDefault="00DC0424">
          <w:pPr>
            <w:pStyle w:val="TOC1"/>
            <w:tabs>
              <w:tab w:val="right" w:leader="dot" w:pos="9016"/>
            </w:tabs>
            <w:rPr>
              <w:rFonts w:asciiTheme="minorHAnsi" w:hAnsiTheme="minorHAnsi"/>
              <w:noProof/>
              <w:sz w:val="24"/>
              <w:szCs w:val="24"/>
              <w:lang w:eastAsia="en-GB"/>
            </w:rPr>
          </w:pPr>
          <w:hyperlink w:anchor="_Toc222337898" w:history="1">
            <w:r w:rsidRPr="00D91934">
              <w:rPr>
                <w:rStyle w:val="Hyperlink"/>
                <w:noProof/>
                <w:lang w:bidi="en-GB"/>
              </w:rPr>
              <w:t>Chapter 2</w:t>
            </w:r>
            <w:r>
              <w:rPr>
                <w:noProof/>
                <w:webHidden/>
              </w:rPr>
              <w:tab/>
            </w:r>
            <w:r>
              <w:rPr>
                <w:noProof/>
                <w:webHidden/>
              </w:rPr>
              <w:fldChar w:fldCharType="begin"/>
            </w:r>
            <w:r>
              <w:rPr>
                <w:noProof/>
                <w:webHidden/>
              </w:rPr>
              <w:instrText xml:space="preserve"> PAGEREF _Toc222337898 \h </w:instrText>
            </w:r>
            <w:r>
              <w:rPr>
                <w:noProof/>
                <w:webHidden/>
              </w:rPr>
            </w:r>
            <w:r>
              <w:rPr>
                <w:noProof/>
                <w:webHidden/>
              </w:rPr>
              <w:fldChar w:fldCharType="separate"/>
            </w:r>
            <w:r>
              <w:rPr>
                <w:noProof/>
                <w:webHidden/>
              </w:rPr>
              <w:t>10</w:t>
            </w:r>
            <w:r>
              <w:rPr>
                <w:noProof/>
                <w:webHidden/>
              </w:rPr>
              <w:fldChar w:fldCharType="end"/>
            </w:r>
          </w:hyperlink>
        </w:p>
        <w:p w14:paraId="5454550A" w14:textId="1B3E6C01" w:rsidR="00DC0424" w:rsidRDefault="00DC0424">
          <w:pPr>
            <w:pStyle w:val="TOC2"/>
            <w:tabs>
              <w:tab w:val="right" w:leader="dot" w:pos="9016"/>
            </w:tabs>
            <w:rPr>
              <w:rFonts w:asciiTheme="minorHAnsi" w:hAnsiTheme="minorHAnsi"/>
              <w:noProof/>
              <w:sz w:val="24"/>
              <w:szCs w:val="24"/>
              <w:lang w:eastAsia="en-GB"/>
            </w:rPr>
          </w:pPr>
          <w:hyperlink w:anchor="_Toc222337899" w:history="1">
            <w:r w:rsidRPr="00D91934">
              <w:rPr>
                <w:rStyle w:val="Hyperlink"/>
                <w:noProof/>
              </w:rPr>
              <w:t>2.1 Introduction</w:t>
            </w:r>
            <w:r>
              <w:rPr>
                <w:noProof/>
                <w:webHidden/>
              </w:rPr>
              <w:tab/>
            </w:r>
            <w:r>
              <w:rPr>
                <w:noProof/>
                <w:webHidden/>
              </w:rPr>
              <w:fldChar w:fldCharType="begin"/>
            </w:r>
            <w:r>
              <w:rPr>
                <w:noProof/>
                <w:webHidden/>
              </w:rPr>
              <w:instrText xml:space="preserve"> PAGEREF _Toc222337899 \h </w:instrText>
            </w:r>
            <w:r>
              <w:rPr>
                <w:noProof/>
                <w:webHidden/>
              </w:rPr>
            </w:r>
            <w:r>
              <w:rPr>
                <w:noProof/>
                <w:webHidden/>
              </w:rPr>
              <w:fldChar w:fldCharType="separate"/>
            </w:r>
            <w:r>
              <w:rPr>
                <w:noProof/>
                <w:webHidden/>
              </w:rPr>
              <w:t>10</w:t>
            </w:r>
            <w:r>
              <w:rPr>
                <w:noProof/>
                <w:webHidden/>
              </w:rPr>
              <w:fldChar w:fldCharType="end"/>
            </w:r>
          </w:hyperlink>
        </w:p>
        <w:p w14:paraId="424F3E71" w14:textId="68676143" w:rsidR="00DC0424" w:rsidRDefault="00DC0424">
          <w:pPr>
            <w:pStyle w:val="TOC2"/>
            <w:tabs>
              <w:tab w:val="right" w:leader="dot" w:pos="9016"/>
            </w:tabs>
            <w:rPr>
              <w:rFonts w:asciiTheme="minorHAnsi" w:hAnsiTheme="minorHAnsi"/>
              <w:noProof/>
              <w:sz w:val="24"/>
              <w:szCs w:val="24"/>
              <w:lang w:eastAsia="en-GB"/>
            </w:rPr>
          </w:pPr>
          <w:hyperlink w:anchor="_Toc222337900" w:history="1">
            <w:r w:rsidRPr="00D91934">
              <w:rPr>
                <w:rStyle w:val="Hyperlink"/>
                <w:noProof/>
              </w:rPr>
              <w:t>2.2 Historical Background</w:t>
            </w:r>
            <w:r>
              <w:rPr>
                <w:noProof/>
                <w:webHidden/>
              </w:rPr>
              <w:tab/>
            </w:r>
            <w:r>
              <w:rPr>
                <w:noProof/>
                <w:webHidden/>
              </w:rPr>
              <w:fldChar w:fldCharType="begin"/>
            </w:r>
            <w:r>
              <w:rPr>
                <w:noProof/>
                <w:webHidden/>
              </w:rPr>
              <w:instrText xml:space="preserve"> PAGEREF _Toc222337900 \h </w:instrText>
            </w:r>
            <w:r>
              <w:rPr>
                <w:noProof/>
                <w:webHidden/>
              </w:rPr>
            </w:r>
            <w:r>
              <w:rPr>
                <w:noProof/>
                <w:webHidden/>
              </w:rPr>
              <w:fldChar w:fldCharType="separate"/>
            </w:r>
            <w:r>
              <w:rPr>
                <w:noProof/>
                <w:webHidden/>
              </w:rPr>
              <w:t>10</w:t>
            </w:r>
            <w:r>
              <w:rPr>
                <w:noProof/>
                <w:webHidden/>
              </w:rPr>
              <w:fldChar w:fldCharType="end"/>
            </w:r>
          </w:hyperlink>
        </w:p>
        <w:p w14:paraId="751B5EC6" w14:textId="05ED31E4" w:rsidR="00DC0424" w:rsidRDefault="00DC0424">
          <w:pPr>
            <w:pStyle w:val="TOC2"/>
            <w:tabs>
              <w:tab w:val="right" w:leader="dot" w:pos="9016"/>
            </w:tabs>
            <w:rPr>
              <w:rFonts w:asciiTheme="minorHAnsi" w:hAnsiTheme="minorHAnsi"/>
              <w:noProof/>
              <w:sz w:val="24"/>
              <w:szCs w:val="24"/>
              <w:lang w:eastAsia="en-GB"/>
            </w:rPr>
          </w:pPr>
          <w:hyperlink w:anchor="_Toc222337901" w:history="1">
            <w:r w:rsidRPr="00D91934">
              <w:rPr>
                <w:rStyle w:val="Hyperlink"/>
                <w:noProof/>
              </w:rPr>
              <w:t>2.3 Theoretical Background</w:t>
            </w:r>
            <w:r>
              <w:rPr>
                <w:noProof/>
                <w:webHidden/>
              </w:rPr>
              <w:tab/>
            </w:r>
            <w:r>
              <w:rPr>
                <w:noProof/>
                <w:webHidden/>
              </w:rPr>
              <w:fldChar w:fldCharType="begin"/>
            </w:r>
            <w:r>
              <w:rPr>
                <w:noProof/>
                <w:webHidden/>
              </w:rPr>
              <w:instrText xml:space="preserve"> PAGEREF _Toc222337901 \h </w:instrText>
            </w:r>
            <w:r>
              <w:rPr>
                <w:noProof/>
                <w:webHidden/>
              </w:rPr>
            </w:r>
            <w:r>
              <w:rPr>
                <w:noProof/>
                <w:webHidden/>
              </w:rPr>
              <w:fldChar w:fldCharType="separate"/>
            </w:r>
            <w:r>
              <w:rPr>
                <w:noProof/>
                <w:webHidden/>
              </w:rPr>
              <w:t>11</w:t>
            </w:r>
            <w:r>
              <w:rPr>
                <w:noProof/>
                <w:webHidden/>
              </w:rPr>
              <w:fldChar w:fldCharType="end"/>
            </w:r>
          </w:hyperlink>
        </w:p>
        <w:p w14:paraId="360FB715" w14:textId="446FF604" w:rsidR="00DC0424" w:rsidRDefault="00DC0424">
          <w:pPr>
            <w:pStyle w:val="TOC2"/>
            <w:tabs>
              <w:tab w:val="right" w:leader="dot" w:pos="9016"/>
            </w:tabs>
            <w:rPr>
              <w:rFonts w:asciiTheme="minorHAnsi" w:hAnsiTheme="minorHAnsi"/>
              <w:noProof/>
              <w:sz w:val="24"/>
              <w:szCs w:val="24"/>
              <w:lang w:eastAsia="en-GB"/>
            </w:rPr>
          </w:pPr>
          <w:hyperlink w:anchor="_Toc222337902" w:history="1">
            <w:r w:rsidRPr="00D91934">
              <w:rPr>
                <w:rStyle w:val="Hyperlink"/>
                <w:noProof/>
              </w:rPr>
              <w:t>Stress-Vulnerability Model</w:t>
            </w:r>
            <w:r>
              <w:rPr>
                <w:noProof/>
                <w:webHidden/>
              </w:rPr>
              <w:tab/>
            </w:r>
            <w:r>
              <w:rPr>
                <w:noProof/>
                <w:webHidden/>
              </w:rPr>
              <w:fldChar w:fldCharType="begin"/>
            </w:r>
            <w:r>
              <w:rPr>
                <w:noProof/>
                <w:webHidden/>
              </w:rPr>
              <w:instrText xml:space="preserve"> PAGEREF _Toc222337902 \h </w:instrText>
            </w:r>
            <w:r>
              <w:rPr>
                <w:noProof/>
                <w:webHidden/>
              </w:rPr>
            </w:r>
            <w:r>
              <w:rPr>
                <w:noProof/>
                <w:webHidden/>
              </w:rPr>
              <w:fldChar w:fldCharType="separate"/>
            </w:r>
            <w:r>
              <w:rPr>
                <w:noProof/>
                <w:webHidden/>
              </w:rPr>
              <w:t>12</w:t>
            </w:r>
            <w:r>
              <w:rPr>
                <w:noProof/>
                <w:webHidden/>
              </w:rPr>
              <w:fldChar w:fldCharType="end"/>
            </w:r>
          </w:hyperlink>
        </w:p>
        <w:p w14:paraId="13EF82DD" w14:textId="5BC4053A" w:rsidR="00DC0424" w:rsidRDefault="00DC0424">
          <w:pPr>
            <w:pStyle w:val="TOC2"/>
            <w:tabs>
              <w:tab w:val="right" w:leader="dot" w:pos="9016"/>
            </w:tabs>
            <w:rPr>
              <w:rFonts w:asciiTheme="minorHAnsi" w:hAnsiTheme="minorHAnsi"/>
              <w:noProof/>
              <w:sz w:val="24"/>
              <w:szCs w:val="24"/>
              <w:lang w:eastAsia="en-GB"/>
            </w:rPr>
          </w:pPr>
          <w:hyperlink w:anchor="_Toc222337903" w:history="1">
            <w:r w:rsidRPr="00D91934">
              <w:rPr>
                <w:rStyle w:val="Hyperlink"/>
                <w:noProof/>
              </w:rPr>
              <w:t>Social Determinants of Health Framework</w:t>
            </w:r>
            <w:r>
              <w:rPr>
                <w:noProof/>
                <w:webHidden/>
              </w:rPr>
              <w:tab/>
            </w:r>
            <w:r>
              <w:rPr>
                <w:noProof/>
                <w:webHidden/>
              </w:rPr>
              <w:fldChar w:fldCharType="begin"/>
            </w:r>
            <w:r>
              <w:rPr>
                <w:noProof/>
                <w:webHidden/>
              </w:rPr>
              <w:instrText xml:space="preserve"> PAGEREF _Toc222337903 \h </w:instrText>
            </w:r>
            <w:r>
              <w:rPr>
                <w:noProof/>
                <w:webHidden/>
              </w:rPr>
            </w:r>
            <w:r>
              <w:rPr>
                <w:noProof/>
                <w:webHidden/>
              </w:rPr>
              <w:fldChar w:fldCharType="separate"/>
            </w:r>
            <w:r>
              <w:rPr>
                <w:noProof/>
                <w:webHidden/>
              </w:rPr>
              <w:t>12</w:t>
            </w:r>
            <w:r>
              <w:rPr>
                <w:noProof/>
                <w:webHidden/>
              </w:rPr>
              <w:fldChar w:fldCharType="end"/>
            </w:r>
          </w:hyperlink>
        </w:p>
        <w:p w14:paraId="667C10C7" w14:textId="283F5B78" w:rsidR="00DC0424" w:rsidRDefault="00DC0424">
          <w:pPr>
            <w:pStyle w:val="TOC2"/>
            <w:tabs>
              <w:tab w:val="right" w:leader="dot" w:pos="9016"/>
            </w:tabs>
            <w:rPr>
              <w:rFonts w:asciiTheme="minorHAnsi" w:hAnsiTheme="minorHAnsi"/>
              <w:noProof/>
              <w:sz w:val="24"/>
              <w:szCs w:val="24"/>
              <w:lang w:eastAsia="en-GB"/>
            </w:rPr>
          </w:pPr>
          <w:hyperlink w:anchor="_Toc222337904" w:history="1">
            <w:r w:rsidRPr="00D91934">
              <w:rPr>
                <w:rStyle w:val="Hyperlink"/>
                <w:noProof/>
              </w:rPr>
              <w:t>Resilience Theory</w:t>
            </w:r>
            <w:r>
              <w:rPr>
                <w:noProof/>
                <w:webHidden/>
              </w:rPr>
              <w:tab/>
            </w:r>
            <w:r>
              <w:rPr>
                <w:noProof/>
                <w:webHidden/>
              </w:rPr>
              <w:fldChar w:fldCharType="begin"/>
            </w:r>
            <w:r>
              <w:rPr>
                <w:noProof/>
                <w:webHidden/>
              </w:rPr>
              <w:instrText xml:space="preserve"> PAGEREF _Toc222337904 \h </w:instrText>
            </w:r>
            <w:r>
              <w:rPr>
                <w:noProof/>
                <w:webHidden/>
              </w:rPr>
            </w:r>
            <w:r>
              <w:rPr>
                <w:noProof/>
                <w:webHidden/>
              </w:rPr>
              <w:fldChar w:fldCharType="separate"/>
            </w:r>
            <w:r>
              <w:rPr>
                <w:noProof/>
                <w:webHidden/>
              </w:rPr>
              <w:t>12</w:t>
            </w:r>
            <w:r>
              <w:rPr>
                <w:noProof/>
                <w:webHidden/>
              </w:rPr>
              <w:fldChar w:fldCharType="end"/>
            </w:r>
          </w:hyperlink>
        </w:p>
        <w:p w14:paraId="409CA0D9" w14:textId="4980FA2D" w:rsidR="00DC0424" w:rsidRDefault="00DC0424">
          <w:pPr>
            <w:pStyle w:val="TOC2"/>
            <w:tabs>
              <w:tab w:val="right" w:leader="dot" w:pos="9016"/>
            </w:tabs>
            <w:rPr>
              <w:rFonts w:asciiTheme="minorHAnsi" w:hAnsiTheme="minorHAnsi"/>
              <w:noProof/>
              <w:sz w:val="24"/>
              <w:szCs w:val="24"/>
              <w:lang w:eastAsia="en-GB"/>
            </w:rPr>
          </w:pPr>
          <w:hyperlink w:anchor="_Toc222337905" w:history="1">
            <w:r w:rsidRPr="00D91934">
              <w:rPr>
                <w:rStyle w:val="Hyperlink"/>
                <w:noProof/>
              </w:rPr>
              <w:t>Erikson’s Psychosocial Development Theory</w:t>
            </w:r>
            <w:r>
              <w:rPr>
                <w:noProof/>
                <w:webHidden/>
              </w:rPr>
              <w:tab/>
            </w:r>
            <w:r>
              <w:rPr>
                <w:noProof/>
                <w:webHidden/>
              </w:rPr>
              <w:fldChar w:fldCharType="begin"/>
            </w:r>
            <w:r>
              <w:rPr>
                <w:noProof/>
                <w:webHidden/>
              </w:rPr>
              <w:instrText xml:space="preserve"> PAGEREF _Toc222337905 \h </w:instrText>
            </w:r>
            <w:r>
              <w:rPr>
                <w:noProof/>
                <w:webHidden/>
              </w:rPr>
            </w:r>
            <w:r>
              <w:rPr>
                <w:noProof/>
                <w:webHidden/>
              </w:rPr>
              <w:fldChar w:fldCharType="separate"/>
            </w:r>
            <w:r>
              <w:rPr>
                <w:noProof/>
                <w:webHidden/>
              </w:rPr>
              <w:t>12</w:t>
            </w:r>
            <w:r>
              <w:rPr>
                <w:noProof/>
                <w:webHidden/>
              </w:rPr>
              <w:fldChar w:fldCharType="end"/>
            </w:r>
          </w:hyperlink>
        </w:p>
        <w:p w14:paraId="53D376A7" w14:textId="4CAFDB18" w:rsidR="00DC0424" w:rsidRDefault="00DC0424">
          <w:pPr>
            <w:pStyle w:val="TOC2"/>
            <w:tabs>
              <w:tab w:val="right" w:leader="dot" w:pos="9016"/>
            </w:tabs>
            <w:rPr>
              <w:rFonts w:asciiTheme="minorHAnsi" w:hAnsiTheme="minorHAnsi"/>
              <w:noProof/>
              <w:sz w:val="24"/>
              <w:szCs w:val="24"/>
              <w:lang w:eastAsia="en-GB"/>
            </w:rPr>
          </w:pPr>
          <w:hyperlink w:anchor="_Toc222337906" w:history="1">
            <w:r w:rsidRPr="00D91934">
              <w:rPr>
                <w:rStyle w:val="Hyperlink"/>
                <w:noProof/>
              </w:rPr>
              <w:t>Critical Evaluation</w:t>
            </w:r>
            <w:r>
              <w:rPr>
                <w:noProof/>
                <w:webHidden/>
              </w:rPr>
              <w:tab/>
            </w:r>
            <w:r>
              <w:rPr>
                <w:noProof/>
                <w:webHidden/>
              </w:rPr>
              <w:fldChar w:fldCharType="begin"/>
            </w:r>
            <w:r>
              <w:rPr>
                <w:noProof/>
                <w:webHidden/>
              </w:rPr>
              <w:instrText xml:space="preserve"> PAGEREF _Toc222337906 \h </w:instrText>
            </w:r>
            <w:r>
              <w:rPr>
                <w:noProof/>
                <w:webHidden/>
              </w:rPr>
            </w:r>
            <w:r>
              <w:rPr>
                <w:noProof/>
                <w:webHidden/>
              </w:rPr>
              <w:fldChar w:fldCharType="separate"/>
            </w:r>
            <w:r>
              <w:rPr>
                <w:noProof/>
                <w:webHidden/>
              </w:rPr>
              <w:t>13</w:t>
            </w:r>
            <w:r>
              <w:rPr>
                <w:noProof/>
                <w:webHidden/>
              </w:rPr>
              <w:fldChar w:fldCharType="end"/>
            </w:r>
          </w:hyperlink>
        </w:p>
        <w:p w14:paraId="727BCBFE" w14:textId="52398C11" w:rsidR="00DC0424" w:rsidRDefault="00DC0424">
          <w:pPr>
            <w:pStyle w:val="TOC2"/>
            <w:tabs>
              <w:tab w:val="right" w:leader="dot" w:pos="9016"/>
            </w:tabs>
            <w:rPr>
              <w:rFonts w:asciiTheme="minorHAnsi" w:hAnsiTheme="minorHAnsi"/>
              <w:noProof/>
              <w:sz w:val="24"/>
              <w:szCs w:val="24"/>
              <w:lang w:eastAsia="en-GB"/>
            </w:rPr>
          </w:pPr>
          <w:hyperlink w:anchor="_Toc222337907" w:history="1">
            <w:r w:rsidRPr="00D91934">
              <w:rPr>
                <w:rStyle w:val="Hyperlink"/>
                <w:noProof/>
              </w:rPr>
              <w:t>2.4 International Context</w:t>
            </w:r>
            <w:r>
              <w:rPr>
                <w:noProof/>
                <w:webHidden/>
              </w:rPr>
              <w:tab/>
            </w:r>
            <w:r>
              <w:rPr>
                <w:noProof/>
                <w:webHidden/>
              </w:rPr>
              <w:fldChar w:fldCharType="begin"/>
            </w:r>
            <w:r>
              <w:rPr>
                <w:noProof/>
                <w:webHidden/>
              </w:rPr>
              <w:instrText xml:space="preserve"> PAGEREF _Toc222337907 \h </w:instrText>
            </w:r>
            <w:r>
              <w:rPr>
                <w:noProof/>
                <w:webHidden/>
              </w:rPr>
            </w:r>
            <w:r>
              <w:rPr>
                <w:noProof/>
                <w:webHidden/>
              </w:rPr>
              <w:fldChar w:fldCharType="separate"/>
            </w:r>
            <w:r>
              <w:rPr>
                <w:noProof/>
                <w:webHidden/>
              </w:rPr>
              <w:t>13</w:t>
            </w:r>
            <w:r>
              <w:rPr>
                <w:noProof/>
                <w:webHidden/>
              </w:rPr>
              <w:fldChar w:fldCharType="end"/>
            </w:r>
          </w:hyperlink>
        </w:p>
        <w:p w14:paraId="124DBB9F" w14:textId="39B31559" w:rsidR="00DC0424" w:rsidRDefault="00DC0424">
          <w:pPr>
            <w:pStyle w:val="TOC2"/>
            <w:tabs>
              <w:tab w:val="right" w:leader="dot" w:pos="9016"/>
            </w:tabs>
            <w:rPr>
              <w:rFonts w:asciiTheme="minorHAnsi" w:hAnsiTheme="minorHAnsi"/>
              <w:noProof/>
              <w:sz w:val="24"/>
              <w:szCs w:val="24"/>
              <w:lang w:eastAsia="en-GB"/>
            </w:rPr>
          </w:pPr>
          <w:hyperlink w:anchor="_Toc222337908" w:history="1">
            <w:r w:rsidRPr="00D91934">
              <w:rPr>
                <w:rStyle w:val="Hyperlink"/>
                <w:noProof/>
              </w:rPr>
              <w:t>2.5 National and Local UK Context</w:t>
            </w:r>
            <w:r>
              <w:rPr>
                <w:noProof/>
                <w:webHidden/>
              </w:rPr>
              <w:tab/>
            </w:r>
            <w:r>
              <w:rPr>
                <w:noProof/>
                <w:webHidden/>
              </w:rPr>
              <w:fldChar w:fldCharType="begin"/>
            </w:r>
            <w:r>
              <w:rPr>
                <w:noProof/>
                <w:webHidden/>
              </w:rPr>
              <w:instrText xml:space="preserve"> PAGEREF _Toc222337908 \h </w:instrText>
            </w:r>
            <w:r>
              <w:rPr>
                <w:noProof/>
                <w:webHidden/>
              </w:rPr>
            </w:r>
            <w:r>
              <w:rPr>
                <w:noProof/>
                <w:webHidden/>
              </w:rPr>
              <w:fldChar w:fldCharType="separate"/>
            </w:r>
            <w:r>
              <w:rPr>
                <w:noProof/>
                <w:webHidden/>
              </w:rPr>
              <w:t>14</w:t>
            </w:r>
            <w:r>
              <w:rPr>
                <w:noProof/>
                <w:webHidden/>
              </w:rPr>
              <w:fldChar w:fldCharType="end"/>
            </w:r>
          </w:hyperlink>
        </w:p>
        <w:p w14:paraId="4B238F6A" w14:textId="0526DE6B" w:rsidR="00DC0424" w:rsidRDefault="00DC0424">
          <w:pPr>
            <w:pStyle w:val="TOC2"/>
            <w:tabs>
              <w:tab w:val="right" w:leader="dot" w:pos="9016"/>
            </w:tabs>
            <w:rPr>
              <w:rFonts w:asciiTheme="minorHAnsi" w:hAnsiTheme="minorHAnsi"/>
              <w:noProof/>
              <w:sz w:val="24"/>
              <w:szCs w:val="24"/>
              <w:lang w:eastAsia="en-GB"/>
            </w:rPr>
          </w:pPr>
          <w:hyperlink w:anchor="_Toc222337909" w:history="1">
            <w:r w:rsidRPr="00D91934">
              <w:rPr>
                <w:rStyle w:val="Hyperlink"/>
                <w:noProof/>
              </w:rPr>
              <w:t>2.6 Conclusion</w:t>
            </w:r>
            <w:r>
              <w:rPr>
                <w:noProof/>
                <w:webHidden/>
              </w:rPr>
              <w:tab/>
            </w:r>
            <w:r>
              <w:rPr>
                <w:noProof/>
                <w:webHidden/>
              </w:rPr>
              <w:fldChar w:fldCharType="begin"/>
            </w:r>
            <w:r>
              <w:rPr>
                <w:noProof/>
                <w:webHidden/>
              </w:rPr>
              <w:instrText xml:space="preserve"> PAGEREF _Toc222337909 \h </w:instrText>
            </w:r>
            <w:r>
              <w:rPr>
                <w:noProof/>
                <w:webHidden/>
              </w:rPr>
            </w:r>
            <w:r>
              <w:rPr>
                <w:noProof/>
                <w:webHidden/>
              </w:rPr>
              <w:fldChar w:fldCharType="separate"/>
            </w:r>
            <w:r>
              <w:rPr>
                <w:noProof/>
                <w:webHidden/>
              </w:rPr>
              <w:t>17</w:t>
            </w:r>
            <w:r>
              <w:rPr>
                <w:noProof/>
                <w:webHidden/>
              </w:rPr>
              <w:fldChar w:fldCharType="end"/>
            </w:r>
          </w:hyperlink>
        </w:p>
        <w:p w14:paraId="2E41A861" w14:textId="1A5AE54C" w:rsidR="00DC0424" w:rsidRDefault="00DC0424">
          <w:pPr>
            <w:pStyle w:val="TOC2"/>
            <w:tabs>
              <w:tab w:val="right" w:leader="dot" w:pos="9016"/>
            </w:tabs>
            <w:rPr>
              <w:rFonts w:asciiTheme="minorHAnsi" w:hAnsiTheme="minorHAnsi"/>
              <w:noProof/>
              <w:sz w:val="24"/>
              <w:szCs w:val="24"/>
              <w:lang w:eastAsia="en-GB"/>
            </w:rPr>
          </w:pPr>
          <w:hyperlink w:anchor="_Toc222337910" w:history="1">
            <w:r w:rsidRPr="00D91934">
              <w:rPr>
                <w:rStyle w:val="Hyperlink"/>
                <w:noProof/>
              </w:rPr>
              <w:t>3.2 Chapter 3 – Methods and Search Strategy</w:t>
            </w:r>
            <w:r>
              <w:rPr>
                <w:noProof/>
                <w:webHidden/>
              </w:rPr>
              <w:tab/>
            </w:r>
            <w:r>
              <w:rPr>
                <w:noProof/>
                <w:webHidden/>
              </w:rPr>
              <w:fldChar w:fldCharType="begin"/>
            </w:r>
            <w:r>
              <w:rPr>
                <w:noProof/>
                <w:webHidden/>
              </w:rPr>
              <w:instrText xml:space="preserve"> PAGEREF _Toc222337910 \h </w:instrText>
            </w:r>
            <w:r>
              <w:rPr>
                <w:noProof/>
                <w:webHidden/>
              </w:rPr>
            </w:r>
            <w:r>
              <w:rPr>
                <w:noProof/>
                <w:webHidden/>
              </w:rPr>
              <w:fldChar w:fldCharType="separate"/>
            </w:r>
            <w:r>
              <w:rPr>
                <w:noProof/>
                <w:webHidden/>
              </w:rPr>
              <w:t>19</w:t>
            </w:r>
            <w:r>
              <w:rPr>
                <w:noProof/>
                <w:webHidden/>
              </w:rPr>
              <w:fldChar w:fldCharType="end"/>
            </w:r>
          </w:hyperlink>
        </w:p>
        <w:p w14:paraId="27E56708" w14:textId="2E783C5B" w:rsidR="00DC0424" w:rsidRDefault="00DC0424">
          <w:pPr>
            <w:pStyle w:val="TOC2"/>
            <w:tabs>
              <w:tab w:val="right" w:leader="dot" w:pos="9016"/>
            </w:tabs>
            <w:rPr>
              <w:rFonts w:asciiTheme="minorHAnsi" w:hAnsiTheme="minorHAnsi"/>
              <w:noProof/>
              <w:sz w:val="24"/>
              <w:szCs w:val="24"/>
              <w:lang w:eastAsia="en-GB"/>
            </w:rPr>
          </w:pPr>
          <w:hyperlink w:anchor="_Toc222337911" w:history="1">
            <w:r w:rsidRPr="00D91934">
              <w:rPr>
                <w:rStyle w:val="Hyperlink"/>
                <w:noProof/>
              </w:rPr>
              <w:t>3.2.1 Introduction</w:t>
            </w:r>
            <w:r>
              <w:rPr>
                <w:noProof/>
                <w:webHidden/>
              </w:rPr>
              <w:tab/>
            </w:r>
            <w:r>
              <w:rPr>
                <w:noProof/>
                <w:webHidden/>
              </w:rPr>
              <w:fldChar w:fldCharType="begin"/>
            </w:r>
            <w:r>
              <w:rPr>
                <w:noProof/>
                <w:webHidden/>
              </w:rPr>
              <w:instrText xml:space="preserve"> PAGEREF _Toc222337911 \h </w:instrText>
            </w:r>
            <w:r>
              <w:rPr>
                <w:noProof/>
                <w:webHidden/>
              </w:rPr>
            </w:r>
            <w:r>
              <w:rPr>
                <w:noProof/>
                <w:webHidden/>
              </w:rPr>
              <w:fldChar w:fldCharType="separate"/>
            </w:r>
            <w:r>
              <w:rPr>
                <w:noProof/>
                <w:webHidden/>
              </w:rPr>
              <w:t>19</w:t>
            </w:r>
            <w:r>
              <w:rPr>
                <w:noProof/>
                <w:webHidden/>
              </w:rPr>
              <w:fldChar w:fldCharType="end"/>
            </w:r>
          </w:hyperlink>
        </w:p>
        <w:p w14:paraId="26AE76EC" w14:textId="629F62A1" w:rsidR="00DC0424" w:rsidRDefault="00DC0424">
          <w:pPr>
            <w:pStyle w:val="TOC2"/>
            <w:tabs>
              <w:tab w:val="right" w:leader="dot" w:pos="9016"/>
            </w:tabs>
            <w:rPr>
              <w:rFonts w:asciiTheme="minorHAnsi" w:hAnsiTheme="minorHAnsi"/>
              <w:noProof/>
              <w:sz w:val="24"/>
              <w:szCs w:val="24"/>
              <w:lang w:eastAsia="en-GB"/>
            </w:rPr>
          </w:pPr>
          <w:hyperlink w:anchor="_Toc222337912" w:history="1">
            <w:r w:rsidRPr="00D91934">
              <w:rPr>
                <w:rStyle w:val="Hyperlink"/>
                <w:noProof/>
              </w:rPr>
              <w:t>3.2.2 Search Strategy</w:t>
            </w:r>
            <w:r>
              <w:rPr>
                <w:noProof/>
                <w:webHidden/>
              </w:rPr>
              <w:tab/>
            </w:r>
            <w:r>
              <w:rPr>
                <w:noProof/>
                <w:webHidden/>
              </w:rPr>
              <w:fldChar w:fldCharType="begin"/>
            </w:r>
            <w:r>
              <w:rPr>
                <w:noProof/>
                <w:webHidden/>
              </w:rPr>
              <w:instrText xml:space="preserve"> PAGEREF _Toc222337912 \h </w:instrText>
            </w:r>
            <w:r>
              <w:rPr>
                <w:noProof/>
                <w:webHidden/>
              </w:rPr>
            </w:r>
            <w:r>
              <w:rPr>
                <w:noProof/>
                <w:webHidden/>
              </w:rPr>
              <w:fldChar w:fldCharType="separate"/>
            </w:r>
            <w:r>
              <w:rPr>
                <w:noProof/>
                <w:webHidden/>
              </w:rPr>
              <w:t>19</w:t>
            </w:r>
            <w:r>
              <w:rPr>
                <w:noProof/>
                <w:webHidden/>
              </w:rPr>
              <w:fldChar w:fldCharType="end"/>
            </w:r>
          </w:hyperlink>
        </w:p>
        <w:p w14:paraId="0E150D7C" w14:textId="2D44AAA3" w:rsidR="00DC0424" w:rsidRDefault="00DC0424">
          <w:pPr>
            <w:pStyle w:val="TOC2"/>
            <w:tabs>
              <w:tab w:val="right" w:leader="dot" w:pos="9016"/>
            </w:tabs>
            <w:rPr>
              <w:rFonts w:asciiTheme="minorHAnsi" w:hAnsiTheme="minorHAnsi"/>
              <w:noProof/>
              <w:sz w:val="24"/>
              <w:szCs w:val="24"/>
              <w:lang w:eastAsia="en-GB"/>
            </w:rPr>
          </w:pPr>
          <w:hyperlink w:anchor="_Toc222337913" w:history="1">
            <w:r w:rsidRPr="00D91934">
              <w:rPr>
                <w:rStyle w:val="Hyperlink"/>
                <w:noProof/>
              </w:rPr>
              <w:t>3.2.3 Searching for Information</w:t>
            </w:r>
            <w:r>
              <w:rPr>
                <w:noProof/>
                <w:webHidden/>
              </w:rPr>
              <w:tab/>
            </w:r>
            <w:r>
              <w:rPr>
                <w:noProof/>
                <w:webHidden/>
              </w:rPr>
              <w:fldChar w:fldCharType="begin"/>
            </w:r>
            <w:r>
              <w:rPr>
                <w:noProof/>
                <w:webHidden/>
              </w:rPr>
              <w:instrText xml:space="preserve"> PAGEREF _Toc222337913 \h </w:instrText>
            </w:r>
            <w:r>
              <w:rPr>
                <w:noProof/>
                <w:webHidden/>
              </w:rPr>
            </w:r>
            <w:r>
              <w:rPr>
                <w:noProof/>
                <w:webHidden/>
              </w:rPr>
              <w:fldChar w:fldCharType="separate"/>
            </w:r>
            <w:r>
              <w:rPr>
                <w:noProof/>
                <w:webHidden/>
              </w:rPr>
              <w:t>19</w:t>
            </w:r>
            <w:r>
              <w:rPr>
                <w:noProof/>
                <w:webHidden/>
              </w:rPr>
              <w:fldChar w:fldCharType="end"/>
            </w:r>
          </w:hyperlink>
        </w:p>
        <w:p w14:paraId="58B3080A" w14:textId="10D483AD" w:rsidR="00DC0424" w:rsidRDefault="00DC0424">
          <w:pPr>
            <w:pStyle w:val="TOC2"/>
            <w:tabs>
              <w:tab w:val="right" w:leader="dot" w:pos="9016"/>
            </w:tabs>
            <w:rPr>
              <w:rFonts w:asciiTheme="minorHAnsi" w:hAnsiTheme="minorHAnsi"/>
              <w:noProof/>
              <w:sz w:val="24"/>
              <w:szCs w:val="24"/>
              <w:lang w:eastAsia="en-GB"/>
            </w:rPr>
          </w:pPr>
          <w:hyperlink w:anchor="_Toc222337914" w:history="1">
            <w:r w:rsidRPr="00D91934">
              <w:rPr>
                <w:rStyle w:val="Hyperlink"/>
                <w:noProof/>
              </w:rPr>
              <w:t>3.2.4 Research Validation</w:t>
            </w:r>
            <w:r>
              <w:rPr>
                <w:noProof/>
                <w:webHidden/>
              </w:rPr>
              <w:tab/>
            </w:r>
            <w:r>
              <w:rPr>
                <w:noProof/>
                <w:webHidden/>
              </w:rPr>
              <w:fldChar w:fldCharType="begin"/>
            </w:r>
            <w:r>
              <w:rPr>
                <w:noProof/>
                <w:webHidden/>
              </w:rPr>
              <w:instrText xml:space="preserve"> PAGEREF _Toc222337914 \h </w:instrText>
            </w:r>
            <w:r>
              <w:rPr>
                <w:noProof/>
                <w:webHidden/>
              </w:rPr>
            </w:r>
            <w:r>
              <w:rPr>
                <w:noProof/>
                <w:webHidden/>
              </w:rPr>
              <w:fldChar w:fldCharType="separate"/>
            </w:r>
            <w:r>
              <w:rPr>
                <w:noProof/>
                <w:webHidden/>
              </w:rPr>
              <w:t>20</w:t>
            </w:r>
            <w:r>
              <w:rPr>
                <w:noProof/>
                <w:webHidden/>
              </w:rPr>
              <w:fldChar w:fldCharType="end"/>
            </w:r>
          </w:hyperlink>
        </w:p>
        <w:p w14:paraId="67485819" w14:textId="0F8119A7" w:rsidR="00DC0424" w:rsidRDefault="00DC0424">
          <w:pPr>
            <w:pStyle w:val="TOC2"/>
            <w:tabs>
              <w:tab w:val="right" w:leader="dot" w:pos="9016"/>
            </w:tabs>
            <w:rPr>
              <w:rFonts w:asciiTheme="minorHAnsi" w:hAnsiTheme="minorHAnsi"/>
              <w:noProof/>
              <w:sz w:val="24"/>
              <w:szCs w:val="24"/>
              <w:lang w:eastAsia="en-GB"/>
            </w:rPr>
          </w:pPr>
          <w:hyperlink w:anchor="_Toc222337915" w:history="1">
            <w:r w:rsidRPr="00D91934">
              <w:rPr>
                <w:rStyle w:val="Hyperlink"/>
                <w:noProof/>
              </w:rPr>
              <w:t>3.2.5 Inclusion and Exclusion Criteria</w:t>
            </w:r>
            <w:r>
              <w:rPr>
                <w:noProof/>
                <w:webHidden/>
              </w:rPr>
              <w:tab/>
            </w:r>
            <w:r>
              <w:rPr>
                <w:noProof/>
                <w:webHidden/>
              </w:rPr>
              <w:fldChar w:fldCharType="begin"/>
            </w:r>
            <w:r>
              <w:rPr>
                <w:noProof/>
                <w:webHidden/>
              </w:rPr>
              <w:instrText xml:space="preserve"> PAGEREF _Toc222337915 \h </w:instrText>
            </w:r>
            <w:r>
              <w:rPr>
                <w:noProof/>
                <w:webHidden/>
              </w:rPr>
            </w:r>
            <w:r>
              <w:rPr>
                <w:noProof/>
                <w:webHidden/>
              </w:rPr>
              <w:fldChar w:fldCharType="separate"/>
            </w:r>
            <w:r>
              <w:rPr>
                <w:noProof/>
                <w:webHidden/>
              </w:rPr>
              <w:t>20</w:t>
            </w:r>
            <w:r>
              <w:rPr>
                <w:noProof/>
                <w:webHidden/>
              </w:rPr>
              <w:fldChar w:fldCharType="end"/>
            </w:r>
          </w:hyperlink>
        </w:p>
        <w:p w14:paraId="5D68A992" w14:textId="32E15F60" w:rsidR="00DC0424" w:rsidRDefault="00DC0424">
          <w:pPr>
            <w:pStyle w:val="TOC2"/>
            <w:tabs>
              <w:tab w:val="right" w:leader="dot" w:pos="9016"/>
            </w:tabs>
            <w:rPr>
              <w:rFonts w:asciiTheme="minorHAnsi" w:hAnsiTheme="minorHAnsi"/>
              <w:noProof/>
              <w:sz w:val="24"/>
              <w:szCs w:val="24"/>
              <w:lang w:eastAsia="en-GB"/>
            </w:rPr>
          </w:pPr>
          <w:hyperlink w:anchor="_Toc222337916" w:history="1">
            <w:r w:rsidRPr="00D91934">
              <w:rPr>
                <w:rStyle w:val="Hyperlink"/>
                <w:noProof/>
              </w:rPr>
              <w:t>3.2.6 Analysing Research</w:t>
            </w:r>
            <w:r>
              <w:rPr>
                <w:noProof/>
                <w:webHidden/>
              </w:rPr>
              <w:tab/>
            </w:r>
            <w:r>
              <w:rPr>
                <w:noProof/>
                <w:webHidden/>
              </w:rPr>
              <w:fldChar w:fldCharType="begin"/>
            </w:r>
            <w:r>
              <w:rPr>
                <w:noProof/>
                <w:webHidden/>
              </w:rPr>
              <w:instrText xml:space="preserve"> PAGEREF _Toc222337916 \h </w:instrText>
            </w:r>
            <w:r>
              <w:rPr>
                <w:noProof/>
                <w:webHidden/>
              </w:rPr>
            </w:r>
            <w:r>
              <w:rPr>
                <w:noProof/>
                <w:webHidden/>
              </w:rPr>
              <w:fldChar w:fldCharType="separate"/>
            </w:r>
            <w:r>
              <w:rPr>
                <w:noProof/>
                <w:webHidden/>
              </w:rPr>
              <w:t>20</w:t>
            </w:r>
            <w:r>
              <w:rPr>
                <w:noProof/>
                <w:webHidden/>
              </w:rPr>
              <w:fldChar w:fldCharType="end"/>
            </w:r>
          </w:hyperlink>
        </w:p>
        <w:p w14:paraId="133E34DC" w14:textId="341D3766" w:rsidR="00DC0424" w:rsidRDefault="00DC0424">
          <w:pPr>
            <w:pStyle w:val="TOC2"/>
            <w:tabs>
              <w:tab w:val="right" w:leader="dot" w:pos="9016"/>
            </w:tabs>
            <w:rPr>
              <w:rFonts w:asciiTheme="minorHAnsi" w:hAnsiTheme="minorHAnsi"/>
              <w:noProof/>
              <w:sz w:val="24"/>
              <w:szCs w:val="24"/>
              <w:lang w:eastAsia="en-GB"/>
            </w:rPr>
          </w:pPr>
          <w:hyperlink w:anchor="_Toc222337917" w:history="1">
            <w:r w:rsidRPr="00D91934">
              <w:rPr>
                <w:rStyle w:val="Hyperlink"/>
                <w:noProof/>
              </w:rPr>
              <w:t>3.2.7 Ethical Considerations</w:t>
            </w:r>
            <w:r>
              <w:rPr>
                <w:noProof/>
                <w:webHidden/>
              </w:rPr>
              <w:tab/>
            </w:r>
            <w:r>
              <w:rPr>
                <w:noProof/>
                <w:webHidden/>
              </w:rPr>
              <w:fldChar w:fldCharType="begin"/>
            </w:r>
            <w:r>
              <w:rPr>
                <w:noProof/>
                <w:webHidden/>
              </w:rPr>
              <w:instrText xml:space="preserve"> PAGEREF _Toc222337917 \h </w:instrText>
            </w:r>
            <w:r>
              <w:rPr>
                <w:noProof/>
                <w:webHidden/>
              </w:rPr>
            </w:r>
            <w:r>
              <w:rPr>
                <w:noProof/>
                <w:webHidden/>
              </w:rPr>
              <w:fldChar w:fldCharType="separate"/>
            </w:r>
            <w:r>
              <w:rPr>
                <w:noProof/>
                <w:webHidden/>
              </w:rPr>
              <w:t>21</w:t>
            </w:r>
            <w:r>
              <w:rPr>
                <w:noProof/>
                <w:webHidden/>
              </w:rPr>
              <w:fldChar w:fldCharType="end"/>
            </w:r>
          </w:hyperlink>
        </w:p>
        <w:p w14:paraId="547EA833" w14:textId="23EB0F4D" w:rsidR="00DC0424" w:rsidRDefault="00DC0424">
          <w:pPr>
            <w:pStyle w:val="TOC2"/>
            <w:tabs>
              <w:tab w:val="right" w:leader="dot" w:pos="9016"/>
            </w:tabs>
            <w:rPr>
              <w:rFonts w:asciiTheme="minorHAnsi" w:hAnsiTheme="minorHAnsi"/>
              <w:noProof/>
              <w:sz w:val="24"/>
              <w:szCs w:val="24"/>
              <w:lang w:eastAsia="en-GB"/>
            </w:rPr>
          </w:pPr>
          <w:hyperlink w:anchor="_Toc222337918" w:history="1">
            <w:r w:rsidRPr="00D91934">
              <w:rPr>
                <w:rStyle w:val="Hyperlink"/>
                <w:noProof/>
              </w:rPr>
              <w:t>3.2.8 Limitations of Methodology</w:t>
            </w:r>
            <w:r>
              <w:rPr>
                <w:noProof/>
                <w:webHidden/>
              </w:rPr>
              <w:tab/>
            </w:r>
            <w:r>
              <w:rPr>
                <w:noProof/>
                <w:webHidden/>
              </w:rPr>
              <w:fldChar w:fldCharType="begin"/>
            </w:r>
            <w:r>
              <w:rPr>
                <w:noProof/>
                <w:webHidden/>
              </w:rPr>
              <w:instrText xml:space="preserve"> PAGEREF _Toc222337918 \h </w:instrText>
            </w:r>
            <w:r>
              <w:rPr>
                <w:noProof/>
                <w:webHidden/>
              </w:rPr>
            </w:r>
            <w:r>
              <w:rPr>
                <w:noProof/>
                <w:webHidden/>
              </w:rPr>
              <w:fldChar w:fldCharType="separate"/>
            </w:r>
            <w:r>
              <w:rPr>
                <w:noProof/>
                <w:webHidden/>
              </w:rPr>
              <w:t>21</w:t>
            </w:r>
            <w:r>
              <w:rPr>
                <w:noProof/>
                <w:webHidden/>
              </w:rPr>
              <w:fldChar w:fldCharType="end"/>
            </w:r>
          </w:hyperlink>
        </w:p>
        <w:p w14:paraId="1A0782EC" w14:textId="7D08E183" w:rsidR="00DC0424" w:rsidRDefault="00DC0424">
          <w:pPr>
            <w:pStyle w:val="TOC2"/>
            <w:tabs>
              <w:tab w:val="right" w:leader="dot" w:pos="9016"/>
            </w:tabs>
            <w:rPr>
              <w:rFonts w:asciiTheme="minorHAnsi" w:hAnsiTheme="minorHAnsi"/>
              <w:noProof/>
              <w:sz w:val="24"/>
              <w:szCs w:val="24"/>
              <w:lang w:eastAsia="en-GB"/>
            </w:rPr>
          </w:pPr>
          <w:hyperlink w:anchor="_Toc222337919" w:history="1">
            <w:r w:rsidRPr="00D91934">
              <w:rPr>
                <w:rStyle w:val="Hyperlink"/>
                <w:noProof/>
              </w:rPr>
              <w:t>3.2.9 Conclusion</w:t>
            </w:r>
            <w:r>
              <w:rPr>
                <w:noProof/>
                <w:webHidden/>
              </w:rPr>
              <w:tab/>
            </w:r>
            <w:r>
              <w:rPr>
                <w:noProof/>
                <w:webHidden/>
              </w:rPr>
              <w:fldChar w:fldCharType="begin"/>
            </w:r>
            <w:r>
              <w:rPr>
                <w:noProof/>
                <w:webHidden/>
              </w:rPr>
              <w:instrText xml:space="preserve"> PAGEREF _Toc222337919 \h </w:instrText>
            </w:r>
            <w:r>
              <w:rPr>
                <w:noProof/>
                <w:webHidden/>
              </w:rPr>
            </w:r>
            <w:r>
              <w:rPr>
                <w:noProof/>
                <w:webHidden/>
              </w:rPr>
              <w:fldChar w:fldCharType="separate"/>
            </w:r>
            <w:r>
              <w:rPr>
                <w:noProof/>
                <w:webHidden/>
              </w:rPr>
              <w:t>21</w:t>
            </w:r>
            <w:r>
              <w:rPr>
                <w:noProof/>
                <w:webHidden/>
              </w:rPr>
              <w:fldChar w:fldCharType="end"/>
            </w:r>
          </w:hyperlink>
        </w:p>
        <w:p w14:paraId="2D365BC5" w14:textId="65C531B7" w:rsidR="00DC0424" w:rsidRDefault="00DC0424">
          <w:pPr>
            <w:pStyle w:val="TOC1"/>
            <w:tabs>
              <w:tab w:val="right" w:leader="dot" w:pos="9016"/>
            </w:tabs>
            <w:rPr>
              <w:rFonts w:asciiTheme="minorHAnsi" w:hAnsiTheme="minorHAnsi"/>
              <w:noProof/>
              <w:sz w:val="24"/>
              <w:szCs w:val="24"/>
              <w:lang w:eastAsia="en-GB"/>
            </w:rPr>
          </w:pPr>
          <w:hyperlink w:anchor="_Toc222337920" w:history="1">
            <w:r w:rsidRPr="00D91934">
              <w:rPr>
                <w:rStyle w:val="Hyperlink"/>
                <w:noProof/>
                <w:lang w:bidi="en-GB"/>
              </w:rPr>
              <w:t>CHAPTER 4 – Findings and Discussion (4,000 words approx.)</w:t>
            </w:r>
            <w:r>
              <w:rPr>
                <w:noProof/>
                <w:webHidden/>
              </w:rPr>
              <w:tab/>
            </w:r>
            <w:r>
              <w:rPr>
                <w:noProof/>
                <w:webHidden/>
              </w:rPr>
              <w:fldChar w:fldCharType="begin"/>
            </w:r>
            <w:r>
              <w:rPr>
                <w:noProof/>
                <w:webHidden/>
              </w:rPr>
              <w:instrText xml:space="preserve"> PAGEREF _Toc222337920 \h </w:instrText>
            </w:r>
            <w:r>
              <w:rPr>
                <w:noProof/>
                <w:webHidden/>
              </w:rPr>
            </w:r>
            <w:r>
              <w:rPr>
                <w:noProof/>
                <w:webHidden/>
              </w:rPr>
              <w:fldChar w:fldCharType="separate"/>
            </w:r>
            <w:r>
              <w:rPr>
                <w:noProof/>
                <w:webHidden/>
              </w:rPr>
              <w:t>22</w:t>
            </w:r>
            <w:r>
              <w:rPr>
                <w:noProof/>
                <w:webHidden/>
              </w:rPr>
              <w:fldChar w:fldCharType="end"/>
            </w:r>
          </w:hyperlink>
        </w:p>
        <w:p w14:paraId="196B6BB6" w14:textId="04CAA128" w:rsidR="00DC0424" w:rsidRDefault="00DC0424">
          <w:pPr>
            <w:pStyle w:val="TOC2"/>
            <w:tabs>
              <w:tab w:val="right" w:leader="dot" w:pos="9016"/>
            </w:tabs>
            <w:rPr>
              <w:rFonts w:asciiTheme="minorHAnsi" w:hAnsiTheme="minorHAnsi"/>
              <w:noProof/>
              <w:sz w:val="24"/>
              <w:szCs w:val="24"/>
              <w:lang w:eastAsia="en-GB"/>
            </w:rPr>
          </w:pPr>
          <w:hyperlink w:anchor="_Toc222337921" w:history="1">
            <w:r w:rsidRPr="00D91934">
              <w:rPr>
                <w:rStyle w:val="Hyperlink"/>
                <w:noProof/>
              </w:rPr>
              <w:t>4.1 – Introduction</w:t>
            </w:r>
            <w:r>
              <w:rPr>
                <w:noProof/>
                <w:webHidden/>
              </w:rPr>
              <w:tab/>
            </w:r>
            <w:r>
              <w:rPr>
                <w:noProof/>
                <w:webHidden/>
              </w:rPr>
              <w:fldChar w:fldCharType="begin"/>
            </w:r>
            <w:r>
              <w:rPr>
                <w:noProof/>
                <w:webHidden/>
              </w:rPr>
              <w:instrText xml:space="preserve"> PAGEREF _Toc222337921 \h </w:instrText>
            </w:r>
            <w:r>
              <w:rPr>
                <w:noProof/>
                <w:webHidden/>
              </w:rPr>
            </w:r>
            <w:r>
              <w:rPr>
                <w:noProof/>
                <w:webHidden/>
              </w:rPr>
              <w:fldChar w:fldCharType="separate"/>
            </w:r>
            <w:r>
              <w:rPr>
                <w:noProof/>
                <w:webHidden/>
              </w:rPr>
              <w:t>22</w:t>
            </w:r>
            <w:r>
              <w:rPr>
                <w:noProof/>
                <w:webHidden/>
              </w:rPr>
              <w:fldChar w:fldCharType="end"/>
            </w:r>
          </w:hyperlink>
        </w:p>
        <w:p w14:paraId="490FE21C" w14:textId="30BAE29A" w:rsidR="00DC0424" w:rsidRDefault="00DC0424">
          <w:pPr>
            <w:pStyle w:val="TOC2"/>
            <w:tabs>
              <w:tab w:val="right" w:leader="dot" w:pos="9016"/>
            </w:tabs>
            <w:rPr>
              <w:rFonts w:asciiTheme="minorHAnsi" w:hAnsiTheme="minorHAnsi"/>
              <w:noProof/>
              <w:sz w:val="24"/>
              <w:szCs w:val="24"/>
              <w:lang w:eastAsia="en-GB"/>
            </w:rPr>
          </w:pPr>
          <w:hyperlink w:anchor="_Toc222337922" w:history="1">
            <w:r w:rsidRPr="00D91934">
              <w:rPr>
                <w:rStyle w:val="Hyperlink"/>
                <w:noProof/>
              </w:rPr>
              <w:t>4.2 – Thematic Analysis</w:t>
            </w:r>
            <w:r>
              <w:rPr>
                <w:noProof/>
                <w:webHidden/>
              </w:rPr>
              <w:tab/>
            </w:r>
            <w:r>
              <w:rPr>
                <w:noProof/>
                <w:webHidden/>
              </w:rPr>
              <w:fldChar w:fldCharType="begin"/>
            </w:r>
            <w:r>
              <w:rPr>
                <w:noProof/>
                <w:webHidden/>
              </w:rPr>
              <w:instrText xml:space="preserve"> PAGEREF _Toc222337922 \h </w:instrText>
            </w:r>
            <w:r>
              <w:rPr>
                <w:noProof/>
                <w:webHidden/>
              </w:rPr>
            </w:r>
            <w:r>
              <w:rPr>
                <w:noProof/>
                <w:webHidden/>
              </w:rPr>
              <w:fldChar w:fldCharType="separate"/>
            </w:r>
            <w:r>
              <w:rPr>
                <w:noProof/>
                <w:webHidden/>
              </w:rPr>
              <w:t>22</w:t>
            </w:r>
            <w:r>
              <w:rPr>
                <w:noProof/>
                <w:webHidden/>
              </w:rPr>
              <w:fldChar w:fldCharType="end"/>
            </w:r>
          </w:hyperlink>
        </w:p>
        <w:p w14:paraId="01622078" w14:textId="21D3EB8B" w:rsidR="00DC0424" w:rsidRDefault="00DC0424">
          <w:pPr>
            <w:pStyle w:val="TOC2"/>
            <w:tabs>
              <w:tab w:val="right" w:leader="dot" w:pos="9016"/>
            </w:tabs>
            <w:rPr>
              <w:rFonts w:asciiTheme="minorHAnsi" w:hAnsiTheme="minorHAnsi"/>
              <w:noProof/>
              <w:sz w:val="24"/>
              <w:szCs w:val="24"/>
              <w:lang w:eastAsia="en-GB"/>
            </w:rPr>
          </w:pPr>
          <w:hyperlink w:anchor="_Toc222337923" w:history="1">
            <w:r w:rsidRPr="00D91934">
              <w:rPr>
                <w:rStyle w:val="Hyperlink"/>
                <w:noProof/>
              </w:rPr>
              <w:t>4.3 – Theme 1: Social Isolation and Loneliness Among Young Adults (900 words approx.)</w:t>
            </w:r>
            <w:r>
              <w:rPr>
                <w:noProof/>
                <w:webHidden/>
              </w:rPr>
              <w:tab/>
            </w:r>
            <w:r>
              <w:rPr>
                <w:noProof/>
                <w:webHidden/>
              </w:rPr>
              <w:fldChar w:fldCharType="begin"/>
            </w:r>
            <w:r>
              <w:rPr>
                <w:noProof/>
                <w:webHidden/>
              </w:rPr>
              <w:instrText xml:space="preserve"> PAGEREF _Toc222337923 \h </w:instrText>
            </w:r>
            <w:r>
              <w:rPr>
                <w:noProof/>
                <w:webHidden/>
              </w:rPr>
            </w:r>
            <w:r>
              <w:rPr>
                <w:noProof/>
                <w:webHidden/>
              </w:rPr>
              <w:fldChar w:fldCharType="separate"/>
            </w:r>
            <w:r>
              <w:rPr>
                <w:noProof/>
                <w:webHidden/>
              </w:rPr>
              <w:t>23</w:t>
            </w:r>
            <w:r>
              <w:rPr>
                <w:noProof/>
                <w:webHidden/>
              </w:rPr>
              <w:fldChar w:fldCharType="end"/>
            </w:r>
          </w:hyperlink>
        </w:p>
        <w:p w14:paraId="2C845C55" w14:textId="4D857F80" w:rsidR="00DC0424" w:rsidRDefault="00DC0424">
          <w:pPr>
            <w:pStyle w:val="TOC2"/>
            <w:tabs>
              <w:tab w:val="right" w:leader="dot" w:pos="9016"/>
            </w:tabs>
            <w:rPr>
              <w:rFonts w:asciiTheme="minorHAnsi" w:hAnsiTheme="minorHAnsi"/>
              <w:noProof/>
              <w:sz w:val="24"/>
              <w:szCs w:val="24"/>
              <w:lang w:eastAsia="en-GB"/>
            </w:rPr>
          </w:pPr>
          <w:hyperlink w:anchor="_Toc222337924" w:history="1">
            <w:r w:rsidRPr="00D91934">
              <w:rPr>
                <w:rStyle w:val="Hyperlink"/>
                <w:noProof/>
              </w:rPr>
              <w:t>4.4 – Theme 2: Economic Precarity and Financial Stress (900 words approx.)</w:t>
            </w:r>
            <w:r>
              <w:rPr>
                <w:noProof/>
                <w:webHidden/>
              </w:rPr>
              <w:tab/>
            </w:r>
            <w:r>
              <w:rPr>
                <w:noProof/>
                <w:webHidden/>
              </w:rPr>
              <w:fldChar w:fldCharType="begin"/>
            </w:r>
            <w:r>
              <w:rPr>
                <w:noProof/>
                <w:webHidden/>
              </w:rPr>
              <w:instrText xml:space="preserve"> PAGEREF _Toc222337924 \h </w:instrText>
            </w:r>
            <w:r>
              <w:rPr>
                <w:noProof/>
                <w:webHidden/>
              </w:rPr>
            </w:r>
            <w:r>
              <w:rPr>
                <w:noProof/>
                <w:webHidden/>
              </w:rPr>
              <w:fldChar w:fldCharType="separate"/>
            </w:r>
            <w:r>
              <w:rPr>
                <w:noProof/>
                <w:webHidden/>
              </w:rPr>
              <w:t>26</w:t>
            </w:r>
            <w:r>
              <w:rPr>
                <w:noProof/>
                <w:webHidden/>
              </w:rPr>
              <w:fldChar w:fldCharType="end"/>
            </w:r>
          </w:hyperlink>
        </w:p>
        <w:p w14:paraId="6CD70052" w14:textId="67F012B4" w:rsidR="00DC0424" w:rsidRDefault="00DC0424">
          <w:pPr>
            <w:pStyle w:val="TOC2"/>
            <w:tabs>
              <w:tab w:val="right" w:leader="dot" w:pos="9016"/>
            </w:tabs>
            <w:rPr>
              <w:rFonts w:asciiTheme="minorHAnsi" w:hAnsiTheme="minorHAnsi"/>
              <w:noProof/>
              <w:sz w:val="24"/>
              <w:szCs w:val="24"/>
              <w:lang w:eastAsia="en-GB"/>
            </w:rPr>
          </w:pPr>
          <w:hyperlink w:anchor="_Toc222337925" w:history="1">
            <w:r w:rsidRPr="00D91934">
              <w:rPr>
                <w:rStyle w:val="Hyperlink"/>
                <w:noProof/>
              </w:rPr>
              <w:t>4.5 – Theme 3: Access to Mental Health Services and Individual Resilience (900 words approx.)</w:t>
            </w:r>
            <w:r>
              <w:rPr>
                <w:noProof/>
                <w:webHidden/>
              </w:rPr>
              <w:tab/>
            </w:r>
            <w:r>
              <w:rPr>
                <w:noProof/>
                <w:webHidden/>
              </w:rPr>
              <w:fldChar w:fldCharType="begin"/>
            </w:r>
            <w:r>
              <w:rPr>
                <w:noProof/>
                <w:webHidden/>
              </w:rPr>
              <w:instrText xml:space="preserve"> PAGEREF _Toc222337925 \h </w:instrText>
            </w:r>
            <w:r>
              <w:rPr>
                <w:noProof/>
                <w:webHidden/>
              </w:rPr>
            </w:r>
            <w:r>
              <w:rPr>
                <w:noProof/>
                <w:webHidden/>
              </w:rPr>
              <w:fldChar w:fldCharType="separate"/>
            </w:r>
            <w:r>
              <w:rPr>
                <w:noProof/>
                <w:webHidden/>
              </w:rPr>
              <w:t>29</w:t>
            </w:r>
            <w:r>
              <w:rPr>
                <w:noProof/>
                <w:webHidden/>
              </w:rPr>
              <w:fldChar w:fldCharType="end"/>
            </w:r>
          </w:hyperlink>
        </w:p>
        <w:p w14:paraId="0F342E29" w14:textId="2953EA59" w:rsidR="00DC0424" w:rsidRDefault="00DC0424">
          <w:pPr>
            <w:pStyle w:val="TOC2"/>
            <w:tabs>
              <w:tab w:val="right" w:leader="dot" w:pos="9016"/>
            </w:tabs>
            <w:rPr>
              <w:rFonts w:asciiTheme="minorHAnsi" w:hAnsiTheme="minorHAnsi"/>
              <w:noProof/>
              <w:sz w:val="24"/>
              <w:szCs w:val="24"/>
              <w:lang w:eastAsia="en-GB"/>
            </w:rPr>
          </w:pPr>
          <w:hyperlink w:anchor="_Toc222337926" w:history="1">
            <w:r w:rsidRPr="00D91934">
              <w:rPr>
                <w:rStyle w:val="Hyperlink"/>
                <w:noProof/>
              </w:rPr>
              <w:t>4.6 – Chapter Conclusion (200 words approx.)</w:t>
            </w:r>
            <w:r>
              <w:rPr>
                <w:noProof/>
                <w:webHidden/>
              </w:rPr>
              <w:tab/>
            </w:r>
            <w:r>
              <w:rPr>
                <w:noProof/>
                <w:webHidden/>
              </w:rPr>
              <w:fldChar w:fldCharType="begin"/>
            </w:r>
            <w:r>
              <w:rPr>
                <w:noProof/>
                <w:webHidden/>
              </w:rPr>
              <w:instrText xml:space="preserve"> PAGEREF _Toc222337926 \h </w:instrText>
            </w:r>
            <w:r>
              <w:rPr>
                <w:noProof/>
                <w:webHidden/>
              </w:rPr>
            </w:r>
            <w:r>
              <w:rPr>
                <w:noProof/>
                <w:webHidden/>
              </w:rPr>
              <w:fldChar w:fldCharType="separate"/>
            </w:r>
            <w:r>
              <w:rPr>
                <w:noProof/>
                <w:webHidden/>
              </w:rPr>
              <w:t>31</w:t>
            </w:r>
            <w:r>
              <w:rPr>
                <w:noProof/>
                <w:webHidden/>
              </w:rPr>
              <w:fldChar w:fldCharType="end"/>
            </w:r>
          </w:hyperlink>
        </w:p>
        <w:p w14:paraId="5FDB8707" w14:textId="50BAFF8E" w:rsidR="00DC0424" w:rsidRDefault="00DC0424">
          <w:pPr>
            <w:pStyle w:val="TOC1"/>
            <w:tabs>
              <w:tab w:val="right" w:leader="dot" w:pos="9016"/>
            </w:tabs>
            <w:rPr>
              <w:rFonts w:asciiTheme="minorHAnsi" w:hAnsiTheme="minorHAnsi"/>
              <w:noProof/>
              <w:sz w:val="24"/>
              <w:szCs w:val="24"/>
              <w:lang w:eastAsia="en-GB"/>
            </w:rPr>
          </w:pPr>
          <w:hyperlink w:anchor="_Toc222337927" w:history="1">
            <w:r w:rsidRPr="00D91934">
              <w:rPr>
                <w:rStyle w:val="Hyperlink"/>
                <w:noProof/>
                <w:lang w:bidi="en-GB"/>
              </w:rPr>
              <w:t>CHAPTER 5 – Conclusion and Recommendations (1,000 words approx.)</w:t>
            </w:r>
            <w:r>
              <w:rPr>
                <w:noProof/>
                <w:webHidden/>
              </w:rPr>
              <w:tab/>
            </w:r>
            <w:r>
              <w:rPr>
                <w:noProof/>
                <w:webHidden/>
              </w:rPr>
              <w:fldChar w:fldCharType="begin"/>
            </w:r>
            <w:r>
              <w:rPr>
                <w:noProof/>
                <w:webHidden/>
              </w:rPr>
              <w:instrText xml:space="preserve"> PAGEREF _Toc222337927 \h </w:instrText>
            </w:r>
            <w:r>
              <w:rPr>
                <w:noProof/>
                <w:webHidden/>
              </w:rPr>
            </w:r>
            <w:r>
              <w:rPr>
                <w:noProof/>
                <w:webHidden/>
              </w:rPr>
              <w:fldChar w:fldCharType="separate"/>
            </w:r>
            <w:r>
              <w:rPr>
                <w:noProof/>
                <w:webHidden/>
              </w:rPr>
              <w:t>32</w:t>
            </w:r>
            <w:r>
              <w:rPr>
                <w:noProof/>
                <w:webHidden/>
              </w:rPr>
              <w:fldChar w:fldCharType="end"/>
            </w:r>
          </w:hyperlink>
        </w:p>
        <w:p w14:paraId="03D7F0DD" w14:textId="3A8C8F1D" w:rsidR="00DC0424" w:rsidRDefault="00DC0424">
          <w:pPr>
            <w:pStyle w:val="TOC2"/>
            <w:tabs>
              <w:tab w:val="right" w:leader="dot" w:pos="9016"/>
            </w:tabs>
            <w:rPr>
              <w:rFonts w:asciiTheme="minorHAnsi" w:hAnsiTheme="minorHAnsi"/>
              <w:noProof/>
              <w:sz w:val="24"/>
              <w:szCs w:val="24"/>
              <w:lang w:eastAsia="en-GB"/>
            </w:rPr>
          </w:pPr>
          <w:hyperlink w:anchor="_Toc222337928" w:history="1">
            <w:r w:rsidRPr="00D91934">
              <w:rPr>
                <w:rStyle w:val="Hyperlink"/>
                <w:noProof/>
              </w:rPr>
              <w:t>5.1 – Overall Conclusion (200 words approx.)</w:t>
            </w:r>
            <w:r>
              <w:rPr>
                <w:noProof/>
                <w:webHidden/>
              </w:rPr>
              <w:tab/>
            </w:r>
            <w:r>
              <w:rPr>
                <w:noProof/>
                <w:webHidden/>
              </w:rPr>
              <w:fldChar w:fldCharType="begin"/>
            </w:r>
            <w:r>
              <w:rPr>
                <w:noProof/>
                <w:webHidden/>
              </w:rPr>
              <w:instrText xml:space="preserve"> PAGEREF _Toc222337928 \h </w:instrText>
            </w:r>
            <w:r>
              <w:rPr>
                <w:noProof/>
                <w:webHidden/>
              </w:rPr>
            </w:r>
            <w:r>
              <w:rPr>
                <w:noProof/>
                <w:webHidden/>
              </w:rPr>
              <w:fldChar w:fldCharType="separate"/>
            </w:r>
            <w:r>
              <w:rPr>
                <w:noProof/>
                <w:webHidden/>
              </w:rPr>
              <w:t>32</w:t>
            </w:r>
            <w:r>
              <w:rPr>
                <w:noProof/>
                <w:webHidden/>
              </w:rPr>
              <w:fldChar w:fldCharType="end"/>
            </w:r>
          </w:hyperlink>
        </w:p>
        <w:p w14:paraId="0E3FEF2F" w14:textId="6C14ACC9" w:rsidR="00DC0424" w:rsidRDefault="00DC0424">
          <w:pPr>
            <w:pStyle w:val="TOC2"/>
            <w:tabs>
              <w:tab w:val="right" w:leader="dot" w:pos="9016"/>
            </w:tabs>
            <w:rPr>
              <w:rFonts w:asciiTheme="minorHAnsi" w:hAnsiTheme="minorHAnsi"/>
              <w:noProof/>
              <w:sz w:val="24"/>
              <w:szCs w:val="24"/>
              <w:lang w:eastAsia="en-GB"/>
            </w:rPr>
          </w:pPr>
          <w:hyperlink w:anchor="_Toc222337929" w:history="1">
            <w:r w:rsidRPr="00D91934">
              <w:rPr>
                <w:rStyle w:val="Hyperlink"/>
                <w:noProof/>
              </w:rPr>
              <w:t>5.2 – Recommendations (800 words approx.)</w:t>
            </w:r>
            <w:r>
              <w:rPr>
                <w:noProof/>
                <w:webHidden/>
              </w:rPr>
              <w:tab/>
            </w:r>
            <w:r>
              <w:rPr>
                <w:noProof/>
                <w:webHidden/>
              </w:rPr>
              <w:fldChar w:fldCharType="begin"/>
            </w:r>
            <w:r>
              <w:rPr>
                <w:noProof/>
                <w:webHidden/>
              </w:rPr>
              <w:instrText xml:space="preserve"> PAGEREF _Toc222337929 \h </w:instrText>
            </w:r>
            <w:r>
              <w:rPr>
                <w:noProof/>
                <w:webHidden/>
              </w:rPr>
            </w:r>
            <w:r>
              <w:rPr>
                <w:noProof/>
                <w:webHidden/>
              </w:rPr>
              <w:fldChar w:fldCharType="separate"/>
            </w:r>
            <w:r>
              <w:rPr>
                <w:noProof/>
                <w:webHidden/>
              </w:rPr>
              <w:t>33</w:t>
            </w:r>
            <w:r>
              <w:rPr>
                <w:noProof/>
                <w:webHidden/>
              </w:rPr>
              <w:fldChar w:fldCharType="end"/>
            </w:r>
          </w:hyperlink>
        </w:p>
        <w:p w14:paraId="45C78796" w14:textId="53966B32" w:rsidR="00DC0424" w:rsidRDefault="00DC0424">
          <w:pPr>
            <w:pStyle w:val="TOC1"/>
            <w:tabs>
              <w:tab w:val="right" w:leader="dot" w:pos="9016"/>
            </w:tabs>
            <w:rPr>
              <w:rFonts w:asciiTheme="minorHAnsi" w:hAnsiTheme="minorHAnsi"/>
              <w:noProof/>
              <w:sz w:val="24"/>
              <w:szCs w:val="24"/>
              <w:lang w:eastAsia="en-GB"/>
            </w:rPr>
          </w:pPr>
          <w:hyperlink w:anchor="_Toc222337930" w:history="1">
            <w:r w:rsidRPr="00D91934">
              <w:rPr>
                <w:rStyle w:val="Hyperlink"/>
                <w:noProof/>
                <w:lang w:bidi="en-GB"/>
              </w:rPr>
              <w:t>5.2.1 – Recommendation 1 : Improve Access to Early and Timely Mental Health Support for Young Adults</w:t>
            </w:r>
            <w:r>
              <w:rPr>
                <w:noProof/>
                <w:webHidden/>
              </w:rPr>
              <w:tab/>
            </w:r>
            <w:r>
              <w:rPr>
                <w:noProof/>
                <w:webHidden/>
              </w:rPr>
              <w:fldChar w:fldCharType="begin"/>
            </w:r>
            <w:r>
              <w:rPr>
                <w:noProof/>
                <w:webHidden/>
              </w:rPr>
              <w:instrText xml:space="preserve"> PAGEREF _Toc222337930 \h </w:instrText>
            </w:r>
            <w:r>
              <w:rPr>
                <w:noProof/>
                <w:webHidden/>
              </w:rPr>
            </w:r>
            <w:r>
              <w:rPr>
                <w:noProof/>
                <w:webHidden/>
              </w:rPr>
              <w:fldChar w:fldCharType="separate"/>
            </w:r>
            <w:r>
              <w:rPr>
                <w:noProof/>
                <w:webHidden/>
              </w:rPr>
              <w:t>33</w:t>
            </w:r>
            <w:r>
              <w:rPr>
                <w:noProof/>
                <w:webHidden/>
              </w:rPr>
              <w:fldChar w:fldCharType="end"/>
            </w:r>
          </w:hyperlink>
        </w:p>
        <w:p w14:paraId="12A95119" w14:textId="795AB5E1" w:rsidR="00DC0424" w:rsidRDefault="00DC0424">
          <w:pPr>
            <w:pStyle w:val="TOC1"/>
            <w:tabs>
              <w:tab w:val="right" w:leader="dot" w:pos="9016"/>
            </w:tabs>
            <w:rPr>
              <w:rFonts w:asciiTheme="minorHAnsi" w:hAnsiTheme="minorHAnsi"/>
              <w:noProof/>
              <w:sz w:val="24"/>
              <w:szCs w:val="24"/>
              <w:lang w:eastAsia="en-GB"/>
            </w:rPr>
          </w:pPr>
          <w:hyperlink w:anchor="_Toc222337931" w:history="1">
            <w:r w:rsidRPr="00D91934">
              <w:rPr>
                <w:rStyle w:val="Hyperlink"/>
                <w:noProof/>
                <w:lang w:bidi="en-GB"/>
              </w:rPr>
              <w:t>5.2.2 – Recommendation 2: Address Social and Economic Inequalities Affecting Young Adults’ Mental Health</w:t>
            </w:r>
            <w:r>
              <w:rPr>
                <w:noProof/>
                <w:webHidden/>
              </w:rPr>
              <w:tab/>
            </w:r>
            <w:r>
              <w:rPr>
                <w:noProof/>
                <w:webHidden/>
              </w:rPr>
              <w:fldChar w:fldCharType="begin"/>
            </w:r>
            <w:r>
              <w:rPr>
                <w:noProof/>
                <w:webHidden/>
              </w:rPr>
              <w:instrText xml:space="preserve"> PAGEREF _Toc222337931 \h </w:instrText>
            </w:r>
            <w:r>
              <w:rPr>
                <w:noProof/>
                <w:webHidden/>
              </w:rPr>
            </w:r>
            <w:r>
              <w:rPr>
                <w:noProof/>
                <w:webHidden/>
              </w:rPr>
              <w:fldChar w:fldCharType="separate"/>
            </w:r>
            <w:r>
              <w:rPr>
                <w:noProof/>
                <w:webHidden/>
              </w:rPr>
              <w:t>34</w:t>
            </w:r>
            <w:r>
              <w:rPr>
                <w:noProof/>
                <w:webHidden/>
              </w:rPr>
              <w:fldChar w:fldCharType="end"/>
            </w:r>
          </w:hyperlink>
        </w:p>
        <w:p w14:paraId="0498EA20" w14:textId="3172323C" w:rsidR="00DC0424" w:rsidRDefault="00DC0424">
          <w:pPr>
            <w:pStyle w:val="TOC1"/>
            <w:tabs>
              <w:tab w:val="right" w:leader="dot" w:pos="9016"/>
            </w:tabs>
            <w:rPr>
              <w:rFonts w:asciiTheme="minorHAnsi" w:hAnsiTheme="minorHAnsi"/>
              <w:noProof/>
              <w:sz w:val="24"/>
              <w:szCs w:val="24"/>
              <w:lang w:eastAsia="en-GB"/>
            </w:rPr>
          </w:pPr>
          <w:hyperlink w:anchor="_Toc222337932" w:history="1">
            <w:r w:rsidRPr="00D91934">
              <w:rPr>
                <w:rStyle w:val="Hyperlink"/>
                <w:noProof/>
                <w:lang w:bidi="en-GB"/>
              </w:rPr>
              <w:t>5.2.3 – Recommendation 3: Strengthen Resilience Through Community, Education, and Digital Support (Alongside Professional Care)</w:t>
            </w:r>
            <w:r>
              <w:rPr>
                <w:noProof/>
                <w:webHidden/>
              </w:rPr>
              <w:tab/>
            </w:r>
            <w:r>
              <w:rPr>
                <w:noProof/>
                <w:webHidden/>
              </w:rPr>
              <w:fldChar w:fldCharType="begin"/>
            </w:r>
            <w:r>
              <w:rPr>
                <w:noProof/>
                <w:webHidden/>
              </w:rPr>
              <w:instrText xml:space="preserve"> PAGEREF _Toc222337932 \h </w:instrText>
            </w:r>
            <w:r>
              <w:rPr>
                <w:noProof/>
                <w:webHidden/>
              </w:rPr>
            </w:r>
            <w:r>
              <w:rPr>
                <w:noProof/>
                <w:webHidden/>
              </w:rPr>
              <w:fldChar w:fldCharType="separate"/>
            </w:r>
            <w:r>
              <w:rPr>
                <w:noProof/>
                <w:webHidden/>
              </w:rPr>
              <w:t>34</w:t>
            </w:r>
            <w:r>
              <w:rPr>
                <w:noProof/>
                <w:webHidden/>
              </w:rPr>
              <w:fldChar w:fldCharType="end"/>
            </w:r>
          </w:hyperlink>
        </w:p>
        <w:p w14:paraId="795A9062" w14:textId="1E9D46E2" w:rsidR="00DC0424" w:rsidRDefault="00DC0424">
          <w:pPr>
            <w:pStyle w:val="TOC1"/>
            <w:tabs>
              <w:tab w:val="right" w:leader="dot" w:pos="9016"/>
            </w:tabs>
            <w:rPr>
              <w:rFonts w:asciiTheme="minorHAnsi" w:hAnsiTheme="minorHAnsi"/>
              <w:noProof/>
              <w:sz w:val="24"/>
              <w:szCs w:val="24"/>
              <w:lang w:eastAsia="en-GB"/>
            </w:rPr>
          </w:pPr>
          <w:hyperlink w:anchor="_Toc222337933" w:history="1">
            <w:r w:rsidRPr="00D91934">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_Toc222337933 \h </w:instrText>
            </w:r>
            <w:r>
              <w:rPr>
                <w:noProof/>
                <w:webHidden/>
              </w:rPr>
            </w:r>
            <w:r>
              <w:rPr>
                <w:noProof/>
                <w:webHidden/>
              </w:rPr>
              <w:fldChar w:fldCharType="separate"/>
            </w:r>
            <w:r>
              <w:rPr>
                <w:noProof/>
                <w:webHidden/>
              </w:rPr>
              <w:t>36</w:t>
            </w:r>
            <w:r>
              <w:rPr>
                <w:noProof/>
                <w:webHidden/>
              </w:rPr>
              <w:fldChar w:fldCharType="end"/>
            </w:r>
          </w:hyperlink>
        </w:p>
        <w:p w14:paraId="2261F9BD" w14:textId="456CFA8C" w:rsidR="00DC0424" w:rsidRDefault="00DC0424">
          <w:pPr>
            <w:pStyle w:val="TOC1"/>
            <w:tabs>
              <w:tab w:val="right" w:leader="dot" w:pos="9016"/>
            </w:tabs>
            <w:rPr>
              <w:rFonts w:asciiTheme="minorHAnsi" w:hAnsiTheme="minorHAnsi"/>
              <w:noProof/>
              <w:sz w:val="24"/>
              <w:szCs w:val="24"/>
              <w:lang w:eastAsia="en-GB"/>
            </w:rPr>
          </w:pPr>
          <w:hyperlink w:anchor="_Toc222337934" w:history="1">
            <w:r w:rsidRPr="00D91934">
              <w:rPr>
                <w:rStyle w:val="Hyperlink"/>
                <w:noProof/>
                <w:lang w:bidi="en-GB"/>
              </w:rPr>
              <w:t>6.1 – References/Bibliography</w:t>
            </w:r>
            <w:r>
              <w:rPr>
                <w:noProof/>
                <w:webHidden/>
              </w:rPr>
              <w:tab/>
            </w:r>
            <w:r>
              <w:rPr>
                <w:noProof/>
                <w:webHidden/>
              </w:rPr>
              <w:fldChar w:fldCharType="begin"/>
            </w:r>
            <w:r>
              <w:rPr>
                <w:noProof/>
                <w:webHidden/>
              </w:rPr>
              <w:instrText xml:space="preserve"> PAGEREF _Toc222337934 \h </w:instrText>
            </w:r>
            <w:r>
              <w:rPr>
                <w:noProof/>
                <w:webHidden/>
              </w:rPr>
            </w:r>
            <w:r>
              <w:rPr>
                <w:noProof/>
                <w:webHidden/>
              </w:rPr>
              <w:fldChar w:fldCharType="separate"/>
            </w:r>
            <w:r>
              <w:rPr>
                <w:noProof/>
                <w:webHidden/>
              </w:rPr>
              <w:t>36</w:t>
            </w:r>
            <w:r>
              <w:rPr>
                <w:noProof/>
                <w:webHidden/>
              </w:rPr>
              <w:fldChar w:fldCharType="end"/>
            </w:r>
          </w:hyperlink>
        </w:p>
        <w:p w14:paraId="63074E67" w14:textId="23B67E23" w:rsidR="008200BE" w:rsidRDefault="008200BE">
          <w:r>
            <w:rPr>
              <w:b/>
              <w:bCs/>
              <w:noProof/>
            </w:rPr>
            <w:fldChar w:fldCharType="end"/>
          </w:r>
        </w:p>
      </w:sdtContent>
    </w:sdt>
    <w:p w14:paraId="61CFD6DF" w14:textId="77777777" w:rsidR="00804B94" w:rsidRDefault="00804B94"/>
    <w:p w14:paraId="612D2BA4" w14:textId="77777777" w:rsidR="00804B94" w:rsidRDefault="00804B94"/>
    <w:p w14:paraId="6FE0DCAA" w14:textId="1893AD8F" w:rsidR="00B71B00" w:rsidRPr="005172ED" w:rsidRDefault="00B71B00" w:rsidP="00B71B00">
      <w:pPr>
        <w:pStyle w:val="Heading1"/>
      </w:pPr>
      <w:bookmarkStart w:id="2" w:name="_Toc222337897"/>
      <w:r w:rsidRPr="005172ED">
        <w:t>Chapter 1 – Introduction</w:t>
      </w:r>
      <w:bookmarkEnd w:id="2"/>
      <w:r w:rsidRPr="005172ED">
        <w:t xml:space="preserve"> </w:t>
      </w:r>
    </w:p>
    <w:p w14:paraId="207E5F12" w14:textId="77777777" w:rsidR="00B71B00" w:rsidRPr="005172ED" w:rsidRDefault="00B71B00" w:rsidP="00B71B00">
      <w:pPr>
        <w:rPr>
          <w:rFonts w:ascii="Arial" w:hAnsi="Arial"/>
          <w:b/>
          <w:bCs/>
        </w:rPr>
      </w:pPr>
      <w:r w:rsidRPr="005172ED">
        <w:rPr>
          <w:rFonts w:ascii="Arial" w:hAnsi="Arial"/>
          <w:b/>
          <w:bCs/>
        </w:rPr>
        <w:lastRenderedPageBreak/>
        <w:t>1.1 Introduction to Dissertation</w:t>
      </w:r>
    </w:p>
    <w:p w14:paraId="2B11EC03" w14:textId="16C5A571" w:rsidR="00B71B00" w:rsidRPr="005172ED" w:rsidRDefault="00B71B00" w:rsidP="00B71B00">
      <w:pPr>
        <w:rPr>
          <w:rFonts w:ascii="Arial" w:hAnsi="Arial"/>
        </w:rPr>
      </w:pPr>
      <w:r w:rsidRPr="005172ED">
        <w:rPr>
          <w:rFonts w:ascii="Arial" w:hAnsi="Arial"/>
        </w:rPr>
        <w:t xml:space="preserve">The COVID-19 pandemic has been one of the most significant global health crises of the 21st century, not only for its physical health impact but also for its profound psychological consequences. While much attention has been placed on mortality, hospitalisation rates, and health service pressures, emerging evidence highlights the pandemic’s impact on mental health across populations. Young adults, particularly those aged 18–30, represent a demographic that experienced unique challenges during this period, including disrupted education, job insecurity, social isolation, and uncertainty about the future (WHO, 2022). These stressors have been strongly associated with heightened risks of depression and anxiety, conditions that were already prevalent in this age group </w:t>
      </w:r>
      <w:r w:rsidR="00C23DCB">
        <w:rPr>
          <w:rFonts w:ascii="Arial" w:hAnsi="Arial"/>
        </w:rPr>
        <w:t>before</w:t>
      </w:r>
      <w:r w:rsidRPr="005172ED">
        <w:rPr>
          <w:rFonts w:ascii="Arial" w:hAnsi="Arial"/>
        </w:rPr>
        <w:t xml:space="preserve"> the pandemic (King’s Fund, 2023).</w:t>
      </w:r>
    </w:p>
    <w:p w14:paraId="69980AF3" w14:textId="77777777" w:rsidR="00B71B00" w:rsidRPr="005172ED" w:rsidRDefault="00B71B00" w:rsidP="00B71B00">
      <w:pPr>
        <w:rPr>
          <w:rFonts w:ascii="Arial" w:hAnsi="Arial"/>
        </w:rPr>
      </w:pPr>
      <w:r w:rsidRPr="005172ED">
        <w:rPr>
          <w:rFonts w:ascii="Arial" w:hAnsi="Arial"/>
        </w:rPr>
        <w:t>This dissertation aims to critically examine how the COVID-19 pandemic affected the rates of depression and anxiety among younger adults in the United Kingdom (UK). By analysing existing literature, global health data, and national reports, this study will establish both the extent of the problem and its broader social implications for health and social care practice.</w:t>
      </w:r>
    </w:p>
    <w:p w14:paraId="08E900A5" w14:textId="436622E7" w:rsidR="00B71B00" w:rsidRPr="005172ED" w:rsidRDefault="00B71B00" w:rsidP="00B71B00">
      <w:pPr>
        <w:rPr>
          <w:rFonts w:ascii="Arial" w:hAnsi="Arial"/>
        </w:rPr>
      </w:pPr>
      <w:r w:rsidRPr="005172ED">
        <w:rPr>
          <w:rFonts w:ascii="Arial" w:hAnsi="Arial"/>
        </w:rPr>
        <w:t xml:space="preserve">The dissertation is structured into five chapters. Chapter 1 introduces the study, provides background information, defines key terms, explains the rationale, and outlines the aim and objectives. Chapter 2 explores the historical, theoretical, and contextual background of the topic, offering international and UK perspectives. Chapter 3 presents the methodology, explaining the structured approach to searching, selecting, and critically analysing literature. Chapter 4 provides the thematic results and discussion. Finally, Chapter 5 </w:t>
      </w:r>
      <w:r w:rsidR="00C23DCB">
        <w:rPr>
          <w:rFonts w:ascii="Arial" w:hAnsi="Arial"/>
        </w:rPr>
        <w:t>conclude</w:t>
      </w:r>
      <w:r w:rsidRPr="005172ED">
        <w:rPr>
          <w:rFonts w:ascii="Arial" w:hAnsi="Arial"/>
        </w:rPr>
        <w:t>s and offers recommendations for policy, practice, and further research.</w:t>
      </w:r>
    </w:p>
    <w:p w14:paraId="6DCA70C9" w14:textId="77777777" w:rsidR="00B71B00" w:rsidRPr="005172ED" w:rsidRDefault="00B71B00" w:rsidP="00B71B00">
      <w:pPr>
        <w:rPr>
          <w:rFonts w:ascii="Arial" w:hAnsi="Arial"/>
          <w:b/>
          <w:bCs/>
        </w:rPr>
      </w:pPr>
      <w:r w:rsidRPr="005172ED">
        <w:rPr>
          <w:rFonts w:ascii="Arial" w:hAnsi="Arial"/>
          <w:b/>
          <w:bCs/>
        </w:rPr>
        <w:t>1.2 Definitions and Terminology</w:t>
      </w:r>
    </w:p>
    <w:p w14:paraId="0A55CDBA" w14:textId="77777777" w:rsidR="00B71B00" w:rsidRPr="005172ED" w:rsidRDefault="00B71B00" w:rsidP="00B71B00">
      <w:pPr>
        <w:rPr>
          <w:rFonts w:ascii="Arial" w:hAnsi="Arial"/>
        </w:rPr>
      </w:pPr>
      <w:r w:rsidRPr="005172ED">
        <w:rPr>
          <w:rFonts w:ascii="Arial" w:hAnsi="Arial"/>
        </w:rPr>
        <w:t>To ensure clarity, several key terms used throughout this dissertation are defined below:</w:t>
      </w:r>
    </w:p>
    <w:p w14:paraId="18C2120B" w14:textId="377F4F99" w:rsidR="00B71B00" w:rsidRPr="005172ED" w:rsidRDefault="00B71B00" w:rsidP="00B71B00">
      <w:pPr>
        <w:numPr>
          <w:ilvl w:val="0"/>
          <w:numId w:val="88"/>
        </w:numPr>
        <w:rPr>
          <w:rFonts w:ascii="Arial" w:hAnsi="Arial"/>
        </w:rPr>
      </w:pPr>
      <w:r w:rsidRPr="005172ED">
        <w:rPr>
          <w:rFonts w:ascii="Arial" w:hAnsi="Arial"/>
          <w:b/>
          <w:bCs/>
        </w:rPr>
        <w:t>Mental Health</w:t>
      </w:r>
      <w:r w:rsidRPr="005172ED">
        <w:rPr>
          <w:rFonts w:ascii="Arial" w:hAnsi="Arial"/>
        </w:rPr>
        <w:t xml:space="preserve"> – The World Health Organi</w:t>
      </w:r>
      <w:r w:rsidR="00C23DCB">
        <w:rPr>
          <w:rFonts w:ascii="Arial" w:hAnsi="Arial"/>
        </w:rPr>
        <w:t>sation (WHO, 2022) defines mental health as a state of wellbeing in which individuals realise their abilities, cope with normal life stresses,</w:t>
      </w:r>
      <w:r w:rsidRPr="005172ED">
        <w:rPr>
          <w:rFonts w:ascii="Arial" w:hAnsi="Arial"/>
        </w:rPr>
        <w:t xml:space="preserve"> work productively, and contribute to their community.</w:t>
      </w:r>
    </w:p>
    <w:p w14:paraId="683AEFAF" w14:textId="77777777" w:rsidR="00B71B00" w:rsidRPr="005172ED" w:rsidRDefault="00B71B00" w:rsidP="00B71B00">
      <w:pPr>
        <w:numPr>
          <w:ilvl w:val="0"/>
          <w:numId w:val="88"/>
        </w:numPr>
        <w:rPr>
          <w:rFonts w:ascii="Arial" w:hAnsi="Arial"/>
        </w:rPr>
      </w:pPr>
      <w:r w:rsidRPr="005172ED">
        <w:rPr>
          <w:rFonts w:ascii="Arial" w:hAnsi="Arial"/>
          <w:b/>
          <w:bCs/>
        </w:rPr>
        <w:t>Depression</w:t>
      </w:r>
      <w:r w:rsidRPr="005172ED">
        <w:rPr>
          <w:rFonts w:ascii="Arial" w:hAnsi="Arial"/>
        </w:rPr>
        <w:t xml:space="preserve"> – A common mental disorder characterised by persistent sadness, loss of interest or pleasure, feelings of guilt or low self-worth, disturbed sleep or appetite, low energy, and poor concentration (PubMed, 2023).</w:t>
      </w:r>
    </w:p>
    <w:p w14:paraId="3809F58D" w14:textId="77777777" w:rsidR="00B71B00" w:rsidRPr="005172ED" w:rsidRDefault="00B71B00" w:rsidP="00B71B00">
      <w:pPr>
        <w:numPr>
          <w:ilvl w:val="0"/>
          <w:numId w:val="88"/>
        </w:numPr>
        <w:rPr>
          <w:rFonts w:ascii="Arial" w:hAnsi="Arial"/>
        </w:rPr>
      </w:pPr>
      <w:r w:rsidRPr="005172ED">
        <w:rPr>
          <w:rFonts w:ascii="Arial" w:hAnsi="Arial"/>
          <w:b/>
          <w:bCs/>
        </w:rPr>
        <w:t>Anxiety</w:t>
      </w:r>
      <w:r w:rsidRPr="005172ED">
        <w:rPr>
          <w:rFonts w:ascii="Arial" w:hAnsi="Arial"/>
        </w:rPr>
        <w:t xml:space="preserve"> – Defined as excessive worry, fear, or apprehension, often accompanied by physical symptoms such as increased heart rate, sweating, or restlessness. Anxiety </w:t>
      </w:r>
      <w:r w:rsidRPr="005172ED">
        <w:rPr>
          <w:rFonts w:ascii="Arial" w:hAnsi="Arial"/>
        </w:rPr>
        <w:lastRenderedPageBreak/>
        <w:t>disorders are among the most prevalent mental health conditions globally (</w:t>
      </w:r>
      <w:proofErr w:type="spellStart"/>
      <w:r w:rsidRPr="005172ED">
        <w:rPr>
          <w:rFonts w:ascii="Arial" w:hAnsi="Arial"/>
        </w:rPr>
        <w:t>Abbymedcalf</w:t>
      </w:r>
      <w:proofErr w:type="spellEnd"/>
      <w:r w:rsidRPr="005172ED">
        <w:rPr>
          <w:rFonts w:ascii="Arial" w:hAnsi="Arial"/>
        </w:rPr>
        <w:t>, 2023).</w:t>
      </w:r>
    </w:p>
    <w:p w14:paraId="711DE80E" w14:textId="2A1D6EE2" w:rsidR="00B71B00" w:rsidRPr="005172ED" w:rsidRDefault="00B71B00" w:rsidP="00B71B00">
      <w:pPr>
        <w:numPr>
          <w:ilvl w:val="0"/>
          <w:numId w:val="88"/>
        </w:numPr>
        <w:rPr>
          <w:rFonts w:ascii="Arial" w:hAnsi="Arial"/>
        </w:rPr>
      </w:pPr>
      <w:r w:rsidRPr="005172ED">
        <w:rPr>
          <w:rFonts w:ascii="Arial" w:hAnsi="Arial"/>
          <w:b/>
          <w:bCs/>
        </w:rPr>
        <w:t>Young Adults (18–30 years)</w:t>
      </w:r>
      <w:r w:rsidRPr="005172ED">
        <w:rPr>
          <w:rFonts w:ascii="Arial" w:hAnsi="Arial"/>
        </w:rPr>
        <w:t xml:space="preserve"> – For this dissertation, young adults are defined as individuals aged 18–30, a period often characterised by transitions such as higher education, entering the workforce, forming relationships, and establishing independence.</w:t>
      </w:r>
    </w:p>
    <w:p w14:paraId="235C4604" w14:textId="14715B66" w:rsidR="00B71B00" w:rsidRPr="00355B91" w:rsidRDefault="00B71B00" w:rsidP="00B71B00">
      <w:pPr>
        <w:numPr>
          <w:ilvl w:val="0"/>
          <w:numId w:val="88"/>
        </w:numPr>
        <w:rPr>
          <w:rFonts w:ascii="Arial" w:hAnsi="Arial"/>
        </w:rPr>
      </w:pPr>
      <w:r w:rsidRPr="00355B91">
        <w:rPr>
          <w:rFonts w:ascii="Arial" w:hAnsi="Arial"/>
          <w:b/>
          <w:bCs/>
        </w:rPr>
        <w:t>COVID-19 Pandemic</w:t>
      </w:r>
      <w:r w:rsidRPr="00355B91">
        <w:rPr>
          <w:rFonts w:ascii="Arial" w:hAnsi="Arial"/>
        </w:rPr>
        <w:t xml:space="preserve"> – The COVID-19 pandemic refers to the global outbreak of the novel coronavirus (SARS-CoV-2), which was officially declared a pandemic by the World Health Organi</w:t>
      </w:r>
      <w:r w:rsidR="00C23DCB">
        <w:rPr>
          <w:rFonts w:ascii="Arial" w:hAnsi="Arial"/>
        </w:rPr>
        <w:t>z</w:t>
      </w:r>
      <w:r w:rsidRPr="00355B91">
        <w:rPr>
          <w:rFonts w:ascii="Arial" w:hAnsi="Arial"/>
        </w:rPr>
        <w:t>ation (WHO) in March 2020 (WHO, 2020). In the UK, the pandemic led to several nationwide lockdowns, restrictions on movement, and the implementation of social distancing measures to slow transmission (Mahase, 2020). These public health interventions significantly disrupted everyday life, education, employment, and healthcare delivery (Smith et al., 2020). Moreover, the pandemic placed unprecedented strain on the UK’s health and social care systems, leading to increased pressure on hospital capacity, staff shortages, and delays in non-COVID treatments (Scally et al., 2020).</w:t>
      </w:r>
    </w:p>
    <w:p w14:paraId="25F6D4B5" w14:textId="41B4861C" w:rsidR="00B71B00" w:rsidRPr="005172ED" w:rsidRDefault="00B71B00" w:rsidP="00B71B00">
      <w:pPr>
        <w:rPr>
          <w:rFonts w:ascii="Arial" w:hAnsi="Arial"/>
        </w:rPr>
      </w:pPr>
      <w:r w:rsidRPr="005172ED">
        <w:rPr>
          <w:rFonts w:ascii="Arial" w:hAnsi="Arial"/>
        </w:rPr>
        <w:t xml:space="preserve">These definitions will </w:t>
      </w:r>
      <w:r w:rsidR="00C23DCB">
        <w:rPr>
          <w:rFonts w:ascii="Arial" w:hAnsi="Arial"/>
        </w:rPr>
        <w:t>serve as the conceptual foundation for analysing the relationship between the pandemic and mental health outcomes among</w:t>
      </w:r>
      <w:r w:rsidRPr="005172ED">
        <w:rPr>
          <w:rFonts w:ascii="Arial" w:hAnsi="Arial"/>
        </w:rPr>
        <w:t xml:space="preserve"> young adults.</w:t>
      </w:r>
    </w:p>
    <w:p w14:paraId="094AE1A6" w14:textId="77777777" w:rsidR="00B71B00" w:rsidRPr="005172ED" w:rsidRDefault="00B71B00" w:rsidP="00B71B00">
      <w:pPr>
        <w:rPr>
          <w:rFonts w:ascii="Arial" w:hAnsi="Arial"/>
          <w:b/>
          <w:bCs/>
        </w:rPr>
      </w:pPr>
      <w:r w:rsidRPr="005172ED">
        <w:rPr>
          <w:rFonts w:ascii="Arial" w:hAnsi="Arial"/>
          <w:b/>
          <w:bCs/>
        </w:rPr>
        <w:t>1.3 Rationale for Research</w:t>
      </w:r>
    </w:p>
    <w:p w14:paraId="18BF5222" w14:textId="77777777" w:rsidR="00B71B00" w:rsidRPr="005172ED" w:rsidRDefault="00B71B00" w:rsidP="00B71B00">
      <w:pPr>
        <w:rPr>
          <w:rFonts w:ascii="Arial" w:hAnsi="Arial"/>
        </w:rPr>
      </w:pPr>
      <w:r w:rsidRPr="005172ED">
        <w:rPr>
          <w:rFonts w:ascii="Arial" w:hAnsi="Arial"/>
        </w:rPr>
        <w:t>The rationale for this study lies in the urgent need to understand the long-term psychological effects of the COVID-19 pandemic on younger adults in the UK. Mental health services were already under strain before 2020, with long waiting times and limited resources reported across the NHS and local authorities (Health Foundation, 2022). The pandemic amplified these challenges, with reports of increased anxiety and depression, especially among young adults navigating disrupted education and early career pathways (King’s Fund, 2023).</w:t>
      </w:r>
    </w:p>
    <w:p w14:paraId="7EBE97FF" w14:textId="77777777" w:rsidR="00B71B00" w:rsidRPr="005172ED" w:rsidRDefault="00B71B00" w:rsidP="00B71B00">
      <w:pPr>
        <w:rPr>
          <w:rFonts w:ascii="Arial" w:hAnsi="Arial"/>
        </w:rPr>
      </w:pPr>
      <w:r w:rsidRPr="005172ED">
        <w:rPr>
          <w:rFonts w:ascii="Arial" w:hAnsi="Arial"/>
        </w:rPr>
        <w:t>Globally, the WHO (2022) has highlighted mental health deterioration as a secondary but critical public health concern, with depression and anxiety rates increasing by more than 25% in the first year of the pandemic. In the UK, young people reported significantly higher rates of stress, uncertainty, and loneliness compared to older adults, making them a vulnerable group requiring targeted interventions (Navigator, 2022).</w:t>
      </w:r>
    </w:p>
    <w:p w14:paraId="70DA13EF" w14:textId="77777777" w:rsidR="00B71B00" w:rsidRPr="005172ED" w:rsidRDefault="00B71B00" w:rsidP="00B71B00">
      <w:pPr>
        <w:rPr>
          <w:rFonts w:ascii="Arial" w:hAnsi="Arial"/>
        </w:rPr>
      </w:pPr>
      <w:r w:rsidRPr="005172ED">
        <w:rPr>
          <w:rFonts w:ascii="Arial" w:hAnsi="Arial"/>
        </w:rPr>
        <w:t xml:space="preserve">Despite growing recognition of these issues, there remain gaps in understanding the specific experiences of young adults during COVID-19 in the UK context. Much research to date has focused on older populations, healthcare workers, or children. By centring young adults, this </w:t>
      </w:r>
      <w:r w:rsidRPr="005172ED">
        <w:rPr>
          <w:rFonts w:ascii="Arial" w:hAnsi="Arial"/>
        </w:rPr>
        <w:lastRenderedPageBreak/>
        <w:t>dissertation contributes to addressing an underexplored area with direct implications for policy and health and social care practice.</w:t>
      </w:r>
    </w:p>
    <w:p w14:paraId="793BB33A" w14:textId="77777777" w:rsidR="00B71B00" w:rsidRPr="005172ED" w:rsidRDefault="00B71B00" w:rsidP="00B71B00">
      <w:pPr>
        <w:rPr>
          <w:rFonts w:ascii="Arial" w:hAnsi="Arial"/>
          <w:b/>
          <w:bCs/>
        </w:rPr>
      </w:pPr>
      <w:r w:rsidRPr="005172ED">
        <w:rPr>
          <w:rFonts w:ascii="Arial" w:hAnsi="Arial"/>
          <w:b/>
          <w:bCs/>
        </w:rPr>
        <w:t>1.4 Aim and Objectives</w:t>
      </w:r>
    </w:p>
    <w:p w14:paraId="0257BE92" w14:textId="77777777" w:rsidR="00B71B00" w:rsidRPr="00A635B6" w:rsidRDefault="00B71B00" w:rsidP="00B71B00">
      <w:pPr>
        <w:rPr>
          <w:rFonts w:ascii="Arial" w:hAnsi="Arial"/>
          <w:b/>
          <w:bCs/>
        </w:rPr>
      </w:pPr>
      <w:r w:rsidRPr="00A635B6">
        <w:rPr>
          <w:rFonts w:ascii="Arial" w:hAnsi="Arial"/>
          <w:b/>
          <w:bCs/>
        </w:rPr>
        <w:t>Research Aim</w:t>
      </w:r>
    </w:p>
    <w:p w14:paraId="7B369C4F" w14:textId="77777777" w:rsidR="00B71B00" w:rsidRPr="005172ED" w:rsidRDefault="00B71B00" w:rsidP="00B71B00">
      <w:pPr>
        <w:rPr>
          <w:rFonts w:ascii="Arial" w:hAnsi="Arial"/>
        </w:rPr>
      </w:pPr>
      <w:r w:rsidRPr="005172ED">
        <w:rPr>
          <w:rFonts w:ascii="Arial" w:hAnsi="Arial"/>
        </w:rPr>
        <w:t>To examine the impact of the COVID-19 pandemic on the rates of depression and anxiety among younger adults (aged 18–30) in the UK.</w:t>
      </w:r>
    </w:p>
    <w:p w14:paraId="79178885" w14:textId="77777777" w:rsidR="00B71B00" w:rsidRPr="005172ED" w:rsidRDefault="00B71B00" w:rsidP="00B71B00">
      <w:pPr>
        <w:rPr>
          <w:rFonts w:ascii="Arial" w:hAnsi="Arial"/>
        </w:rPr>
      </w:pPr>
      <w:r w:rsidRPr="005172ED">
        <w:rPr>
          <w:rFonts w:ascii="Arial" w:hAnsi="Arial"/>
          <w:b/>
          <w:bCs/>
        </w:rPr>
        <w:t>Research Objectives</w:t>
      </w:r>
    </w:p>
    <w:p w14:paraId="16DD56F9" w14:textId="77777777" w:rsidR="00B71B00" w:rsidRPr="005172ED" w:rsidRDefault="00B71B00" w:rsidP="00B71B00">
      <w:pPr>
        <w:numPr>
          <w:ilvl w:val="0"/>
          <w:numId w:val="89"/>
        </w:numPr>
        <w:rPr>
          <w:rFonts w:ascii="Arial" w:hAnsi="Arial"/>
        </w:rPr>
      </w:pPr>
      <w:r w:rsidRPr="005172ED">
        <w:rPr>
          <w:rFonts w:ascii="Arial" w:hAnsi="Arial"/>
        </w:rPr>
        <w:t>To review existing literature on the mental health impact of COVID-19, with a focus on depression and anxiety among young adults in the UK.</w:t>
      </w:r>
    </w:p>
    <w:p w14:paraId="445E3D4A" w14:textId="77777777" w:rsidR="00B71B00" w:rsidRPr="005172ED" w:rsidRDefault="00B71B00" w:rsidP="00B71B00">
      <w:pPr>
        <w:numPr>
          <w:ilvl w:val="0"/>
          <w:numId w:val="89"/>
        </w:numPr>
        <w:rPr>
          <w:rFonts w:ascii="Arial" w:hAnsi="Arial"/>
        </w:rPr>
      </w:pPr>
      <w:r w:rsidRPr="005172ED">
        <w:rPr>
          <w:rFonts w:ascii="Arial" w:hAnsi="Arial"/>
        </w:rPr>
        <w:t>To analyse global and national data on mental health trends during the pandemic, drawing from sources such as WHO, the King’s Fund, and UK public health organisations.</w:t>
      </w:r>
    </w:p>
    <w:p w14:paraId="6E620783" w14:textId="77777777" w:rsidR="00B71B00" w:rsidRPr="005172ED" w:rsidRDefault="00B71B00" w:rsidP="00B71B00">
      <w:pPr>
        <w:numPr>
          <w:ilvl w:val="0"/>
          <w:numId w:val="89"/>
        </w:numPr>
        <w:rPr>
          <w:rFonts w:ascii="Arial" w:hAnsi="Arial"/>
        </w:rPr>
      </w:pPr>
      <w:r w:rsidRPr="005172ED">
        <w:rPr>
          <w:rFonts w:ascii="Arial" w:hAnsi="Arial"/>
        </w:rPr>
        <w:t>To identify key social, economic, and contextual factors contributing to increased depression and anxiety rates in this demographic.</w:t>
      </w:r>
    </w:p>
    <w:p w14:paraId="41C71F4E" w14:textId="77777777" w:rsidR="00B71B00" w:rsidRPr="005172ED" w:rsidRDefault="00B71B00" w:rsidP="00B71B00">
      <w:pPr>
        <w:numPr>
          <w:ilvl w:val="0"/>
          <w:numId w:val="89"/>
        </w:numPr>
        <w:rPr>
          <w:rFonts w:ascii="Arial" w:hAnsi="Arial"/>
        </w:rPr>
      </w:pPr>
      <w:r w:rsidRPr="005172ED">
        <w:rPr>
          <w:rFonts w:ascii="Arial" w:hAnsi="Arial"/>
        </w:rPr>
        <w:t>To critically evaluate the implications for UK health and social care policy and practice.</w:t>
      </w:r>
    </w:p>
    <w:p w14:paraId="0F08D0C6" w14:textId="77777777" w:rsidR="00B71B00" w:rsidRPr="005172ED" w:rsidRDefault="00B71B00" w:rsidP="00B71B00">
      <w:pPr>
        <w:numPr>
          <w:ilvl w:val="0"/>
          <w:numId w:val="89"/>
        </w:numPr>
        <w:rPr>
          <w:rFonts w:ascii="Arial" w:hAnsi="Arial"/>
        </w:rPr>
      </w:pPr>
      <w:r w:rsidRPr="005172ED">
        <w:rPr>
          <w:rFonts w:ascii="Arial" w:hAnsi="Arial"/>
        </w:rPr>
        <w:t>To provide evidence-based recommendations for future mental health support and interventions targeting young adults.</w:t>
      </w:r>
    </w:p>
    <w:p w14:paraId="603E02CF" w14:textId="77777777" w:rsidR="00B71B00" w:rsidRPr="005172ED" w:rsidRDefault="00B71B00" w:rsidP="00B71B00">
      <w:pPr>
        <w:rPr>
          <w:rFonts w:ascii="Arial" w:hAnsi="Arial"/>
          <w:b/>
          <w:bCs/>
        </w:rPr>
      </w:pPr>
      <w:r w:rsidRPr="005172ED">
        <w:rPr>
          <w:rFonts w:ascii="Arial" w:hAnsi="Arial"/>
          <w:b/>
          <w:bCs/>
        </w:rPr>
        <w:t>1.5 Conclusion</w:t>
      </w:r>
    </w:p>
    <w:p w14:paraId="45FEB8F5" w14:textId="43BC9BB1" w:rsidR="00B71B00" w:rsidRPr="005172ED" w:rsidRDefault="00B71B00" w:rsidP="00B71B00">
      <w:pPr>
        <w:rPr>
          <w:rFonts w:ascii="Arial" w:hAnsi="Arial"/>
        </w:rPr>
      </w:pPr>
      <w:r w:rsidRPr="005172ED">
        <w:rPr>
          <w:rFonts w:ascii="Arial" w:hAnsi="Arial"/>
        </w:rPr>
        <w:t>This chapter has introduced the dissertation by outlining its focus on the psychological impact of COVID-19 on young adults in the UK, defining key terms, presenting the rationale, and setting out the aim and objectives. The significance of the research lies in addressing a gap in the literature and in</w:t>
      </w:r>
      <w:r w:rsidR="00C23DCB">
        <w:rPr>
          <w:rFonts w:ascii="Arial" w:hAnsi="Arial"/>
        </w:rPr>
        <w:t xml:space="preserve"> informing future policy and practice to support younger adults</w:t>
      </w:r>
      <w:r w:rsidRPr="005172ED">
        <w:rPr>
          <w:rFonts w:ascii="Arial" w:hAnsi="Arial"/>
        </w:rPr>
        <w:t>.</w:t>
      </w:r>
    </w:p>
    <w:p w14:paraId="580A6F36" w14:textId="62A08FB2" w:rsidR="00B71B00" w:rsidRPr="005172ED" w:rsidRDefault="00B71B00" w:rsidP="00B71B00">
      <w:pPr>
        <w:rPr>
          <w:rFonts w:ascii="Arial" w:hAnsi="Arial"/>
        </w:rPr>
      </w:pPr>
      <w:r w:rsidRPr="005172ED">
        <w:rPr>
          <w:rFonts w:ascii="Arial" w:hAnsi="Arial"/>
        </w:rPr>
        <w:t xml:space="preserve">The next chapter (Chapter 2) will provide a detailed background and analysis of the topic. It will explore the historical and theoretical development of mental health research, situate the issue in both global and UK contexts, and critically assess how </w:t>
      </w:r>
      <w:r w:rsidR="00C23DCB">
        <w:rPr>
          <w:rFonts w:ascii="Arial" w:hAnsi="Arial"/>
        </w:rPr>
        <w:t>the pandemic has shaped depression and anxiety among young adults</w:t>
      </w:r>
      <w:r w:rsidRPr="005172ED">
        <w:rPr>
          <w:rFonts w:ascii="Arial" w:hAnsi="Arial"/>
        </w:rPr>
        <w:t>.</w:t>
      </w:r>
    </w:p>
    <w:p w14:paraId="50172C7F" w14:textId="77777777" w:rsidR="006F03EF" w:rsidRDefault="006F03EF" w:rsidP="00B71B00">
      <w:pPr>
        <w:pStyle w:val="Heading1"/>
      </w:pPr>
    </w:p>
    <w:p w14:paraId="546C0D3E" w14:textId="77777777" w:rsidR="007D52FD" w:rsidRDefault="007D52FD">
      <w:pPr>
        <w:spacing w:line="259" w:lineRule="auto"/>
        <w:jc w:val="left"/>
        <w:rPr>
          <w:rFonts w:ascii="Arial" w:eastAsia="Calibri Light" w:hAnsi="Arial" w:cs="Calibri Light"/>
          <w:b/>
          <w:kern w:val="0"/>
          <w:sz w:val="32"/>
          <w:szCs w:val="32"/>
          <w:lang w:eastAsia="en-GB" w:bidi="en-GB"/>
          <w14:ligatures w14:val="none"/>
        </w:rPr>
      </w:pPr>
      <w:r>
        <w:br w:type="page"/>
      </w:r>
    </w:p>
    <w:p w14:paraId="23594D26" w14:textId="78BF0D3E" w:rsidR="00B71B00" w:rsidRDefault="00B71B00" w:rsidP="00B71B00">
      <w:pPr>
        <w:pStyle w:val="Heading1"/>
      </w:pPr>
      <w:bookmarkStart w:id="3" w:name="_Toc222337898"/>
      <w:r w:rsidRPr="00A46FA8">
        <w:lastRenderedPageBreak/>
        <w:t>Chapter 2</w:t>
      </w:r>
      <w:bookmarkEnd w:id="3"/>
    </w:p>
    <w:p w14:paraId="33F17F2D" w14:textId="77777777" w:rsidR="00B71B00" w:rsidRPr="00AE046C" w:rsidRDefault="00B71B00" w:rsidP="001F5EDD">
      <w:pPr>
        <w:pStyle w:val="Heading2"/>
      </w:pPr>
      <w:bookmarkStart w:id="4" w:name="_Toc222337899"/>
      <w:r w:rsidRPr="00AE046C">
        <w:t>2.1 Introduction</w:t>
      </w:r>
      <w:bookmarkEnd w:id="4"/>
    </w:p>
    <w:p w14:paraId="52A8A90E" w14:textId="65A638F9" w:rsidR="00B71B00" w:rsidRDefault="00B71B00" w:rsidP="00B71B00">
      <w:pPr>
        <w:rPr>
          <w:rFonts w:ascii="Arial" w:hAnsi="Arial"/>
        </w:rPr>
      </w:pPr>
      <w:r w:rsidRPr="00AE046C">
        <w:rPr>
          <w:rFonts w:ascii="Arial" w:hAnsi="Arial"/>
        </w:rPr>
        <w:t xml:space="preserve">This chapter provides the background necessary to situate the research within its wider academic and policy context. It does not focus on presenting findings or thematic </w:t>
      </w:r>
      <w:proofErr w:type="gramStart"/>
      <w:r w:rsidRPr="00AE046C">
        <w:rPr>
          <w:rFonts w:ascii="Arial" w:hAnsi="Arial"/>
        </w:rPr>
        <w:t>analysis, but</w:t>
      </w:r>
      <w:proofErr w:type="gramEnd"/>
      <w:r w:rsidRPr="00AE046C">
        <w:rPr>
          <w:rFonts w:ascii="Arial" w:hAnsi="Arial"/>
        </w:rPr>
        <w:t xml:space="preserve"> rather builds the foundation for understanding how and why the COVID-19 pandemic has influenced the mental health of young adults in the UK. The discussion begins with a historical overview of how mental health has been recognised and addressed over time, with </w:t>
      </w:r>
      <w:proofErr w:type="gramStart"/>
      <w:r w:rsidRPr="00AE046C">
        <w:rPr>
          <w:rFonts w:ascii="Arial" w:hAnsi="Arial"/>
        </w:rPr>
        <w:t>particular reference</w:t>
      </w:r>
      <w:proofErr w:type="gramEnd"/>
      <w:r w:rsidRPr="00AE046C">
        <w:rPr>
          <w:rFonts w:ascii="Arial" w:hAnsi="Arial"/>
        </w:rPr>
        <w:t xml:space="preserve"> to the development of public health and mental health policy. It then considers theoretical frameworks that help explain the links between stress, social conditions, resilience, and young adult development. Following this, an international perspective is presented to compare how different countries have experienced and responded to the p</w:t>
      </w:r>
      <w:r w:rsidR="00C566F4">
        <w:rPr>
          <w:rFonts w:ascii="Arial" w:hAnsi="Arial"/>
        </w:rPr>
        <w:t>andemic's psychological impacts</w:t>
      </w:r>
      <w:r w:rsidRPr="00AE046C">
        <w:rPr>
          <w:rFonts w:ascii="Arial" w:hAnsi="Arial"/>
        </w:rPr>
        <w:t>. Finally, the chapter examines the national and local UK context, including the role of health and social care systems, policies, and inequalities.</w:t>
      </w:r>
    </w:p>
    <w:p w14:paraId="2B6A5168" w14:textId="77777777" w:rsidR="00B71B00" w:rsidRPr="00AE046C" w:rsidRDefault="00B71B00" w:rsidP="001F5EDD">
      <w:pPr>
        <w:pStyle w:val="Heading2"/>
      </w:pPr>
      <w:bookmarkStart w:id="5" w:name="_Toc222337900"/>
      <w:r w:rsidRPr="00AE046C">
        <w:t>2.2 Historical Background</w:t>
      </w:r>
      <w:bookmarkEnd w:id="5"/>
    </w:p>
    <w:p w14:paraId="28C1DC06" w14:textId="77777777" w:rsidR="00B71B00" w:rsidRPr="00A86C49" w:rsidRDefault="00B71B00" w:rsidP="00B71B00">
      <w:pPr>
        <w:rPr>
          <w:rFonts w:ascii="Arial" w:hAnsi="Arial"/>
        </w:rPr>
      </w:pPr>
      <w:r w:rsidRPr="00A86C49">
        <w:rPr>
          <w:rFonts w:ascii="Arial" w:hAnsi="Arial"/>
        </w:rPr>
        <w:t>The recognition of mental health as a central public health issue has undergone considerable change over time. Historically, mental illness was heavily stigmatised and poorly understood. Treatment during the 19th and early 20th centuries often relied on institutionalisation in asylums, where people with mental illness were isolated from society, frequently facing neglect and inadequate care. This approach reflected prevailing social attitudes that positioned mental health problems as deviant or shameful, rather than as legitimate health conditions requiring appropriate medical and social responses (World Health Organization, 2022).</w:t>
      </w:r>
    </w:p>
    <w:p w14:paraId="30229278" w14:textId="77777777" w:rsidR="00B71B00" w:rsidRDefault="00B71B00" w:rsidP="00B71B00">
      <w:pPr>
        <w:rPr>
          <w:rFonts w:ascii="Arial" w:hAnsi="Arial"/>
        </w:rPr>
      </w:pPr>
      <w:r w:rsidRPr="00A86C49">
        <w:rPr>
          <w:rFonts w:ascii="Arial" w:hAnsi="Arial"/>
        </w:rPr>
        <w:t>By the mid-20th century, a shift in understanding began to emerge, influenced by advances in psychiatry, psychology, and public health. Policies increasingly sought to move away from institutional care and towards community-based support. In the UK, a significant milestone was the Mental Health Act 1983, which provided a legal framework for treatment and care while emphasising patient rights and greater integration of mental health within the NHS (The King’s Fund, 2023). This period marked the beginning of a more holistic approach that recognised the need for services embedded within communities rather than segregated institutions.</w:t>
      </w:r>
    </w:p>
    <w:p w14:paraId="3959D997" w14:textId="77777777" w:rsidR="00B71B00" w:rsidRPr="00230E6C" w:rsidRDefault="00B71B00" w:rsidP="00B71B00">
      <w:pPr>
        <w:rPr>
          <w:rFonts w:ascii="Arial" w:hAnsi="Arial"/>
          <w:noProof/>
        </w:rPr>
      </w:pPr>
      <w:r w:rsidRPr="00230E6C">
        <w:rPr>
          <w:rFonts w:ascii="Arial" w:hAnsi="Arial"/>
          <w:noProof/>
          <w:sz w:val="30"/>
          <w:szCs w:val="30"/>
        </w:rPr>
        <mc:AlternateContent>
          <mc:Choice Requires="wps">
            <w:drawing>
              <wp:anchor distT="0" distB="0" distL="114300" distR="114300" simplePos="0" relativeHeight="251649024" behindDoc="0" locked="0" layoutInCell="1" allowOverlap="1" wp14:anchorId="3E3CE0D1" wp14:editId="408976A3">
                <wp:simplePos x="0" y="0"/>
                <wp:positionH relativeFrom="column">
                  <wp:posOffset>1447800</wp:posOffset>
                </wp:positionH>
                <wp:positionV relativeFrom="paragraph">
                  <wp:posOffset>326390</wp:posOffset>
                </wp:positionV>
                <wp:extent cx="167640" cy="182880"/>
                <wp:effectExtent l="0" t="0" r="22860" b="26670"/>
                <wp:wrapNone/>
                <wp:docPr id="1550091900"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5A2A7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114pt;margin-top:25.7pt;width:13.2pt;height:14.4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" fillcolor="#4472c4 [3204]" strokecolor="#09101d [484]" strokeweight="1pt">
                <v:stroke joinstyle="miter"/>
              </v:shape>
            </w:pict>
          </mc:Fallback>
        </mc:AlternateContent>
      </w:r>
      <w:r w:rsidRPr="00230E6C">
        <w:rPr>
          <w:rFonts w:ascii="Arial" w:hAnsi="Arial"/>
          <w:noProof/>
          <w:sz w:val="30"/>
          <w:szCs w:val="30"/>
        </w:rPr>
        <mc:AlternateContent>
          <mc:Choice Requires="wps">
            <w:drawing>
              <wp:anchor distT="0" distB="0" distL="114300" distR="114300" simplePos="0" relativeHeight="251653120" behindDoc="0" locked="0" layoutInCell="1" allowOverlap="1" wp14:anchorId="74991458" wp14:editId="2FAE5899">
                <wp:simplePos x="0" y="0"/>
                <wp:positionH relativeFrom="column">
                  <wp:posOffset>2720340</wp:posOffset>
                </wp:positionH>
                <wp:positionV relativeFrom="paragraph">
                  <wp:posOffset>318770</wp:posOffset>
                </wp:positionV>
                <wp:extent cx="167640" cy="182880"/>
                <wp:effectExtent l="0" t="0" r="22860" b="26670"/>
                <wp:wrapNone/>
                <wp:docPr id="1575348516"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5E36D7" id="Flowchart: Connector 2" o:spid="_x0000_s1026" type="#_x0000_t120" style="position:absolute;margin-left:214.2pt;margin-top:25.1pt;width:13.2pt;height: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" fillcolor="#4472c4 [3204]" strokecolor="#09101d [484]" strokeweight="1pt">
                <v:stroke joinstyle="miter"/>
              </v:shape>
            </w:pict>
          </mc:Fallback>
        </mc:AlternateContent>
      </w:r>
      <w:r w:rsidRPr="00230E6C">
        <w:rPr>
          <w:rFonts w:ascii="Arial" w:hAnsi="Arial"/>
          <w:noProof/>
          <w:sz w:val="30"/>
          <w:szCs w:val="30"/>
        </w:rPr>
        <mc:AlternateContent>
          <mc:Choice Requires="wps">
            <w:drawing>
              <wp:anchor distT="0" distB="0" distL="114300" distR="114300" simplePos="0" relativeHeight="251655168" behindDoc="0" locked="0" layoutInCell="1" allowOverlap="1" wp14:anchorId="4E89BD53" wp14:editId="1530E788">
                <wp:simplePos x="0" y="0"/>
                <wp:positionH relativeFrom="column">
                  <wp:posOffset>4023360</wp:posOffset>
                </wp:positionH>
                <wp:positionV relativeFrom="paragraph">
                  <wp:posOffset>311150</wp:posOffset>
                </wp:positionV>
                <wp:extent cx="167640" cy="182880"/>
                <wp:effectExtent l="0" t="0" r="22860" b="26670"/>
                <wp:wrapNone/>
                <wp:docPr id="1984492458"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0159D9" id="Flowchart: Connector 2" o:spid="_x0000_s1026" type="#_x0000_t120" style="position:absolute;margin-left:316.8pt;margin-top:24.5pt;width:13.2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" fillcolor="#4472c4 [3204]" strokecolor="#09101d [484]" strokeweight="1pt">
                <v:stroke joinstyle="miter"/>
              </v:shape>
            </w:pict>
          </mc:Fallback>
        </mc:AlternateContent>
      </w:r>
      <w:r w:rsidRPr="00230E6C">
        <w:rPr>
          <w:rFonts w:ascii="Arial" w:hAnsi="Arial"/>
        </w:rPr>
        <w:t>19th-early 20th c</w:t>
      </w:r>
      <w:r w:rsidRPr="00230E6C">
        <w:rPr>
          <w:rFonts w:ascii="Arial" w:hAnsi="Arial"/>
          <w:sz w:val="18"/>
          <w:szCs w:val="18"/>
        </w:rPr>
        <w:t>.</w:t>
      </w:r>
      <w:r w:rsidRPr="00230E6C">
        <w:rPr>
          <w:rFonts w:ascii="Arial" w:hAnsi="Arial"/>
          <w:noProof/>
        </w:rPr>
        <mc:AlternateContent>
          <mc:Choice Requires="wps">
            <w:drawing>
              <wp:anchor distT="0" distB="0" distL="114300" distR="114300" simplePos="0" relativeHeight="251651072" behindDoc="0" locked="0" layoutInCell="1" allowOverlap="1" wp14:anchorId="102EFFBC" wp14:editId="76159307">
                <wp:simplePos x="0" y="0"/>
                <wp:positionH relativeFrom="column">
                  <wp:posOffset>5402580</wp:posOffset>
                </wp:positionH>
                <wp:positionV relativeFrom="paragraph">
                  <wp:posOffset>326390</wp:posOffset>
                </wp:positionV>
                <wp:extent cx="167640" cy="182880"/>
                <wp:effectExtent l="0" t="0" r="22860" b="26670"/>
                <wp:wrapNone/>
                <wp:docPr id="417176935"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E5C836" id="Flowchart: Connector 2" o:spid="_x0000_s1026" type="#_x0000_t120" style="position:absolute;margin-left:425.4pt;margin-top:25.7pt;width:13.2pt;height:14.4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" fillcolor="#4472c4 [3204]" strokecolor="#09101d [484]" strokeweight="1pt">
                <v:stroke joinstyle="miter"/>
              </v:shape>
            </w:pict>
          </mc:Fallback>
        </mc:AlternateContent>
      </w:r>
      <w:r w:rsidRPr="00230E6C">
        <w:rPr>
          <w:rFonts w:ascii="Arial" w:hAnsi="Arial"/>
          <w:noProof/>
        </w:rPr>
        <mc:AlternateContent>
          <mc:Choice Requires="wps">
            <w:drawing>
              <wp:anchor distT="0" distB="0" distL="114300" distR="114300" simplePos="0" relativeHeight="251646976" behindDoc="0" locked="0" layoutInCell="1" allowOverlap="1" wp14:anchorId="34B67B8A" wp14:editId="57AE2AAF">
                <wp:simplePos x="0" y="0"/>
                <wp:positionH relativeFrom="column">
                  <wp:posOffset>91440</wp:posOffset>
                </wp:positionH>
                <wp:positionV relativeFrom="paragraph">
                  <wp:posOffset>326390</wp:posOffset>
                </wp:positionV>
                <wp:extent cx="167640" cy="182880"/>
                <wp:effectExtent l="0" t="0" r="22860" b="26670"/>
                <wp:wrapNone/>
                <wp:docPr id="1244555465"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A6F2FC" id="Flowchart: Connector 2" o:spid="_x0000_s1026" type="#_x0000_t120" style="position:absolute;margin-left:7.2pt;margin-top:25.7pt;width:13.2pt;height:14.4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" fillcolor="#4472c4 [3204]" strokecolor="#09101d [484]" strokeweight="1pt">
                <v:stroke joinstyle="miter"/>
              </v:shape>
            </w:pict>
          </mc:Fallback>
        </mc:AlternateContent>
      </w:r>
      <w:r>
        <w:rPr>
          <w:rFonts w:ascii="Arial" w:hAnsi="Arial"/>
          <w:noProof/>
        </w:rPr>
        <w:t xml:space="preserve">     1983                     2000s </w:t>
      </w:r>
      <w:r>
        <w:rPr>
          <w:rFonts w:ascii="Arial" w:hAnsi="Arial"/>
          <w:noProof/>
        </w:rPr>
        <w:tab/>
      </w:r>
      <w:r>
        <w:rPr>
          <w:rFonts w:ascii="Arial" w:hAnsi="Arial"/>
          <w:noProof/>
        </w:rPr>
        <w:tab/>
        <w:t xml:space="preserve">      2020</w:t>
      </w:r>
      <w:r>
        <w:rPr>
          <w:rFonts w:ascii="Arial" w:hAnsi="Arial"/>
          <w:noProof/>
        </w:rPr>
        <w:tab/>
      </w:r>
      <w:r>
        <w:rPr>
          <w:rFonts w:ascii="Arial" w:hAnsi="Arial"/>
          <w:noProof/>
        </w:rPr>
        <w:tab/>
        <w:t xml:space="preserve">      2022</w:t>
      </w:r>
    </w:p>
    <w:p w14:paraId="46FD4115" w14:textId="77777777" w:rsidR="00B71B00" w:rsidRDefault="00B71B00" w:rsidP="00B71B00">
      <w:pPr>
        <w:rPr>
          <w:rFonts w:ascii="Arial" w:hAnsi="Arial"/>
        </w:rPr>
      </w:pPr>
      <w:r>
        <w:rPr>
          <w:rFonts w:ascii="Arial" w:hAnsi="Arial"/>
          <w:noProof/>
        </w:rPr>
        <mc:AlternateContent>
          <mc:Choice Requires="wps">
            <w:drawing>
              <wp:anchor distT="0" distB="0" distL="114300" distR="114300" simplePos="0" relativeHeight="251663360" behindDoc="0" locked="0" layoutInCell="1" allowOverlap="1" wp14:anchorId="4FA85556" wp14:editId="07DEB550">
                <wp:simplePos x="0" y="0"/>
                <wp:positionH relativeFrom="column">
                  <wp:posOffset>3268980</wp:posOffset>
                </wp:positionH>
                <wp:positionV relativeFrom="paragraph">
                  <wp:posOffset>160020</wp:posOffset>
                </wp:positionV>
                <wp:extent cx="1813560" cy="762000"/>
                <wp:effectExtent l="0" t="0" r="0" b="0"/>
                <wp:wrapNone/>
                <wp:docPr id="1264354377" name="Rectangle 3"/>
                <wp:cNvGraphicFramePr/>
                <a:graphic xmlns:a="http://schemas.openxmlformats.org/drawingml/2006/main">
                  <a:graphicData uri="http://schemas.microsoft.com/office/word/2010/wordprocessingShape">
                    <wps:wsp>
                      <wps:cNvSpPr/>
                      <wps:spPr>
                        <a:xfrm>
                          <a:off x="0" y="0"/>
                          <a:ext cx="1813560" cy="7620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F7B927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COVID-19 pandemic</w:t>
                            </w:r>
                          </w:p>
                          <w:p w14:paraId="52AF97C1"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(Young adults highly affected,</w:t>
                            </w:r>
                          </w:p>
                          <w:p w14:paraId="355DB8DB"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1% reported depression symptoms)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85556" id="Rectangle 3" o:spid="_x0000_s1026" style="position:absolute;left:0;text-align:left;margin-left:257.4pt;margin-top:12.6pt;width:142.8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" filled="f" stroked="f" strokeweight="1pt">
                <v:textbox>
                  <w:txbxContent>
                    <w:p w14:paraId="4F7B927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COVID-19 pandemic</w:t>
                      </w:r>
                    </w:p>
                    <w:p w14:paraId="52AF97C1"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(Young adults highly affected,</w:t>
                      </w:r>
                    </w:p>
                    <w:p w14:paraId="355DB8DB"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1% reported depression symptoms)</w:t>
                      </w:r>
                    </w:p>
                  </w:txbxContent>
                </v:textbox>
              </v:rect>
            </w:pict>
          </mc:Fallback>
        </mc:AlternateContent>
      </w:r>
      <w:r>
        <w:rPr>
          <w:rFonts w:ascii="Arial" w:hAnsi="Arial"/>
          <w:noProof/>
        </w:rPr>
        <mc:AlternateContent>
          <mc:Choice Requires="wps">
            <w:drawing>
              <wp:anchor distT="0" distB="0" distL="114300" distR="114300" simplePos="0" relativeHeight="251657216" behindDoc="0" locked="0" layoutInCell="1" allowOverlap="1" wp14:anchorId="05DE7537" wp14:editId="42436678">
                <wp:simplePos x="0" y="0"/>
                <wp:positionH relativeFrom="column">
                  <wp:posOffset>1021080</wp:posOffset>
                </wp:positionH>
                <wp:positionV relativeFrom="paragraph">
                  <wp:posOffset>144780</wp:posOffset>
                </wp:positionV>
                <wp:extent cx="1318260" cy="495300"/>
                <wp:effectExtent l="0" t="0" r="0" b="0"/>
                <wp:wrapNone/>
                <wp:docPr id="1245887396" name="Rectangle 3"/>
                <wp:cNvGraphicFramePr/>
                <a:graphic xmlns:a="http://schemas.openxmlformats.org/drawingml/2006/main">
                  <a:graphicData uri="http://schemas.microsoft.com/office/word/2010/wordprocessingShape">
                    <wps:wsp>
                      <wps:cNvSpPr/>
                      <wps:spPr>
                        <a:xfrm>
                          <a:off x="0" y="0"/>
                          <a:ext cx="1318260" cy="4953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FF60393"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Mental Health Act 1983</w:t>
                            </w:r>
                          </w:p>
                          <w:p w14:paraId="3BF3F10C"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legal framework, patient rights,</w:t>
                            </w:r>
                          </w:p>
                          <w:p w14:paraId="1873409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community care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DE7537" id="_x0000_s1027" style="position:absolute;left:0;text-align:left;margin-left:80.4pt;margin-top:11.4pt;width:103.8pt;height:39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" filled="f" stroked="f" strokeweight="1pt">
                <v:textbox>
                  <w:txbxContent>
                    <w:p w14:paraId="1FF60393"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Mental Health Act 1983</w:t>
                      </w:r>
                    </w:p>
                    <w:p w14:paraId="3BF3F10C"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legal framework, patient rights,</w:t>
                      </w:r>
                    </w:p>
                    <w:p w14:paraId="1873409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community care focus)</w:t>
                      </w:r>
                    </w:p>
                  </w:txbxContent>
                </v:textbox>
              </v:rect>
            </w:pict>
          </mc:Fallback>
        </mc:AlternateContent>
      </w:r>
      <w:r>
        <w:rPr>
          <w:rFonts w:ascii="Arial" w:hAnsi="Arial"/>
          <w:noProof/>
        </w:rPr>
        <mc:AlternateContent>
          <mc:Choice Requires="wps">
            <w:drawing>
              <wp:anchor distT="0" distB="0" distL="114300" distR="114300" simplePos="0" relativeHeight="251644928" behindDoc="0" locked="0" layoutInCell="1" allowOverlap="1" wp14:anchorId="2EBED8DF" wp14:editId="6A929D3B">
                <wp:simplePos x="0" y="0"/>
                <wp:positionH relativeFrom="column">
                  <wp:posOffset>91440</wp:posOffset>
                </wp:positionH>
                <wp:positionV relativeFrom="paragraph">
                  <wp:posOffset>15240</wp:posOffset>
                </wp:positionV>
                <wp:extent cx="5486400" cy="45720"/>
                <wp:effectExtent l="0" t="0" r="19050" b="30480"/>
                <wp:wrapNone/>
                <wp:docPr id="769946317" name="Straight Connector 1"/>
                <wp:cNvGraphicFramePr/>
                <a:graphic xmlns:a="http://schemas.openxmlformats.org/drawingml/2006/main">
                  <a:graphicData uri="http://schemas.microsoft.com/office/word/2010/wordprocessingShape">
                    <wps:wsp>
                      <wps:cNvCnPr/>
                      <wps:spPr>
                        <a:xfrm flipV="1">
                          <a:off x="0" y="0"/>
                          <a:ext cx="5486400" cy="457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4321B76" id="Straight Connector 1" o:spid="_x0000_s1026" style="position:absolute;flip:y;z-index:251644928;visibility:visible;mso-wrap-style:square;mso-wrap-distance-left:9pt;mso-wrap-distance-top:0;mso-wrap-distance-right:9pt;mso-wrap-distance-bottom:0;mso-position-horizontal:absolute;mso-position-horizontal-relative:text;mso-position-vertical:absolute;mso-position-vertical-relative:text" from="7.2pt,1.2pt" to="439.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" strokecolor="black [3200]" strokeweight="1pt">
                <v:stroke joinstyle="miter"/>
              </v:line>
            </w:pict>
          </mc:Fallback>
        </mc:AlternateContent>
      </w:r>
    </w:p>
    <w:p w14:paraId="7CB6AA8D" w14:textId="77777777" w:rsidR="00B71B00" w:rsidRPr="00230E6C" w:rsidRDefault="00B71B00" w:rsidP="00B71B00">
      <w:pPr>
        <w:spacing w:after="0" w:line="240" w:lineRule="auto"/>
        <w:rPr>
          <w:rFonts w:ascii="Arial" w:hAnsi="Arial"/>
          <w:sz w:val="18"/>
          <w:szCs w:val="18"/>
        </w:rPr>
      </w:pPr>
      <w:r>
        <w:rPr>
          <w:rFonts w:ascii="Arial" w:hAnsi="Arial"/>
          <w:sz w:val="18"/>
          <w:szCs w:val="18"/>
        </w:rPr>
        <w:tab/>
      </w:r>
    </w:p>
    <w:p w14:paraId="06B9E0F5" w14:textId="77777777" w:rsidR="00B71B00" w:rsidRPr="00A86C49" w:rsidRDefault="00B71B00" w:rsidP="00B71B00">
      <w:pPr>
        <w:spacing w:after="0" w:line="240" w:lineRule="auto"/>
        <w:rPr>
          <w:rFonts w:ascii="Arial" w:hAnsi="Arial"/>
        </w:rPr>
      </w:pPr>
    </w:p>
    <w:p w14:paraId="23F7C2B0" w14:textId="77777777" w:rsidR="00B71B00" w:rsidRDefault="00B71B00" w:rsidP="00B71B00">
      <w:pPr>
        <w:rPr>
          <w:rFonts w:ascii="Arial" w:hAnsi="Arial"/>
        </w:rPr>
      </w:pPr>
      <w:r>
        <w:rPr>
          <w:rFonts w:ascii="Arial" w:hAnsi="Arial"/>
          <w:noProof/>
        </w:rPr>
        <mc:AlternateContent>
          <mc:Choice Requires="wps">
            <w:drawing>
              <wp:anchor distT="0" distB="0" distL="114300" distR="114300" simplePos="0" relativeHeight="251661312" behindDoc="0" locked="0" layoutInCell="1" allowOverlap="1" wp14:anchorId="15A6BF72" wp14:editId="390B382E">
                <wp:simplePos x="0" y="0"/>
                <wp:positionH relativeFrom="column">
                  <wp:posOffset>1821180</wp:posOffset>
                </wp:positionH>
                <wp:positionV relativeFrom="paragraph">
                  <wp:posOffset>83185</wp:posOffset>
                </wp:positionV>
                <wp:extent cx="1813560" cy="495300"/>
                <wp:effectExtent l="0" t="0" r="0" b="0"/>
                <wp:wrapNone/>
                <wp:docPr id="1660988959" name="Rectangle 3"/>
                <wp:cNvGraphicFramePr/>
                <a:graphic xmlns:a="http://schemas.openxmlformats.org/drawingml/2006/main">
                  <a:graphicData uri="http://schemas.microsoft.com/office/word/2010/wordprocessingShape">
                    <wps:wsp>
                      <wps:cNvSpPr/>
                      <wps:spPr>
                        <a:xfrm>
                          <a:off x="0" y="0"/>
                          <a:ext cx="1813560" cy="4953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25D7158"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Expansion of public health policy</w:t>
                            </w:r>
                          </w:p>
                          <w:p w14:paraId="35D227E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recognising mental health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A6BF72" id="_x0000_s1028" style="position:absolute;left:0;text-align:left;margin-left:143.4pt;margin-top:6.55pt;width:142.8pt;height:3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" filled="f" stroked="f" strokeweight="1pt">
                <v:textbox>
                  <w:txbxContent>
                    <w:p w14:paraId="625D7158"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Expansion of public health policy</w:t>
                      </w:r>
                    </w:p>
                    <w:p w14:paraId="35D227E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recognising mental health inequalities</w:t>
                      </w:r>
                    </w:p>
                  </w:txbxContent>
                </v:textbox>
              </v:rect>
            </w:pict>
          </mc:Fallback>
        </mc:AlternateContent>
      </w:r>
      <w:r>
        <w:rPr>
          <w:rFonts w:ascii="Arial" w:hAnsi="Arial"/>
          <w:noProof/>
        </w:rPr>
        <mc:AlternateContent>
          <mc:Choice Requires="wps">
            <w:drawing>
              <wp:anchor distT="0" distB="0" distL="114300" distR="114300" simplePos="0" relativeHeight="251659264" behindDoc="0" locked="0" layoutInCell="1" allowOverlap="1" wp14:anchorId="7E770649" wp14:editId="37392CF6">
                <wp:simplePos x="0" y="0"/>
                <wp:positionH relativeFrom="column">
                  <wp:posOffset>-190500</wp:posOffset>
                </wp:positionH>
                <wp:positionV relativeFrom="paragraph">
                  <wp:posOffset>121285</wp:posOffset>
                </wp:positionV>
                <wp:extent cx="1714500" cy="381000"/>
                <wp:effectExtent l="0" t="0" r="0" b="0"/>
                <wp:wrapNone/>
                <wp:docPr id="329552349" name="Rectangle 3"/>
                <wp:cNvGraphicFramePr/>
                <a:graphic xmlns:a="http://schemas.openxmlformats.org/drawingml/2006/main">
                  <a:graphicData uri="http://schemas.microsoft.com/office/word/2010/wordprocessingShape">
                    <wps:wsp>
                      <wps:cNvSpPr/>
                      <wps:spPr>
                        <a:xfrm>
                          <a:off x="0" y="0"/>
                          <a:ext cx="1714500" cy="3810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C69778" w14:textId="77777777" w:rsidR="00B71B00" w:rsidRPr="00230E6C" w:rsidRDefault="00B71B00" w:rsidP="00B71B00">
                            <w:pPr>
                              <w:spacing w:after="0" w:line="240" w:lineRule="auto"/>
                              <w:rPr>
                                <w:rFonts w:ascii="Arial" w:hAnsi="Arial"/>
                                <w:sz w:val="18"/>
                                <w:szCs w:val="18"/>
                              </w:rPr>
                            </w:pPr>
                            <w:r w:rsidRPr="00230E6C">
                              <w:rPr>
                                <w:rFonts w:ascii="Arial" w:hAnsi="Arial"/>
                                <w:sz w:val="18"/>
                                <w:szCs w:val="18"/>
                              </w:rPr>
                              <w:t>Institutionalisation</w:t>
                            </w:r>
                            <w:r>
                              <w:rPr>
                                <w:rFonts w:ascii="Arial" w:hAnsi="Arial"/>
                                <w:sz w:val="18"/>
                                <w:szCs w:val="18"/>
                              </w:rPr>
                              <w:t xml:space="preserve"> </w:t>
                            </w:r>
                            <w:r w:rsidRPr="00230E6C">
                              <w:rPr>
                                <w:rFonts w:ascii="Arial" w:hAnsi="Arial"/>
                                <w:sz w:val="18"/>
                                <w:szCs w:val="18"/>
                              </w:rPr>
                              <w:t>in asylums</w:t>
                            </w:r>
                          </w:p>
                          <w:p w14:paraId="75ADD3DF" w14:textId="77777777" w:rsidR="00B71B00" w:rsidRPr="00230E6C" w:rsidRDefault="00B71B00" w:rsidP="00B71B00">
                            <w:pPr>
                              <w:rPr>
                                <w:color w:val="000000" w:themeColor="text1"/>
                                <w:sz w:val="16"/>
                                <w:szCs w:val="16"/>
                              </w:rPr>
                            </w:pPr>
                            <w:r w:rsidRPr="00230E6C">
                              <w:rPr>
                                <w:rFonts w:ascii="Arial" w:hAnsi="Arial"/>
                                <w:sz w:val="18"/>
                                <w:szCs w:val="18"/>
                              </w:rPr>
                              <w:t>(stigma, neglect, isolation</w:t>
                            </w:r>
                            <w:r>
                              <w:rPr>
                                <w:rFonts w:ascii="Arial" w:hAnsi="Arial"/>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70649" id="_x0000_s1029" style="position:absolute;left:0;text-align:left;margin-left:-15pt;margin-top:9.55pt;width:13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" filled="f" stroked="f" strokeweight="1pt">
                <v:textbox>
                  <w:txbxContent>
                    <w:p w14:paraId="78C69778" w14:textId="77777777" w:rsidR="00B71B00" w:rsidRPr="00230E6C" w:rsidRDefault="00B71B00" w:rsidP="00B71B00">
                      <w:pPr>
                        <w:spacing w:after="0" w:line="240" w:lineRule="auto"/>
                        <w:rPr>
                          <w:rFonts w:ascii="Arial" w:hAnsi="Arial"/>
                          <w:sz w:val="18"/>
                          <w:szCs w:val="18"/>
                        </w:rPr>
                      </w:pPr>
                      <w:r w:rsidRPr="00230E6C">
                        <w:rPr>
                          <w:rFonts w:ascii="Arial" w:hAnsi="Arial"/>
                          <w:sz w:val="18"/>
                          <w:szCs w:val="18"/>
                        </w:rPr>
                        <w:t>Institutionalisation</w:t>
                      </w:r>
                      <w:r>
                        <w:rPr>
                          <w:rFonts w:ascii="Arial" w:hAnsi="Arial"/>
                          <w:sz w:val="18"/>
                          <w:szCs w:val="18"/>
                        </w:rPr>
                        <w:t xml:space="preserve"> </w:t>
                      </w:r>
                      <w:r w:rsidRPr="00230E6C">
                        <w:rPr>
                          <w:rFonts w:ascii="Arial" w:hAnsi="Arial"/>
                          <w:sz w:val="18"/>
                          <w:szCs w:val="18"/>
                        </w:rPr>
                        <w:t>in asylums</w:t>
                      </w:r>
                    </w:p>
                    <w:p w14:paraId="75ADD3DF" w14:textId="77777777" w:rsidR="00B71B00" w:rsidRPr="00230E6C" w:rsidRDefault="00B71B00" w:rsidP="00B71B00">
                      <w:pPr>
                        <w:rPr>
                          <w:color w:val="000000" w:themeColor="text1"/>
                          <w:sz w:val="16"/>
                          <w:szCs w:val="16"/>
                        </w:rPr>
                      </w:pPr>
                      <w:r w:rsidRPr="00230E6C">
                        <w:rPr>
                          <w:rFonts w:ascii="Arial" w:hAnsi="Arial"/>
                          <w:sz w:val="18"/>
                          <w:szCs w:val="18"/>
                        </w:rPr>
                        <w:t>(stigma, neglect, isolation</w:t>
                      </w:r>
                      <w:r>
                        <w:rPr>
                          <w:rFonts w:ascii="Arial" w:hAnsi="Arial"/>
                          <w:sz w:val="18"/>
                          <w:szCs w:val="18"/>
                        </w:rPr>
                        <w:t>)</w:t>
                      </w:r>
                    </w:p>
                  </w:txbxContent>
                </v:textbox>
              </v:rect>
            </w:pict>
          </mc:Fallback>
        </mc:AlternateContent>
      </w:r>
      <w:r>
        <w:rPr>
          <w:rFonts w:ascii="Arial" w:hAnsi="Arial"/>
          <w:noProof/>
        </w:rPr>
        <mc:AlternateContent>
          <mc:Choice Requires="wps">
            <w:drawing>
              <wp:anchor distT="0" distB="0" distL="114300" distR="114300" simplePos="0" relativeHeight="251665408" behindDoc="0" locked="0" layoutInCell="1" allowOverlap="1" wp14:anchorId="277E9862" wp14:editId="3EA8B83A">
                <wp:simplePos x="0" y="0"/>
                <wp:positionH relativeFrom="column">
                  <wp:posOffset>4297680</wp:posOffset>
                </wp:positionH>
                <wp:positionV relativeFrom="paragraph">
                  <wp:posOffset>106045</wp:posOffset>
                </wp:positionV>
                <wp:extent cx="1813560" cy="464820"/>
                <wp:effectExtent l="0" t="0" r="0" b="0"/>
                <wp:wrapNone/>
                <wp:docPr id="959938472" name="Rectangle 3"/>
                <wp:cNvGraphicFramePr/>
                <a:graphic xmlns:a="http://schemas.openxmlformats.org/drawingml/2006/main">
                  <a:graphicData uri="http://schemas.microsoft.com/office/word/2010/wordprocessingShape">
                    <wps:wsp>
                      <wps:cNvSpPr/>
                      <wps:spPr>
                        <a:xfrm>
                          <a:off x="0" y="0"/>
                          <a:ext cx="1813560" cy="4648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460AD6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WHO reports 25% global rise</w:t>
                            </w:r>
                          </w:p>
                          <w:p w14:paraId="0BE8758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in anxiety &amp; 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E9862" id="_x0000_s1030" style="position:absolute;left:0;text-align:left;margin-left:338.4pt;margin-top:8.35pt;width:142.8pt;height:3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" filled="f" stroked="f" strokeweight="1pt">
                <v:textbox>
                  <w:txbxContent>
                    <w:p w14:paraId="0460AD6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WHO reports 25% global rise</w:t>
                      </w:r>
                    </w:p>
                    <w:p w14:paraId="0BE8758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in anxiety &amp; depression</w:t>
                      </w:r>
                    </w:p>
                  </w:txbxContent>
                </v:textbox>
              </v:rect>
            </w:pict>
          </mc:Fallback>
        </mc:AlternateContent>
      </w:r>
    </w:p>
    <w:p w14:paraId="72F4AFCD" w14:textId="77777777" w:rsidR="00B71B00" w:rsidRDefault="00B71B00" w:rsidP="00B71B00">
      <w:pPr>
        <w:rPr>
          <w:rFonts w:ascii="Arial" w:hAnsi="Arial"/>
        </w:rPr>
      </w:pPr>
    </w:p>
    <w:p w14:paraId="300951D2" w14:textId="77777777" w:rsidR="00B71B00" w:rsidRDefault="00B71B00" w:rsidP="00B71B00">
      <w:pPr>
        <w:rPr>
          <w:rFonts w:ascii="Arial" w:hAnsi="Arial"/>
        </w:rPr>
      </w:pPr>
      <w:r>
        <w:rPr>
          <w:noProof/>
        </w:rPr>
        <mc:AlternateContent>
          <mc:Choice Requires="wps">
            <w:drawing>
              <wp:anchor distT="0" distB="0" distL="114300" distR="114300" simplePos="0" relativeHeight="251667456" behindDoc="0" locked="0" layoutInCell="1" allowOverlap="1" wp14:anchorId="69B04DA1" wp14:editId="2B9EFB0C">
                <wp:simplePos x="0" y="0"/>
                <wp:positionH relativeFrom="column">
                  <wp:posOffset>716280</wp:posOffset>
                </wp:positionH>
                <wp:positionV relativeFrom="paragraph">
                  <wp:posOffset>101600</wp:posOffset>
                </wp:positionV>
                <wp:extent cx="4587240" cy="635"/>
                <wp:effectExtent l="0" t="0" r="3810" b="0"/>
                <wp:wrapNone/>
                <wp:docPr id="1782484871" name="Text Box 1"/>
                <wp:cNvGraphicFramePr/>
                <a:graphic xmlns:a="http://schemas.openxmlformats.org/drawingml/2006/main">
                  <a:graphicData uri="http://schemas.microsoft.com/office/word/2010/wordprocessingShape">
                    <wps:wsp>
                      <wps:cNvSpPr txBox="1"/>
                      <wps:spPr>
                        <a:xfrm>
                          <a:off x="0" y="0"/>
                          <a:ext cx="4587240" cy="635"/>
                        </a:xfrm>
                        <a:prstGeom prst="rect">
                          <a:avLst/>
                        </a:prstGeom>
                        <a:solidFill>
                          <a:prstClr val="white"/>
                        </a:solidFill>
                        <a:ln>
                          <a:noFill/>
                        </a:ln>
                      </wps:spPr>
                      <wps:txbx>
                        <w:txbxContent>
                          <w:p w14:paraId="3F69BEB7" w14:textId="77777777" w:rsidR="00B71B00" w:rsidRPr="005A186D" w:rsidRDefault="00B71B00" w:rsidP="00B71B00">
                            <w:pPr>
                              <w:pStyle w:val="Caption"/>
                              <w:spacing w:line="360" w:lineRule="auto"/>
                              <w:rPr>
                                <w:rFonts w:ascii="Arial" w:hAnsi="Arial"/>
                                <w:noProof/>
                                <w:sz w:val="32"/>
                                <w:szCs w:val="32"/>
                              </w:rPr>
                            </w:pPr>
                            <w:r w:rsidRPr="005A186D">
                              <w:rPr>
                                <w:sz w:val="20"/>
                                <w:szCs w:val="20"/>
                              </w:rPr>
                              <w:t>Figure 1: Timeline of key milestones in UK and global mental health policy leading up to and during the COVID-19 pandemic.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9B04DA1" id="_x0000_t202" coordsize="21600,21600" o:spt="202" path="m,l,21600r21600,l21600,xe">
                <v:stroke joinstyle="miter"/>
                <v:path gradientshapeok="t" o:connecttype="rect"/>
              </v:shapetype>
              <v:shape id="Text Box 1" o:spid="_x0000_s1031" type="#_x0000_t202" style="position:absolute;left:0;text-align:left;margin-left:56.4pt;margin-top:8pt;width:361.2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MdGQIAAD8EAAAOAAAAZHJzL2Uyb0RvYy54bWysU8Fu2zAMvQ/YPwi6L06yti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" stroked="f">
                <v:textbox style="mso-fit-shape-to-text:t" inset="0,0,0,0">
                  <w:txbxContent>
                    <w:p w14:paraId="3F69BEB7" w14:textId="77777777" w:rsidR="00B71B00" w:rsidRPr="005A186D" w:rsidRDefault="00B71B00" w:rsidP="00B71B00">
                      <w:pPr>
                        <w:pStyle w:val="Caption"/>
                        <w:spacing w:line="360" w:lineRule="auto"/>
                        <w:rPr>
                          <w:rFonts w:ascii="Arial" w:hAnsi="Arial"/>
                          <w:noProof/>
                          <w:sz w:val="32"/>
                          <w:szCs w:val="32"/>
                        </w:rPr>
                      </w:pPr>
                      <w:r w:rsidRPr="005A186D">
                        <w:rPr>
                          <w:sz w:val="20"/>
                          <w:szCs w:val="20"/>
                        </w:rPr>
                        <w:t>Figure 1: Timeline of key milestones in UK and global mental health policy leading up to and during the COVID-19 pandemic.</w:t>
                      </w:r>
                    </w:p>
                  </w:txbxContent>
                </v:textbox>
              </v:shape>
            </w:pict>
          </mc:Fallback>
        </mc:AlternateContent>
      </w:r>
    </w:p>
    <w:p w14:paraId="7094B2FD" w14:textId="77777777" w:rsidR="00B71B00" w:rsidRDefault="00B71B00" w:rsidP="00B71B00">
      <w:pPr>
        <w:rPr>
          <w:rFonts w:ascii="Arial" w:hAnsi="Arial"/>
        </w:rPr>
      </w:pPr>
    </w:p>
    <w:p w14:paraId="13A37B9D" w14:textId="3E3C25B6" w:rsidR="00B71B00" w:rsidRPr="00A86C49" w:rsidRDefault="00B71B00" w:rsidP="00B71B00">
      <w:pPr>
        <w:rPr>
          <w:rFonts w:ascii="Arial" w:hAnsi="Arial"/>
        </w:rPr>
      </w:pPr>
      <w:r w:rsidRPr="00A86C49">
        <w:rPr>
          <w:rFonts w:ascii="Arial" w:hAnsi="Arial"/>
        </w:rPr>
        <w:t xml:space="preserve">The development of public health policy further reinforced the importance of mental health as part of overall wellbeing. The Association of Directors of Public Health (ADPH) highlights several milestones in its 175-year timeline, including increasing recognition of mental health inequalities and the expansion of local public health responsibilities (ADPH, 2022). At the international level, the World Health Organization (WHO) has consistently advocated for mental health to be considered alongside physical health. </w:t>
      </w:r>
      <w:r w:rsidR="00C566F4">
        <w:rPr>
          <w:rFonts w:ascii="Arial" w:hAnsi="Arial"/>
        </w:rPr>
        <w:t>The</w:t>
      </w:r>
      <w:r w:rsidRPr="00A86C49">
        <w:rPr>
          <w:rFonts w:ascii="Arial" w:hAnsi="Arial"/>
        </w:rPr>
        <w:t xml:space="preserve"> Global Health Observatory (2022) reported that depression and anxiety remain among the leading contributors to global disease burden, a trend that has intensified following COVID-19.</w:t>
      </w:r>
    </w:p>
    <w:p w14:paraId="01C9F880" w14:textId="77777777" w:rsidR="00B71B00" w:rsidRPr="00A86C49" w:rsidRDefault="00B71B00" w:rsidP="00B71B00">
      <w:pPr>
        <w:rPr>
          <w:rFonts w:ascii="Arial" w:hAnsi="Arial"/>
        </w:rPr>
      </w:pPr>
      <w:r w:rsidRPr="00A86C49">
        <w:rPr>
          <w:rFonts w:ascii="Arial" w:hAnsi="Arial"/>
        </w:rPr>
        <w:t>Historically, however, young adults aged 18–30 were often overlooked in policy and research. Much attention focused either on child and adolescent mental health or on older adults with severe and enduring conditions. This gap meant that the transitional challenges faced by young adults—such as higher education pressures, employment instability, and identity formation—received less systematic policy attention (Health Foundation, 2022).</w:t>
      </w:r>
    </w:p>
    <w:p w14:paraId="3C4EFE66" w14:textId="77777777" w:rsidR="00B71B00" w:rsidRPr="00AE046C" w:rsidRDefault="00B71B00" w:rsidP="00B71B00">
      <w:pPr>
        <w:rPr>
          <w:rFonts w:ascii="Arial" w:hAnsi="Arial"/>
        </w:rPr>
      </w:pPr>
      <w:r w:rsidRPr="00A86C49">
        <w:rPr>
          <w:rFonts w:ascii="Arial" w:hAnsi="Arial"/>
        </w:rPr>
        <w:t>The COVID-19 pandemic represented a turning point by exposing these vulnerabilities. In the UK, the Office for National Statistics (ONS) reported that 31% of individuals aged 16–29 experienced moderate to severe depressive symptoms during the first lockdown in 2020 (Vizard, 2020). Similarly, the WHO (2022) estimated a 25% global increase in anxiety and depression in the first year of the pandemic. These findings underline that although younger adults were less at risk of severe physical illness from COVID-19, they carried a disproportionate psychological burden. This shift has forced policymakers, practitioners, and researchers to confront the specific mental health needs of younger adults in unprecedented ways.</w:t>
      </w:r>
    </w:p>
    <w:p w14:paraId="3D8255DD" w14:textId="77777777" w:rsidR="00B71B00" w:rsidRPr="00AE046C" w:rsidRDefault="00B71B00" w:rsidP="001F5EDD">
      <w:pPr>
        <w:pStyle w:val="Heading2"/>
      </w:pPr>
      <w:bookmarkStart w:id="6" w:name="_Toc222337901"/>
      <w:r w:rsidRPr="00AE046C">
        <w:t>2.3 Theoretical Background</w:t>
      </w:r>
      <w:bookmarkEnd w:id="6"/>
    </w:p>
    <w:p w14:paraId="4C24E2B7" w14:textId="169FB3BD" w:rsidR="00B71B00" w:rsidRPr="00AE046C" w:rsidRDefault="00B71B00" w:rsidP="00B71B00">
      <w:pPr>
        <w:rPr>
          <w:rFonts w:ascii="Arial" w:hAnsi="Arial"/>
        </w:rPr>
      </w:pPr>
      <w:r w:rsidRPr="007F36E2">
        <w:rPr>
          <w:rFonts w:ascii="Arial" w:hAnsi="Arial"/>
        </w:rPr>
        <w:t xml:space="preserve">Theoretical frameworks are essential for analysing how the COVID-19 pandemic has affected mental health outcomes in young adults. They provide structured ways of interpreting how individual vulnerabilities, social conditions, and developmental stages interact with stressors such as the pandemic (Holmes et al., 2020; Xiong et al., 2020). This section outlines four key perspectives: the stress-vulnerability model (Hossain et al., 2020), the social determinants of health framework (Marmot and Allen, 2020), resilience theory (Chen and Bonanno, 2020), and Erikson’s psychosocial development theory </w:t>
      </w:r>
      <w:r w:rsidR="001D0389" w:rsidRPr="001D0389">
        <w:rPr>
          <w:rFonts w:ascii="Arial" w:hAnsi="Arial"/>
        </w:rPr>
        <w:t>(Gross, 2020)</w:t>
      </w:r>
      <w:r w:rsidRPr="007F36E2">
        <w:rPr>
          <w:rFonts w:ascii="Arial" w:hAnsi="Arial"/>
        </w:rPr>
        <w:t>.</w:t>
      </w:r>
    </w:p>
    <w:p w14:paraId="3E1A61BE" w14:textId="77777777" w:rsidR="00B71B00" w:rsidRPr="00D43F3A" w:rsidRDefault="00B71B00" w:rsidP="001F5EDD">
      <w:pPr>
        <w:pStyle w:val="Heading2"/>
      </w:pPr>
      <w:bookmarkStart w:id="7" w:name="_Toc222337902"/>
      <w:r w:rsidRPr="00D43F3A">
        <w:lastRenderedPageBreak/>
        <w:t>Stress-Vulnerability Model</w:t>
      </w:r>
      <w:bookmarkEnd w:id="7"/>
      <w:r w:rsidRPr="00D43F3A">
        <w:t xml:space="preserve"> </w:t>
      </w:r>
    </w:p>
    <w:p w14:paraId="15249902" w14:textId="77777777" w:rsidR="00B71B00" w:rsidRPr="00D43F3A" w:rsidRDefault="00B71B00" w:rsidP="00B71B00">
      <w:pPr>
        <w:rPr>
          <w:rFonts w:ascii="Arial" w:hAnsi="Arial"/>
        </w:rPr>
      </w:pPr>
      <w:r w:rsidRPr="00D43F3A">
        <w:rPr>
          <w:rFonts w:ascii="Arial" w:hAnsi="Arial"/>
        </w:rPr>
        <w:t xml:space="preserve">The stress-vulnerability model explains mental illness as the outcome of interactions between environmental stressors and individual predispositions. For young adults during COVID-19, stressors included prolonged isolation, education disruption, and employment instability. Those with prior vulnerabilities—such as a family history of mental illness or poor coping strategies—were particularly at risk of depression and anxiety (Kreski et al., 2022). The model is useful in highlighting why some individuals experienced severe psychological distress while others did not. However, it is limited in its focus on individual pathology, sometimes overlooking the broader systemic and societal influences that exacerbate vulnerability. </w:t>
      </w:r>
    </w:p>
    <w:p w14:paraId="380E932E" w14:textId="77777777" w:rsidR="00B71B00" w:rsidRPr="00D43F3A" w:rsidRDefault="00B71B00" w:rsidP="001F5EDD">
      <w:pPr>
        <w:pStyle w:val="Heading2"/>
      </w:pPr>
      <w:bookmarkStart w:id="8" w:name="_Toc222337903"/>
      <w:r w:rsidRPr="00D43F3A">
        <w:t>Social Determinants of Health Framework</w:t>
      </w:r>
      <w:bookmarkEnd w:id="8"/>
      <w:r w:rsidRPr="00D43F3A">
        <w:t xml:space="preserve"> </w:t>
      </w:r>
    </w:p>
    <w:p w14:paraId="2231210E" w14:textId="77777777" w:rsidR="00B71B00" w:rsidRPr="00D43F3A" w:rsidRDefault="00B71B00" w:rsidP="00B71B00">
      <w:pPr>
        <w:rPr>
          <w:rFonts w:ascii="Arial" w:hAnsi="Arial"/>
        </w:rPr>
      </w:pPr>
      <w:r w:rsidRPr="00D43F3A">
        <w:rPr>
          <w:rFonts w:ascii="Arial" w:hAnsi="Arial"/>
        </w:rPr>
        <w:t xml:space="preserve">The social determinants of health framework emphasises that health outcomes are strongly shaped by socioeconomic and environmental conditions, including education, housing, income, and access to healthcare (Marmot et al., 2020). During the pandemic, young adults from disadvantaged backgrounds faced heightened risks of poor mental health due to financial insecurity, inadequate housing for home working or studying, and reduced access to services (Health Foundation, 2022). This framework moves beyond individual vulnerabilities to highlight structural inequalities, making it particularly relevant in examining the disproportionate impact of COVID-19. However, a limitation is that it may generalise experiences and underplay individual variation in coping and resilience. </w:t>
      </w:r>
    </w:p>
    <w:p w14:paraId="51CDEBA7" w14:textId="77777777" w:rsidR="00B71B00" w:rsidRPr="00D43F3A" w:rsidRDefault="00B71B00" w:rsidP="001F5EDD">
      <w:pPr>
        <w:pStyle w:val="Heading2"/>
      </w:pPr>
      <w:bookmarkStart w:id="9" w:name="_Toc222337904"/>
      <w:r w:rsidRPr="00D43F3A">
        <w:t>Resilience Theory</w:t>
      </w:r>
      <w:bookmarkEnd w:id="9"/>
      <w:r w:rsidRPr="00D43F3A">
        <w:t xml:space="preserve"> </w:t>
      </w:r>
    </w:p>
    <w:p w14:paraId="63D65024" w14:textId="6DCFBC70" w:rsidR="00B71B00" w:rsidRPr="00D43F3A" w:rsidRDefault="00B71B00" w:rsidP="00B71B00">
      <w:pPr>
        <w:rPr>
          <w:rFonts w:ascii="Arial" w:hAnsi="Arial"/>
        </w:rPr>
      </w:pPr>
      <w:r w:rsidRPr="00D43F3A">
        <w:rPr>
          <w:rFonts w:ascii="Arial" w:hAnsi="Arial"/>
        </w:rPr>
        <w:t xml:space="preserve">Resilience theory </w:t>
      </w:r>
      <w:r w:rsidR="00C566F4">
        <w:rPr>
          <w:rFonts w:ascii="Arial" w:hAnsi="Arial"/>
        </w:rPr>
        <w:t>offers a contrasting perspective,</w:t>
      </w:r>
      <w:r w:rsidRPr="00D43F3A">
        <w:rPr>
          <w:rFonts w:ascii="Arial" w:hAnsi="Arial"/>
        </w:rPr>
        <w:t xml:space="preserve"> focusing on positive adaptation despite adversity. Research has shown that some young adults </w:t>
      </w:r>
      <w:r w:rsidR="00C566F4">
        <w:rPr>
          <w:rFonts w:ascii="Arial" w:hAnsi="Arial"/>
        </w:rPr>
        <w:t>managed</w:t>
      </w:r>
      <w:r w:rsidRPr="00D43F3A">
        <w:rPr>
          <w:rFonts w:ascii="Arial" w:hAnsi="Arial"/>
        </w:rPr>
        <w:t xml:space="preserve"> the stress of the pandemic through social support networks, digital engagement, or proactive coping strategies (Kunzler et al., 2020). This theory offers valuable insights into protective factors that can mitigate the negative impact of crises, such as peer connection and access to mental health resources. Nevertheless, critics argue that overemphasis on resilience risks shifting responsibility onto individuals to “bounce back,” neglecting the systemic changes required to reduce exposure to risk factors. </w:t>
      </w:r>
    </w:p>
    <w:p w14:paraId="2FCD5330" w14:textId="77777777" w:rsidR="00B71B00" w:rsidRPr="00D43F3A" w:rsidRDefault="00B71B00" w:rsidP="001F5EDD">
      <w:pPr>
        <w:pStyle w:val="Heading2"/>
      </w:pPr>
      <w:bookmarkStart w:id="10" w:name="_Toc222337905"/>
      <w:r w:rsidRPr="00D43F3A">
        <w:t>Erikson’s Psychosocial Development Theory</w:t>
      </w:r>
      <w:bookmarkEnd w:id="10"/>
      <w:r w:rsidRPr="00D43F3A">
        <w:t xml:space="preserve"> </w:t>
      </w:r>
    </w:p>
    <w:p w14:paraId="72FD37AB" w14:textId="77777777" w:rsidR="00B71B00" w:rsidRPr="00D43F3A" w:rsidRDefault="00B71B00" w:rsidP="00B71B00">
      <w:pPr>
        <w:rPr>
          <w:rFonts w:ascii="Arial" w:hAnsi="Arial"/>
        </w:rPr>
      </w:pPr>
      <w:r w:rsidRPr="00D43F3A">
        <w:rPr>
          <w:rFonts w:ascii="Arial" w:hAnsi="Arial"/>
        </w:rPr>
        <w:t xml:space="preserve">Erikson’s stage of early adulthood, defined by the conflict of “Intimacy vs. Isolation,” is particularly relevant to this study. Young adults are typically expected to form stable relationships, develop independence, and consolidate identity during this period (Erikson, cited in WHO, 2022). COVID-19 restrictions disrupted these developmental tasks by limiting opportunities for social interaction, travel, and career progression. As a result, young adults were at greater risk of loneliness, anxiety, and feelings of stagnation. While Erikson’s </w:t>
      </w:r>
      <w:r w:rsidRPr="00D43F3A">
        <w:rPr>
          <w:rFonts w:ascii="Arial" w:hAnsi="Arial"/>
        </w:rPr>
        <w:lastRenderedPageBreak/>
        <w:t xml:space="preserve">framework helps to </w:t>
      </w:r>
      <w:proofErr w:type="gramStart"/>
      <w:r w:rsidRPr="00D43F3A">
        <w:rPr>
          <w:rFonts w:ascii="Arial" w:hAnsi="Arial"/>
        </w:rPr>
        <w:t>contextualise</w:t>
      </w:r>
      <w:proofErr w:type="gramEnd"/>
      <w:r w:rsidRPr="00D43F3A">
        <w:rPr>
          <w:rFonts w:ascii="Arial" w:hAnsi="Arial"/>
        </w:rPr>
        <w:t xml:space="preserve"> the developmental challenges faced by this age group, it is criticised for being culturally dated, linear in progression, and less applicable to today’s complex, digitalised contexts. </w:t>
      </w:r>
    </w:p>
    <w:p w14:paraId="774D9626" w14:textId="77777777" w:rsidR="00B71B00" w:rsidRPr="00D43F3A" w:rsidRDefault="00B71B00" w:rsidP="001F5EDD">
      <w:pPr>
        <w:pStyle w:val="Heading2"/>
      </w:pPr>
      <w:bookmarkStart w:id="11" w:name="_Toc222337906"/>
      <w:r w:rsidRPr="00D43F3A">
        <w:t>Critical Evaluation</w:t>
      </w:r>
      <w:bookmarkEnd w:id="11"/>
      <w:r w:rsidRPr="00D43F3A">
        <w:t xml:space="preserve"> </w:t>
      </w:r>
    </w:p>
    <w:p w14:paraId="768639E5" w14:textId="557D0D19" w:rsidR="00B71B00" w:rsidRPr="00D43F3A" w:rsidRDefault="00B71B00" w:rsidP="00B71B00">
      <w:pPr>
        <w:rPr>
          <w:rFonts w:ascii="Arial" w:hAnsi="Arial"/>
        </w:rPr>
      </w:pPr>
      <w:r w:rsidRPr="00D43F3A">
        <w:rPr>
          <w:rFonts w:ascii="Arial" w:hAnsi="Arial"/>
        </w:rPr>
        <w:t xml:space="preserve">Each theory provides distinct strengths. The stress-vulnerability model helps to explain why not all young adults experience equal mental health impacts. The social determinants framework situates these outcomes within broader inequalities, offering insight for policy and practice. Resilience theory highlights the importance of protective factors and coping strategies, while Erikson’s psychosocial theory situates the problem within a developmental stage critical to young adult wellbeing. However, limitations </w:t>
      </w:r>
      <w:proofErr w:type="gramStart"/>
      <w:r w:rsidRPr="00D43F3A">
        <w:rPr>
          <w:rFonts w:ascii="Arial" w:hAnsi="Arial"/>
        </w:rPr>
        <w:t>exist:</w:t>
      </w:r>
      <w:proofErr w:type="gramEnd"/>
      <w:r w:rsidRPr="00D43F3A">
        <w:rPr>
          <w:rFonts w:ascii="Arial" w:hAnsi="Arial"/>
        </w:rPr>
        <w:t xml:space="preserve"> individual-focused models risk neglecting systemic issues, resilience theory may individualise responsibility, and Erikson’s framework lacks adaptability to contemporary, diverse youth experiences. Taken together, these perspectives provide a comprehensive, multi-level understanding of the pandemic’s psychological impact on young adults. </w:t>
      </w:r>
    </w:p>
    <w:p w14:paraId="1667FD68" w14:textId="77777777" w:rsidR="00B71B00" w:rsidRDefault="00B71B00" w:rsidP="00B71B00">
      <w:pPr>
        <w:rPr>
          <w:rFonts w:ascii="Arial" w:hAnsi="Arial"/>
        </w:rPr>
      </w:pPr>
    </w:p>
    <w:p w14:paraId="2E7131F5" w14:textId="77777777" w:rsidR="00B71B00" w:rsidRPr="00AE046C" w:rsidRDefault="00B71B00" w:rsidP="001F5EDD">
      <w:pPr>
        <w:pStyle w:val="Heading2"/>
      </w:pPr>
      <w:bookmarkStart w:id="12" w:name="_Toc222337907"/>
      <w:r w:rsidRPr="00265046">
        <w:t>2.4 International Context</w:t>
      </w:r>
      <w:bookmarkEnd w:id="12"/>
    </w:p>
    <w:p w14:paraId="4796602A" w14:textId="396C4E07" w:rsidR="00B71B00" w:rsidRPr="00265046" w:rsidRDefault="00B71B00" w:rsidP="00B71B00">
      <w:pPr>
        <w:rPr>
          <w:rFonts w:ascii="Arial" w:hAnsi="Arial"/>
        </w:rPr>
      </w:pPr>
      <w:r w:rsidRPr="00FF7F4E">
        <w:rPr>
          <w:rFonts w:ascii="Arial" w:hAnsi="Arial"/>
        </w:rPr>
        <w:t xml:space="preserve">The COVID-19 pandemic had a profound effect on mental health worldwide, with significant variations in impact and response across different health systems (Holmes et al., 2020; Moreno et al., 2020). The World Health Organization (2022) reported that </w:t>
      </w:r>
      <w:r w:rsidR="00C566F4">
        <w:rPr>
          <w:rFonts w:ascii="Arial" w:hAnsi="Arial"/>
        </w:rPr>
        <w:t xml:space="preserve">the </w:t>
      </w:r>
      <w:r w:rsidRPr="00FF7F4E">
        <w:rPr>
          <w:rFonts w:ascii="Arial" w:hAnsi="Arial"/>
        </w:rPr>
        <w:t>global prevalence of depression and anxiety increased by approximately 25% during the first year of the pandemic. Factors such as lockdowns, social isolation, financial insecurity, and fear of infection were central to this rise (Xiong et al., 2020; Pierce et al., 2020). Young adults were particularly affected due to disrupted education, unstable employment, and reduced social opportunities (Odriozola-González et al., 2020; Shanahan et al., 2020).</w:t>
      </w:r>
    </w:p>
    <w:p w14:paraId="6EF41521" w14:textId="392298DB" w:rsidR="00B71B00" w:rsidRPr="00265046" w:rsidRDefault="00B71B00" w:rsidP="00B71B00">
      <w:pPr>
        <w:rPr>
          <w:rFonts w:ascii="Arial" w:hAnsi="Arial"/>
        </w:rPr>
      </w:pPr>
      <w:r w:rsidRPr="00265046">
        <w:rPr>
          <w:rFonts w:ascii="Arial" w:hAnsi="Arial"/>
        </w:rPr>
        <w:t>In the United States, evidence from the Cent</w:t>
      </w:r>
      <w:r w:rsidR="00C566F4">
        <w:rPr>
          <w:rFonts w:ascii="Arial" w:hAnsi="Arial"/>
        </w:rPr>
        <w:t>re</w:t>
      </w:r>
      <w:r w:rsidRPr="00265046">
        <w:rPr>
          <w:rFonts w:ascii="Arial" w:hAnsi="Arial"/>
        </w:rPr>
        <w:t>s for Disease Control and Prevention (CDC) highlighted that over 40% of young adults reported symptoms of anxiety or depression during 2020 (CDC, 2021). These figures underline how the pandemic intensified existing mental health challenges in populations already experiencing high levels of stress and inequality. Conversely, Nordic countries such as Denmark and Norway reported comparatively lower levels of distress. Scholars attribute this to stronger welfare systems, extensive mental health provision, and community-based supports that buffered the psychological effects of the crisis (Health Foundation, 2022).</w:t>
      </w:r>
    </w:p>
    <w:p w14:paraId="24DB8615" w14:textId="77777777" w:rsidR="00B71B00" w:rsidRDefault="00B71B00" w:rsidP="00B71B00">
      <w:pPr>
        <w:rPr>
          <w:rFonts w:ascii="Arial" w:hAnsi="Arial"/>
        </w:rPr>
      </w:pPr>
      <w:r>
        <w:rPr>
          <w:noProof/>
        </w:rPr>
        <w:lastRenderedPageBreak/>
        <mc:AlternateContent>
          <mc:Choice Requires="wps">
            <w:drawing>
              <wp:anchor distT="0" distB="0" distL="114300" distR="114300" simplePos="0" relativeHeight="251671552" behindDoc="1" locked="0" layoutInCell="1" allowOverlap="1" wp14:anchorId="0D11C1DF" wp14:editId="7D473890">
                <wp:simplePos x="0" y="0"/>
                <wp:positionH relativeFrom="column">
                  <wp:posOffset>441960</wp:posOffset>
                </wp:positionH>
                <wp:positionV relativeFrom="paragraph">
                  <wp:posOffset>2800350</wp:posOffset>
                </wp:positionV>
                <wp:extent cx="4572000" cy="635"/>
                <wp:effectExtent l="0" t="0" r="0" b="0"/>
                <wp:wrapTight wrapText="bothSides">
                  <wp:wrapPolygon edited="0">
                    <wp:start x="0" y="0"/>
                    <wp:lineTo x="0" y="21600"/>
                    <wp:lineTo x="21600" y="21600"/>
                    <wp:lineTo x="21600" y="0"/>
                  </wp:wrapPolygon>
                </wp:wrapTight>
                <wp:docPr id="599704251"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17EAB0C" w14:textId="77777777" w:rsidR="00B71B00" w:rsidRPr="001D57A8" w:rsidRDefault="00B71B00" w:rsidP="00B71B00">
                            <w:pPr>
                              <w:pStyle w:val="Caption"/>
                              <w:spacing w:line="360" w:lineRule="auto"/>
                              <w:jc w:val="both"/>
                              <w:rPr>
                                <w:noProof/>
                                <w:sz w:val="20"/>
                                <w:szCs w:val="20"/>
                              </w:rPr>
                            </w:pPr>
                            <w:r w:rsidRPr="001D57A8">
                              <w:rPr>
                                <w:sz w:val="20"/>
                                <w:szCs w:val="20"/>
                              </w:rPr>
                              <w:t>Figure 2: Prevalence of anxiety and depression among young adults during COVID-19 across selected countries (adapted from CDC, WHO, ONS, and Health Foundation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11C1DF" id="_x0000_s1032" type="#_x0000_t202" style="position:absolute;left:0;text-align:left;margin-left:34.8pt;margin-top:220.5pt;width:5in;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" stroked="f">
                <v:textbox style="mso-fit-shape-to-text:t" inset="0,0,0,0">
                  <w:txbxContent>
                    <w:p w14:paraId="117EAB0C" w14:textId="77777777" w:rsidR="00B71B00" w:rsidRPr="001D57A8" w:rsidRDefault="00B71B00" w:rsidP="00B71B00">
                      <w:pPr>
                        <w:pStyle w:val="Caption"/>
                        <w:spacing w:line="360" w:lineRule="auto"/>
                        <w:jc w:val="both"/>
                        <w:rPr>
                          <w:noProof/>
                          <w:sz w:val="20"/>
                          <w:szCs w:val="20"/>
                        </w:rPr>
                      </w:pPr>
                      <w:r w:rsidRPr="001D57A8">
                        <w:rPr>
                          <w:sz w:val="20"/>
                          <w:szCs w:val="20"/>
                        </w:rPr>
                        <w:t>Figure 2: Prevalence of anxiety and depression among young adults during COVID-19 across selected countries (adapted from CDC, WHO, ONS, and Health Foundation reports).</w:t>
                      </w:r>
                    </w:p>
                  </w:txbxContent>
                </v:textbox>
                <w10:wrap type="tight"/>
              </v:shape>
            </w:pict>
          </mc:Fallback>
        </mc:AlternateContent>
      </w:r>
      <w:r>
        <w:rPr>
          <w:noProof/>
        </w:rPr>
        <w:drawing>
          <wp:anchor distT="0" distB="0" distL="114300" distR="114300" simplePos="0" relativeHeight="251669504" behindDoc="1" locked="0" layoutInCell="1" allowOverlap="1" wp14:anchorId="3051E121" wp14:editId="5036695B">
            <wp:simplePos x="0" y="0"/>
            <wp:positionH relativeFrom="column">
              <wp:posOffset>441960</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768414138" name="Chart 1">
              <a:extLst xmlns:a="http://schemas.openxmlformats.org/drawingml/2006/main">
                <a:ext uri="{FF2B5EF4-FFF2-40B4-BE49-F238E27FC236}">
                  <a16:creationId xmlns:a16="http://schemas.microsoft.com/office/drawing/2014/main" id="{B56A3BD4-4607-8ED3-81B4-4DE3B1D398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265046">
        <w:rPr>
          <w:rFonts w:ascii="Arial" w:hAnsi="Arial"/>
        </w:rPr>
        <w:t xml:space="preserve"> </w:t>
      </w:r>
    </w:p>
    <w:p w14:paraId="14B3871C" w14:textId="7F4EEAAA" w:rsidR="00B71B00" w:rsidRPr="00265046" w:rsidRDefault="00B71B00" w:rsidP="00B71B00">
      <w:pPr>
        <w:rPr>
          <w:rFonts w:ascii="Arial" w:hAnsi="Arial"/>
        </w:rPr>
      </w:pPr>
      <w:r w:rsidRPr="00265046">
        <w:rPr>
          <w:rFonts w:ascii="Arial" w:hAnsi="Arial"/>
        </w:rPr>
        <w:t>Germany also demonstrated relative resilience, largely due to higher investment in mental health services and stronger integration of psychosocial care into the healthcare system. Funding for rapid expansion of counselling services and digital mental health programmes helped to mitigate the rise in distress (Kunzler et al., 2020). This contrasts with the UK’s experience, where pre-existing strains on NHS mental health services limited the capacity to respond effectively. The King’s Fund (2023) emphasises that although the NHS provides universal access, long waiting lists and workforce shortages prevent it from meeting the surge in demand.</w:t>
      </w:r>
    </w:p>
    <w:p w14:paraId="4652E87B" w14:textId="77777777" w:rsidR="00B71B00" w:rsidRPr="00265046" w:rsidRDefault="00B71B00" w:rsidP="00B71B00">
      <w:pPr>
        <w:rPr>
          <w:rFonts w:ascii="Arial" w:hAnsi="Arial"/>
        </w:rPr>
      </w:pPr>
      <w:r w:rsidRPr="0057007D">
        <w:rPr>
          <w:rFonts w:ascii="Arial" w:hAnsi="Arial"/>
        </w:rPr>
        <w:t>These international comparisons reveal both strengths and weaknesses in responses. Countries with robust welfare states and well-funded health systems were better positioned to protect young adults’ mental health, whereas underfunded systems struggled to adapt (Moreno et al., 2020; The King’s Fund, 2023). However, even in countries with stronger infrastructures, the pandemic exposed gaps in digital inclusion, cultural sensitivity, and accessibility for marginalised groups (OECD, 2021; Marmot and Allen, 2020). Furthermore, differences in vaccination rollouts, public health messaging, and government trust also influenced how populations coped with uncertainty and psychological stress (Pierce et al., 2020; Xiong et al., 2020). The global picture highlights the need for coordinated international strategies that combine individual resilience-building with structural reforms to ensure mental health is prioritised as a core component of public health preparedness (WHO, 2022; Health Foundation, 2022).</w:t>
      </w:r>
    </w:p>
    <w:p w14:paraId="75AD9012" w14:textId="77777777" w:rsidR="00B71B00" w:rsidRPr="00265046" w:rsidRDefault="00B71B00" w:rsidP="001F5EDD">
      <w:pPr>
        <w:pStyle w:val="Heading2"/>
      </w:pPr>
      <w:bookmarkStart w:id="13" w:name="_Toc222337908"/>
      <w:r w:rsidRPr="00265046">
        <w:t>2.5 National and Local UK Context</w:t>
      </w:r>
      <w:bookmarkEnd w:id="13"/>
    </w:p>
    <w:p w14:paraId="1E7CF721" w14:textId="786F856D" w:rsidR="00B71B00" w:rsidRPr="00265046" w:rsidRDefault="00B71B00" w:rsidP="00B71B00">
      <w:pPr>
        <w:rPr>
          <w:rFonts w:ascii="Arial" w:hAnsi="Arial"/>
        </w:rPr>
      </w:pPr>
      <w:r w:rsidRPr="0057007D">
        <w:rPr>
          <w:rFonts w:ascii="Arial" w:hAnsi="Arial"/>
        </w:rPr>
        <w:t xml:space="preserve">The COVID-19 pandemic exposed and intensified long-standing pressures within the UK’s mental health system. </w:t>
      </w:r>
      <w:r w:rsidR="00C566F4">
        <w:rPr>
          <w:rFonts w:ascii="Arial" w:hAnsi="Arial"/>
        </w:rPr>
        <w:t>Before</w:t>
      </w:r>
      <w:r w:rsidRPr="0057007D">
        <w:rPr>
          <w:rFonts w:ascii="Arial" w:hAnsi="Arial"/>
        </w:rPr>
        <w:t xml:space="preserve"> 2020, the NHS faced persistent challenges, including growing </w:t>
      </w:r>
      <w:r w:rsidRPr="0057007D">
        <w:rPr>
          <w:rFonts w:ascii="Arial" w:hAnsi="Arial"/>
        </w:rPr>
        <w:lastRenderedPageBreak/>
        <w:t>waiting lists, shortages in specialist staff, and underfunded community services (The King’s Fund, 2023; Marmot et al., 2020). The sudden rise in demand for psychological support during the pandemic placed additional strain on already stretched services, meaning many young adults were unable to access timely care (Pierce et al., 2020; O’Shea, 2020). This situation reinforced concerns that mental health provision was not sufficiently resilient to cope with large-scale crises (Moreno et al., 2020).</w:t>
      </w:r>
    </w:p>
    <w:p w14:paraId="3B2178BE" w14:textId="77777777" w:rsidR="00B71B00" w:rsidRPr="00265046" w:rsidRDefault="00B71B00" w:rsidP="00B71B00">
      <w:pPr>
        <w:rPr>
          <w:rFonts w:ascii="Arial" w:hAnsi="Arial"/>
        </w:rPr>
      </w:pPr>
      <w:r w:rsidRPr="00265046">
        <w:rPr>
          <w:rFonts w:ascii="Arial" w:hAnsi="Arial"/>
        </w:rPr>
        <w:t>A major issue that emerged was the widening of health inequalities. The Health Foundation (2022) reports that young adults from lower socioeconomic backgrounds were more likely to experience anxiety and depression during the pandemic due to financial insecurity, overcrowded housing, and digital exclusion. Those in precarious employment or education pathways were particularly vulnerable, as disruptions to work and study increased uncertainty about their futures. These inequalities highlight how COVID-19 disproportionately affected young adults who were already disadvantaged, demonstrating the influence of structural factors on mental health outcomes.</w:t>
      </w:r>
    </w:p>
    <w:p w14:paraId="0E21DD01" w14:textId="6E3203CD" w:rsidR="00B71B00" w:rsidRPr="00265046" w:rsidRDefault="00B71B00" w:rsidP="00B71B00">
      <w:pPr>
        <w:rPr>
          <w:rFonts w:ascii="Arial" w:hAnsi="Arial"/>
        </w:rPr>
      </w:pPr>
      <w:r w:rsidRPr="0034454E">
        <w:rPr>
          <w:rFonts w:ascii="Arial" w:hAnsi="Arial"/>
        </w:rPr>
        <w:t xml:space="preserve">Local authorities also struggled to provide support, largely because of budget cuts over the preceding decade (Marmot et al., 2020). The Association of Directors of Public Health (ADPH, 2022) notes that reductions in local public health funding limited </w:t>
      </w:r>
      <w:r w:rsidR="00C566F4">
        <w:rPr>
          <w:rFonts w:ascii="Arial" w:hAnsi="Arial"/>
        </w:rPr>
        <w:t>councils' capacity</w:t>
      </w:r>
      <w:r w:rsidRPr="0034454E">
        <w:rPr>
          <w:rFonts w:ascii="Arial" w:hAnsi="Arial"/>
        </w:rPr>
        <w:t xml:space="preserve"> to respond flexibly during the crisis. This was especially evident in deprived areas where demand for services was highest (Scally, Jacobson and Abbasi, 2020). Despite these challenges, some community and voluntary organisations played a key role in filling service gaps by offering online peer-support networks, crisis helplines, and culturally sensitive interventions (O’Shea, 2020; Chen and Bonanno, 2020). However, these services were unevenly distributed and often lacked sustainable funding, creating concerns about their long-term viability (The King’s Fund, 2023).</w:t>
      </w:r>
    </w:p>
    <w:p w14:paraId="442829E2" w14:textId="77777777" w:rsidR="00B71B00" w:rsidRDefault="00B71B00" w:rsidP="00B71B00">
      <w:pPr>
        <w:keepNext/>
      </w:pPr>
      <w:r w:rsidRPr="00AF7192">
        <w:rPr>
          <w:noProof/>
        </w:rPr>
        <w:lastRenderedPageBreak/>
        <w:drawing>
          <wp:inline distT="0" distB="0" distL="0" distR="0" wp14:anchorId="5274B501" wp14:editId="6250C53F">
            <wp:extent cx="5731510" cy="4632723"/>
            <wp:effectExtent l="0" t="0" r="21590" b="111125"/>
            <wp:docPr id="1498715860" name="Diagram 1">
              <a:extLst xmlns:a="http://schemas.openxmlformats.org/drawingml/2006/main">
                <a:ext uri="{FF2B5EF4-FFF2-40B4-BE49-F238E27FC236}">
                  <a16:creationId xmlns:a16="http://schemas.microsoft.com/office/drawing/2014/main" id="{CCD2EEC0-1869-CD17-5FEA-8A754850FCA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3DB979F" w14:textId="77777777" w:rsidR="00B71B00" w:rsidRPr="008D21AB" w:rsidRDefault="00B71B00" w:rsidP="00B71B00">
      <w:pPr>
        <w:pStyle w:val="Caption"/>
        <w:spacing w:line="360" w:lineRule="auto"/>
        <w:jc w:val="both"/>
        <w:rPr>
          <w:sz w:val="20"/>
          <w:szCs w:val="20"/>
        </w:rPr>
      </w:pPr>
      <w:r w:rsidRPr="008D21AB">
        <w:rPr>
          <w:sz w:val="20"/>
          <w:szCs w:val="20"/>
        </w:rPr>
        <w:t>Figure 3: Key factors contributing to poor mental health outcomes among young adults in the UK during the COVID-19 pandemic, including financial insecurity, housing issues, digital exclusion, NHS pressure, and social isolation.</w:t>
      </w:r>
    </w:p>
    <w:p w14:paraId="2A548468" w14:textId="013C50E6" w:rsidR="00B71B00" w:rsidRPr="00265046" w:rsidRDefault="00B71B00" w:rsidP="00B71B00">
      <w:pPr>
        <w:rPr>
          <w:rFonts w:ascii="Arial" w:hAnsi="Arial"/>
        </w:rPr>
      </w:pPr>
      <w:r w:rsidRPr="00D42595">
        <w:rPr>
          <w:rFonts w:ascii="Arial" w:hAnsi="Arial"/>
        </w:rPr>
        <w:t>National policy responses sought to mitigate the crisis by expanding access to mental health helplines, investing in digital counselling services, and accelerating the rollout of the NHS’s Improving Access to Psychological Therapies (IAPT) programme (NHS England, 2021; Pierce et al., 2020). While these measures represented important steps, critics argue they were largely reactive and did not address underlying structural problems such as staff shortages or regional disparities (Health Foundation, 2022; Marmot and Allen, 2020). Furthermore, many initiatives were temporary, raising questions about whether the momentum generated during the pandemic will translate into lasting reform (The King’s Fund, 2023; Moreno et al., 2020).</w:t>
      </w:r>
    </w:p>
    <w:p w14:paraId="076854DD" w14:textId="2C1FC685" w:rsidR="00B71B00" w:rsidRPr="00265046" w:rsidRDefault="00B71B00" w:rsidP="00B71B00">
      <w:pPr>
        <w:rPr>
          <w:rFonts w:ascii="Arial" w:hAnsi="Arial"/>
        </w:rPr>
      </w:pPr>
      <w:r w:rsidRPr="00D42595">
        <w:rPr>
          <w:rFonts w:ascii="Arial" w:hAnsi="Arial"/>
        </w:rPr>
        <w:t xml:space="preserve">Regional differences further shaped </w:t>
      </w:r>
      <w:r w:rsidR="00CF4AE9">
        <w:rPr>
          <w:rFonts w:ascii="Arial" w:hAnsi="Arial"/>
        </w:rPr>
        <w:t>young adults' experience</w:t>
      </w:r>
      <w:r w:rsidRPr="00D42595">
        <w:rPr>
          <w:rFonts w:ascii="Arial" w:hAnsi="Arial"/>
        </w:rPr>
        <w:t xml:space="preserve">s. In urban centres such as London and Birmingham, the demand for culturally appropriate services was particularly high due to diverse populations (Marmot and Allen, 2020; The King’s Fund, 2023). By contrast, rural areas faced challenges related to digital exclusion and fewer local providers, limiting </w:t>
      </w:r>
      <w:r w:rsidRPr="00D42595">
        <w:rPr>
          <w:rFonts w:ascii="Arial" w:hAnsi="Arial"/>
        </w:rPr>
        <w:lastRenderedPageBreak/>
        <w:t>access to mental health and social care support (Health Foundation, 2022; ONS, 2020). This uneven distribution of resources underlines the need for targeted strategies that recognise local context while ensuring equitable national provision (ADPH, 2022; Scally, Jacobson and Abbasi, 2020). Without such measures, disparities risk being embedded in the long term, leaving vulnerable young adults without adequate support (World Health Organization, 2022).</w:t>
      </w:r>
    </w:p>
    <w:p w14:paraId="488C55E9" w14:textId="77777777" w:rsidR="00B71B00" w:rsidRPr="003F5365" w:rsidRDefault="00B71B00" w:rsidP="001F5EDD">
      <w:pPr>
        <w:pStyle w:val="Heading2"/>
      </w:pPr>
      <w:bookmarkStart w:id="14" w:name="_Toc222337909"/>
      <w:r w:rsidRPr="003F5365">
        <w:t>2.6 Conclusion</w:t>
      </w:r>
      <w:bookmarkEnd w:id="14"/>
    </w:p>
    <w:p w14:paraId="4AC8AB41" w14:textId="3B7F45EC" w:rsidR="00B71B00" w:rsidRPr="003F5365" w:rsidRDefault="00B71B00" w:rsidP="00B71B00">
      <w:pPr>
        <w:rPr>
          <w:rFonts w:ascii="Arial" w:hAnsi="Arial"/>
        </w:rPr>
      </w:pPr>
      <w:r w:rsidRPr="003F5365">
        <w:rPr>
          <w:rFonts w:ascii="Arial" w:hAnsi="Arial"/>
        </w:rPr>
        <w:t xml:space="preserve">This chapter has outlined the </w:t>
      </w:r>
      <w:r w:rsidR="00CF4AE9">
        <w:rPr>
          <w:rFonts w:ascii="Arial" w:hAnsi="Arial"/>
        </w:rPr>
        <w:t>study's background</w:t>
      </w:r>
      <w:r w:rsidRPr="003F5365">
        <w:rPr>
          <w:rFonts w:ascii="Arial" w:hAnsi="Arial"/>
        </w:rPr>
        <w:t xml:space="preserve"> by drawing on historical, theoretical, international, and national perspectives. The historical review showed how attitudes towards mental health shifted from stigma and institutionalisation to community care, with the COVID-19 pandemic marking a critical turning point that exposed the vulnerability of young adults. Theoretical frameworks, including the stress-vulnerability model, social determinants of health, resilience theory, and Erikson’s psychosocial development theory, provided lenses for understanding the interaction between individual, social, and developmental factors. International comparisons demonstrated how different healthcare systems influenced outcomes</w:t>
      </w:r>
      <w:r w:rsidR="00CF4AE9">
        <w:rPr>
          <w:rFonts w:ascii="Arial" w:hAnsi="Arial"/>
        </w:rPr>
        <w:t>. At the same time,</w:t>
      </w:r>
      <w:r w:rsidRPr="003F5365">
        <w:rPr>
          <w:rFonts w:ascii="Arial" w:hAnsi="Arial"/>
        </w:rPr>
        <w:t xml:space="preserve"> the UK context revealed how pre-existing NHS pressures, widening inequalities, and regional disparities shaped </w:t>
      </w:r>
      <w:r w:rsidR="00CF4AE9">
        <w:rPr>
          <w:rFonts w:ascii="Arial" w:hAnsi="Arial"/>
        </w:rPr>
        <w:t>young adults' experience</w:t>
      </w:r>
      <w:r w:rsidRPr="003F5365">
        <w:rPr>
          <w:rFonts w:ascii="Arial" w:hAnsi="Arial"/>
        </w:rPr>
        <w:t>s during the pandemic.</w:t>
      </w:r>
    </w:p>
    <w:p w14:paraId="7450815E" w14:textId="77777777" w:rsidR="00D37A6D" w:rsidRDefault="00B71B00" w:rsidP="00B71B00">
      <w:pPr>
        <w:rPr>
          <w:rFonts w:ascii="Arial" w:hAnsi="Arial"/>
        </w:rPr>
        <w:sectPr w:rsidR="00D37A6D">
          <w:footerReference w:type="default" r:id="rId18"/>
          <w:pgSz w:w="11906" w:h="16838"/>
          <w:pgMar w:top="1440" w:right="1440" w:bottom="1440" w:left="1440" w:header="708" w:footer="708" w:gutter="0"/>
          <w:cols w:space="708"/>
          <w:docGrid w:linePitch="360"/>
        </w:sectPr>
      </w:pPr>
      <w:r w:rsidRPr="003F5365">
        <w:rPr>
          <w:rFonts w:ascii="Arial" w:hAnsi="Arial"/>
        </w:rPr>
        <w:t>Together, these insights highlight the need for a structured investigation of the issue through systematic research methods. The next chapter will outline the methodology used to search for, select, and critically analyse relevant literature to address the dissertation’s aim and objectives.</w:t>
      </w:r>
    </w:p>
    <w:p w14:paraId="621C3B97" w14:textId="77777777" w:rsidR="00D37A6D" w:rsidRPr="00D37A6D" w:rsidRDefault="00D37A6D" w:rsidP="00D37A6D">
      <w:pPr>
        <w:rPr>
          <w:rFonts w:ascii="Arial" w:hAnsi="Arial"/>
          <w:b/>
          <w:lang w:bidi="en-GB"/>
        </w:rPr>
      </w:pPr>
      <w:r w:rsidRPr="00D37A6D">
        <w:rPr>
          <w:rFonts w:ascii="Arial" w:hAnsi="Arial"/>
          <w:b/>
          <w:lang w:bidi="en-GB"/>
        </w:rPr>
        <w:lastRenderedPageBreak/>
        <w:t xml:space="preserve">CHAPTER 3 – Academic Methodology Poster (300-500 words approximately) </w:t>
      </w:r>
    </w:p>
    <w:p w14:paraId="702706FD" w14:textId="77777777" w:rsidR="00D37A6D" w:rsidRPr="00D37A6D" w:rsidRDefault="00D37A6D" w:rsidP="00D37A6D">
      <w:pPr>
        <w:rPr>
          <w:rFonts w:ascii="Arial" w:hAnsi="Arial"/>
        </w:rPr>
      </w:pPr>
      <w:r w:rsidRPr="00D37A6D">
        <w:rPr>
          <w:rFonts w:ascii="Arial" w:hAnsi="Arial"/>
        </w:rPr>
        <w:t xml:space="preserve">3.1 Academic Methodology Poster </w:t>
      </w:r>
    </w:p>
    <w:p w14:paraId="0F5EADC4" w14:textId="613D9FC5" w:rsidR="00B71B00" w:rsidRPr="003F5365" w:rsidRDefault="00031A8C" w:rsidP="00B71B00">
      <w:pPr>
        <w:rPr>
          <w:rFonts w:ascii="Arial" w:hAnsi="Arial"/>
        </w:rPr>
      </w:pPr>
      <w:r>
        <w:rPr>
          <w:noProof/>
        </w:rPr>
        <w:drawing>
          <wp:inline distT="0" distB="0" distL="0" distR="0" wp14:anchorId="14273DFB" wp14:editId="73E97E13">
            <wp:extent cx="8866667" cy="6266667"/>
            <wp:effectExtent l="0" t="0" r="0" b="1270"/>
            <wp:docPr id="977495875" name="Picture 1" descr="The image is a document or presentation slide, likely from a research report or academic paper, detailing the research methodology on the impact of COVID-19 on young adults in the UK, focusing on mental health aspects such as anxiety and depression, with a data analysis approach using thematic coding and a specific search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95875" name="Picture 1" descr="The image is a document or presentation slide, likely from a research report or academic paper, detailing the research methodology on the impact of COVID-19 on young adults in the UK, focusing on mental health aspects such as anxiety and depression, with a data analysis approach using thematic coding and a specific search strategy.&#10;&#10;AI-generated content may be incorrect."/>
                    <pic:cNvPicPr/>
                  </pic:nvPicPr>
                  <pic:blipFill>
                    <a:blip r:embed="rId19"/>
                    <a:stretch>
                      <a:fillRect/>
                    </a:stretch>
                  </pic:blipFill>
                  <pic:spPr>
                    <a:xfrm>
                      <a:off x="0" y="0"/>
                      <a:ext cx="8866667" cy="6266667"/>
                    </a:xfrm>
                    <a:prstGeom prst="rect">
                      <a:avLst/>
                    </a:prstGeom>
                  </pic:spPr>
                </pic:pic>
              </a:graphicData>
            </a:graphic>
          </wp:inline>
        </w:drawing>
      </w:r>
    </w:p>
    <w:p w14:paraId="795871BE" w14:textId="77777777" w:rsidR="00D37A6D" w:rsidRDefault="00D37A6D" w:rsidP="000D0641">
      <w:pPr>
        <w:sectPr w:rsidR="00D37A6D" w:rsidSect="00031A8C">
          <w:pgSz w:w="15840" w:h="14400" w:orient="landscape" w:code="8"/>
          <w:pgMar w:top="1440" w:right="1440" w:bottom="1440" w:left="1440" w:header="706" w:footer="706" w:gutter="0"/>
          <w:cols w:space="708"/>
          <w:docGrid w:linePitch="360"/>
        </w:sectPr>
      </w:pPr>
    </w:p>
    <w:p w14:paraId="057EACEF" w14:textId="7027DBC7" w:rsidR="00B71B00" w:rsidRPr="006C1B3B" w:rsidRDefault="00036979" w:rsidP="00036979">
      <w:pPr>
        <w:pStyle w:val="Heading2"/>
      </w:pPr>
      <w:bookmarkStart w:id="15" w:name="_Toc222337910"/>
      <w:r>
        <w:lastRenderedPageBreak/>
        <w:t xml:space="preserve">3.2 </w:t>
      </w:r>
      <w:r w:rsidR="00B71B00" w:rsidRPr="006C1B3B">
        <w:t>Chapter 3 – Methods and Search Strategy</w:t>
      </w:r>
      <w:bookmarkEnd w:id="15"/>
    </w:p>
    <w:p w14:paraId="67BD12BB" w14:textId="1962EFFC" w:rsidR="00B71B00" w:rsidRPr="006C1B3B" w:rsidRDefault="00B71B00" w:rsidP="001F5EDD">
      <w:pPr>
        <w:pStyle w:val="Heading2"/>
      </w:pPr>
      <w:bookmarkStart w:id="16" w:name="_Toc222337911"/>
      <w:r w:rsidRPr="006C1B3B">
        <w:t>3.</w:t>
      </w:r>
      <w:r w:rsidR="00036979">
        <w:t>2.1</w:t>
      </w:r>
      <w:r w:rsidRPr="006C1B3B">
        <w:t xml:space="preserve"> Introduction</w:t>
      </w:r>
      <w:bookmarkEnd w:id="16"/>
    </w:p>
    <w:p w14:paraId="5B847BD4" w14:textId="4B8C82A0" w:rsidR="00B71B00" w:rsidRPr="006C1B3B" w:rsidRDefault="00B71B00" w:rsidP="006C1B3B">
      <w:pPr>
        <w:rPr>
          <w:rFonts w:ascii="Arial" w:hAnsi="Arial"/>
        </w:rPr>
      </w:pPr>
      <w:r w:rsidRPr="006C1B3B">
        <w:rPr>
          <w:rFonts w:ascii="Arial" w:hAnsi="Arial"/>
        </w:rPr>
        <w:t xml:space="preserve">This chapter explains the methods used to carry out the research, which is based on a desk-based literature review. The methods poster gave a short overview, but here the process is explained in more detail. A literature review approach was chosen because it gives access to many reliable studies and reports without the need for new data collection. This is suitable for studying how COVID-19 affected the mental health of young adults. The methods </w:t>
      </w:r>
      <w:r w:rsidR="00CF4AE9">
        <w:rPr>
          <w:rFonts w:ascii="Arial" w:hAnsi="Arial"/>
        </w:rPr>
        <w:t>align with the aim and objectives of this dissertation, which focus on understanding the rise in</w:t>
      </w:r>
      <w:r w:rsidRPr="006C1B3B">
        <w:rPr>
          <w:rFonts w:ascii="Arial" w:hAnsi="Arial"/>
        </w:rPr>
        <w:t xml:space="preserve"> depression and anxiety among young adults in the UK (Xiong et al., 2020; Shevlin et al., 2020; The King’s Fund, 2023).</w:t>
      </w:r>
    </w:p>
    <w:p w14:paraId="048F6370" w14:textId="77777777" w:rsidR="00B71B00" w:rsidRPr="006C1B3B" w:rsidRDefault="00B71B00" w:rsidP="006C1B3B">
      <w:pPr>
        <w:rPr>
          <w:rFonts w:ascii="Arial" w:hAnsi="Arial"/>
        </w:rPr>
      </w:pPr>
    </w:p>
    <w:p w14:paraId="0BE676FD" w14:textId="24B87E29" w:rsidR="00B71B00" w:rsidRPr="006C1B3B" w:rsidRDefault="00B71B00" w:rsidP="001F5EDD">
      <w:pPr>
        <w:pStyle w:val="Heading2"/>
      </w:pPr>
      <w:bookmarkStart w:id="17" w:name="_Toc222337912"/>
      <w:r w:rsidRPr="006C1B3B">
        <w:t>3.2</w:t>
      </w:r>
      <w:r w:rsidR="00036979">
        <w:t>.2</w:t>
      </w:r>
      <w:r w:rsidRPr="006C1B3B">
        <w:t xml:space="preserve"> Search Strategy</w:t>
      </w:r>
      <w:bookmarkEnd w:id="17"/>
    </w:p>
    <w:p w14:paraId="236F7D56" w14:textId="2CBD8CF3" w:rsidR="00B71B00" w:rsidRPr="006C1B3B" w:rsidRDefault="00B71B00" w:rsidP="006C1B3B">
      <w:pPr>
        <w:rPr>
          <w:rFonts w:ascii="Arial" w:hAnsi="Arial"/>
        </w:rPr>
      </w:pPr>
      <w:r w:rsidRPr="006C1B3B">
        <w:rPr>
          <w:rFonts w:ascii="Arial" w:hAnsi="Arial"/>
        </w:rPr>
        <w:t xml:space="preserve">Keywords were developed from the research title and objectives. The main terms were </w:t>
      </w:r>
      <w:r w:rsidRPr="006C1B3B">
        <w:rPr>
          <w:rFonts w:ascii="Arial" w:hAnsi="Arial"/>
          <w:i/>
          <w:iCs/>
        </w:rPr>
        <w:t>COVID-19</w:t>
      </w:r>
      <w:r w:rsidRPr="006C1B3B">
        <w:rPr>
          <w:rFonts w:ascii="Arial" w:hAnsi="Arial"/>
        </w:rPr>
        <w:t xml:space="preserve">, </w:t>
      </w:r>
      <w:r w:rsidRPr="006C1B3B">
        <w:rPr>
          <w:rFonts w:ascii="Arial" w:hAnsi="Arial"/>
          <w:i/>
          <w:iCs/>
        </w:rPr>
        <w:t>young adults</w:t>
      </w:r>
      <w:r w:rsidRPr="006C1B3B">
        <w:rPr>
          <w:rFonts w:ascii="Arial" w:hAnsi="Arial"/>
        </w:rPr>
        <w:t xml:space="preserve">, </w:t>
      </w:r>
      <w:r w:rsidRPr="006C1B3B">
        <w:rPr>
          <w:rFonts w:ascii="Arial" w:hAnsi="Arial"/>
          <w:i/>
          <w:iCs/>
        </w:rPr>
        <w:t>mental health</w:t>
      </w:r>
      <w:r w:rsidRPr="006C1B3B">
        <w:rPr>
          <w:rFonts w:ascii="Arial" w:hAnsi="Arial"/>
        </w:rPr>
        <w:t xml:space="preserve">, </w:t>
      </w:r>
      <w:r w:rsidRPr="006C1B3B">
        <w:rPr>
          <w:rFonts w:ascii="Arial" w:hAnsi="Arial"/>
          <w:i/>
          <w:iCs/>
        </w:rPr>
        <w:t>depression</w:t>
      </w:r>
      <w:r w:rsidRPr="006C1B3B">
        <w:rPr>
          <w:rFonts w:ascii="Arial" w:hAnsi="Arial"/>
        </w:rPr>
        <w:t xml:space="preserve">, and </w:t>
      </w:r>
      <w:r w:rsidRPr="006C1B3B">
        <w:rPr>
          <w:rFonts w:ascii="Arial" w:hAnsi="Arial"/>
          <w:i/>
          <w:iCs/>
        </w:rPr>
        <w:t>anxiety</w:t>
      </w:r>
      <w:r w:rsidRPr="006C1B3B">
        <w:rPr>
          <w:rFonts w:ascii="Arial" w:hAnsi="Arial"/>
        </w:rPr>
        <w:t xml:space="preserve">. These were combined with Boolean operators such as AND, OR, and NOT, for example: </w:t>
      </w:r>
      <w:r w:rsidRPr="006C1B3B">
        <w:rPr>
          <w:rFonts w:ascii="Arial" w:hAnsi="Arial"/>
          <w:i/>
          <w:iCs/>
        </w:rPr>
        <w:t>“COVID-19 AND young adults AND depression.”</w:t>
      </w:r>
      <w:r w:rsidRPr="006C1B3B">
        <w:rPr>
          <w:rFonts w:ascii="Arial" w:hAnsi="Arial"/>
        </w:rPr>
        <w:t xml:space="preserve"> Synonyms such as </w:t>
      </w:r>
      <w:r w:rsidRPr="006C1B3B">
        <w:rPr>
          <w:rFonts w:ascii="Arial" w:hAnsi="Arial"/>
          <w:i/>
          <w:iCs/>
        </w:rPr>
        <w:t>emerging adults</w:t>
      </w:r>
      <w:r w:rsidRPr="006C1B3B">
        <w:rPr>
          <w:rFonts w:ascii="Arial" w:hAnsi="Arial"/>
        </w:rPr>
        <w:t xml:space="preserve"> and </w:t>
      </w:r>
      <w:r w:rsidRPr="006C1B3B">
        <w:rPr>
          <w:rFonts w:ascii="Arial" w:hAnsi="Arial"/>
          <w:i/>
          <w:iCs/>
        </w:rPr>
        <w:t>psychological wellbeing</w:t>
      </w:r>
      <w:r w:rsidRPr="006C1B3B">
        <w:rPr>
          <w:rFonts w:ascii="Arial" w:hAnsi="Arial"/>
        </w:rPr>
        <w:t xml:space="preserve"> were also tested to expand results. A structured plan was followed</w:t>
      </w:r>
      <w:r w:rsidR="00CF4AE9">
        <w:rPr>
          <w:rFonts w:ascii="Arial" w:hAnsi="Arial"/>
        </w:rPr>
        <w:t>, with useful keywords and results recorded</w:t>
      </w:r>
      <w:r w:rsidRPr="006C1B3B">
        <w:rPr>
          <w:rFonts w:ascii="Arial" w:hAnsi="Arial"/>
        </w:rPr>
        <w:t xml:space="preserve"> in a tracking table to </w:t>
      </w:r>
      <w:r w:rsidR="00DC49D4">
        <w:rPr>
          <w:rFonts w:ascii="Arial" w:hAnsi="Arial"/>
        </w:rPr>
        <w:t>ensure consistency and transparency</w:t>
      </w:r>
      <w:r w:rsidRPr="006C1B3B">
        <w:rPr>
          <w:rFonts w:ascii="Arial" w:hAnsi="Arial"/>
        </w:rPr>
        <w:t xml:space="preserve"> (Boland, Cherry and Dickson, 2020; Cooper </w:t>
      </w:r>
      <w:r w:rsidRPr="006C1B3B">
        <w:rPr>
          <w:rFonts w:ascii="Arial" w:hAnsi="Arial"/>
          <w:i/>
          <w:iCs/>
        </w:rPr>
        <w:t>et al.</w:t>
      </w:r>
      <w:r w:rsidRPr="006C1B3B">
        <w:rPr>
          <w:rFonts w:ascii="Arial" w:hAnsi="Arial"/>
        </w:rPr>
        <w:t>, 2019).</w:t>
      </w:r>
      <w:r w:rsidR="00907E97">
        <w:rPr>
          <w:rFonts w:ascii="Arial" w:hAnsi="Arial"/>
        </w:rPr>
        <w:t xml:space="preserve"> </w:t>
      </w:r>
      <w:r w:rsidR="00907E97" w:rsidRPr="00907E97">
        <w:rPr>
          <w:rFonts w:ascii="Arial" w:hAnsi="Arial"/>
        </w:rPr>
        <w:t>For example, a search conducted in PubMed used the Boolean search string “COVID-19 AND mental health AND young adults AND UK”, which produced approximately 140 results before filters such as publication date (2020–2025) and English language were applied.</w:t>
      </w:r>
      <w:r w:rsidR="00907E97">
        <w:rPr>
          <w:rFonts w:ascii="Arial" w:hAnsi="Arial"/>
        </w:rPr>
        <w:t xml:space="preserve"> </w:t>
      </w:r>
    </w:p>
    <w:p w14:paraId="07281347" w14:textId="77777777" w:rsidR="00B71B00" w:rsidRPr="006C1B3B" w:rsidRDefault="00B71B00" w:rsidP="006C1B3B">
      <w:pPr>
        <w:rPr>
          <w:rFonts w:ascii="Arial" w:hAnsi="Arial"/>
        </w:rPr>
      </w:pPr>
    </w:p>
    <w:p w14:paraId="277845C3" w14:textId="127B2D99" w:rsidR="00B71B00" w:rsidRPr="006C1B3B" w:rsidRDefault="00B71B00" w:rsidP="001F5EDD">
      <w:pPr>
        <w:pStyle w:val="Heading2"/>
      </w:pPr>
      <w:bookmarkStart w:id="18" w:name="_Toc222337913"/>
      <w:r w:rsidRPr="006C1B3B">
        <w:t>3.</w:t>
      </w:r>
      <w:r w:rsidR="00036979">
        <w:t>2.3</w:t>
      </w:r>
      <w:r w:rsidRPr="006C1B3B">
        <w:t xml:space="preserve"> Searching for Information</w:t>
      </w:r>
      <w:bookmarkEnd w:id="18"/>
    </w:p>
    <w:p w14:paraId="4C1921CE" w14:textId="5EE29B48" w:rsidR="00B71B00" w:rsidRPr="006C1B3B" w:rsidRDefault="00B71B00" w:rsidP="006C1B3B">
      <w:pPr>
        <w:rPr>
          <w:rFonts w:ascii="Arial" w:hAnsi="Arial"/>
        </w:rPr>
      </w:pPr>
      <w:r w:rsidRPr="006C1B3B">
        <w:rPr>
          <w:rFonts w:ascii="Arial" w:hAnsi="Arial"/>
        </w:rPr>
        <w:t xml:space="preserve">The databases and platforms used included PubMed, Google Scholar, the UWTSD library, and ResearchGate, as well as NHS, WHO, and GOV.UK. These sources were chosen because they provide access to peer-reviewed studies, official reports, and policy documents, which are important for credible research. PubMed is widely recognised for high-quality health science evidence, while Google Scholar gives broad access to cross-disciplinary sources. The UWTSD library ensured access to books and journal subscriptions, and ResearchGate provided access to recent publications shared by researchers. NHS and WHO reports offered trusted health guidance, while </w:t>
      </w:r>
      <w:r w:rsidR="00CF4AE9">
        <w:rPr>
          <w:rFonts w:ascii="Arial" w:hAnsi="Arial"/>
        </w:rPr>
        <w:t xml:space="preserve">the </w:t>
      </w:r>
      <w:r w:rsidRPr="006C1B3B">
        <w:rPr>
          <w:rFonts w:ascii="Arial" w:hAnsi="Arial"/>
        </w:rPr>
        <w:t xml:space="preserve">GOV.UK provided up-to-date national policies (WHO, 2021; NHS Digital, 2023; Kokol, </w:t>
      </w:r>
      <w:proofErr w:type="spellStart"/>
      <w:r w:rsidRPr="006C1B3B">
        <w:rPr>
          <w:rFonts w:ascii="Arial" w:hAnsi="Arial"/>
        </w:rPr>
        <w:t>Blažun</w:t>
      </w:r>
      <w:proofErr w:type="spellEnd"/>
      <w:r w:rsidRPr="006C1B3B">
        <w:rPr>
          <w:rFonts w:ascii="Arial" w:hAnsi="Arial"/>
        </w:rPr>
        <w:t xml:space="preserve"> </w:t>
      </w:r>
      <w:proofErr w:type="spellStart"/>
      <w:r w:rsidRPr="006C1B3B">
        <w:rPr>
          <w:rFonts w:ascii="Arial" w:hAnsi="Arial"/>
        </w:rPr>
        <w:t>Vošner</w:t>
      </w:r>
      <w:proofErr w:type="spellEnd"/>
      <w:r w:rsidRPr="006C1B3B">
        <w:rPr>
          <w:rFonts w:ascii="Arial" w:hAnsi="Arial"/>
        </w:rPr>
        <w:t xml:space="preserve"> and Završnik, 2021).</w:t>
      </w:r>
    </w:p>
    <w:p w14:paraId="7B32BF1D" w14:textId="5AE4A3FC" w:rsidR="00B71B00" w:rsidRDefault="00B71B00" w:rsidP="006C1B3B">
      <w:pPr>
        <w:rPr>
          <w:rFonts w:ascii="Arial" w:hAnsi="Arial"/>
        </w:rPr>
      </w:pPr>
      <w:r w:rsidRPr="006C1B3B">
        <w:rPr>
          <w:rFonts w:ascii="Arial" w:hAnsi="Arial"/>
        </w:rPr>
        <w:lastRenderedPageBreak/>
        <w:t xml:space="preserve">Filters were applied to improve focus. Only studies published from 2020 onwards were included to reflect recent evidence. Sources had to be peer-reviewed, written in English, and related to young adults aged 18–30. These filters reduced irrelevant results and improved quality </w:t>
      </w:r>
      <w:r w:rsidR="0020069B" w:rsidRPr="0020069B">
        <w:rPr>
          <w:rFonts w:ascii="Arial" w:hAnsi="Arial"/>
        </w:rPr>
        <w:t>(</w:t>
      </w:r>
      <w:proofErr w:type="spellStart"/>
      <w:r w:rsidR="0020069B" w:rsidRPr="0020069B">
        <w:rPr>
          <w:rFonts w:ascii="Arial" w:hAnsi="Arial"/>
        </w:rPr>
        <w:t>Esparrago</w:t>
      </w:r>
      <w:proofErr w:type="spellEnd"/>
      <w:r w:rsidR="0020069B" w:rsidRPr="0020069B">
        <w:rPr>
          <w:rFonts w:ascii="Arial" w:hAnsi="Arial"/>
        </w:rPr>
        <w:t>-Kalidas, 2021)</w:t>
      </w:r>
      <w:r w:rsidRPr="006C1B3B">
        <w:rPr>
          <w:rFonts w:ascii="Arial" w:hAnsi="Arial"/>
        </w:rPr>
        <w:t xml:space="preserve">. When searches gave too many results, narrower terms such as </w:t>
      </w:r>
      <w:r w:rsidRPr="006C1B3B">
        <w:rPr>
          <w:rFonts w:ascii="Arial" w:hAnsi="Arial"/>
          <w:i/>
          <w:iCs/>
        </w:rPr>
        <w:t>“UK lockdown mental health”</w:t>
      </w:r>
      <w:r w:rsidRPr="006C1B3B">
        <w:rPr>
          <w:rFonts w:ascii="Arial" w:hAnsi="Arial"/>
        </w:rPr>
        <w:t xml:space="preserve"> were added. When too few results appeared, broader terms such as </w:t>
      </w:r>
      <w:r w:rsidRPr="006C1B3B">
        <w:rPr>
          <w:rFonts w:ascii="Arial" w:hAnsi="Arial"/>
          <w:i/>
          <w:iCs/>
        </w:rPr>
        <w:t>“youth wellbeing”</w:t>
      </w:r>
      <w:r w:rsidRPr="006C1B3B">
        <w:rPr>
          <w:rFonts w:ascii="Arial" w:hAnsi="Arial"/>
        </w:rPr>
        <w:t xml:space="preserve"> were tested. All searches and selected studies were recorded in a tracking table </w:t>
      </w:r>
      <w:r w:rsidR="00CF4AE9">
        <w:rPr>
          <w:rFonts w:ascii="Arial" w:hAnsi="Arial"/>
        </w:rPr>
        <w:t>to ensure consistency (Boland, Cherry,</w:t>
      </w:r>
      <w:r w:rsidRPr="006C1B3B">
        <w:rPr>
          <w:rFonts w:ascii="Arial" w:hAnsi="Arial"/>
        </w:rPr>
        <w:t xml:space="preserve"> and Dickson, 2020).</w:t>
      </w:r>
    </w:p>
    <w:p w14:paraId="20BA2612" w14:textId="4DD17BBC" w:rsidR="00B07A76" w:rsidRDefault="00B07A76" w:rsidP="006C1B3B">
      <w:pPr>
        <w:rPr>
          <w:rFonts w:ascii="Arial" w:hAnsi="Arial"/>
        </w:rPr>
      </w:pPr>
      <w:r w:rsidRPr="00B07A76">
        <w:rPr>
          <w:rFonts w:ascii="Arial" w:hAnsi="Arial"/>
        </w:rPr>
        <w:t>All selected studies and their evaluation were recorded in a source tracking table (see Appendix A).</w:t>
      </w:r>
    </w:p>
    <w:p w14:paraId="0D5344EF" w14:textId="5615803E" w:rsidR="008026CD" w:rsidRPr="008026CD" w:rsidRDefault="008026CD" w:rsidP="006C1B3B">
      <w:pPr>
        <w:rPr>
          <w:rFonts w:ascii="Arial" w:hAnsi="Arial"/>
        </w:rPr>
      </w:pPr>
      <w:r w:rsidRPr="008026CD">
        <w:rPr>
          <w:rFonts w:ascii="Arial" w:hAnsi="Arial"/>
        </w:rPr>
        <w:t xml:space="preserve">A summary of the key findings, codes, and themes identified from the reviewed studies is presented in Appendix B </w:t>
      </w:r>
      <w:r>
        <w:rPr>
          <w:rFonts w:ascii="Arial" w:hAnsi="Arial"/>
        </w:rPr>
        <w:t>-</w:t>
      </w:r>
      <w:r w:rsidRPr="008026CD">
        <w:rPr>
          <w:rFonts w:ascii="Arial" w:hAnsi="Arial"/>
        </w:rPr>
        <w:t xml:space="preserve"> Results Summary and Theme Development.</w:t>
      </w:r>
    </w:p>
    <w:p w14:paraId="64DAAF39" w14:textId="77777777" w:rsidR="00B71B00" w:rsidRPr="006C1B3B" w:rsidRDefault="00B71B00" w:rsidP="006C1B3B">
      <w:pPr>
        <w:rPr>
          <w:rFonts w:ascii="Arial" w:hAnsi="Arial"/>
        </w:rPr>
      </w:pPr>
    </w:p>
    <w:p w14:paraId="348108EE" w14:textId="1BF3A72A" w:rsidR="00B71B00" w:rsidRPr="006C1B3B" w:rsidRDefault="00B71B00" w:rsidP="001F5EDD">
      <w:pPr>
        <w:pStyle w:val="Heading2"/>
      </w:pPr>
      <w:bookmarkStart w:id="19" w:name="_Toc222337914"/>
      <w:r w:rsidRPr="006C1B3B">
        <w:t>3.</w:t>
      </w:r>
      <w:r w:rsidR="00036979">
        <w:t>2.4</w:t>
      </w:r>
      <w:r w:rsidRPr="006C1B3B">
        <w:t xml:space="preserve"> Research Validation</w:t>
      </w:r>
      <w:bookmarkEnd w:id="19"/>
    </w:p>
    <w:p w14:paraId="55406987" w14:textId="1D589243" w:rsidR="00B71B00" w:rsidRPr="006C1B3B" w:rsidRDefault="00B71B00" w:rsidP="006C1B3B">
      <w:pPr>
        <w:rPr>
          <w:rFonts w:ascii="Arial" w:hAnsi="Arial"/>
        </w:rPr>
      </w:pPr>
      <w:r w:rsidRPr="006C1B3B">
        <w:rPr>
          <w:rFonts w:ascii="Arial" w:hAnsi="Arial"/>
        </w:rPr>
        <w:t xml:space="preserve">Each article was first skimmed by </w:t>
      </w:r>
      <w:r w:rsidR="00CF4AE9">
        <w:rPr>
          <w:rFonts w:ascii="Arial" w:hAnsi="Arial"/>
        </w:rPr>
        <w:t>reviewing the title, abstract, and conclusion to determine whether it aligned with</w:t>
      </w:r>
      <w:r w:rsidRPr="006C1B3B">
        <w:rPr>
          <w:rFonts w:ascii="Arial" w:hAnsi="Arial"/>
        </w:rPr>
        <w:t xml:space="preserve"> the research aim. To make sure sources were reliable, the CRAAP test (Currency, Relevance, Authority, Accuracy, Purpose) was applied. Priority was given to studies that were recent, relevant to young adults, written by experts, and published in peer-reviewed journals or official health organisations (</w:t>
      </w:r>
      <w:proofErr w:type="spellStart"/>
      <w:r w:rsidRPr="006C1B3B">
        <w:rPr>
          <w:rFonts w:ascii="Arial" w:hAnsi="Arial"/>
        </w:rPr>
        <w:t>Esparrago</w:t>
      </w:r>
      <w:proofErr w:type="spellEnd"/>
      <w:r w:rsidRPr="006C1B3B">
        <w:rPr>
          <w:rFonts w:ascii="Arial" w:hAnsi="Arial"/>
        </w:rPr>
        <w:t>-Kalidas, 2021).</w:t>
      </w:r>
    </w:p>
    <w:p w14:paraId="231D3C6F" w14:textId="77777777" w:rsidR="00B71B00" w:rsidRPr="006C1B3B" w:rsidRDefault="00B71B00" w:rsidP="006C1B3B">
      <w:pPr>
        <w:rPr>
          <w:rFonts w:ascii="Arial" w:hAnsi="Arial"/>
        </w:rPr>
      </w:pPr>
      <w:r w:rsidRPr="006C1B3B">
        <w:rPr>
          <w:rFonts w:ascii="Arial" w:hAnsi="Arial"/>
        </w:rPr>
        <w:t>For example, a blog post on student wellbeing was excluded because it was not peer-reviewed and lacked author authority. However, an NHS report on young people’s mental health during COVID-19 was included because it was credible and evidence-based (NHS Digital, 2023; WHO, 2021). This validation process helped ensure that only trustworthy evidence was used.</w:t>
      </w:r>
    </w:p>
    <w:p w14:paraId="33A42061" w14:textId="77777777" w:rsidR="00B71B00" w:rsidRPr="006C1B3B" w:rsidRDefault="00B71B00" w:rsidP="006C1B3B">
      <w:pPr>
        <w:rPr>
          <w:rFonts w:ascii="Arial" w:hAnsi="Arial"/>
        </w:rPr>
      </w:pPr>
    </w:p>
    <w:p w14:paraId="3A7AE99A" w14:textId="1BCE2D98" w:rsidR="00B71B00" w:rsidRPr="006C1B3B" w:rsidRDefault="00B71B00" w:rsidP="001F5EDD">
      <w:pPr>
        <w:pStyle w:val="Heading2"/>
      </w:pPr>
      <w:bookmarkStart w:id="20" w:name="_Toc222337915"/>
      <w:r w:rsidRPr="006C1B3B">
        <w:t>3.</w:t>
      </w:r>
      <w:r w:rsidR="00036979">
        <w:t>2.</w:t>
      </w:r>
      <w:r w:rsidRPr="006C1B3B">
        <w:t>5 Inclusion and Exclusion Criteria</w:t>
      </w:r>
      <w:bookmarkEnd w:id="20"/>
    </w:p>
    <w:p w14:paraId="186093E9" w14:textId="683F4E1D" w:rsidR="00B71B00" w:rsidRPr="006C1B3B" w:rsidRDefault="00B71B00" w:rsidP="006C1B3B">
      <w:pPr>
        <w:rPr>
          <w:rFonts w:ascii="Arial" w:hAnsi="Arial"/>
        </w:rPr>
      </w:pPr>
      <w:r w:rsidRPr="006C1B3B">
        <w:rPr>
          <w:rFonts w:ascii="Arial" w:hAnsi="Arial"/>
        </w:rPr>
        <w:t xml:space="preserve">Inclusion criteria were peer-reviewed articles, government or policy reports, and studies published from 2020 onwards with a focus on young adults aged 18–30 in the UK. Exclusion criteria were non-peer-reviewed sources, blogs, opinion pieces, and studies older than 10 years unless </w:t>
      </w:r>
      <w:r w:rsidR="00CF4AE9">
        <w:rPr>
          <w:rFonts w:ascii="Arial" w:hAnsi="Arial"/>
        </w:rPr>
        <w:t xml:space="preserve">they had a </w:t>
      </w:r>
      <w:r w:rsidRPr="006C1B3B">
        <w:rPr>
          <w:rFonts w:ascii="Arial" w:hAnsi="Arial"/>
        </w:rPr>
        <w:t xml:space="preserve">highly relevant background. These rules helped to ensure that the evidence was both current and credible, supporting a reliable review (Xiong et al., 2020; Wiedemann, Jones and Burn, 2024; </w:t>
      </w:r>
      <w:proofErr w:type="spellStart"/>
      <w:r w:rsidRPr="006C1B3B">
        <w:rPr>
          <w:rFonts w:ascii="Arial" w:hAnsi="Arial"/>
        </w:rPr>
        <w:t>Esparrago</w:t>
      </w:r>
      <w:proofErr w:type="spellEnd"/>
      <w:r w:rsidRPr="006C1B3B">
        <w:rPr>
          <w:rFonts w:ascii="Arial" w:hAnsi="Arial"/>
        </w:rPr>
        <w:t>-Kalidas, 2021).</w:t>
      </w:r>
    </w:p>
    <w:p w14:paraId="4C1718C0" w14:textId="77777777" w:rsidR="00B71B00" w:rsidRPr="006C1B3B" w:rsidRDefault="00B71B00" w:rsidP="006C1B3B">
      <w:pPr>
        <w:rPr>
          <w:rFonts w:ascii="Arial" w:hAnsi="Arial"/>
        </w:rPr>
      </w:pPr>
    </w:p>
    <w:p w14:paraId="2D1D660D" w14:textId="59BCEB49" w:rsidR="00B71B00" w:rsidRPr="006C1B3B" w:rsidRDefault="00B71B00" w:rsidP="001F5EDD">
      <w:pPr>
        <w:pStyle w:val="Heading2"/>
      </w:pPr>
      <w:bookmarkStart w:id="21" w:name="_Toc222337916"/>
      <w:r w:rsidRPr="006C1B3B">
        <w:lastRenderedPageBreak/>
        <w:t>3.</w:t>
      </w:r>
      <w:r w:rsidR="00036979">
        <w:t>2.</w:t>
      </w:r>
      <w:r w:rsidRPr="006C1B3B">
        <w:t>6 Analysing Research</w:t>
      </w:r>
      <w:bookmarkEnd w:id="21"/>
    </w:p>
    <w:p w14:paraId="5BE0D491" w14:textId="2650E93E" w:rsidR="00B71B00" w:rsidRPr="006C1B3B" w:rsidRDefault="00B71B00" w:rsidP="006C1B3B">
      <w:pPr>
        <w:rPr>
          <w:rFonts w:ascii="Arial" w:hAnsi="Arial"/>
        </w:rPr>
      </w:pPr>
      <w:r w:rsidRPr="006C1B3B">
        <w:rPr>
          <w:rFonts w:ascii="Arial" w:hAnsi="Arial"/>
        </w:rPr>
        <w:t xml:space="preserve">The </w:t>
      </w:r>
      <w:r w:rsidR="00CF4AE9">
        <w:rPr>
          <w:rFonts w:ascii="Arial" w:hAnsi="Arial"/>
        </w:rPr>
        <w:t>collected articles were examined using thematic coding, which involves identifying recurring ideas across</w:t>
      </w:r>
      <w:r w:rsidRPr="006C1B3B">
        <w:rPr>
          <w:rFonts w:ascii="Arial" w:hAnsi="Arial"/>
        </w:rPr>
        <w:t xml:space="preserve"> studies. Each source was read carefully</w:t>
      </w:r>
      <w:r w:rsidR="00CF4AE9">
        <w:rPr>
          <w:rFonts w:ascii="Arial" w:hAnsi="Arial"/>
        </w:rPr>
        <w:t>,</w:t>
      </w:r>
      <w:r w:rsidRPr="006C1B3B">
        <w:rPr>
          <w:rFonts w:ascii="Arial" w:hAnsi="Arial"/>
        </w:rPr>
        <w:t xml:space="preserve"> and key words or phrases linked to the aim were highlighted. This made it easier to organise the evidence (Braun and Clarke, 2021). Thematic analysis was chosen because it is flexible and allows </w:t>
      </w:r>
      <w:r w:rsidR="00CF4AE9">
        <w:rPr>
          <w:rFonts w:ascii="Arial" w:hAnsi="Arial"/>
        </w:rPr>
        <w:t>integration of both quantitative findings (e.g., statistics) and qualitative insights (e.g.,</w:t>
      </w:r>
      <w:r w:rsidRPr="006C1B3B">
        <w:rPr>
          <w:rFonts w:ascii="Arial" w:hAnsi="Arial"/>
        </w:rPr>
        <w:t xml:space="preserve"> lived experiences). This makes it particularly useful for exploring complex issues</w:t>
      </w:r>
      <w:r w:rsidR="00CF4AE9">
        <w:rPr>
          <w:rFonts w:ascii="Arial" w:hAnsi="Arial"/>
        </w:rPr>
        <w:t>, such as</w:t>
      </w:r>
      <w:r w:rsidRPr="006C1B3B">
        <w:rPr>
          <w:rFonts w:ascii="Arial" w:hAnsi="Arial"/>
        </w:rPr>
        <w:t xml:space="preserve"> mental health during the pandemic (Nowell et al., 2017).</w:t>
      </w:r>
    </w:p>
    <w:p w14:paraId="5B47A254" w14:textId="77777777" w:rsidR="00B71B00" w:rsidRPr="006C1B3B" w:rsidRDefault="00B71B00" w:rsidP="006C1B3B">
      <w:pPr>
        <w:rPr>
          <w:rFonts w:ascii="Arial" w:hAnsi="Arial"/>
        </w:rPr>
      </w:pPr>
      <w:r w:rsidRPr="006C1B3B">
        <w:rPr>
          <w:rFonts w:ascii="Arial" w:hAnsi="Arial"/>
        </w:rPr>
        <w:t>The highlighted information was then grouped into four main themes:</w:t>
      </w:r>
    </w:p>
    <w:p w14:paraId="662B60AE" w14:textId="77777777" w:rsidR="00B71B00" w:rsidRPr="006C1B3B" w:rsidRDefault="00B71B00" w:rsidP="006C1B3B">
      <w:pPr>
        <w:numPr>
          <w:ilvl w:val="0"/>
          <w:numId w:val="90"/>
        </w:numPr>
        <w:rPr>
          <w:rFonts w:ascii="Arial" w:hAnsi="Arial"/>
        </w:rPr>
      </w:pPr>
      <w:r w:rsidRPr="006C1B3B">
        <w:rPr>
          <w:rFonts w:ascii="Arial" w:hAnsi="Arial"/>
        </w:rPr>
        <w:t xml:space="preserve">Social isolation – how lockdowns increased </w:t>
      </w:r>
      <w:proofErr w:type="gramStart"/>
      <w:r w:rsidRPr="006C1B3B">
        <w:rPr>
          <w:rFonts w:ascii="Arial" w:hAnsi="Arial"/>
        </w:rPr>
        <w:t>loneliness;</w:t>
      </w:r>
      <w:proofErr w:type="gramEnd"/>
    </w:p>
    <w:p w14:paraId="2928F031" w14:textId="77777777" w:rsidR="00B71B00" w:rsidRPr="006C1B3B" w:rsidRDefault="00B71B00" w:rsidP="006C1B3B">
      <w:pPr>
        <w:numPr>
          <w:ilvl w:val="0"/>
          <w:numId w:val="90"/>
        </w:numPr>
        <w:rPr>
          <w:rFonts w:ascii="Arial" w:hAnsi="Arial"/>
        </w:rPr>
      </w:pPr>
      <w:r w:rsidRPr="006C1B3B">
        <w:rPr>
          <w:rFonts w:ascii="Arial" w:hAnsi="Arial"/>
        </w:rPr>
        <w:t xml:space="preserve">Economic precarity – job losses and financial </w:t>
      </w:r>
      <w:proofErr w:type="gramStart"/>
      <w:r w:rsidRPr="006C1B3B">
        <w:rPr>
          <w:rFonts w:ascii="Arial" w:hAnsi="Arial"/>
        </w:rPr>
        <w:t>stress;</w:t>
      </w:r>
      <w:proofErr w:type="gramEnd"/>
    </w:p>
    <w:p w14:paraId="229360BE" w14:textId="77777777" w:rsidR="00B71B00" w:rsidRPr="006C1B3B" w:rsidRDefault="00B71B00" w:rsidP="006C1B3B">
      <w:pPr>
        <w:numPr>
          <w:ilvl w:val="0"/>
          <w:numId w:val="90"/>
        </w:numPr>
        <w:rPr>
          <w:rFonts w:ascii="Arial" w:hAnsi="Arial"/>
        </w:rPr>
      </w:pPr>
      <w:r w:rsidRPr="006C1B3B">
        <w:rPr>
          <w:rFonts w:ascii="Arial" w:hAnsi="Arial"/>
        </w:rPr>
        <w:t xml:space="preserve">Healthcare access – challenges in getting mental health </w:t>
      </w:r>
      <w:proofErr w:type="gramStart"/>
      <w:r w:rsidRPr="006C1B3B">
        <w:rPr>
          <w:rFonts w:ascii="Arial" w:hAnsi="Arial"/>
        </w:rPr>
        <w:t>support;</w:t>
      </w:r>
      <w:proofErr w:type="gramEnd"/>
    </w:p>
    <w:p w14:paraId="0AF323CE" w14:textId="77777777" w:rsidR="00B71B00" w:rsidRPr="006C1B3B" w:rsidRDefault="00B71B00" w:rsidP="006C1B3B">
      <w:pPr>
        <w:numPr>
          <w:ilvl w:val="0"/>
          <w:numId w:val="90"/>
        </w:numPr>
        <w:rPr>
          <w:rFonts w:ascii="Arial" w:hAnsi="Arial"/>
        </w:rPr>
      </w:pPr>
      <w:r w:rsidRPr="006C1B3B">
        <w:rPr>
          <w:rFonts w:ascii="Arial" w:hAnsi="Arial"/>
        </w:rPr>
        <w:t>Resilience – coping strategies and protective factors.</w:t>
      </w:r>
    </w:p>
    <w:p w14:paraId="2CB153F4" w14:textId="1D26759D" w:rsidR="00B71B00" w:rsidRPr="006C1B3B" w:rsidRDefault="00B71B00" w:rsidP="006C1B3B">
      <w:pPr>
        <w:rPr>
          <w:rFonts w:ascii="Arial" w:hAnsi="Arial"/>
        </w:rPr>
      </w:pPr>
      <w:r w:rsidRPr="006C1B3B">
        <w:rPr>
          <w:rFonts w:ascii="Arial" w:hAnsi="Arial"/>
        </w:rPr>
        <w:t>These themes reflect the main issues young adults faced during the pandemic (Pierce et al., 2020; Holmes et al., 2020). A colour</w:t>
      </w:r>
      <w:r w:rsidR="00CF4AE9">
        <w:rPr>
          <w:rFonts w:ascii="Arial" w:hAnsi="Arial"/>
        </w:rPr>
        <w:t>-coding system and spreadsheets were used to track</w:t>
      </w:r>
      <w:r w:rsidRPr="006C1B3B">
        <w:rPr>
          <w:rFonts w:ascii="Arial" w:hAnsi="Arial"/>
        </w:rPr>
        <w:t xml:space="preserve"> which articles supported each theme, ensuring the process was clear and systematic (Nowell et al., 2017; Boland, Cherry and Dickson, 2020).</w:t>
      </w:r>
      <w:r w:rsidR="00907E97">
        <w:rPr>
          <w:rFonts w:ascii="Arial" w:hAnsi="Arial"/>
        </w:rPr>
        <w:t xml:space="preserve"> </w:t>
      </w:r>
      <w:r w:rsidR="00907E97" w:rsidRPr="00907E97">
        <w:rPr>
          <w:rFonts w:ascii="Arial" w:hAnsi="Arial"/>
        </w:rPr>
        <w:t>Codes that appeared consistently across multiple studies were grouped into broader themes based on conceptual similarity and their relevance to the research aim.</w:t>
      </w:r>
    </w:p>
    <w:p w14:paraId="29EE815F" w14:textId="77777777" w:rsidR="00B71B00" w:rsidRPr="006C1B3B" w:rsidRDefault="00B71B00" w:rsidP="006C1B3B">
      <w:pPr>
        <w:rPr>
          <w:rFonts w:ascii="Arial" w:hAnsi="Arial"/>
        </w:rPr>
      </w:pPr>
    </w:p>
    <w:p w14:paraId="3DE5E929" w14:textId="3E2704C0" w:rsidR="00B71B00" w:rsidRPr="006C1B3B" w:rsidRDefault="00B71B00" w:rsidP="001F5EDD">
      <w:pPr>
        <w:pStyle w:val="Heading2"/>
      </w:pPr>
      <w:bookmarkStart w:id="22" w:name="_Toc222337917"/>
      <w:r w:rsidRPr="006C1B3B">
        <w:t>3.</w:t>
      </w:r>
      <w:r w:rsidR="00036979">
        <w:t>2.</w:t>
      </w:r>
      <w:r w:rsidRPr="006C1B3B">
        <w:t>7 Ethical Considerations</w:t>
      </w:r>
      <w:bookmarkEnd w:id="22"/>
    </w:p>
    <w:p w14:paraId="382EA6F5" w14:textId="018B9030" w:rsidR="00B71B00" w:rsidRPr="006C1B3B" w:rsidRDefault="00B71B00" w:rsidP="006C1B3B">
      <w:pPr>
        <w:rPr>
          <w:rFonts w:ascii="Arial" w:hAnsi="Arial"/>
        </w:rPr>
      </w:pPr>
      <w:r w:rsidRPr="006C1B3B">
        <w:rPr>
          <w:rFonts w:ascii="Arial" w:hAnsi="Arial"/>
        </w:rPr>
        <w:t xml:space="preserve">This study used </w:t>
      </w:r>
      <w:r w:rsidR="00CF4AE9">
        <w:rPr>
          <w:rFonts w:ascii="Arial" w:hAnsi="Arial"/>
        </w:rPr>
        <w:t>only secondary research</w:t>
      </w:r>
      <w:r w:rsidRPr="006C1B3B">
        <w:rPr>
          <w:rFonts w:ascii="Arial" w:hAnsi="Arial"/>
        </w:rPr>
        <w:t xml:space="preserve">, so no participants were directly involved. Ethical practice was maintained by </w:t>
      </w:r>
      <w:r w:rsidR="00CF4AE9">
        <w:rPr>
          <w:rFonts w:ascii="Arial" w:hAnsi="Arial"/>
        </w:rPr>
        <w:t>properly citing sources</w:t>
      </w:r>
      <w:r w:rsidRPr="006C1B3B">
        <w:rPr>
          <w:rFonts w:ascii="Arial" w:hAnsi="Arial"/>
        </w:rPr>
        <w:t xml:space="preserve">, avoiding plagiarism, and presenting findings fairly (Resnik, 2020). Since the topic concerns mental health, care was taken to treat evidence sensitively and not misrepresent the experiences of young adults. Using peer-reviewed and official sources also ensured accuracy and respect for those affected (British Psychological Society, 2021). In addition, transparency was ensured by making clear how data was searched, selected, and analysed, so that </w:t>
      </w:r>
      <w:r w:rsidR="00CF4AE9">
        <w:rPr>
          <w:rFonts w:ascii="Arial" w:hAnsi="Arial"/>
        </w:rPr>
        <w:t>others could repeat the proces</w:t>
      </w:r>
      <w:r w:rsidRPr="006C1B3B">
        <w:rPr>
          <w:rFonts w:ascii="Arial" w:hAnsi="Arial"/>
        </w:rPr>
        <w:t>s.</w:t>
      </w:r>
    </w:p>
    <w:p w14:paraId="70C7CF68" w14:textId="77777777" w:rsidR="00B71B00" w:rsidRPr="006C1B3B" w:rsidRDefault="00B71B00" w:rsidP="006C1B3B">
      <w:pPr>
        <w:rPr>
          <w:rFonts w:ascii="Arial" w:hAnsi="Arial"/>
        </w:rPr>
      </w:pPr>
    </w:p>
    <w:p w14:paraId="3C6CB0C8" w14:textId="3C9DA319" w:rsidR="00B71B00" w:rsidRPr="006C1B3B" w:rsidRDefault="00B71B00" w:rsidP="001F5EDD">
      <w:pPr>
        <w:pStyle w:val="Heading2"/>
      </w:pPr>
      <w:bookmarkStart w:id="23" w:name="_Toc222337918"/>
      <w:r w:rsidRPr="006C1B3B">
        <w:t>3.</w:t>
      </w:r>
      <w:r w:rsidR="00036979">
        <w:t>2.</w:t>
      </w:r>
      <w:r w:rsidRPr="006C1B3B">
        <w:t>8 Limitations of Methodology</w:t>
      </w:r>
      <w:bookmarkEnd w:id="23"/>
    </w:p>
    <w:p w14:paraId="30C6C6FE" w14:textId="6F242870" w:rsidR="00B71B00" w:rsidRPr="006C1B3B" w:rsidRDefault="00B71B00" w:rsidP="006C1B3B">
      <w:pPr>
        <w:rPr>
          <w:rFonts w:ascii="Arial" w:hAnsi="Arial"/>
        </w:rPr>
      </w:pPr>
      <w:r w:rsidRPr="006C1B3B">
        <w:rPr>
          <w:rFonts w:ascii="Arial" w:hAnsi="Arial"/>
        </w:rPr>
        <w:t xml:space="preserve">A limitation of this study is its reliance on secondary data, which means findings depend on the quality of existing research. Some sources may </w:t>
      </w:r>
      <w:r w:rsidR="00CF4AE9">
        <w:rPr>
          <w:rFonts w:ascii="Arial" w:hAnsi="Arial"/>
        </w:rPr>
        <w:t xml:space="preserve">exhibit publication bias, as studies with </w:t>
      </w:r>
      <w:r w:rsidR="00CF4AE9">
        <w:rPr>
          <w:rFonts w:ascii="Arial" w:hAnsi="Arial"/>
        </w:rPr>
        <w:lastRenderedPageBreak/>
        <w:t>negative results are less likely to be</w:t>
      </w:r>
      <w:r w:rsidRPr="006C1B3B">
        <w:rPr>
          <w:rFonts w:ascii="Arial" w:hAnsi="Arial"/>
        </w:rPr>
        <w:t xml:space="preserve"> published. Only English-language studies were included</w:t>
      </w:r>
      <w:r w:rsidR="00CF4AE9">
        <w:rPr>
          <w:rFonts w:ascii="Arial" w:hAnsi="Arial"/>
        </w:rPr>
        <w:t xml:space="preserve"> so that</w:t>
      </w:r>
      <w:r w:rsidRPr="006C1B3B">
        <w:rPr>
          <w:rFonts w:ascii="Arial" w:hAnsi="Arial"/>
        </w:rPr>
        <w:t xml:space="preserve"> some international perspectives may be missing (Munn et al., 2020). In addition, many studies used self-report surveys, which can be influenced by memory or honesty, affecting reliability (Pierce et al., 2020). These limitations reduce the generalisability of findings. However, using multiple sources across different contexts helped to balance these weaknesses and give a broader picture.</w:t>
      </w:r>
    </w:p>
    <w:p w14:paraId="54CCCC0C" w14:textId="77777777" w:rsidR="00B71B00" w:rsidRPr="006C1B3B" w:rsidRDefault="00B71B00" w:rsidP="006C1B3B">
      <w:pPr>
        <w:rPr>
          <w:rFonts w:ascii="Arial" w:hAnsi="Arial"/>
        </w:rPr>
      </w:pPr>
    </w:p>
    <w:p w14:paraId="4FBCD707" w14:textId="7C87668B" w:rsidR="00B71B00" w:rsidRPr="006C1B3B" w:rsidRDefault="00B71B00" w:rsidP="001F5EDD">
      <w:pPr>
        <w:pStyle w:val="Heading2"/>
      </w:pPr>
      <w:bookmarkStart w:id="24" w:name="_Toc222337919"/>
      <w:r w:rsidRPr="006C1B3B">
        <w:t>3.</w:t>
      </w:r>
      <w:r w:rsidR="00036979">
        <w:t>2.</w:t>
      </w:r>
      <w:r w:rsidRPr="006C1B3B">
        <w:t>9 Conclusion</w:t>
      </w:r>
      <w:bookmarkEnd w:id="24"/>
    </w:p>
    <w:p w14:paraId="2E6C1AFB" w14:textId="5FD00F53" w:rsidR="005446BF" w:rsidRPr="006C1B3B" w:rsidRDefault="00B71B00" w:rsidP="006C1B3B">
      <w:pPr>
        <w:rPr>
          <w:rFonts w:ascii="Arial" w:hAnsi="Arial"/>
        </w:rPr>
      </w:pPr>
      <w:r w:rsidRPr="006C1B3B">
        <w:rPr>
          <w:rFonts w:ascii="Arial" w:hAnsi="Arial"/>
        </w:rPr>
        <w:t xml:space="preserve">This chapter described the search strategy, validation process, inclusion and exclusion criteria, and thematic coding used to analyse literature on young adults’ mental health during COVID-19. These methods ensured the research </w:t>
      </w:r>
      <w:r w:rsidR="00CF4AE9">
        <w:rPr>
          <w:rFonts w:ascii="Arial" w:hAnsi="Arial"/>
        </w:rPr>
        <w:t>remained focused on the aim and objectives while adopting ethical and critical approaches (Shevlin et al., 2020; Wiedemann, Jones,</w:t>
      </w:r>
      <w:r w:rsidRPr="006C1B3B">
        <w:rPr>
          <w:rFonts w:ascii="Arial" w:hAnsi="Arial"/>
        </w:rPr>
        <w:t xml:space="preserve"> and Burn, 2024). Although there were some limitations, the methods provided a strong evidence base for the next stage of the dissertation. Chapter 4 will now present the Results and Discussion, </w:t>
      </w:r>
      <w:r w:rsidR="00CF4AE9">
        <w:rPr>
          <w:rFonts w:ascii="Arial" w:hAnsi="Arial"/>
        </w:rPr>
        <w:t>demonstrating how the identified themes</w:t>
      </w:r>
      <w:r w:rsidRPr="006C1B3B">
        <w:rPr>
          <w:rFonts w:ascii="Arial" w:hAnsi="Arial"/>
        </w:rPr>
        <w:t xml:space="preserve"> answer the research question.</w:t>
      </w:r>
    </w:p>
    <w:p w14:paraId="763A2E29" w14:textId="77777777" w:rsidR="005446BF" w:rsidRDefault="005446BF" w:rsidP="005446BF"/>
    <w:p w14:paraId="3E27A013" w14:textId="104663F2" w:rsidR="001C3AF6" w:rsidRPr="00636D9A" w:rsidRDefault="001C3AF6" w:rsidP="00636D9A">
      <w:pPr>
        <w:pStyle w:val="Heading1"/>
        <w:ind w:left="0"/>
        <w:rPr>
          <w:rFonts w:ascii="Aptos" w:hAnsi="Aptos"/>
        </w:rPr>
      </w:pPr>
      <w:bookmarkStart w:id="25" w:name="_Toc222337920"/>
      <w:r w:rsidRPr="00636D9A">
        <w:rPr>
          <w:rFonts w:ascii="Aptos" w:hAnsi="Aptos"/>
        </w:rPr>
        <w:t>C</w:t>
      </w:r>
      <w:r w:rsidR="00636D9A">
        <w:rPr>
          <w:rFonts w:ascii="Aptos" w:hAnsi="Aptos"/>
        </w:rPr>
        <w:t>HAPTER</w:t>
      </w:r>
      <w:r w:rsidRPr="00636D9A">
        <w:rPr>
          <w:rFonts w:ascii="Aptos" w:hAnsi="Aptos"/>
        </w:rPr>
        <w:t xml:space="preserve"> 4 – Findings and Discussion (</w:t>
      </w:r>
      <w:r w:rsidR="001F7231">
        <w:rPr>
          <w:rFonts w:ascii="Aptos" w:hAnsi="Aptos"/>
        </w:rPr>
        <w:t>4</w:t>
      </w:r>
      <w:r w:rsidRPr="00636D9A">
        <w:rPr>
          <w:rFonts w:ascii="Aptos" w:hAnsi="Aptos"/>
        </w:rPr>
        <w:t>,000 words approx.)</w:t>
      </w:r>
      <w:bookmarkEnd w:id="25"/>
    </w:p>
    <w:p w14:paraId="1134D897" w14:textId="77777777" w:rsidR="001C3AF6" w:rsidRDefault="001C3AF6" w:rsidP="001C3AF6"/>
    <w:p w14:paraId="3365CA9C" w14:textId="344A3894" w:rsidR="001C3AF6" w:rsidRDefault="001C3AF6" w:rsidP="001C3AF6">
      <w:r>
        <w:t xml:space="preserve">Below </w:t>
      </w:r>
      <w:proofErr w:type="gramStart"/>
      <w:r>
        <w:t>is</w:t>
      </w:r>
      <w:proofErr w:type="gramEnd"/>
      <w:r>
        <w:t xml:space="preserve"> a template and guidance on </w:t>
      </w:r>
      <w:r w:rsidR="00CF4AE9">
        <w:t>completing Chapter 4 – Findings and Discu</w:t>
      </w:r>
      <w:r>
        <w:t>ssion. Please read the whole document carefully and familiarise yourself with the BMHP6020 - Independent Project Moodle page</w:t>
      </w:r>
      <w:r w:rsidR="00CF4AE9">
        <w:t>,</w:t>
      </w:r>
      <w:r>
        <w:t xml:space="preserve"> which also includes a step-by-step PowerPoint Guide.  </w:t>
      </w:r>
    </w:p>
    <w:p w14:paraId="631A8D86" w14:textId="4A775B23" w:rsidR="001C3AF6" w:rsidRDefault="001C3AF6" w:rsidP="001C3AF6">
      <w:r>
        <w:t>This document is for guidance only</w:t>
      </w:r>
      <w:r w:rsidR="00CF4AE9">
        <w:t>; you do not have to follow it. Y</w:t>
      </w:r>
      <w:r>
        <w:t xml:space="preserve">ou are free to present this Chapter </w:t>
      </w:r>
      <w:r w:rsidR="00636D9A">
        <w:t>however</w:t>
      </w:r>
      <w:r>
        <w:t xml:space="preserve"> you wish. </w:t>
      </w:r>
    </w:p>
    <w:p w14:paraId="7991C57B" w14:textId="77777777" w:rsidR="00636D9A" w:rsidRDefault="00636D9A" w:rsidP="001C3AF6"/>
    <w:p w14:paraId="0CB43921" w14:textId="0E0DBBF8" w:rsidR="001C3AF6" w:rsidRPr="00636D9A" w:rsidRDefault="001C3AF6" w:rsidP="003B1E32">
      <w:pPr>
        <w:pStyle w:val="Heading2"/>
      </w:pPr>
      <w:bookmarkStart w:id="26" w:name="_Toc222337921"/>
      <w:r w:rsidRPr="00636D9A">
        <w:t>4.1 –</w:t>
      </w:r>
      <w:r w:rsidR="00636D9A" w:rsidRPr="00636D9A">
        <w:t xml:space="preserve"> </w:t>
      </w:r>
      <w:r w:rsidRPr="00636D9A">
        <w:t>Introduction</w:t>
      </w:r>
      <w:bookmarkEnd w:id="26"/>
      <w:r w:rsidRPr="00636D9A">
        <w:t xml:space="preserve"> </w:t>
      </w:r>
    </w:p>
    <w:p w14:paraId="367F223F" w14:textId="77777777" w:rsidR="00636D9A" w:rsidRDefault="00636D9A" w:rsidP="00636D9A">
      <w:pPr>
        <w:pStyle w:val="Heading1"/>
        <w:ind w:left="0"/>
      </w:pPr>
    </w:p>
    <w:p w14:paraId="1AE9E063" w14:textId="4089F6BF" w:rsidR="009C752E" w:rsidRPr="009C752E" w:rsidRDefault="009C752E" w:rsidP="009C752E">
      <w:pPr>
        <w:rPr>
          <w:rFonts w:ascii="Arial" w:hAnsi="Arial"/>
        </w:rPr>
      </w:pPr>
      <w:r w:rsidRPr="009C752E">
        <w:rPr>
          <w:rFonts w:ascii="Arial" w:hAnsi="Arial"/>
        </w:rPr>
        <w:t xml:space="preserve">This chapter presents and discusses the key findings from the literature review on how the COVID-19 pandemic affected rates of depression and anxiety among young adults aged 18–30 in the UK. The findings are organised using a thematic analysis approach, which allows </w:t>
      </w:r>
      <w:r w:rsidR="00CF4AE9">
        <w:rPr>
          <w:rFonts w:ascii="Arial" w:hAnsi="Arial"/>
        </w:rPr>
        <w:t>for the identification and exploration of common patterns across studies</w:t>
      </w:r>
      <w:r w:rsidRPr="009C752E">
        <w:rPr>
          <w:rFonts w:ascii="Arial" w:hAnsi="Arial"/>
        </w:rPr>
        <w:t xml:space="preserve">. Three main themes are discussed: social isolation, economic precarity and financial stress, and access to mental health services alongside resilience. These themes reflect the main challenges </w:t>
      </w:r>
      <w:r w:rsidR="00CF4AE9">
        <w:rPr>
          <w:rFonts w:ascii="Arial" w:hAnsi="Arial"/>
        </w:rPr>
        <w:t xml:space="preserve">young adults </w:t>
      </w:r>
      <w:r w:rsidR="00CF4AE9">
        <w:rPr>
          <w:rFonts w:ascii="Arial" w:hAnsi="Arial"/>
        </w:rPr>
        <w:lastRenderedPageBreak/>
        <w:t>faced</w:t>
      </w:r>
      <w:r w:rsidRPr="009C752E">
        <w:rPr>
          <w:rFonts w:ascii="Arial" w:hAnsi="Arial"/>
        </w:rPr>
        <w:t xml:space="preserve"> during the pandemic. The discussion links these findings to relevant theories, policies, and the UK health and social care context to </w:t>
      </w:r>
      <w:r w:rsidR="00CF4AE9">
        <w:rPr>
          <w:rFonts w:ascii="Arial" w:hAnsi="Arial"/>
        </w:rPr>
        <w:t>better</w:t>
      </w:r>
      <w:r w:rsidRPr="009C752E">
        <w:rPr>
          <w:rFonts w:ascii="Arial" w:hAnsi="Arial"/>
        </w:rPr>
        <w:t xml:space="preserve"> how and why mental health outcomes were affected during this period.</w:t>
      </w:r>
    </w:p>
    <w:p w14:paraId="49AC5888" w14:textId="2E92BA83" w:rsidR="001C3AF6" w:rsidRPr="00636D9A" w:rsidRDefault="001C3AF6" w:rsidP="003B1E32">
      <w:pPr>
        <w:pStyle w:val="Heading2"/>
      </w:pPr>
      <w:bookmarkStart w:id="27" w:name="_Toc222337922"/>
      <w:r w:rsidRPr="00636D9A">
        <w:t>4.2 – Thematic Analysis</w:t>
      </w:r>
      <w:bookmarkEnd w:id="27"/>
      <w:r w:rsidRPr="00636D9A">
        <w:t xml:space="preserve"> </w:t>
      </w:r>
    </w:p>
    <w:p w14:paraId="2739E815" w14:textId="77777777" w:rsidR="00636D9A" w:rsidRDefault="00636D9A" w:rsidP="001C3AF6">
      <w:pPr>
        <w:pStyle w:val="Heading1"/>
      </w:pPr>
    </w:p>
    <w:p w14:paraId="7CB8D282" w14:textId="77777777" w:rsidR="004058BC" w:rsidRDefault="004058BC" w:rsidP="004058BC">
      <w:pPr>
        <w:rPr>
          <w:rFonts w:ascii="Arial" w:hAnsi="Arial"/>
        </w:rPr>
      </w:pPr>
      <w:r w:rsidRPr="004058BC">
        <w:rPr>
          <w:rFonts w:ascii="Arial" w:hAnsi="Arial"/>
        </w:rPr>
        <w:t>Thematic analysis is a method used to identify and analyse repeated patterns or themes within research data (Braun and Clarke, 2021). In this dissertation, thematic analysis was used to review and organise findings from existing studies on the mental health impact of COVID-19 on young adults in the UK. Relevant literature was carefully read, and key ideas related to depression and anxiety were highlighted and grouped into themes. This approach helped to make sense of a large amount of evidence and allowed similarities and differences between studies to be explored (Nowell et al., 2017). The final themes reflect the most common and significant factors affecting young adults’ mental health during the pandemic and directly address the research question.</w:t>
      </w:r>
    </w:p>
    <w:p w14:paraId="484E27E3" w14:textId="23B2B40C" w:rsidR="00425138" w:rsidRPr="00425138" w:rsidRDefault="00425138" w:rsidP="00425138">
      <w:pPr>
        <w:pStyle w:val="Caption"/>
        <w:keepNext/>
        <w:rPr>
          <w:sz w:val="22"/>
          <w:szCs w:val="22"/>
        </w:rPr>
      </w:pPr>
      <w:r w:rsidRPr="00425138">
        <w:rPr>
          <w:sz w:val="22"/>
          <w:szCs w:val="22"/>
        </w:rPr>
        <w:t xml:space="preserve">Table </w:t>
      </w:r>
      <w:r w:rsidRPr="00425138">
        <w:rPr>
          <w:sz w:val="22"/>
          <w:szCs w:val="22"/>
        </w:rPr>
        <w:fldChar w:fldCharType="begin"/>
      </w:r>
      <w:r w:rsidRPr="00425138">
        <w:rPr>
          <w:sz w:val="22"/>
          <w:szCs w:val="22"/>
        </w:rPr>
        <w:instrText xml:space="preserve"> SEQ Table \* ARABIC </w:instrText>
      </w:r>
      <w:r w:rsidRPr="00425138">
        <w:rPr>
          <w:sz w:val="22"/>
          <w:szCs w:val="22"/>
        </w:rPr>
        <w:fldChar w:fldCharType="separate"/>
      </w:r>
      <w:r w:rsidRPr="00425138">
        <w:rPr>
          <w:noProof/>
          <w:sz w:val="22"/>
          <w:szCs w:val="22"/>
        </w:rPr>
        <w:t>1</w:t>
      </w:r>
      <w:r w:rsidRPr="00425138">
        <w:rPr>
          <w:sz w:val="22"/>
          <w:szCs w:val="22"/>
        </w:rPr>
        <w:fldChar w:fldCharType="end"/>
      </w:r>
      <w:r w:rsidRPr="00425138">
        <w:rPr>
          <w:sz w:val="22"/>
          <w:szCs w:val="22"/>
        </w:rPr>
        <w:t>: Summary of Main Themes from the Literature</w:t>
      </w:r>
    </w:p>
    <w:tbl>
      <w:tblPr>
        <w:tblStyle w:val="GridTable4-Accent4"/>
        <w:tblW w:w="0" w:type="auto"/>
        <w:tblLook w:val="04A0" w:firstRow="1" w:lastRow="0" w:firstColumn="1" w:lastColumn="0" w:noHBand="0" w:noVBand="1"/>
      </w:tblPr>
      <w:tblGrid>
        <w:gridCol w:w="2135"/>
        <w:gridCol w:w="3268"/>
        <w:gridCol w:w="3613"/>
      </w:tblGrid>
      <w:tr w:rsidR="00425138" w:rsidRPr="00425138" w14:paraId="3F4A0F76" w14:textId="77777777" w:rsidTr="004251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4F27D0" w14:textId="77777777" w:rsidR="00425138" w:rsidRPr="00425138" w:rsidRDefault="00425138" w:rsidP="00425138">
            <w:pPr>
              <w:spacing w:after="160"/>
              <w:rPr>
                <w:rFonts w:ascii="Arial" w:hAnsi="Arial"/>
              </w:rPr>
            </w:pPr>
            <w:r w:rsidRPr="00425138">
              <w:rPr>
                <w:rFonts w:ascii="Arial" w:hAnsi="Arial"/>
              </w:rPr>
              <w:t>Theme</w:t>
            </w:r>
          </w:p>
        </w:tc>
        <w:tc>
          <w:tcPr>
            <w:tcW w:w="0" w:type="auto"/>
            <w:hideMark/>
          </w:tcPr>
          <w:p w14:paraId="22B72910" w14:textId="77777777" w:rsidR="00425138" w:rsidRPr="00425138" w:rsidRDefault="00425138" w:rsidP="00425138">
            <w:pPr>
              <w:spacing w:after="160"/>
              <w:cnfStyle w:val="100000000000" w:firstRow="1" w:lastRow="0" w:firstColumn="0" w:lastColumn="0" w:oddVBand="0" w:evenVBand="0" w:oddHBand="0" w:evenHBand="0" w:firstRowFirstColumn="0" w:firstRowLastColumn="0" w:lastRowFirstColumn="0" w:lastRowLastColumn="0"/>
              <w:rPr>
                <w:rFonts w:ascii="Arial" w:hAnsi="Arial"/>
              </w:rPr>
            </w:pPr>
            <w:r w:rsidRPr="00425138">
              <w:rPr>
                <w:rFonts w:ascii="Arial" w:hAnsi="Arial"/>
              </w:rPr>
              <w:t>What it means</w:t>
            </w:r>
          </w:p>
        </w:tc>
        <w:tc>
          <w:tcPr>
            <w:tcW w:w="0" w:type="auto"/>
            <w:hideMark/>
          </w:tcPr>
          <w:p w14:paraId="67AEFDC3" w14:textId="77777777" w:rsidR="00425138" w:rsidRPr="00425138" w:rsidRDefault="00425138" w:rsidP="00425138">
            <w:pPr>
              <w:spacing w:after="160"/>
              <w:cnfStyle w:val="100000000000" w:firstRow="1" w:lastRow="0" w:firstColumn="0" w:lastColumn="0" w:oddVBand="0" w:evenVBand="0" w:oddHBand="0" w:evenHBand="0" w:firstRowFirstColumn="0" w:firstRowLastColumn="0" w:lastRowFirstColumn="0" w:lastRowLastColumn="0"/>
              <w:rPr>
                <w:rFonts w:ascii="Arial" w:hAnsi="Arial"/>
              </w:rPr>
            </w:pPr>
            <w:r w:rsidRPr="00425138">
              <w:rPr>
                <w:rFonts w:ascii="Arial" w:hAnsi="Arial"/>
              </w:rPr>
              <w:t>How it affected mental health</w:t>
            </w:r>
          </w:p>
        </w:tc>
      </w:tr>
      <w:tr w:rsidR="00425138" w:rsidRPr="00425138" w14:paraId="029BE32C" w14:textId="77777777" w:rsidTr="00425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3FF1BE" w14:textId="77777777" w:rsidR="00425138" w:rsidRPr="00425138" w:rsidRDefault="00425138" w:rsidP="00425138">
            <w:pPr>
              <w:spacing w:after="160"/>
              <w:rPr>
                <w:rFonts w:ascii="Arial" w:hAnsi="Arial"/>
              </w:rPr>
            </w:pPr>
            <w:r w:rsidRPr="00425138">
              <w:rPr>
                <w:rFonts w:ascii="Arial" w:hAnsi="Arial"/>
              </w:rPr>
              <w:t>Social isolation</w:t>
            </w:r>
          </w:p>
        </w:tc>
        <w:tc>
          <w:tcPr>
            <w:tcW w:w="0" w:type="auto"/>
            <w:hideMark/>
          </w:tcPr>
          <w:p w14:paraId="0B29D1A1" w14:textId="77777777" w:rsidR="00425138" w:rsidRPr="00425138"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rPr>
            </w:pPr>
            <w:r w:rsidRPr="00425138">
              <w:rPr>
                <w:rFonts w:ascii="Arial" w:hAnsi="Arial"/>
              </w:rPr>
              <w:t>Less contact with friends, family, and others because of lockdowns</w:t>
            </w:r>
          </w:p>
        </w:tc>
        <w:tc>
          <w:tcPr>
            <w:tcW w:w="0" w:type="auto"/>
            <w:hideMark/>
          </w:tcPr>
          <w:p w14:paraId="5E5BCB87" w14:textId="77777777" w:rsidR="00425138" w:rsidRPr="00425138"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rPr>
            </w:pPr>
            <w:r w:rsidRPr="00425138">
              <w:rPr>
                <w:rFonts w:ascii="Arial" w:hAnsi="Arial"/>
              </w:rPr>
              <w:t>Increased loneliness, anxiety, and low mood</w:t>
            </w:r>
          </w:p>
        </w:tc>
      </w:tr>
      <w:tr w:rsidR="00425138" w:rsidRPr="00425138" w14:paraId="5CAA4FC7" w14:textId="77777777" w:rsidTr="00425138">
        <w:tc>
          <w:tcPr>
            <w:cnfStyle w:val="001000000000" w:firstRow="0" w:lastRow="0" w:firstColumn="1" w:lastColumn="0" w:oddVBand="0" w:evenVBand="0" w:oddHBand="0" w:evenHBand="0" w:firstRowFirstColumn="0" w:firstRowLastColumn="0" w:lastRowFirstColumn="0" w:lastRowLastColumn="0"/>
            <w:tcW w:w="0" w:type="auto"/>
            <w:hideMark/>
          </w:tcPr>
          <w:p w14:paraId="3166BC64" w14:textId="77777777" w:rsidR="00425138" w:rsidRPr="00425138" w:rsidRDefault="00425138" w:rsidP="00425138">
            <w:pPr>
              <w:spacing w:after="160"/>
              <w:rPr>
                <w:rFonts w:ascii="Arial" w:hAnsi="Arial"/>
              </w:rPr>
            </w:pPr>
            <w:r w:rsidRPr="00425138">
              <w:rPr>
                <w:rFonts w:ascii="Arial" w:hAnsi="Arial"/>
              </w:rPr>
              <w:t>Financial stress</w:t>
            </w:r>
          </w:p>
        </w:tc>
        <w:tc>
          <w:tcPr>
            <w:tcW w:w="0" w:type="auto"/>
            <w:hideMark/>
          </w:tcPr>
          <w:p w14:paraId="4D562504" w14:textId="77777777" w:rsidR="00425138" w:rsidRPr="00425138" w:rsidRDefault="00425138" w:rsidP="00425138">
            <w:pPr>
              <w:spacing w:after="160"/>
              <w:cnfStyle w:val="000000000000" w:firstRow="0" w:lastRow="0" w:firstColumn="0" w:lastColumn="0" w:oddVBand="0" w:evenVBand="0" w:oddHBand="0" w:evenHBand="0" w:firstRowFirstColumn="0" w:firstRowLastColumn="0" w:lastRowFirstColumn="0" w:lastRowLastColumn="0"/>
              <w:rPr>
                <w:rFonts w:ascii="Arial" w:hAnsi="Arial"/>
              </w:rPr>
            </w:pPr>
            <w:r w:rsidRPr="00425138">
              <w:rPr>
                <w:rFonts w:ascii="Arial" w:hAnsi="Arial"/>
              </w:rPr>
              <w:t>Job loss, reduced income, or worry about money</w:t>
            </w:r>
          </w:p>
        </w:tc>
        <w:tc>
          <w:tcPr>
            <w:tcW w:w="0" w:type="auto"/>
            <w:hideMark/>
          </w:tcPr>
          <w:p w14:paraId="7CD6EF61" w14:textId="77777777" w:rsidR="00425138" w:rsidRPr="00425138" w:rsidRDefault="00425138" w:rsidP="00425138">
            <w:pPr>
              <w:spacing w:after="160"/>
              <w:cnfStyle w:val="000000000000" w:firstRow="0" w:lastRow="0" w:firstColumn="0" w:lastColumn="0" w:oddVBand="0" w:evenVBand="0" w:oddHBand="0" w:evenHBand="0" w:firstRowFirstColumn="0" w:firstRowLastColumn="0" w:lastRowFirstColumn="0" w:lastRowLastColumn="0"/>
              <w:rPr>
                <w:rFonts w:ascii="Arial" w:hAnsi="Arial"/>
              </w:rPr>
            </w:pPr>
            <w:r w:rsidRPr="00425138">
              <w:rPr>
                <w:rFonts w:ascii="Arial" w:hAnsi="Arial"/>
              </w:rPr>
              <w:t>Higher stress levels, worry, and depression</w:t>
            </w:r>
          </w:p>
        </w:tc>
      </w:tr>
      <w:tr w:rsidR="00425138" w:rsidRPr="00425138" w14:paraId="57A5B0FF" w14:textId="77777777" w:rsidTr="00425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362BB" w14:textId="77777777" w:rsidR="00425138" w:rsidRPr="00425138" w:rsidRDefault="00425138" w:rsidP="00425138">
            <w:pPr>
              <w:spacing w:after="160"/>
              <w:rPr>
                <w:rFonts w:ascii="Arial" w:hAnsi="Arial"/>
              </w:rPr>
            </w:pPr>
            <w:r w:rsidRPr="00425138">
              <w:rPr>
                <w:rFonts w:ascii="Arial" w:hAnsi="Arial"/>
              </w:rPr>
              <w:t>Access to support and resilience</w:t>
            </w:r>
          </w:p>
        </w:tc>
        <w:tc>
          <w:tcPr>
            <w:tcW w:w="0" w:type="auto"/>
            <w:hideMark/>
          </w:tcPr>
          <w:p w14:paraId="3EAF66D1" w14:textId="77777777" w:rsidR="00425138" w:rsidRPr="00425138"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rPr>
            </w:pPr>
            <w:r w:rsidRPr="00425138">
              <w:rPr>
                <w:rFonts w:ascii="Arial" w:hAnsi="Arial"/>
              </w:rPr>
              <w:t>Difficulty getting mental health support and relying on coping skills</w:t>
            </w:r>
          </w:p>
        </w:tc>
        <w:tc>
          <w:tcPr>
            <w:tcW w:w="0" w:type="auto"/>
            <w:hideMark/>
          </w:tcPr>
          <w:p w14:paraId="6A083352" w14:textId="77777777" w:rsidR="00425138" w:rsidRPr="00425138" w:rsidRDefault="00425138" w:rsidP="00425138">
            <w:pPr>
              <w:spacing w:after="160"/>
              <w:cnfStyle w:val="000000100000" w:firstRow="0" w:lastRow="0" w:firstColumn="0" w:lastColumn="0" w:oddVBand="0" w:evenVBand="0" w:oddHBand="1" w:evenHBand="0" w:firstRowFirstColumn="0" w:firstRowLastColumn="0" w:lastRowFirstColumn="0" w:lastRowLastColumn="0"/>
              <w:rPr>
                <w:rFonts w:ascii="Arial" w:hAnsi="Arial"/>
              </w:rPr>
            </w:pPr>
            <w:r w:rsidRPr="00425138">
              <w:rPr>
                <w:rFonts w:ascii="Arial" w:hAnsi="Arial"/>
              </w:rPr>
              <w:t>Delayed help made symptoms worse, but coping skills helped some people</w:t>
            </w:r>
          </w:p>
        </w:tc>
      </w:tr>
    </w:tbl>
    <w:p w14:paraId="304F4279" w14:textId="77777777" w:rsidR="00425138" w:rsidRPr="004058BC" w:rsidRDefault="00425138" w:rsidP="004058BC">
      <w:pPr>
        <w:rPr>
          <w:rFonts w:ascii="Arial" w:hAnsi="Arial"/>
        </w:rPr>
      </w:pPr>
    </w:p>
    <w:p w14:paraId="1E614ABD" w14:textId="5F310F69" w:rsidR="001C3AF6" w:rsidRPr="00636D9A" w:rsidRDefault="001C3AF6" w:rsidP="003B1E32">
      <w:pPr>
        <w:pStyle w:val="Heading2"/>
      </w:pPr>
      <w:bookmarkStart w:id="28" w:name="_Toc222337923"/>
      <w:r w:rsidRPr="00636D9A">
        <w:t>4.3 – Theme 1</w:t>
      </w:r>
      <w:r w:rsidR="00A61A87">
        <w:t xml:space="preserve">: </w:t>
      </w:r>
      <w:r w:rsidR="00A61A87" w:rsidRPr="00A61A87">
        <w:t>Social Isolation and Loneliness Among Young Adults</w:t>
      </w:r>
      <w:r w:rsidRPr="00636D9A">
        <w:t xml:space="preserve"> (900 words approx.)</w:t>
      </w:r>
      <w:bookmarkEnd w:id="28"/>
    </w:p>
    <w:p w14:paraId="7F885927" w14:textId="77777777" w:rsidR="00636D9A" w:rsidRPr="00636D9A" w:rsidRDefault="00636D9A" w:rsidP="001C3AF6">
      <w:pPr>
        <w:pStyle w:val="Heading1"/>
        <w:rPr>
          <w:sz w:val="28"/>
          <w:szCs w:val="28"/>
        </w:rPr>
      </w:pPr>
    </w:p>
    <w:p w14:paraId="0ACB43EA" w14:textId="77777777" w:rsidR="007C55B8" w:rsidRPr="007C55B8" w:rsidRDefault="007C55B8" w:rsidP="007C55B8">
      <w:pPr>
        <w:pStyle w:val="NormalWeb"/>
        <w:spacing w:line="360" w:lineRule="auto"/>
        <w:jc w:val="both"/>
        <w:rPr>
          <w:rFonts w:ascii="Arial" w:hAnsi="Arial"/>
        </w:rPr>
      </w:pPr>
      <w:r w:rsidRPr="007C55B8">
        <w:rPr>
          <w:rFonts w:ascii="Arial" w:hAnsi="Arial"/>
        </w:rPr>
        <w:t>Social isolation was one of the most significant factors affecting the mental health of young adults during the COVID-19 pandemic. Social isolation refers to a lack of social contact, reduced interaction with others, and limited access to supportive relationships (Holt-</w:t>
      </w:r>
      <w:proofErr w:type="spellStart"/>
      <w:r w:rsidRPr="007C55B8">
        <w:rPr>
          <w:rFonts w:ascii="Arial" w:hAnsi="Arial"/>
        </w:rPr>
        <w:t>Lunstad</w:t>
      </w:r>
      <w:proofErr w:type="spellEnd"/>
      <w:r w:rsidRPr="007C55B8">
        <w:rPr>
          <w:rFonts w:ascii="Arial" w:hAnsi="Arial"/>
        </w:rPr>
        <w:t xml:space="preserve">, 2021). For young adults aged 18–30, this period is normally characterised by frequent social engagement, peer relationships, education, </w:t>
      </w:r>
      <w:r w:rsidRPr="007C55B8">
        <w:rPr>
          <w:rFonts w:ascii="Arial" w:hAnsi="Arial"/>
        </w:rPr>
        <w:lastRenderedPageBreak/>
        <w:t>employment, and the development of intimate partnerships. COVID-19 restrictions, including lockdowns, social distancing, and stay-at-home orders, greatly disrupted these experiences and contributed to increased levels of depression and anxiety in this age group (Pierce et al., 2020; Fancourt, Steptoe and Bu, 2020).</w:t>
      </w:r>
    </w:p>
    <w:p w14:paraId="32F90DFF" w14:textId="77777777" w:rsidR="007C55B8" w:rsidRPr="007C55B8" w:rsidRDefault="007C55B8" w:rsidP="007C55B8">
      <w:pPr>
        <w:pStyle w:val="NormalWeb"/>
        <w:spacing w:line="360" w:lineRule="auto"/>
        <w:jc w:val="both"/>
        <w:rPr>
          <w:rFonts w:ascii="Arial" w:hAnsi="Arial"/>
        </w:rPr>
      </w:pPr>
      <w:r w:rsidRPr="007C55B8">
        <w:rPr>
          <w:rFonts w:ascii="Arial" w:hAnsi="Arial"/>
        </w:rPr>
        <w:t>Evidence from UK-based studies consistently shows a strong link between social isolation and poor mental health outcomes among young adults during the pandemic. Data from the Office for National Statistics (ONS) indicated that young adults were more likely than older age groups to report loneliness during lockdown periods, with feelings of loneliness closely associated with depressive symptoms (ONS, 2021). Pierce et al. (2020) found that levels of psychological distress increased sharply during the first UK lockdown, particularly among younger adults, and remained high even as restrictions eased. These findings suggest that social isolation was not a short-term issue but had a lasting impact on mental wellbeing.</w:t>
      </w:r>
    </w:p>
    <w:p w14:paraId="179ACD00" w14:textId="77777777" w:rsidR="007C55B8" w:rsidRPr="007C55B8" w:rsidRDefault="007C55B8" w:rsidP="007C55B8">
      <w:pPr>
        <w:pStyle w:val="NormalWeb"/>
        <w:spacing w:line="360" w:lineRule="auto"/>
        <w:jc w:val="both"/>
        <w:rPr>
          <w:rFonts w:ascii="Arial" w:hAnsi="Arial"/>
        </w:rPr>
      </w:pPr>
      <w:r w:rsidRPr="007C55B8">
        <w:rPr>
          <w:rFonts w:ascii="Arial" w:hAnsi="Arial"/>
        </w:rPr>
        <w:t>The stress-vulnerability model, discussed in Chapter 2, helps to explain why social isolation had such a strong effect on depression and anxiety during the pandemic. According to this model, mental health problems develop through an interaction between stressful life events and individual vulnerability (Hossain et al., 2020). Social isolation acted as a major stressor by removing protective factors such as peer support, routine, and social identity. Young adults with pre-existing mental health difficulties, limited family support, or insecure living arrangements were therefore more vulnerable to developing anxiety and depression during lockdowns (Kreski et al., 2022). This explains why some individuals experienced severe distress while others were more able to cope.</w:t>
      </w:r>
    </w:p>
    <w:p w14:paraId="28B738EA" w14:textId="2FA49F29" w:rsidR="007C55B8" w:rsidRPr="007C55B8" w:rsidRDefault="007C55B8" w:rsidP="007C55B8">
      <w:pPr>
        <w:pStyle w:val="NormalWeb"/>
        <w:spacing w:line="360" w:lineRule="auto"/>
        <w:jc w:val="both"/>
        <w:rPr>
          <w:rFonts w:ascii="Arial" w:hAnsi="Arial"/>
        </w:rPr>
      </w:pPr>
      <w:r w:rsidRPr="007C55B8">
        <w:rPr>
          <w:rFonts w:ascii="Arial" w:hAnsi="Arial"/>
        </w:rPr>
        <w:t xml:space="preserve">Social isolation also directly affected young adults’ sense of belonging and identity. Erikson’s psychosocial development theory identifies early adulthood as a stage focused on the challenge of “intimacy versus isolation” </w:t>
      </w:r>
      <w:r w:rsidR="001D0389" w:rsidRPr="001D0389">
        <w:rPr>
          <w:rFonts w:ascii="Arial" w:hAnsi="Arial"/>
        </w:rPr>
        <w:t>(Gross, 2020)</w:t>
      </w:r>
      <w:r w:rsidRPr="007C55B8">
        <w:rPr>
          <w:rFonts w:ascii="Arial" w:hAnsi="Arial"/>
        </w:rPr>
        <w:t xml:space="preserve">. During this stage, forming close relationships is crucial for emotional wellbeing. COVID-19 restrictions limited opportunities for dating, socialising, and building friendships, increasing feelings of loneliness and emotional disconnection (Shanahan et al., 2020). Studies suggest that prolonged loneliness during this developmental stage can increase the risk of long-term mental health problems, including chronic depression </w:t>
      </w:r>
      <w:r w:rsidRPr="007C55B8">
        <w:rPr>
          <w:rFonts w:ascii="Arial" w:hAnsi="Arial"/>
        </w:rPr>
        <w:lastRenderedPageBreak/>
        <w:t>and social anxiety (Loades et al., 2020). This highlights how the pandemic disrupted not only daily life but also key developmental processes for young adults.</w:t>
      </w:r>
    </w:p>
    <w:p w14:paraId="180F4087" w14:textId="77777777" w:rsidR="007C55B8" w:rsidRPr="007C55B8" w:rsidRDefault="007C55B8" w:rsidP="007C55B8">
      <w:pPr>
        <w:pStyle w:val="NormalWeb"/>
        <w:spacing w:line="360" w:lineRule="auto"/>
        <w:jc w:val="both"/>
        <w:rPr>
          <w:rFonts w:ascii="Arial" w:hAnsi="Arial"/>
        </w:rPr>
      </w:pPr>
      <w:r w:rsidRPr="007C55B8">
        <w:rPr>
          <w:rFonts w:ascii="Arial" w:hAnsi="Arial"/>
        </w:rPr>
        <w:t>Several studies reported that digital communication did not fully replace face-to-face interaction for young adults. While social media, video calls, and online learning platforms provided some level of connection, many young adults reported “digital fatigue” and feelings of emotional emptiness from online-only contact (Fancourt, Steptoe and Bu, 2020). O’Connor et al. (2021) found that increased screen time was sometimes linked to higher anxiety levels, particularly when online interactions lacked emotional depth or involved negative news consumption. This challenges early assumptions that digital connectivity would protect young people from the mental health effects of isolation.</w:t>
      </w:r>
    </w:p>
    <w:p w14:paraId="1C2B3484" w14:textId="318583D2" w:rsidR="007C55B8" w:rsidRPr="007C55B8" w:rsidRDefault="007C55B8" w:rsidP="007C55B8">
      <w:pPr>
        <w:pStyle w:val="NormalWeb"/>
        <w:spacing w:line="360" w:lineRule="auto"/>
        <w:jc w:val="both"/>
        <w:rPr>
          <w:rFonts w:ascii="Arial" w:hAnsi="Arial"/>
        </w:rPr>
      </w:pPr>
      <w:r w:rsidRPr="007C55B8">
        <w:rPr>
          <w:rFonts w:ascii="Arial" w:hAnsi="Arial"/>
        </w:rPr>
        <w:t xml:space="preserve">From a </w:t>
      </w:r>
      <w:proofErr w:type="gramStart"/>
      <w:r w:rsidRPr="007C55B8">
        <w:rPr>
          <w:rFonts w:ascii="Arial" w:hAnsi="Arial"/>
        </w:rPr>
        <w:t>social determinants of health perspective</w:t>
      </w:r>
      <w:proofErr w:type="gramEnd"/>
      <w:r w:rsidRPr="007C55B8">
        <w:rPr>
          <w:rFonts w:ascii="Arial" w:hAnsi="Arial"/>
        </w:rPr>
        <w:t>, the impact of social isolation was not evenly distributed. Young adults living alone, in overcrowded housing, or away from family support were particularly affected (Marmot and Allen, 2020). Students and young workers who moved back to family homes often experienced loss of independence, conflict, or lack of privacy, which increased stress and anxiety (The Health Foundation, 2023). Those from disadvantaged backgrounds were more likely to experience both social isolation and other stressors, such as financial insecurity, further increasing their risk of poor mental health. This shows how social isolation interact</w:t>
      </w:r>
      <w:r w:rsidR="00CF4AE9">
        <w:rPr>
          <w:rFonts w:ascii="Arial" w:hAnsi="Arial"/>
        </w:rPr>
        <w:t>s</w:t>
      </w:r>
      <w:r w:rsidRPr="007C55B8">
        <w:rPr>
          <w:rFonts w:ascii="Arial" w:hAnsi="Arial"/>
        </w:rPr>
        <w:t xml:space="preserve"> with wider inequalities rather than acting as a single, isolated factor.</w:t>
      </w:r>
    </w:p>
    <w:p w14:paraId="408A6BA4" w14:textId="3F190634" w:rsidR="007C55B8" w:rsidRPr="007C55B8" w:rsidRDefault="007C55B8" w:rsidP="007C55B8">
      <w:pPr>
        <w:pStyle w:val="NormalWeb"/>
        <w:spacing w:line="360" w:lineRule="auto"/>
        <w:jc w:val="both"/>
        <w:rPr>
          <w:rFonts w:ascii="Arial" w:hAnsi="Arial"/>
        </w:rPr>
      </w:pPr>
      <w:r w:rsidRPr="007C55B8">
        <w:rPr>
          <w:rFonts w:ascii="Arial" w:hAnsi="Arial"/>
        </w:rPr>
        <w:t xml:space="preserve">UK policy responses </w:t>
      </w:r>
      <w:r w:rsidR="00CF4AE9">
        <w:rPr>
          <w:rFonts w:ascii="Arial" w:hAnsi="Arial"/>
        </w:rPr>
        <w:t>to address loneliness during the pandemic were limited, according to evidence</w:t>
      </w:r>
      <w:r w:rsidRPr="007C55B8">
        <w:rPr>
          <w:rFonts w:ascii="Arial" w:hAnsi="Arial"/>
        </w:rPr>
        <w:t>. Public health messaging focused mainly on physical distancing rather than social connection, and mental health support services struggled to meet rising demand (The King’s Fund, 2023). Although initiatives such as mental health helplines and online wellbeing resources were expanded, access was uneven and waiting times remained long, particularly for NHS talking therapies (NHS England, 2023). As a result, many young adults experiencing loneliness and distress did not receive timely support, allowing symptoms of depression and anxiety to worsen.</w:t>
      </w:r>
    </w:p>
    <w:p w14:paraId="19505B8E" w14:textId="7FC68518" w:rsidR="007C55B8" w:rsidRPr="007C55B8" w:rsidRDefault="007C55B8" w:rsidP="007C55B8">
      <w:pPr>
        <w:pStyle w:val="NormalWeb"/>
        <w:spacing w:line="360" w:lineRule="auto"/>
        <w:jc w:val="both"/>
        <w:rPr>
          <w:rFonts w:ascii="Arial" w:hAnsi="Arial"/>
        </w:rPr>
      </w:pPr>
      <w:r w:rsidRPr="007C55B8">
        <w:rPr>
          <w:rFonts w:ascii="Arial" w:hAnsi="Arial"/>
        </w:rPr>
        <w:t xml:space="preserve">Comparisons across studies reveal consistent agreement that social isolation was a major contributor to declining mental health among young adults, but some differences are also evident. Longitudinal studies, such as those by Fancourt, Steptoe and Bu </w:t>
      </w:r>
      <w:r w:rsidRPr="007C55B8">
        <w:rPr>
          <w:rFonts w:ascii="Arial" w:hAnsi="Arial"/>
        </w:rPr>
        <w:lastRenderedPageBreak/>
        <w:t>(2020), show that mental health symptoms fluctuated over time, with some adaptation occurring as restrictions changed. However, other research suggests that repeated lockdowns and uncertainty prevented full recovery for many young adults (Banks and Xu, 2020). This variation highlights a limitation in the literature</w:t>
      </w:r>
      <w:r w:rsidR="00CF4AE9">
        <w:rPr>
          <w:rFonts w:ascii="Arial" w:hAnsi="Arial"/>
        </w:rPr>
        <w:t>: experiences differed depending on personal circumstances, the</w:t>
      </w:r>
      <w:r w:rsidRPr="007C55B8">
        <w:rPr>
          <w:rFonts w:ascii="Arial" w:hAnsi="Arial"/>
        </w:rPr>
        <w:t xml:space="preserve"> duration of isolation, and access to support.</w:t>
      </w:r>
    </w:p>
    <w:p w14:paraId="3AD51C6B" w14:textId="60A4054D" w:rsidR="007C55B8" w:rsidRPr="007C55B8" w:rsidRDefault="007C55B8" w:rsidP="007C55B8">
      <w:pPr>
        <w:pStyle w:val="NormalWeb"/>
        <w:spacing w:line="360" w:lineRule="auto"/>
        <w:jc w:val="both"/>
        <w:rPr>
          <w:rFonts w:ascii="Arial" w:hAnsi="Arial"/>
        </w:rPr>
      </w:pPr>
      <w:r w:rsidRPr="007C55B8">
        <w:rPr>
          <w:rFonts w:ascii="Arial" w:hAnsi="Arial"/>
        </w:rPr>
        <w:t xml:space="preserve">Resilience theory offers a more positive perspective by highlighting how some young adults managed to cope with social isolation. Protective factors included strong family relationships, meaningful online connections, routine, and engagement in physical activity or hobbies (Chen and Bonanno, 2020). Community initiatives, peer support groups, and informal networks also helped reduce loneliness for some individuals. However, resilience should not be viewed as a </w:t>
      </w:r>
      <w:proofErr w:type="gramStart"/>
      <w:r w:rsidRPr="007C55B8">
        <w:rPr>
          <w:rFonts w:ascii="Arial" w:hAnsi="Arial"/>
        </w:rPr>
        <w:t xml:space="preserve">solution </w:t>
      </w:r>
      <w:r w:rsidR="00CF4AE9">
        <w:rPr>
          <w:rFonts w:ascii="Arial" w:hAnsi="Arial"/>
        </w:rPr>
        <w:t>in itself</w:t>
      </w:r>
      <w:proofErr w:type="gramEnd"/>
      <w:r w:rsidRPr="007C55B8">
        <w:rPr>
          <w:rFonts w:ascii="Arial" w:hAnsi="Arial"/>
        </w:rPr>
        <w:t xml:space="preserve">. Critics argue that focusing too heavily on individual coping risks ignoring </w:t>
      </w:r>
      <w:r w:rsidR="00CF4AE9">
        <w:rPr>
          <w:rFonts w:ascii="Arial" w:hAnsi="Arial"/>
        </w:rPr>
        <w:t>governments' and services' responsibility</w:t>
      </w:r>
      <w:r w:rsidRPr="007C55B8">
        <w:rPr>
          <w:rFonts w:ascii="Arial" w:hAnsi="Arial"/>
        </w:rPr>
        <w:t xml:space="preserve"> to reduce isolation and provide accessible mental health support (Marmot and Allen, 2020). This is particularly important in the UK context, where structural inequalities shaped who was most affected by isolation.</w:t>
      </w:r>
    </w:p>
    <w:p w14:paraId="1CB019CD" w14:textId="77777777" w:rsidR="007C55B8" w:rsidRDefault="007C55B8" w:rsidP="007C55B8">
      <w:pPr>
        <w:pStyle w:val="NormalWeb"/>
        <w:spacing w:line="360" w:lineRule="auto"/>
        <w:jc w:val="both"/>
      </w:pPr>
      <w:r w:rsidRPr="007C55B8">
        <w:rPr>
          <w:rFonts w:ascii="Arial" w:hAnsi="Arial"/>
        </w:rPr>
        <w:t>Overall, the evidence clearly shows that social isolation played a central role in increasing rates of depression and anxiety among young adults during the COVID-19 pandemic. It directly answers the research question by demonstrating how restrictions on social contact disrupted emotional wellbeing, identity development, and access to support. When combined with existing vulnerabilities and social inequalities, isolation became a powerful risk factor for poor mental health. These findings emphasise the need for future health and social care policies to prioritise social connection, particularly during times of crisis, and to recognise young adults as a group with distinct mental health needs.</w:t>
      </w:r>
    </w:p>
    <w:p w14:paraId="620F671D" w14:textId="6E2CEC53" w:rsidR="001C3AF6" w:rsidRDefault="001C3AF6" w:rsidP="003B1E32">
      <w:pPr>
        <w:pStyle w:val="Heading2"/>
      </w:pPr>
      <w:bookmarkStart w:id="29" w:name="_Toc222337924"/>
      <w:r w:rsidRPr="00636D9A">
        <w:t>4.4 – Theme 2</w:t>
      </w:r>
      <w:r w:rsidR="00C06DA2">
        <w:t xml:space="preserve">: </w:t>
      </w:r>
      <w:r w:rsidR="00C06DA2" w:rsidRPr="00C06DA2">
        <w:t>Economic Precarity and Financial Stress</w:t>
      </w:r>
      <w:r w:rsidRPr="00636D9A">
        <w:t xml:space="preserve"> (900 words approx.)</w:t>
      </w:r>
      <w:bookmarkEnd w:id="29"/>
      <w:r w:rsidRPr="00636D9A">
        <w:t xml:space="preserve"> </w:t>
      </w:r>
    </w:p>
    <w:p w14:paraId="35C7BB28" w14:textId="77777777" w:rsidR="00636D9A" w:rsidRPr="00636D9A" w:rsidRDefault="00636D9A" w:rsidP="001C3AF6">
      <w:pPr>
        <w:pStyle w:val="Heading1"/>
        <w:rPr>
          <w:rFonts w:ascii="Aptos" w:hAnsi="Aptos"/>
          <w:sz w:val="28"/>
          <w:szCs w:val="28"/>
        </w:rPr>
      </w:pPr>
    </w:p>
    <w:p w14:paraId="515F737F" w14:textId="77777777" w:rsidR="00BF69BB" w:rsidRPr="007716E8" w:rsidRDefault="00BF69BB" w:rsidP="00BF69BB">
      <w:pPr>
        <w:rPr>
          <w:rFonts w:ascii="Arial" w:hAnsi="Arial"/>
          <w:sz w:val="24"/>
          <w:szCs w:val="24"/>
        </w:rPr>
      </w:pPr>
      <w:r w:rsidRPr="007716E8">
        <w:rPr>
          <w:rFonts w:ascii="Arial" w:hAnsi="Arial"/>
          <w:sz w:val="24"/>
          <w:szCs w:val="24"/>
        </w:rPr>
        <w:t xml:space="preserve">Economic precarity and financial stress were major factors affecting the mental health of young adults during the COVID-19 pandemic. Economic precarity refers to insecure or unstable financial conditions, including job loss, reduced income, temporary employment, and uncertainty about future work (Marmot and Allen, 2020). For young adults aged 18–30, this stage of life often involves entering the labour market, completing education, or working in early-career roles. The pandemic disrupted these </w:t>
      </w:r>
      <w:r w:rsidRPr="007716E8">
        <w:rPr>
          <w:rFonts w:ascii="Arial" w:hAnsi="Arial"/>
          <w:sz w:val="24"/>
          <w:szCs w:val="24"/>
        </w:rPr>
        <w:lastRenderedPageBreak/>
        <w:t>transitions and created widespread financial insecurity, which contributed significantly to increased rates of depression and anxiety in the UK (Banks and Xu, 2020; The Health Foundation, 2023).</w:t>
      </w:r>
    </w:p>
    <w:p w14:paraId="55DEB138" w14:textId="14A1745E" w:rsidR="00BF69BB" w:rsidRPr="007716E8" w:rsidRDefault="00BF69BB" w:rsidP="00BF69BB">
      <w:pPr>
        <w:rPr>
          <w:rFonts w:ascii="Arial" w:hAnsi="Arial"/>
          <w:sz w:val="24"/>
          <w:szCs w:val="24"/>
        </w:rPr>
      </w:pPr>
      <w:r w:rsidRPr="007716E8">
        <w:rPr>
          <w:rFonts w:ascii="Arial" w:hAnsi="Arial"/>
          <w:sz w:val="24"/>
          <w:szCs w:val="24"/>
        </w:rPr>
        <w:t xml:space="preserve">Evidence from UK and international studies consistently shows that young adults were disproportionately affected by </w:t>
      </w:r>
      <w:r w:rsidR="00CF4AE9" w:rsidRPr="007716E8">
        <w:rPr>
          <w:rFonts w:ascii="Arial" w:hAnsi="Arial"/>
          <w:sz w:val="24"/>
          <w:szCs w:val="24"/>
        </w:rPr>
        <w:t>COVID-19's economic impacts</w:t>
      </w:r>
      <w:r w:rsidRPr="007716E8">
        <w:rPr>
          <w:rFonts w:ascii="Arial" w:hAnsi="Arial"/>
          <w:sz w:val="24"/>
          <w:szCs w:val="24"/>
        </w:rPr>
        <w:t>. Many young people worked in sectors such as hospitality, retail, tourism, and entertainment, which were severely affected by lockdowns and social distancing measures (ONS, 2021). As a result, young adults were more likely to experience furlough</w:t>
      </w:r>
      <w:r w:rsidR="00CF4AE9" w:rsidRPr="007716E8">
        <w:rPr>
          <w:rFonts w:ascii="Arial" w:hAnsi="Arial"/>
          <w:sz w:val="24"/>
          <w:szCs w:val="24"/>
        </w:rPr>
        <w:t>s, reduced hours, or unemployment than</w:t>
      </w:r>
      <w:r w:rsidRPr="007716E8">
        <w:rPr>
          <w:rFonts w:ascii="Arial" w:hAnsi="Arial"/>
          <w:sz w:val="24"/>
          <w:szCs w:val="24"/>
        </w:rPr>
        <w:t xml:space="preserve"> older age groups. Banks and Xu (2020) found that mental health deteriorated most sharply among individuals who experienced income loss during the early months of the pandemic, with young adults reporting particularly high levels of anxiety and depressive symptoms.</w:t>
      </w:r>
    </w:p>
    <w:p w14:paraId="5B418244" w14:textId="77777777" w:rsidR="00BF69BB" w:rsidRPr="007716E8" w:rsidRDefault="00BF69BB" w:rsidP="00BF69BB">
      <w:pPr>
        <w:rPr>
          <w:rFonts w:ascii="Arial" w:hAnsi="Arial"/>
          <w:sz w:val="24"/>
          <w:szCs w:val="24"/>
        </w:rPr>
      </w:pPr>
      <w:r w:rsidRPr="007716E8">
        <w:rPr>
          <w:rFonts w:ascii="Arial" w:hAnsi="Arial"/>
          <w:sz w:val="24"/>
          <w:szCs w:val="24"/>
        </w:rPr>
        <w:t>Financial stress affected mental health through several pathways. Uncertainty about paying rent, covering living costs, or repaying student loans increased feelings of worry and hopelessness (Pierce et al., 2020). For many young adults, employment is closely linked to independence and identity. Losing work or relying on government support disrupted this sense of control and contributed to low self-esteem and anxiety (Shanahan et al., 2020). This is especially relevant to the research question, as it shows how economic factors directly influenced mental health outcomes during the pandemic.</w:t>
      </w:r>
    </w:p>
    <w:p w14:paraId="7B2F4B22" w14:textId="77777777" w:rsidR="00BF69BB" w:rsidRPr="007716E8" w:rsidRDefault="00BF69BB" w:rsidP="00BF69BB">
      <w:pPr>
        <w:rPr>
          <w:rFonts w:ascii="Arial" w:hAnsi="Arial"/>
          <w:sz w:val="24"/>
          <w:szCs w:val="24"/>
        </w:rPr>
      </w:pPr>
      <w:r w:rsidRPr="007716E8">
        <w:rPr>
          <w:rFonts w:ascii="Arial" w:hAnsi="Arial"/>
          <w:sz w:val="24"/>
          <w:szCs w:val="24"/>
        </w:rPr>
        <w:t>The stress-vulnerability model helps explain the strong link between financial stress and mental health difficulties. According to this model, stressful life events such as job loss or income insecurity can trigger mental health problems, particularly for individuals with existing vulnerabilities (Hossain et al., 2020). Young adults with limited savings, insecure housing, or pre-existing mental health conditions were therefore more likely to experience depression and anxiety when faced with financial uncertainty (Kreski et al., 2022). This model highlights why economic precarity during COVID-19 had such a widespread psychological impact on this age group.</w:t>
      </w:r>
    </w:p>
    <w:p w14:paraId="60624EC9" w14:textId="5A64BEC5" w:rsidR="00BF69BB" w:rsidRPr="007716E8" w:rsidRDefault="00BF69BB" w:rsidP="00BF69BB">
      <w:pPr>
        <w:rPr>
          <w:rFonts w:ascii="Arial" w:hAnsi="Arial"/>
          <w:sz w:val="24"/>
          <w:szCs w:val="24"/>
        </w:rPr>
      </w:pPr>
      <w:r w:rsidRPr="007716E8">
        <w:rPr>
          <w:rFonts w:ascii="Arial" w:hAnsi="Arial"/>
          <w:sz w:val="24"/>
          <w:szCs w:val="24"/>
        </w:rPr>
        <w:t xml:space="preserve">From a </w:t>
      </w:r>
      <w:proofErr w:type="gramStart"/>
      <w:r w:rsidRPr="007716E8">
        <w:rPr>
          <w:rFonts w:ascii="Arial" w:hAnsi="Arial"/>
          <w:sz w:val="24"/>
          <w:szCs w:val="24"/>
        </w:rPr>
        <w:t>social determinants of health perspective</w:t>
      </w:r>
      <w:proofErr w:type="gramEnd"/>
      <w:r w:rsidRPr="007716E8">
        <w:rPr>
          <w:rFonts w:ascii="Arial" w:hAnsi="Arial"/>
          <w:sz w:val="24"/>
          <w:szCs w:val="24"/>
        </w:rPr>
        <w:t xml:space="preserve">, financial stress did not affect all young adults equally. Marmot and Allen (2020) argue that </w:t>
      </w:r>
      <w:r w:rsidR="00CF4AE9" w:rsidRPr="007716E8">
        <w:rPr>
          <w:rFonts w:ascii="Arial" w:hAnsi="Arial"/>
          <w:sz w:val="24"/>
          <w:szCs w:val="24"/>
        </w:rPr>
        <w:t>social and economic conditions, including income, employment, and education, shape health outcomes</w:t>
      </w:r>
      <w:r w:rsidRPr="007716E8">
        <w:rPr>
          <w:rFonts w:ascii="Arial" w:hAnsi="Arial"/>
          <w:sz w:val="24"/>
          <w:szCs w:val="24"/>
        </w:rPr>
        <w:t>. Young adults from lower socioeconomic backgrounds were more likely to work in low-</w:t>
      </w:r>
      <w:r w:rsidRPr="007716E8">
        <w:rPr>
          <w:rFonts w:ascii="Arial" w:hAnsi="Arial"/>
          <w:sz w:val="24"/>
          <w:szCs w:val="24"/>
        </w:rPr>
        <w:lastRenderedPageBreak/>
        <w:t>paid or insecure jobs and less likely to have financial safety nets. The Health Foundation (2022) reports that these inequalities widened during the pandemic, with disadvantaged young adults experiencing higher levels of anxiety and depression compared to their more affluent peers. This demonstrates how economic precarity interact</w:t>
      </w:r>
      <w:r w:rsidR="00CF4AE9" w:rsidRPr="007716E8">
        <w:rPr>
          <w:rFonts w:ascii="Arial" w:hAnsi="Arial"/>
          <w:sz w:val="24"/>
          <w:szCs w:val="24"/>
        </w:rPr>
        <w:t>s</w:t>
      </w:r>
      <w:r w:rsidRPr="007716E8">
        <w:rPr>
          <w:rFonts w:ascii="Arial" w:hAnsi="Arial"/>
          <w:sz w:val="24"/>
          <w:szCs w:val="24"/>
        </w:rPr>
        <w:t xml:space="preserve"> with existing inequalities to worsen mental health outcomes.</w:t>
      </w:r>
    </w:p>
    <w:p w14:paraId="3675638A" w14:textId="77777777" w:rsidR="00BF69BB" w:rsidRPr="007716E8" w:rsidRDefault="00BF69BB" w:rsidP="00BF69BB">
      <w:pPr>
        <w:rPr>
          <w:rFonts w:ascii="Arial" w:hAnsi="Arial"/>
          <w:sz w:val="24"/>
          <w:szCs w:val="24"/>
        </w:rPr>
      </w:pPr>
      <w:r w:rsidRPr="007716E8">
        <w:rPr>
          <w:rFonts w:ascii="Arial" w:hAnsi="Arial"/>
          <w:sz w:val="24"/>
          <w:szCs w:val="24"/>
        </w:rPr>
        <w:t>Statistical evidence further supports the link between financial stress and poor mental health. The Office for National Statistics (2021) reported that young adults who experienced job disruption during the pandemic were significantly more likely to report symptoms of depression. Similarly, Pierce et al. (2020) found that economic stressors were among the strongest predictors of psychological distress in the UK population during COVID-19. These findings are noteworthy because they suggest that mental health impacts were driven not only by fear of the virus but also by the broader economic consequences of public health restrictions.</w:t>
      </w:r>
    </w:p>
    <w:p w14:paraId="50787BE6" w14:textId="77777777" w:rsidR="00BF69BB" w:rsidRPr="007716E8" w:rsidRDefault="00BF69BB" w:rsidP="00BF69BB">
      <w:pPr>
        <w:rPr>
          <w:rFonts w:ascii="Arial" w:hAnsi="Arial"/>
          <w:sz w:val="24"/>
          <w:szCs w:val="24"/>
        </w:rPr>
      </w:pPr>
      <w:r w:rsidRPr="007716E8">
        <w:rPr>
          <w:rFonts w:ascii="Arial" w:hAnsi="Arial"/>
          <w:sz w:val="24"/>
          <w:szCs w:val="24"/>
        </w:rPr>
        <w:t>UK policy responses aimed to reduce financial harm during the pandemic, but their effectiveness for young adults was mixed. Measures such as the Coronavirus Job Retention Scheme (furlough) and Universal Credit uplift provided important financial support for many individuals (HM Government, 2021). However, critics argue that these policies did not fully protect young adults, particularly those in insecure or informal work, students, and those new to the labour market (The King’s Fund, 2023). Delays in accessing benefits and concerns about long-term debt contributed to ongoing stress and anxiety for many young people.</w:t>
      </w:r>
    </w:p>
    <w:p w14:paraId="39360D6F" w14:textId="77777777" w:rsidR="00BF69BB" w:rsidRPr="007716E8" w:rsidRDefault="00BF69BB" w:rsidP="00BF69BB">
      <w:pPr>
        <w:rPr>
          <w:rFonts w:ascii="Arial" w:hAnsi="Arial"/>
          <w:sz w:val="24"/>
          <w:szCs w:val="24"/>
        </w:rPr>
      </w:pPr>
      <w:r w:rsidRPr="007716E8">
        <w:rPr>
          <w:rFonts w:ascii="Arial" w:hAnsi="Arial"/>
          <w:sz w:val="24"/>
          <w:szCs w:val="24"/>
        </w:rPr>
        <w:t>The impact of student-related financial stress was also significant. University closures, online learning, and reduced part-time work opportunities increased financial pressure on students and recent graduates (O’Shea, 2020). Many students reported anxiety about tuition fees, accommodation costs, and future employment prospects, which negatively affected their mental wellbeing (ONS, 2021). This highlights a limitation in policy responses, as student financial support was often inconsistent and varied across institutions and regions.</w:t>
      </w:r>
    </w:p>
    <w:p w14:paraId="69AE1DDC" w14:textId="77777777" w:rsidR="00BF69BB" w:rsidRPr="007716E8" w:rsidRDefault="00BF69BB" w:rsidP="00BF69BB">
      <w:pPr>
        <w:rPr>
          <w:rFonts w:ascii="Arial" w:hAnsi="Arial"/>
          <w:sz w:val="24"/>
          <w:szCs w:val="24"/>
        </w:rPr>
      </w:pPr>
      <w:r w:rsidRPr="007716E8">
        <w:rPr>
          <w:rFonts w:ascii="Arial" w:hAnsi="Arial"/>
          <w:sz w:val="24"/>
          <w:szCs w:val="24"/>
        </w:rPr>
        <w:t xml:space="preserve">Comparisons across studies show broad agreement that financial stress was a key driver of mental health decline among young adults, but there are differences in how long-lasting these effects may be. Some longitudinal studies suggest that mental health improved slightly as employment opportunities returned (Fancourt, Steptoe and </w:t>
      </w:r>
      <w:r w:rsidRPr="007716E8">
        <w:rPr>
          <w:rFonts w:ascii="Arial" w:hAnsi="Arial"/>
          <w:sz w:val="24"/>
          <w:szCs w:val="24"/>
        </w:rPr>
        <w:lastRenderedPageBreak/>
        <w:t>Bu, 2020). However, other research indicates that repeated lockdowns, rising living costs, and ongoing economic uncertainty prevented full recovery, particularly for those already experiencing disadvantage (The Health Foundation, 2023). This suggests that economic precarity may have both short-term and long-term mental health consequences.</w:t>
      </w:r>
    </w:p>
    <w:p w14:paraId="57BC6626" w14:textId="5EA6FA5C" w:rsidR="00BF69BB" w:rsidRPr="007716E8" w:rsidRDefault="00BF69BB" w:rsidP="00BF69BB">
      <w:pPr>
        <w:rPr>
          <w:rFonts w:ascii="Arial" w:hAnsi="Arial"/>
          <w:sz w:val="24"/>
          <w:szCs w:val="24"/>
        </w:rPr>
      </w:pPr>
      <w:r w:rsidRPr="007716E8">
        <w:rPr>
          <w:rFonts w:ascii="Arial" w:hAnsi="Arial"/>
          <w:sz w:val="24"/>
          <w:szCs w:val="24"/>
        </w:rPr>
        <w:t>Resilience theory provides insight into how some young adults managed financial stress more effectively than others. Protective factors included family financial support, savings, flexible employment, and access to social support networks (Chen and Bonanno, 2020)</w:t>
      </w:r>
      <w:r w:rsidR="00CF4AE9" w:rsidRPr="007716E8">
        <w:rPr>
          <w:rFonts w:ascii="Arial" w:hAnsi="Arial"/>
          <w:sz w:val="24"/>
          <w:szCs w:val="24"/>
        </w:rPr>
        <w:t>. S</w:t>
      </w:r>
      <w:r w:rsidRPr="007716E8">
        <w:rPr>
          <w:rFonts w:ascii="Arial" w:hAnsi="Arial"/>
          <w:sz w:val="24"/>
          <w:szCs w:val="24"/>
        </w:rPr>
        <w:t xml:space="preserve">ome young adults adapted by retraining, seeking alternative employment, or reducing expenses. However, reliance on individual resilience has limitations. Marmot et al. (2020) argue that focusing on personal coping strategies risks overlooking the need for structural economic reforms and adequate welfare support. This is particularly relevant in the UK context, where rising living costs and housing insecurity continue to affect young </w:t>
      </w:r>
      <w:proofErr w:type="gramStart"/>
      <w:r w:rsidRPr="007716E8">
        <w:rPr>
          <w:rFonts w:ascii="Arial" w:hAnsi="Arial"/>
          <w:sz w:val="24"/>
          <w:szCs w:val="24"/>
        </w:rPr>
        <w:t>adults</w:t>
      </w:r>
      <w:proofErr w:type="gramEnd"/>
      <w:r w:rsidRPr="007716E8">
        <w:rPr>
          <w:rFonts w:ascii="Arial" w:hAnsi="Arial"/>
          <w:sz w:val="24"/>
          <w:szCs w:val="24"/>
        </w:rPr>
        <w:t xml:space="preserve"> post-pandemic.</w:t>
      </w:r>
    </w:p>
    <w:p w14:paraId="71A7A8DA" w14:textId="77777777" w:rsidR="00BF69BB" w:rsidRPr="007716E8" w:rsidRDefault="00BF69BB" w:rsidP="00BF69BB">
      <w:pPr>
        <w:rPr>
          <w:rFonts w:ascii="Arial" w:hAnsi="Arial"/>
          <w:sz w:val="24"/>
          <w:szCs w:val="24"/>
        </w:rPr>
      </w:pPr>
      <w:r w:rsidRPr="007716E8">
        <w:rPr>
          <w:rFonts w:ascii="Arial" w:hAnsi="Arial"/>
          <w:sz w:val="24"/>
          <w:szCs w:val="24"/>
        </w:rPr>
        <w:t>Economic precarity also overlaps with other themes identified in this dissertation. Financial stress often intensified social isolation, as young adults were unable to participate in social activities or maintain independent living arrangements. It also affected access to mental health services, as stress and anxiety increased demand while services remained under pressure. These interconnections highlight that economic precarity should not be viewed in isolation but as part of a wider set of challenges affecting young adults’ mental health during COVID-19.</w:t>
      </w:r>
    </w:p>
    <w:p w14:paraId="4805A65C" w14:textId="77777777" w:rsidR="00BF69BB" w:rsidRPr="007716E8" w:rsidRDefault="00BF69BB" w:rsidP="00BF69BB">
      <w:pPr>
        <w:rPr>
          <w:rFonts w:ascii="Arial" w:hAnsi="Arial"/>
          <w:sz w:val="24"/>
          <w:szCs w:val="24"/>
        </w:rPr>
      </w:pPr>
      <w:r w:rsidRPr="007716E8">
        <w:rPr>
          <w:rFonts w:ascii="Arial" w:hAnsi="Arial"/>
          <w:sz w:val="24"/>
          <w:szCs w:val="24"/>
        </w:rPr>
        <w:t>Overall, the evidence clearly shows that economic precarity and financial stress played a central role in increasing rates of depression and anxiety among young adults in the UK during the COVID-19 pandemic. This theme directly addresses the research question by demonstrating how job insecurity, income loss, and economic uncertainty contributed to poor mental health outcomes. The findings emphasise the importance of addressing economic inequalities and providing targeted financial and employment support as part of future mental health strategies for young adults.</w:t>
      </w:r>
    </w:p>
    <w:p w14:paraId="1BCBF84F" w14:textId="77777777" w:rsidR="00BF69BB" w:rsidRDefault="00BF69BB" w:rsidP="00BF69BB"/>
    <w:p w14:paraId="0EBB78CA" w14:textId="653C3238" w:rsidR="002865F5" w:rsidRPr="007063BA" w:rsidRDefault="002865F5" w:rsidP="00BF69BB">
      <w:pPr>
        <w:spacing w:before="100" w:beforeAutospacing="1" w:after="100" w:afterAutospacing="1"/>
        <w:jc w:val="left"/>
      </w:pPr>
    </w:p>
    <w:p w14:paraId="3CADB6AC" w14:textId="5A631449" w:rsidR="001C3AF6" w:rsidRDefault="001C3AF6" w:rsidP="003B1E32">
      <w:pPr>
        <w:pStyle w:val="Heading2"/>
      </w:pPr>
      <w:bookmarkStart w:id="30" w:name="_Toc222337925"/>
      <w:r w:rsidRPr="00636D9A">
        <w:lastRenderedPageBreak/>
        <w:t>4.5 – Theme 3</w:t>
      </w:r>
      <w:r w:rsidR="00C06DA2">
        <w:t xml:space="preserve">: </w:t>
      </w:r>
      <w:r w:rsidR="00C06DA2" w:rsidRPr="00C06DA2">
        <w:t>Access to Mental Health Services and Individual Resilience</w:t>
      </w:r>
      <w:r w:rsidRPr="00636D9A">
        <w:t xml:space="preserve"> (900 words approx.)</w:t>
      </w:r>
      <w:bookmarkEnd w:id="30"/>
      <w:r w:rsidRPr="00636D9A">
        <w:t xml:space="preserve"> </w:t>
      </w:r>
    </w:p>
    <w:p w14:paraId="26C0EDA5" w14:textId="085CDD97" w:rsidR="00673E6E" w:rsidRPr="00673E6E" w:rsidRDefault="00673E6E" w:rsidP="00673E6E">
      <w:pPr>
        <w:spacing w:before="100" w:beforeAutospacing="1" w:after="100" w:afterAutospacing="1"/>
        <w:rPr>
          <w:rFonts w:ascii="Arial" w:hAnsi="Arial"/>
        </w:rPr>
      </w:pPr>
      <w:r w:rsidRPr="00673E6E">
        <w:rPr>
          <w:rFonts w:ascii="Arial" w:hAnsi="Arial"/>
        </w:rPr>
        <w:t xml:space="preserve">Access to mental health services and individual resilience were important factors influencing how young adults experienced depression and anxiety during the COVID-19 pandemic. Access to mental health services refers to the availability, affordability, and timeliness of professional support such as counselling, therapy, and psychiatric care (NHS England, 2023). Resilience, in this context, </w:t>
      </w:r>
      <w:r w:rsidR="00CF4AE9">
        <w:rPr>
          <w:rFonts w:ascii="Arial" w:hAnsi="Arial"/>
        </w:rPr>
        <w:t>refers to an individual's ability</w:t>
      </w:r>
      <w:r w:rsidRPr="00673E6E">
        <w:rPr>
          <w:rFonts w:ascii="Arial" w:hAnsi="Arial"/>
        </w:rPr>
        <w:t xml:space="preserve"> to adapt, cope, and recover from stress and adversity (Chen and Bonanno, 2020). During the pandemic, both access to services and levels of resilience played a key role in shaping mental health outcomes for young adults aged 18–30 in the UK.</w:t>
      </w:r>
    </w:p>
    <w:p w14:paraId="526988AA" w14:textId="77777777" w:rsidR="00673E6E" w:rsidRPr="00673E6E" w:rsidRDefault="00673E6E" w:rsidP="00673E6E">
      <w:pPr>
        <w:spacing w:before="100" w:beforeAutospacing="1" w:after="100" w:afterAutospacing="1"/>
        <w:rPr>
          <w:rFonts w:ascii="Arial" w:hAnsi="Arial"/>
        </w:rPr>
      </w:pPr>
      <w:r w:rsidRPr="00673E6E">
        <w:rPr>
          <w:rFonts w:ascii="Arial" w:hAnsi="Arial"/>
        </w:rPr>
        <w:t>Evidence shows that demand for mental health services increased sharply during the pandemic, particularly among young adults. Studies indicate that rates of anxiety and depression rose significantly, leading to higher demand for NHS mental health support (Pierce et al., 2020; WHO, 2022). However, many young adults faced difficulties accessing timely care due to long waiting lists, staff shortages, and service disruption caused by COVID-19 pressures on the NHS (The King’s Fund, 2023). As a result, unmet mental health needs became a serious issue, contributing to worsening symptoms for many individuals.</w:t>
      </w:r>
    </w:p>
    <w:p w14:paraId="35ACC4AA" w14:textId="77777777" w:rsidR="00673E6E" w:rsidRPr="00673E6E" w:rsidRDefault="00673E6E" w:rsidP="00673E6E">
      <w:pPr>
        <w:spacing w:before="100" w:beforeAutospacing="1" w:after="100" w:afterAutospacing="1"/>
        <w:rPr>
          <w:rFonts w:ascii="Arial" w:hAnsi="Arial"/>
        </w:rPr>
      </w:pPr>
      <w:r w:rsidRPr="00673E6E">
        <w:rPr>
          <w:rFonts w:ascii="Arial" w:hAnsi="Arial"/>
        </w:rPr>
        <w:t>Statistical data from NHS Digital (2023) show a marked increase in referrals to NHS Talking Therapies (formerly IAPT) during and after lockdown periods. Despite this rise, waiting times often exceeded recommended limits, particularly for young adults seeking early intervention. The Office for National Statistics (2021) reported that young adults were more likely than older groups to experience symptoms of depression but less likely to receive professional support. This gap between need and access is significant, as delayed treatment is associated with poorer mental health outcomes and increased risk of long-term conditions (Moreno et al., 2020).</w:t>
      </w:r>
    </w:p>
    <w:p w14:paraId="40017E9B" w14:textId="77777777" w:rsidR="00673E6E" w:rsidRPr="00673E6E" w:rsidRDefault="00673E6E" w:rsidP="00673E6E">
      <w:pPr>
        <w:spacing w:before="100" w:beforeAutospacing="1" w:after="100" w:afterAutospacing="1"/>
        <w:rPr>
          <w:rFonts w:ascii="Arial" w:hAnsi="Arial"/>
        </w:rPr>
      </w:pPr>
      <w:r w:rsidRPr="00673E6E">
        <w:rPr>
          <w:rFonts w:ascii="Arial" w:hAnsi="Arial"/>
        </w:rPr>
        <w:t>The stress-vulnerability model helps explain why limited access to mental health services had such a strong impact during the pandemic. According to this model, individuals exposed to high levels of stress are more likely to develop mental health problems when protective supports are unavailable (Hossain et al., 2020). For young adults experiencing social isolation and financial stress, reduced access to professional support increased vulnerability to anxiety and depression. This highlights how service access acted as a protective factor that was weakened during COVID-19, intensifying psychological distress.</w:t>
      </w:r>
    </w:p>
    <w:p w14:paraId="1462D9C7" w14:textId="77777777" w:rsidR="00673E6E" w:rsidRPr="00673E6E" w:rsidRDefault="00673E6E" w:rsidP="00673E6E">
      <w:pPr>
        <w:spacing w:before="100" w:beforeAutospacing="1" w:after="100" w:afterAutospacing="1"/>
        <w:rPr>
          <w:rFonts w:ascii="Arial" w:hAnsi="Arial"/>
        </w:rPr>
      </w:pPr>
      <w:r w:rsidRPr="00673E6E">
        <w:rPr>
          <w:rFonts w:ascii="Arial" w:hAnsi="Arial"/>
        </w:rPr>
        <w:lastRenderedPageBreak/>
        <w:t xml:space="preserve">From a </w:t>
      </w:r>
      <w:proofErr w:type="gramStart"/>
      <w:r w:rsidRPr="00673E6E">
        <w:rPr>
          <w:rFonts w:ascii="Arial" w:hAnsi="Arial"/>
        </w:rPr>
        <w:t>social determinants of health perspective</w:t>
      </w:r>
      <w:proofErr w:type="gramEnd"/>
      <w:r w:rsidRPr="00673E6E">
        <w:rPr>
          <w:rFonts w:ascii="Arial" w:hAnsi="Arial"/>
        </w:rPr>
        <w:t>, access to mental health services was shaped by wider inequalities. Marmot and Allen (2020) emphasise that health outcomes are influenced by socioeconomic status, location, and access to resources. Young adults from disadvantaged backgrounds often faced additional barriers, such as digital exclusion, lack of private space for online therapy, or limited awareness of available services (The Health Foundation, 2022). These barriers meant that those most at risk of poor mental health were often the least able to access support, widening existing inequalities.</w:t>
      </w:r>
    </w:p>
    <w:p w14:paraId="2F495620" w14:textId="2EEBBC97" w:rsidR="00673E6E" w:rsidRPr="00673E6E" w:rsidRDefault="00673E6E" w:rsidP="00673E6E">
      <w:pPr>
        <w:spacing w:before="100" w:beforeAutospacing="1" w:after="100" w:afterAutospacing="1"/>
        <w:rPr>
          <w:rFonts w:ascii="Arial" w:hAnsi="Arial"/>
        </w:rPr>
      </w:pPr>
      <w:r w:rsidRPr="00673E6E">
        <w:rPr>
          <w:rFonts w:ascii="Arial" w:hAnsi="Arial"/>
        </w:rPr>
        <w:t>UK mental health policy aimed to address increased demand during the pandemic, but evidence suggests that responses were largely reactive. The NHS Long Term Plan committed to expanding mental health services and improving access for young people, including increased investment in talking therapies (NHS England, 2019; NHS England, 2023). During COVID-19, additional funding was allocated to helplines, crisis services, and digital mental health support. While these measures provided some relief</w:t>
      </w:r>
      <w:r w:rsidR="00CF4AE9">
        <w:rPr>
          <w:rFonts w:ascii="Arial" w:hAnsi="Arial"/>
        </w:rPr>
        <w:t xml:space="preserve"> (</w:t>
      </w:r>
      <w:r w:rsidR="001D0389" w:rsidRPr="001D0389">
        <w:rPr>
          <w:rFonts w:ascii="Arial" w:hAnsi="Arial"/>
        </w:rPr>
        <w:t>Gilburt</w:t>
      </w:r>
      <w:r w:rsidR="00CF4AE9">
        <w:rPr>
          <w:rFonts w:ascii="Arial" w:hAnsi="Arial"/>
        </w:rPr>
        <w:t xml:space="preserve">, </w:t>
      </w:r>
      <w:r w:rsidR="001D0389" w:rsidRPr="001D0389">
        <w:rPr>
          <w:rFonts w:ascii="Arial" w:hAnsi="Arial"/>
        </w:rPr>
        <w:t>2020)</w:t>
      </w:r>
      <w:r w:rsidR="00CF4AE9">
        <w:rPr>
          <w:rFonts w:ascii="Arial" w:hAnsi="Arial"/>
        </w:rPr>
        <w:t xml:space="preserve"> </w:t>
      </w:r>
      <w:r w:rsidRPr="00673E6E">
        <w:rPr>
          <w:rFonts w:ascii="Arial" w:hAnsi="Arial"/>
        </w:rPr>
        <w:t>argues that workforce shortages and regional variation limited their effectiveness, particularly for young adults seeking non-crisis support.</w:t>
      </w:r>
    </w:p>
    <w:p w14:paraId="2B79D142" w14:textId="24AEB1F1" w:rsidR="00673E6E" w:rsidRPr="00673E6E" w:rsidRDefault="00673E6E" w:rsidP="00673E6E">
      <w:pPr>
        <w:spacing w:before="100" w:beforeAutospacing="1" w:after="100" w:afterAutospacing="1"/>
        <w:rPr>
          <w:rFonts w:ascii="Arial" w:hAnsi="Arial"/>
        </w:rPr>
      </w:pPr>
      <w:r w:rsidRPr="00673E6E">
        <w:rPr>
          <w:rFonts w:ascii="Arial" w:hAnsi="Arial"/>
        </w:rPr>
        <w:t xml:space="preserve">Digital mental health services became more common during the pandemic and were often promoted as a solution to access problems. Online therapy, telephone counselling, and mental health apps increased </w:t>
      </w:r>
      <w:r w:rsidR="00CF4AE9">
        <w:rPr>
          <w:rFonts w:ascii="Arial" w:hAnsi="Arial"/>
        </w:rPr>
        <w:t xml:space="preserve">the </w:t>
      </w:r>
      <w:r w:rsidRPr="00673E6E">
        <w:rPr>
          <w:rFonts w:ascii="Arial" w:hAnsi="Arial"/>
        </w:rPr>
        <w:t>availability of support while face-to-face services were restricted (Moreno et al., 2020). Some studies suggest that digital services improved access for certain groups, especially those comfortable with technology (Kunzler et al., 2020). However, other research highlights limitations, including reduced therapeutic quality, lack of privacy, and exclusion of individuals without reliable internet access (Health Foundation, 2022). These findings show that digital solutions alone cannot address access inequalities.</w:t>
      </w:r>
    </w:p>
    <w:p w14:paraId="7B5D9D53" w14:textId="125D64EC" w:rsidR="00673E6E" w:rsidRPr="00673E6E" w:rsidRDefault="00673E6E" w:rsidP="00673E6E">
      <w:pPr>
        <w:spacing w:before="100" w:beforeAutospacing="1" w:after="100" w:afterAutospacing="1"/>
        <w:rPr>
          <w:rFonts w:ascii="Arial" w:hAnsi="Arial"/>
        </w:rPr>
      </w:pPr>
      <w:r w:rsidRPr="00673E6E">
        <w:rPr>
          <w:rFonts w:ascii="Arial" w:hAnsi="Arial"/>
        </w:rPr>
        <w:t xml:space="preserve">Resilience theory offers insight into how some young adults were able to manage mental health challenges despite </w:t>
      </w:r>
      <w:proofErr w:type="gramStart"/>
      <w:r w:rsidRPr="00673E6E">
        <w:rPr>
          <w:rFonts w:ascii="Arial" w:hAnsi="Arial"/>
        </w:rPr>
        <w:t>limited service</w:t>
      </w:r>
      <w:proofErr w:type="gramEnd"/>
      <w:r w:rsidRPr="00673E6E">
        <w:rPr>
          <w:rFonts w:ascii="Arial" w:hAnsi="Arial"/>
        </w:rPr>
        <w:t xml:space="preserve"> access. Protective factors included strong family relationships, peer support, routine, physical activity, and engagement in meaningful activities (Chen and Bonanno, 2020). Some young adults developed coping strategies</w:t>
      </w:r>
      <w:r w:rsidR="00CF4AE9">
        <w:rPr>
          <w:rFonts w:ascii="Arial" w:hAnsi="Arial"/>
        </w:rPr>
        <w:t>, such as mindfulness, exercise, and creative activities, which helped reduce anxiety and improve emotional well-</w:t>
      </w:r>
      <w:r w:rsidRPr="00673E6E">
        <w:rPr>
          <w:rFonts w:ascii="Arial" w:hAnsi="Arial"/>
        </w:rPr>
        <w:t>being (Shanahan et al., 2020). Community-based and voluntary organisations also played a role by offering peer support groups and online resources, particularly when statutory services were difficult to access (O’Shea, 2020).</w:t>
      </w:r>
    </w:p>
    <w:p w14:paraId="51697CE0" w14:textId="182D1ACF" w:rsidR="00673E6E" w:rsidRPr="00673E6E" w:rsidRDefault="00673E6E" w:rsidP="00673E6E">
      <w:pPr>
        <w:spacing w:before="100" w:beforeAutospacing="1" w:after="100" w:afterAutospacing="1"/>
        <w:rPr>
          <w:rFonts w:ascii="Arial" w:hAnsi="Arial"/>
        </w:rPr>
      </w:pPr>
      <w:r w:rsidRPr="00673E6E">
        <w:rPr>
          <w:rFonts w:ascii="Arial" w:hAnsi="Arial"/>
        </w:rPr>
        <w:t xml:space="preserve">However, an overemphasis on resilience has been criticised. While individual coping strategies are important, Marmot et al. (2020) argue that focusing too heavily on resilience risks shifting responsibility away from health systems and policymakers. Young adults should </w:t>
      </w:r>
      <w:r w:rsidRPr="00673E6E">
        <w:rPr>
          <w:rFonts w:ascii="Arial" w:hAnsi="Arial"/>
        </w:rPr>
        <w:lastRenderedPageBreak/>
        <w:t>not be expected to cope alone with widespread structural challenges</w:t>
      </w:r>
      <w:r w:rsidR="00CF4AE9">
        <w:rPr>
          <w:rFonts w:ascii="Arial" w:hAnsi="Arial"/>
        </w:rPr>
        <w:t>, such as underfunded services</w:t>
      </w:r>
      <w:r w:rsidRPr="00673E6E">
        <w:rPr>
          <w:rFonts w:ascii="Arial" w:hAnsi="Arial"/>
        </w:rPr>
        <w:t xml:space="preserve"> and long waiting times. This critique is important for the research question, as it highlights the need for both individual-level and system-level responses to rising depression and anxiety.</w:t>
      </w:r>
    </w:p>
    <w:p w14:paraId="56E883CD" w14:textId="77777777" w:rsidR="00673E6E" w:rsidRPr="00673E6E" w:rsidRDefault="00673E6E" w:rsidP="00673E6E">
      <w:pPr>
        <w:spacing w:before="100" w:beforeAutospacing="1" w:after="100" w:afterAutospacing="1"/>
        <w:rPr>
          <w:rFonts w:ascii="Arial" w:hAnsi="Arial"/>
        </w:rPr>
      </w:pPr>
      <w:r w:rsidRPr="00673E6E">
        <w:rPr>
          <w:rFonts w:ascii="Arial" w:hAnsi="Arial"/>
        </w:rPr>
        <w:t>Comparisons across studies show general agreement that access to timely mental health support improves outcomes, but evidence also points to variation in effectiveness. Some longitudinal research suggests that young adults who accessed early support showed improvements in anxiety and depression over time (Fancourt, Steptoe and Bu, 2020). In contrast, those who experienced delays or relied solely on informal coping strategies often reported persistent distress (Pierce et al., 2020). These differences underline the importance of accessible, high-quality services alongside resilience-building measures.</w:t>
      </w:r>
    </w:p>
    <w:p w14:paraId="311534ED" w14:textId="77777777" w:rsidR="00673E6E" w:rsidRPr="00673E6E" w:rsidRDefault="00673E6E" w:rsidP="00673E6E">
      <w:pPr>
        <w:spacing w:before="100" w:beforeAutospacing="1" w:after="100" w:afterAutospacing="1"/>
        <w:rPr>
          <w:rFonts w:ascii="Arial" w:hAnsi="Arial"/>
        </w:rPr>
      </w:pPr>
      <w:r w:rsidRPr="00673E6E">
        <w:rPr>
          <w:rFonts w:ascii="Arial" w:hAnsi="Arial"/>
        </w:rPr>
        <w:t>This theme is closely connected to the other themes discussed in this chapter. Limited access to mental health services often intensified the effects of social isolation, as young adults lacked professional support during periods of loneliness. Financial stress also acted as a barrier, as concerns about affordability or eligibility discouraged some individuals from seeking help. These interconnections show that access to services, social isolation, and economic precarity worked together to shape mental health outcomes during the pandemic.</w:t>
      </w:r>
    </w:p>
    <w:p w14:paraId="159C3FB1" w14:textId="77777777" w:rsidR="00673E6E" w:rsidRPr="00673E6E" w:rsidRDefault="00673E6E" w:rsidP="00673E6E">
      <w:pPr>
        <w:spacing w:before="100" w:beforeAutospacing="1" w:after="100" w:afterAutospacing="1"/>
      </w:pPr>
      <w:r w:rsidRPr="00673E6E">
        <w:rPr>
          <w:rFonts w:ascii="Arial" w:hAnsi="Arial"/>
        </w:rPr>
        <w:t>Overall, the evidence demonstrates that access to mental health services and resilience were crucial in determining how young adults experienced depression and anxiety during COVID-19. Difficulties accessing timely support contributed to worsening mental health, while resilience and informal support helped some individuals cope. This theme directly addresses the research question by showing that the pandemic affected mental health not only through increased stressors but also through weakened support systems. The findings highlight the need for long-term investment in accessible mental health services and balanced approaches that support both individual resilience and structural change.</w:t>
      </w:r>
    </w:p>
    <w:p w14:paraId="1DF5A2D3" w14:textId="5A124CA3" w:rsidR="002865F5" w:rsidRPr="007063BA" w:rsidRDefault="002865F5" w:rsidP="00673E6E">
      <w:pPr>
        <w:spacing w:before="100" w:beforeAutospacing="1" w:after="100" w:afterAutospacing="1"/>
        <w:jc w:val="left"/>
      </w:pPr>
    </w:p>
    <w:p w14:paraId="0B7345EE" w14:textId="77777777" w:rsidR="001C3AF6" w:rsidRDefault="001C3AF6" w:rsidP="003B1E32">
      <w:pPr>
        <w:pStyle w:val="Heading2"/>
      </w:pPr>
      <w:bookmarkStart w:id="31" w:name="_Toc222337926"/>
      <w:r w:rsidRPr="00636D9A">
        <w:t>4.6 – Chapter Conclusion (200 words approx.)</w:t>
      </w:r>
      <w:bookmarkEnd w:id="31"/>
      <w:r w:rsidRPr="00636D9A">
        <w:t xml:space="preserve"> </w:t>
      </w:r>
    </w:p>
    <w:p w14:paraId="262F5D7C" w14:textId="77777777" w:rsidR="00636D9A" w:rsidRPr="00636D9A" w:rsidRDefault="00636D9A" w:rsidP="001C3AF6">
      <w:pPr>
        <w:pStyle w:val="Heading1"/>
        <w:rPr>
          <w:rFonts w:ascii="Aptos" w:hAnsi="Aptos"/>
          <w:sz w:val="28"/>
          <w:szCs w:val="28"/>
        </w:rPr>
      </w:pPr>
    </w:p>
    <w:p w14:paraId="2C58E7F6" w14:textId="77777777" w:rsidR="00673E6E" w:rsidRPr="00673E6E" w:rsidRDefault="00673E6E" w:rsidP="00673E6E">
      <w:pPr>
        <w:rPr>
          <w:rFonts w:ascii="Arial" w:hAnsi="Arial"/>
        </w:rPr>
      </w:pPr>
      <w:r w:rsidRPr="00673E6E">
        <w:rPr>
          <w:rFonts w:ascii="Arial" w:hAnsi="Arial"/>
        </w:rPr>
        <w:t xml:space="preserve">This chapter has presented and discussed the key findings on how the COVID-19 pandemic affected rates of depression and anxiety among young adults aged 18–30 in the UK. Using a thematic analysis approach, three main themes were explored: social isolation, economic precarity and financial stress, and access to mental health services alongside resilience. </w:t>
      </w:r>
      <w:r w:rsidRPr="00673E6E">
        <w:rPr>
          <w:rFonts w:ascii="Arial" w:hAnsi="Arial"/>
        </w:rPr>
        <w:lastRenderedPageBreak/>
        <w:t>Together, these themes show that young adults experienced multiple and overlapping challenges during the pandemic, which significantly affected their mental wellbeing.</w:t>
      </w:r>
    </w:p>
    <w:p w14:paraId="69C781FC" w14:textId="77777777" w:rsidR="00673E6E" w:rsidRPr="00673E6E" w:rsidRDefault="00673E6E" w:rsidP="00673E6E">
      <w:pPr>
        <w:rPr>
          <w:rFonts w:ascii="Arial" w:hAnsi="Arial"/>
        </w:rPr>
      </w:pPr>
      <w:r w:rsidRPr="00673E6E">
        <w:rPr>
          <w:rFonts w:ascii="Arial" w:hAnsi="Arial"/>
        </w:rPr>
        <w:t>The findings highlighted that social isolation disrupted relationships and emotional support, economic insecurity increased stress and uncertainty, and difficulties accessing timely mental health services left many young adults without adequate professional support. The discussion also showed that existing inequalities and individual vulnerabilities increased the risk of poor mental health outcomes. While resilience and informal support helped some young adults cope, these strategies were not sufficient on their own and could not replace accessible and well-resourced services.</w:t>
      </w:r>
    </w:p>
    <w:p w14:paraId="25D2948A" w14:textId="275B24D8" w:rsidR="00673E6E" w:rsidRPr="00673E6E" w:rsidRDefault="00673E6E" w:rsidP="00673E6E">
      <w:pPr>
        <w:rPr>
          <w:rFonts w:ascii="Arial" w:hAnsi="Arial"/>
        </w:rPr>
      </w:pPr>
      <w:r w:rsidRPr="00673E6E">
        <w:rPr>
          <w:rFonts w:ascii="Arial" w:hAnsi="Arial"/>
        </w:rPr>
        <w:t xml:space="preserve">Overall, this chapter directly addressed the research question by demonstrating that the pandemic influenced young adults’ mental health through both increased stressors and weakened support systems. The following chapter will build on these findings by drawing overall conclusions and providing evidence-based recommendations </w:t>
      </w:r>
      <w:r w:rsidR="00CF4AE9">
        <w:rPr>
          <w:rFonts w:ascii="Arial" w:hAnsi="Arial"/>
        </w:rPr>
        <w:t>to improve mental health policy and practice and</w:t>
      </w:r>
      <w:r w:rsidRPr="00673E6E">
        <w:rPr>
          <w:rFonts w:ascii="Arial" w:hAnsi="Arial"/>
        </w:rPr>
        <w:t xml:space="preserve"> better support young adults in the future.</w:t>
      </w:r>
    </w:p>
    <w:p w14:paraId="519EB35A" w14:textId="5350B043" w:rsidR="00636D9A" w:rsidRPr="00636D9A" w:rsidRDefault="00636D9A" w:rsidP="00636D9A">
      <w:pPr>
        <w:pStyle w:val="Heading1"/>
        <w:ind w:left="0"/>
        <w:rPr>
          <w:rFonts w:ascii="Aptos" w:hAnsi="Aptos"/>
        </w:rPr>
      </w:pPr>
      <w:bookmarkStart w:id="32" w:name="_Toc222337927"/>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bookmarkEnd w:id="32"/>
    </w:p>
    <w:p w14:paraId="5053749D" w14:textId="77777777" w:rsidR="00636D9A" w:rsidRPr="005C5E80" w:rsidRDefault="00636D9A" w:rsidP="00636D9A"/>
    <w:p w14:paraId="2C633CBA" w14:textId="01C17027" w:rsidR="00636D9A" w:rsidRPr="005C5E80" w:rsidRDefault="00636D9A" w:rsidP="003B1E32">
      <w:pPr>
        <w:pStyle w:val="Heading2"/>
      </w:pPr>
      <w:bookmarkStart w:id="33" w:name="_Toc222337928"/>
      <w:r w:rsidRPr="005C5E80">
        <w:t>5.1 – Overall Conclusion (200 words approx.)</w:t>
      </w:r>
      <w:bookmarkEnd w:id="33"/>
      <w:r w:rsidRPr="005C5E80">
        <w:t xml:space="preserve"> </w:t>
      </w:r>
    </w:p>
    <w:p w14:paraId="3628F6DF" w14:textId="77777777" w:rsidR="00292A36" w:rsidRDefault="00292A36"/>
    <w:p w14:paraId="425826EE" w14:textId="77777777" w:rsidR="00DD60C4" w:rsidRPr="00DD60C4" w:rsidRDefault="00DD60C4" w:rsidP="00DD60C4">
      <w:pPr>
        <w:rPr>
          <w:rFonts w:ascii="Arial" w:hAnsi="Arial"/>
        </w:rPr>
      </w:pPr>
      <w:r w:rsidRPr="00DD60C4">
        <w:rPr>
          <w:rFonts w:ascii="Arial" w:hAnsi="Arial"/>
        </w:rPr>
        <w:t>This dissertation set out to examine how the COVID-19 pandemic affected rates of depression and anxiety among young adults aged 18–30 in the UK. The aim and objectives outlined in Chapter 1 have been met through a structured review and thematic analysis of recent literature. Chapter 2 provided the historical, theoretical, and policy context, highlighting how mental health inequalities existed before the pandemic and were intensified by COVID-19. Chapter 3 explained the research methodology and justified the use of a desk-based literature review and thematic analysis. Chapter 4 presented and discussed the findings, identifying three key themes: social isolation, economic precarity and financial stress, and access to mental health services alongside resilience.</w:t>
      </w:r>
    </w:p>
    <w:p w14:paraId="4ADA58BE" w14:textId="77777777" w:rsidR="00DD60C4" w:rsidRPr="00DD60C4" w:rsidRDefault="00DD60C4" w:rsidP="00DD60C4">
      <w:pPr>
        <w:rPr>
          <w:rFonts w:ascii="Arial" w:hAnsi="Arial"/>
        </w:rPr>
      </w:pPr>
      <w:r w:rsidRPr="00DD60C4">
        <w:rPr>
          <w:rFonts w:ascii="Arial" w:hAnsi="Arial"/>
        </w:rPr>
        <w:t>The findings showed that young adults experienced a significant decline in mental wellbeing during the pandemic. Social isolation disrupted relationships and emotional support, financial insecurity increased stress and uncertainty, and limited access to mental health services left many young adults without timely support. These factors often overlapped, increasing vulnerability to depression and anxiety. Although resilience and informal coping strategies helped some individuals, they were not sufficient to address widespread mental health needs.</w:t>
      </w:r>
    </w:p>
    <w:p w14:paraId="358B5A86" w14:textId="77777777" w:rsidR="00DD60C4" w:rsidRPr="00DD60C4" w:rsidRDefault="00DD60C4" w:rsidP="00DD60C4">
      <w:pPr>
        <w:rPr>
          <w:rFonts w:ascii="Arial" w:hAnsi="Arial"/>
        </w:rPr>
      </w:pPr>
      <w:r w:rsidRPr="00DD60C4">
        <w:rPr>
          <w:rFonts w:ascii="Arial" w:hAnsi="Arial"/>
        </w:rPr>
        <w:lastRenderedPageBreak/>
        <w:t>Overall, the dissertation concludes that the COVID-19 pandemic had a substantial and lasting impact on young adults’ mental health in the UK. The final section provides practical, evidence-based recommendations to improve future mental health support, policy, and practice for young adults.</w:t>
      </w:r>
    </w:p>
    <w:p w14:paraId="0AA56080" w14:textId="77777777" w:rsidR="003B1E32" w:rsidRPr="005C5E80" w:rsidRDefault="003B1E32" w:rsidP="005C5E80"/>
    <w:p w14:paraId="48005ABF" w14:textId="289F3FE6" w:rsidR="00636D9A" w:rsidRPr="005C5E80" w:rsidRDefault="00636D9A" w:rsidP="003B1E32">
      <w:pPr>
        <w:pStyle w:val="Heading2"/>
      </w:pPr>
      <w:bookmarkStart w:id="34" w:name="_Toc222337929"/>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00 words approx.)</w:t>
      </w:r>
      <w:bookmarkEnd w:id="34"/>
      <w:r w:rsidRPr="005C5E80">
        <w:t xml:space="preserve"> </w:t>
      </w:r>
    </w:p>
    <w:p w14:paraId="6599D6CF" w14:textId="77777777" w:rsidR="005C5E80" w:rsidRPr="005C5E80" w:rsidRDefault="005C5E80" w:rsidP="005C5E80"/>
    <w:p w14:paraId="47C6B417" w14:textId="04E9BE95" w:rsidR="00DD60C4" w:rsidRDefault="005C5E80" w:rsidP="00DD60C4">
      <w:pPr>
        <w:pStyle w:val="Heading1"/>
        <w:rPr>
          <w:bCs/>
        </w:rPr>
      </w:pPr>
      <w:bookmarkStart w:id="35" w:name="_Toc222337930"/>
      <w:r w:rsidRPr="005C5E80">
        <w:rPr>
          <w:rFonts w:ascii="Aptos" w:hAnsi="Aptos"/>
          <w:sz w:val="28"/>
          <w:szCs w:val="28"/>
        </w:rPr>
        <w:t xml:space="preserve">5.2.1 – Recommendation </w:t>
      </w:r>
      <w:proofErr w:type="gramStart"/>
      <w:r w:rsidRPr="005C5E80">
        <w:rPr>
          <w:rFonts w:ascii="Aptos" w:hAnsi="Aptos"/>
          <w:sz w:val="28"/>
          <w:szCs w:val="28"/>
        </w:rPr>
        <w:t xml:space="preserve">1 </w:t>
      </w:r>
      <w:r w:rsidR="00DD60C4">
        <w:rPr>
          <w:rFonts w:ascii="Aptos" w:hAnsi="Aptos"/>
          <w:sz w:val="28"/>
          <w:szCs w:val="28"/>
        </w:rPr>
        <w:t>:</w:t>
      </w:r>
      <w:proofErr w:type="gramEnd"/>
      <w:r w:rsidR="00DD60C4">
        <w:rPr>
          <w:rFonts w:ascii="Aptos" w:hAnsi="Aptos"/>
          <w:sz w:val="28"/>
          <w:szCs w:val="28"/>
        </w:rPr>
        <w:t xml:space="preserve"> </w:t>
      </w:r>
      <w:r w:rsidR="00DD60C4" w:rsidRPr="00DD60C4">
        <w:rPr>
          <w:rFonts w:ascii="Aptos" w:hAnsi="Aptos"/>
          <w:sz w:val="28"/>
          <w:szCs w:val="28"/>
        </w:rPr>
        <w:t>Improve Access to Early and Timely Mental Health Support for Young Adults</w:t>
      </w:r>
      <w:bookmarkEnd w:id="35"/>
    </w:p>
    <w:p w14:paraId="50098F8E" w14:textId="77777777" w:rsidR="00DD60C4" w:rsidRPr="00DD60C4" w:rsidRDefault="00DD60C4" w:rsidP="00DD60C4">
      <w:pPr>
        <w:pStyle w:val="Heading1"/>
        <w:rPr>
          <w:rFonts w:ascii="Aptos" w:hAnsi="Aptos"/>
          <w:sz w:val="28"/>
          <w:szCs w:val="28"/>
        </w:rPr>
      </w:pPr>
    </w:p>
    <w:p w14:paraId="2CF7B1C5" w14:textId="77777777" w:rsidR="00DD60C4" w:rsidRPr="00DD60C4" w:rsidRDefault="00DD60C4" w:rsidP="00DD60C4">
      <w:r w:rsidRPr="00DD60C4">
        <w:t>One key recommendation is to improve early access to mental health services for young adults, particularly through NHS Talking Therapies and community-based support. The findings showed that many young adults experienced long waiting times and difficulty accessing timely care during the pandemic, which worsened symptoms of depression and anxiety (Pierce et al., 2020; NHS Digital, 2023). Early intervention is known to improve mental health outcomes and reduce the risk of long-term conditions (Moreno et al., 2020).</w:t>
      </w:r>
    </w:p>
    <w:p w14:paraId="356B9D1F" w14:textId="77777777" w:rsidR="00DD60C4" w:rsidRPr="00DD60C4" w:rsidRDefault="00DD60C4" w:rsidP="00DD60C4">
      <w:r w:rsidRPr="00DD60C4">
        <w:t>In practice, this recommendation could be achieved by increasing funding for NHS Talking Therapies, expanding the mental health workforce, and prioritising young adults as a high-risk group. Universities, colleges, and workplaces could also work more closely with local NHS services to provide clear referral pathways and mental health screening. This approach aligns with the NHS Long Term Plan, which aims to expand access to mental health care for young people (NHS England, 2023).</w:t>
      </w:r>
    </w:p>
    <w:p w14:paraId="7C777DD5" w14:textId="41C0CA0D" w:rsidR="00DD60C4" w:rsidRPr="00DD60C4" w:rsidRDefault="00DD60C4" w:rsidP="00DD60C4">
      <w:r w:rsidRPr="00DD60C4">
        <w:t>However, barriers include staff shortages, limited funding, and regional variation in service provision (The King’s Fund, 2023). To overcome these challenges, investment in training mental health professionals and using supervised digital support alongside face-to-face care may help reduce pressure on services. Improving access to early support would help prevent mental health problems from becoming more severe and long</w:t>
      </w:r>
      <w:r w:rsidR="00CF4AE9">
        <w:t>-</w:t>
      </w:r>
      <w:r w:rsidRPr="00DD60C4">
        <w:t>lasting.</w:t>
      </w:r>
    </w:p>
    <w:p w14:paraId="309903FE" w14:textId="77777777" w:rsidR="00DD60C4" w:rsidRPr="005C5E80" w:rsidRDefault="00DD60C4" w:rsidP="00DD60C4"/>
    <w:p w14:paraId="4263DD9E" w14:textId="77777777" w:rsidR="005C5E80" w:rsidRPr="005C5E80" w:rsidRDefault="005C5E80" w:rsidP="00DD60C4"/>
    <w:p w14:paraId="496FB837" w14:textId="1C1430E3" w:rsidR="00AC6416" w:rsidRDefault="005C5E80" w:rsidP="005C5E80">
      <w:pPr>
        <w:pStyle w:val="Heading1"/>
        <w:rPr>
          <w:rFonts w:ascii="Aptos" w:hAnsi="Aptos"/>
          <w:sz w:val="28"/>
          <w:szCs w:val="28"/>
        </w:rPr>
      </w:pPr>
      <w:bookmarkStart w:id="36" w:name="_Toc222337931"/>
      <w:r w:rsidRPr="005C5E80">
        <w:rPr>
          <w:rFonts w:ascii="Aptos" w:hAnsi="Aptos"/>
          <w:sz w:val="28"/>
          <w:szCs w:val="28"/>
        </w:rPr>
        <w:t>5.2.2 – Recommendation 2</w:t>
      </w:r>
      <w:r w:rsidR="00AC6416" w:rsidRPr="00AC6416">
        <w:rPr>
          <w:rFonts w:ascii="Aptos" w:hAnsi="Aptos"/>
          <w:sz w:val="28"/>
          <w:szCs w:val="28"/>
        </w:rPr>
        <w:t>: Address Social and Economic Inequalities Affecting Young Adults’ Mental Health</w:t>
      </w:r>
      <w:bookmarkEnd w:id="36"/>
    </w:p>
    <w:p w14:paraId="4A05EA2A" w14:textId="77777777" w:rsidR="00AC6416" w:rsidRPr="00AC6416" w:rsidRDefault="00AC6416" w:rsidP="00AC6416">
      <w:pPr>
        <w:rPr>
          <w:rFonts w:ascii="Arial" w:hAnsi="Arial"/>
        </w:rPr>
      </w:pPr>
      <w:r w:rsidRPr="00AC6416">
        <w:rPr>
          <w:rFonts w:ascii="Arial" w:hAnsi="Arial"/>
        </w:rPr>
        <w:lastRenderedPageBreak/>
        <w:t>A second recommendation is to address the wider social and economic inequalities that contributed to poor mental health during the pandemic. The findings demonstrated that financial stress, insecure employment, and housing instability were strongly linked to increased anxiety and depression among young adults (Banks and Xu, 2020; Marmot and Allen, 2020). These issues are social determinants of health and cannot be resolved by mental health services alone.</w:t>
      </w:r>
    </w:p>
    <w:p w14:paraId="5FF5285E" w14:textId="77777777" w:rsidR="00AC6416" w:rsidRPr="00AC6416" w:rsidRDefault="00AC6416" w:rsidP="00AC6416">
      <w:pPr>
        <w:rPr>
          <w:rFonts w:ascii="Arial" w:hAnsi="Arial"/>
        </w:rPr>
      </w:pPr>
      <w:r w:rsidRPr="00AC6416">
        <w:rPr>
          <w:rFonts w:ascii="Arial" w:hAnsi="Arial"/>
        </w:rPr>
        <w:t>In practice, this recommendation involves coordinated action across health, education, employment, and housing sectors. Policies that support secure employment, fair wages, affordable housing, and financial protection for students and early-career workers would help reduce mental health risks. For example, improved support for young people entering the labour market and stronger protections for those in insecure work could reduce economic stress (Health Foundation, 2023).</w:t>
      </w:r>
    </w:p>
    <w:p w14:paraId="5B1A998E" w14:textId="77777777" w:rsidR="00AC6416" w:rsidRPr="00AC6416" w:rsidRDefault="00AC6416" w:rsidP="00AC6416">
      <w:pPr>
        <w:rPr>
          <w:rFonts w:ascii="Arial" w:hAnsi="Arial"/>
        </w:rPr>
      </w:pPr>
      <w:r w:rsidRPr="00AC6416">
        <w:rPr>
          <w:rFonts w:ascii="Arial" w:hAnsi="Arial"/>
        </w:rPr>
        <w:t>A key limitation is that economic reform requires long-term political commitment and funding, which may be difficult during periods of financial constraint. However, evidence suggests that reducing inequality leads to better mental health outcomes and lower demand on health services in the long term (Marmot et al., 2020). Addressing these structural factors would help prevent future mental health crises among young adults.</w:t>
      </w:r>
    </w:p>
    <w:p w14:paraId="1019826B" w14:textId="600F63AC" w:rsidR="005C5E80" w:rsidRPr="005C5E80" w:rsidRDefault="005C5E80" w:rsidP="00AC6416">
      <w:r w:rsidRPr="005C5E80">
        <w:t xml:space="preserve"> </w:t>
      </w:r>
    </w:p>
    <w:p w14:paraId="1F80D6A6" w14:textId="77777777" w:rsidR="005C5E80" w:rsidRPr="005C5E80" w:rsidRDefault="005C5E80" w:rsidP="005C5E80">
      <w:pPr>
        <w:pStyle w:val="Heading1"/>
        <w:rPr>
          <w:rFonts w:ascii="Aptos" w:hAnsi="Aptos"/>
          <w:sz w:val="28"/>
          <w:szCs w:val="28"/>
        </w:rPr>
      </w:pPr>
    </w:p>
    <w:p w14:paraId="43BDAF12" w14:textId="4DA437FA" w:rsidR="00AC6416" w:rsidRDefault="005C5E80" w:rsidP="005C5E80">
      <w:pPr>
        <w:pStyle w:val="Heading1"/>
        <w:rPr>
          <w:rFonts w:ascii="Aptos" w:hAnsi="Aptos"/>
          <w:sz w:val="28"/>
          <w:szCs w:val="28"/>
        </w:rPr>
      </w:pPr>
      <w:bookmarkStart w:id="37" w:name="_Toc222337932"/>
      <w:r w:rsidRPr="005C5E80">
        <w:rPr>
          <w:rFonts w:ascii="Aptos" w:hAnsi="Aptos"/>
          <w:sz w:val="28"/>
          <w:szCs w:val="28"/>
        </w:rPr>
        <w:t>5.2.3 – Recommendation 3</w:t>
      </w:r>
      <w:r w:rsidR="00AC6416" w:rsidRPr="00AC6416">
        <w:rPr>
          <w:rFonts w:ascii="Aptos" w:hAnsi="Aptos"/>
          <w:sz w:val="28"/>
          <w:szCs w:val="28"/>
        </w:rPr>
        <w:t>: Strengthen Resilience Through Community, Education, and Digital Support (Alongside Professional Care)</w:t>
      </w:r>
      <w:bookmarkEnd w:id="37"/>
    </w:p>
    <w:p w14:paraId="6C771FF1" w14:textId="77777777" w:rsidR="00AC6416" w:rsidRDefault="00AC6416" w:rsidP="00AC6416">
      <w:pPr>
        <w:rPr>
          <w:rFonts w:ascii="Arial" w:hAnsi="Arial"/>
        </w:rPr>
      </w:pPr>
    </w:p>
    <w:p w14:paraId="202A6D00" w14:textId="0C4C76D2" w:rsidR="00AC6416" w:rsidRPr="00AC6416" w:rsidRDefault="00AC6416" w:rsidP="00AC6416">
      <w:pPr>
        <w:rPr>
          <w:rFonts w:ascii="Arial" w:hAnsi="Arial"/>
        </w:rPr>
      </w:pPr>
      <w:r w:rsidRPr="00AC6416">
        <w:rPr>
          <w:rFonts w:ascii="Arial" w:hAnsi="Arial"/>
        </w:rPr>
        <w:t>The third recommendation is to strengthen resilience among young adults through education, community support, and appropriate digital resources, while ensuring these do not replace professional mental health care. The findings showed that resilience, social support, and coping strategies helped some young adults manage stress during the pandemic (Chen and Bonanno, 2020; Shanahan et al., 2020).</w:t>
      </w:r>
    </w:p>
    <w:p w14:paraId="16A45BEA" w14:textId="77777777" w:rsidR="00AC6416" w:rsidRPr="00AC6416" w:rsidRDefault="00AC6416" w:rsidP="00AC6416">
      <w:pPr>
        <w:rPr>
          <w:rFonts w:ascii="Arial" w:hAnsi="Arial"/>
        </w:rPr>
      </w:pPr>
      <w:r w:rsidRPr="00AC6416">
        <w:rPr>
          <w:rFonts w:ascii="Arial" w:hAnsi="Arial"/>
        </w:rPr>
        <w:t>In practice, resilience-building programmes could be integrated into education settings, workplaces, and community services. Mental health education, peer support groups, and wellbeing programmes can help young adults develop coping skills and reduce stigma around seeking help. Digital mental health tools, such as guided self-help apps or online peer support, can also improve accessibility when used alongside professional services (Kunzler et al., 2020).</w:t>
      </w:r>
    </w:p>
    <w:p w14:paraId="3A66E9BD" w14:textId="77777777" w:rsidR="00AC6416" w:rsidRPr="00AC6416" w:rsidRDefault="00AC6416" w:rsidP="00AC6416">
      <w:r w:rsidRPr="00AC6416">
        <w:rPr>
          <w:rFonts w:ascii="Arial" w:hAnsi="Arial"/>
        </w:rPr>
        <w:lastRenderedPageBreak/>
        <w:t>However, overreliance on resilience can be problematic. A key barrier is the risk of placing responsibility on individuals rather than addressing system-level failures (Marmot and Allen, 2020). To overcome this, resilience initiatives should be offered as complementary support, not substitutes for funded mental health services. A balanced approach that combines individual coping support with strong health and social care systems is most effective.</w:t>
      </w:r>
    </w:p>
    <w:p w14:paraId="30A43E87" w14:textId="77777777" w:rsidR="00AC6416" w:rsidRDefault="00AC6416" w:rsidP="00AC6416"/>
    <w:p w14:paraId="6DEFF1C6" w14:textId="1E90B609" w:rsidR="005C5E80" w:rsidRPr="005C5E80" w:rsidRDefault="005C5E80" w:rsidP="00AC6416">
      <w:r w:rsidRPr="005C5E80">
        <w:t xml:space="preserve"> </w:t>
      </w:r>
    </w:p>
    <w:p w14:paraId="61CD43C9" w14:textId="77777777" w:rsidR="00211184" w:rsidRPr="00BD2909" w:rsidRDefault="00211184"/>
    <w:p w14:paraId="77F0F27F" w14:textId="77777777" w:rsidR="00E51186" w:rsidRDefault="00E51186">
      <w:pPr>
        <w:spacing w:line="259" w:lineRule="auto"/>
        <w:jc w:val="left"/>
        <w:rPr>
          <w:rFonts w:eastAsia="Calibri Light" w:cs="Calibri Light"/>
          <w:b/>
          <w:kern w:val="0"/>
          <w:sz w:val="32"/>
          <w:szCs w:val="32"/>
          <w:lang w:eastAsia="en-GB" w:bidi="en-GB"/>
          <w14:ligatures w14:val="none"/>
        </w:rPr>
      </w:pPr>
      <w:r>
        <w:br w:type="page"/>
      </w:r>
    </w:p>
    <w:p w14:paraId="3D3F3B28" w14:textId="662015CB" w:rsidR="00211184" w:rsidRPr="00636D9A" w:rsidRDefault="00211184" w:rsidP="00211184">
      <w:pPr>
        <w:pStyle w:val="Heading1"/>
        <w:ind w:left="0"/>
        <w:rPr>
          <w:rFonts w:ascii="Aptos" w:hAnsi="Aptos"/>
        </w:rPr>
      </w:pPr>
      <w:bookmarkStart w:id="38" w:name="_Toc222337933"/>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38"/>
      <w:r w:rsidRPr="00636D9A">
        <w:rPr>
          <w:rFonts w:ascii="Aptos" w:hAnsi="Aptos"/>
        </w:rPr>
        <w:t xml:space="preserve"> </w:t>
      </w:r>
    </w:p>
    <w:p w14:paraId="2EE69DD1" w14:textId="77777777" w:rsidR="00211184" w:rsidRDefault="00211184"/>
    <w:p w14:paraId="020975DD" w14:textId="2F3DACF0" w:rsidR="00621776" w:rsidRPr="008C38C3" w:rsidRDefault="00621776" w:rsidP="00621776">
      <w:pPr>
        <w:pStyle w:val="Heading1"/>
        <w:ind w:left="0"/>
        <w:rPr>
          <w:rFonts w:ascii="Aptos" w:hAnsi="Aptos"/>
          <w:sz w:val="28"/>
          <w:szCs w:val="28"/>
        </w:rPr>
      </w:pPr>
      <w:bookmarkStart w:id="39" w:name="_Toc222337934"/>
      <w:r w:rsidRPr="008C38C3">
        <w:rPr>
          <w:rFonts w:ascii="Aptos" w:hAnsi="Aptos"/>
          <w:sz w:val="28"/>
          <w:szCs w:val="28"/>
        </w:rPr>
        <w:t xml:space="preserve">6.1 – </w:t>
      </w:r>
      <w:r w:rsidR="00D46BE4">
        <w:rPr>
          <w:rFonts w:ascii="Aptos" w:hAnsi="Aptos"/>
          <w:sz w:val="28"/>
          <w:szCs w:val="28"/>
        </w:rPr>
        <w:t>References/Bibliography</w:t>
      </w:r>
      <w:bookmarkEnd w:id="39"/>
    </w:p>
    <w:p w14:paraId="177D47C3" w14:textId="77777777" w:rsidR="00621776" w:rsidRDefault="00621776"/>
    <w:p w14:paraId="3B0AD90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American Psychiatric Association (2024) </w:t>
      </w:r>
      <w:r w:rsidRPr="00AD1C3A">
        <w:rPr>
          <w:rFonts w:ascii="Arial" w:hAnsi="Arial" w:cs="Arial"/>
          <w:i/>
          <w:iCs/>
        </w:rPr>
        <w:t>Diagnostic and Statistical Manual of Mental Disorders (DSM-5-TR)</w:t>
      </w:r>
      <w:r w:rsidRPr="00AD1C3A">
        <w:rPr>
          <w:rFonts w:ascii="Arial" w:hAnsi="Arial" w:cs="Arial"/>
        </w:rPr>
        <w:t xml:space="preserve">. Available at: </w:t>
      </w:r>
      <w:hyperlink r:id="rId20" w:tgtFrame="_new" w:history="1">
        <w:r w:rsidRPr="00AD1C3A">
          <w:rPr>
            <w:rStyle w:val="Hyperlink"/>
            <w:rFonts w:ascii="Arial" w:hAnsi="Arial" w:cs="Arial"/>
          </w:rPr>
          <w:t>https://www.psychiatry.org/psychiatrists/practice/dsm</w:t>
        </w:r>
      </w:hyperlink>
      <w:r w:rsidRPr="00AD1C3A">
        <w:rPr>
          <w:rFonts w:ascii="Arial" w:hAnsi="Arial" w:cs="Arial"/>
        </w:rPr>
        <w:t xml:space="preserve"> (Accessed: 16 March 2025).</w:t>
      </w:r>
    </w:p>
    <w:p w14:paraId="2A35DD35"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Association of Directors of Public Health (ADPH) (2022) </w:t>
      </w:r>
      <w:r w:rsidRPr="00AD1C3A">
        <w:rPr>
          <w:rFonts w:ascii="Arial" w:hAnsi="Arial" w:cs="Arial"/>
          <w:i/>
          <w:iCs/>
        </w:rPr>
        <w:t>175th anniversary timeline</w:t>
      </w:r>
      <w:r w:rsidRPr="00AD1C3A">
        <w:rPr>
          <w:rFonts w:ascii="Arial" w:hAnsi="Arial" w:cs="Arial"/>
        </w:rPr>
        <w:t xml:space="preserve">. Available at: </w:t>
      </w:r>
      <w:hyperlink r:id="rId21" w:tgtFrame="_new" w:history="1">
        <w:r w:rsidRPr="00AD1C3A">
          <w:rPr>
            <w:rStyle w:val="Hyperlink"/>
            <w:rFonts w:ascii="Arial" w:hAnsi="Arial" w:cs="Arial"/>
          </w:rPr>
          <w:t>https://www.adph.org.uk/resources/175th-anniversary-timeline/</w:t>
        </w:r>
      </w:hyperlink>
      <w:r w:rsidRPr="00AD1C3A">
        <w:rPr>
          <w:rFonts w:ascii="Arial" w:hAnsi="Arial" w:cs="Arial"/>
        </w:rPr>
        <w:t xml:space="preserve"> (Accessed: 27 September 2025).</w:t>
      </w:r>
    </w:p>
    <w:p w14:paraId="6F74130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Banks, J. and Xu, X. (2020) ‘The mental health effects of the first two months of lockdown during the COVID-19 pandemic in the UK’, </w:t>
      </w:r>
      <w:r w:rsidRPr="00AD1C3A">
        <w:rPr>
          <w:rFonts w:ascii="Arial" w:hAnsi="Arial" w:cs="Arial"/>
          <w:i/>
          <w:iCs/>
        </w:rPr>
        <w:t>Fiscal Studies</w:t>
      </w:r>
      <w:r w:rsidRPr="00AD1C3A">
        <w:rPr>
          <w:rFonts w:ascii="Arial" w:hAnsi="Arial" w:cs="Arial"/>
        </w:rPr>
        <w:t xml:space="preserve">, 41(3), pp. 685–708. Available at: </w:t>
      </w:r>
      <w:hyperlink r:id="rId22" w:tgtFrame="_new" w:history="1">
        <w:r w:rsidRPr="00AD1C3A">
          <w:rPr>
            <w:rStyle w:val="Hyperlink"/>
            <w:rFonts w:ascii="Arial" w:hAnsi="Arial" w:cs="Arial"/>
          </w:rPr>
          <w:t>https://doi.org/10.1111/1475-5890.12239</w:t>
        </w:r>
      </w:hyperlink>
      <w:r w:rsidRPr="00AD1C3A">
        <w:rPr>
          <w:rFonts w:ascii="Arial" w:hAnsi="Arial" w:cs="Arial"/>
        </w:rPr>
        <w:t>.</w:t>
      </w:r>
    </w:p>
    <w:p w14:paraId="530B703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Best For You (2021) </w:t>
      </w:r>
      <w:r w:rsidRPr="00AD1C3A">
        <w:rPr>
          <w:rFonts w:ascii="Arial" w:hAnsi="Arial" w:cs="Arial"/>
          <w:i/>
          <w:iCs/>
        </w:rPr>
        <w:t>For young people</w:t>
      </w:r>
      <w:r w:rsidRPr="00AD1C3A">
        <w:rPr>
          <w:rFonts w:ascii="Arial" w:hAnsi="Arial" w:cs="Arial"/>
        </w:rPr>
        <w:t xml:space="preserve">. Available at: </w:t>
      </w:r>
      <w:hyperlink r:id="rId23" w:tgtFrame="_new" w:history="1">
        <w:r w:rsidRPr="00AD1C3A">
          <w:rPr>
            <w:rStyle w:val="Hyperlink"/>
            <w:rFonts w:ascii="Arial" w:hAnsi="Arial" w:cs="Arial"/>
          </w:rPr>
          <w:t>https://bestforyou.org.uk/for-young-people/</w:t>
        </w:r>
      </w:hyperlink>
      <w:r w:rsidRPr="00AD1C3A">
        <w:rPr>
          <w:rFonts w:ascii="Arial" w:hAnsi="Arial" w:cs="Arial"/>
        </w:rPr>
        <w:t xml:space="preserve"> (Accessed: 16 March 2025).</w:t>
      </w:r>
    </w:p>
    <w:p w14:paraId="78DC413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Boland, A., Cherry, M.G. and Dickson, R. (2020) </w:t>
      </w:r>
      <w:r w:rsidRPr="00AD1C3A">
        <w:rPr>
          <w:rFonts w:ascii="Arial" w:hAnsi="Arial" w:cs="Arial"/>
          <w:i/>
          <w:iCs/>
        </w:rPr>
        <w:t>Doing a systematic review: A student’s guide</w:t>
      </w:r>
      <w:r w:rsidRPr="00AD1C3A">
        <w:rPr>
          <w:rFonts w:ascii="Arial" w:hAnsi="Arial" w:cs="Arial"/>
        </w:rPr>
        <w:t xml:space="preserve">. 2nd </w:t>
      </w:r>
      <w:proofErr w:type="spellStart"/>
      <w:r w:rsidRPr="00AD1C3A">
        <w:rPr>
          <w:rFonts w:ascii="Arial" w:hAnsi="Arial" w:cs="Arial"/>
        </w:rPr>
        <w:t>edn</w:t>
      </w:r>
      <w:proofErr w:type="spellEnd"/>
      <w:r w:rsidRPr="00AD1C3A">
        <w:rPr>
          <w:rFonts w:ascii="Arial" w:hAnsi="Arial" w:cs="Arial"/>
        </w:rPr>
        <w:t>. London: SAGE Publications.</w:t>
      </w:r>
    </w:p>
    <w:p w14:paraId="34BFFD3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Braun, V. and Clarke, V. (2021) </w:t>
      </w:r>
      <w:r w:rsidRPr="00AD1C3A">
        <w:rPr>
          <w:rFonts w:ascii="Arial" w:hAnsi="Arial" w:cs="Arial"/>
          <w:i/>
          <w:iCs/>
        </w:rPr>
        <w:t>Thematic analysis: A practical guide</w:t>
      </w:r>
      <w:r w:rsidRPr="00AD1C3A">
        <w:rPr>
          <w:rFonts w:ascii="Arial" w:hAnsi="Arial" w:cs="Arial"/>
        </w:rPr>
        <w:t>. London: SAGE Publications.</w:t>
      </w:r>
    </w:p>
    <w:p w14:paraId="4462974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British Psychological Society (BPS) (2021) </w:t>
      </w:r>
      <w:r w:rsidRPr="00AD1C3A">
        <w:rPr>
          <w:rFonts w:ascii="Arial" w:hAnsi="Arial" w:cs="Arial"/>
          <w:i/>
          <w:iCs/>
        </w:rPr>
        <w:t>Code of ethics and conduct</w:t>
      </w:r>
      <w:r w:rsidRPr="00AD1C3A">
        <w:rPr>
          <w:rFonts w:ascii="Arial" w:hAnsi="Arial" w:cs="Arial"/>
        </w:rPr>
        <w:t>. Leicester: British Psychological Society.</w:t>
      </w:r>
    </w:p>
    <w:p w14:paraId="15524647" w14:textId="77777777" w:rsidR="00AD1C3A" w:rsidRPr="00AD1C3A" w:rsidRDefault="00AD1C3A" w:rsidP="00AD1C3A">
      <w:pPr>
        <w:pStyle w:val="NormalWeb"/>
        <w:spacing w:before="0" w:beforeAutospacing="0" w:after="240" w:afterAutospacing="0" w:line="360" w:lineRule="auto"/>
        <w:rPr>
          <w:rFonts w:ascii="Arial" w:hAnsi="Arial" w:cs="Arial"/>
        </w:rPr>
      </w:pPr>
      <w:proofErr w:type="spellStart"/>
      <w:r w:rsidRPr="00AD1C3A">
        <w:rPr>
          <w:rFonts w:ascii="Arial" w:hAnsi="Arial" w:cs="Arial"/>
        </w:rPr>
        <w:t>Centers</w:t>
      </w:r>
      <w:proofErr w:type="spellEnd"/>
      <w:r w:rsidRPr="00AD1C3A">
        <w:rPr>
          <w:rFonts w:ascii="Arial" w:hAnsi="Arial" w:cs="Arial"/>
        </w:rPr>
        <w:t xml:space="preserve"> for Disease Control and Prevention (CDC) (2021) ‘Mental health, substance use, and suicidal ideation during the COVID-19 pandemic’, </w:t>
      </w:r>
      <w:r w:rsidRPr="00AD1C3A">
        <w:rPr>
          <w:rFonts w:ascii="Arial" w:hAnsi="Arial" w:cs="Arial"/>
          <w:i/>
          <w:iCs/>
        </w:rPr>
        <w:t>Morbidity and Mortality Weekly Report (MMWR)</w:t>
      </w:r>
      <w:r w:rsidRPr="00AD1C3A">
        <w:rPr>
          <w:rFonts w:ascii="Arial" w:hAnsi="Arial" w:cs="Arial"/>
        </w:rPr>
        <w:t xml:space="preserve">, 69(32), pp. 1049–1057. Available at: </w:t>
      </w:r>
      <w:hyperlink r:id="rId24" w:tgtFrame="_new" w:history="1">
        <w:r w:rsidRPr="00AD1C3A">
          <w:rPr>
            <w:rStyle w:val="Hyperlink"/>
            <w:rFonts w:ascii="Arial" w:hAnsi="Arial" w:cs="Arial"/>
          </w:rPr>
          <w:t>https://www.cdc.gov/mmwr/volumes/69/wr/mm6932a1.htm</w:t>
        </w:r>
      </w:hyperlink>
      <w:r w:rsidRPr="00AD1C3A">
        <w:rPr>
          <w:rFonts w:ascii="Arial" w:hAnsi="Arial" w:cs="Arial"/>
        </w:rPr>
        <w:t xml:space="preserve"> (Accessed: 1 October 2025).</w:t>
      </w:r>
    </w:p>
    <w:p w14:paraId="105ED03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Chen, S. and Bonanno, G.A. (2020) ‘Psychological adjustment during the global outbreak of COVID-19: A resilience perspective’, </w:t>
      </w:r>
      <w:r w:rsidRPr="00AD1C3A">
        <w:rPr>
          <w:rFonts w:ascii="Arial" w:hAnsi="Arial" w:cs="Arial"/>
          <w:i/>
          <w:iCs/>
        </w:rPr>
        <w:t xml:space="preserve">Psychological Trauma: Theory, </w:t>
      </w:r>
      <w:r w:rsidRPr="00AD1C3A">
        <w:rPr>
          <w:rFonts w:ascii="Arial" w:hAnsi="Arial" w:cs="Arial"/>
          <w:i/>
          <w:iCs/>
        </w:rPr>
        <w:lastRenderedPageBreak/>
        <w:t>Research, Practice, and Policy</w:t>
      </w:r>
      <w:r w:rsidRPr="00AD1C3A">
        <w:rPr>
          <w:rFonts w:ascii="Arial" w:hAnsi="Arial" w:cs="Arial"/>
        </w:rPr>
        <w:t xml:space="preserve">, 12(S1), pp. S51–S54. Available at: </w:t>
      </w:r>
      <w:hyperlink r:id="rId25" w:tgtFrame="_new" w:history="1">
        <w:r w:rsidRPr="00AD1C3A">
          <w:rPr>
            <w:rStyle w:val="Hyperlink"/>
            <w:rFonts w:ascii="Arial" w:hAnsi="Arial" w:cs="Arial"/>
          </w:rPr>
          <w:t>https://doi.org/10.1037/tra0000685</w:t>
        </w:r>
      </w:hyperlink>
      <w:r w:rsidRPr="00AD1C3A">
        <w:rPr>
          <w:rFonts w:ascii="Arial" w:hAnsi="Arial" w:cs="Arial"/>
        </w:rPr>
        <w:t xml:space="preserve"> (Accessed: 30 September 2025).</w:t>
      </w:r>
    </w:p>
    <w:p w14:paraId="206666D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Cooper, C., Booth, A., Varley-Campbell, J., Britten, N. and Garside, R. (2019) ‘Defining the process to literature searching in systematic reviews: A literature review of guidance and supporting studies’, </w:t>
      </w:r>
      <w:r w:rsidRPr="00AD1C3A">
        <w:rPr>
          <w:rFonts w:ascii="Arial" w:hAnsi="Arial" w:cs="Arial"/>
          <w:i/>
          <w:iCs/>
        </w:rPr>
        <w:t>BMC Medical Research Methodology</w:t>
      </w:r>
      <w:r w:rsidRPr="00AD1C3A">
        <w:rPr>
          <w:rFonts w:ascii="Arial" w:hAnsi="Arial" w:cs="Arial"/>
        </w:rPr>
        <w:t xml:space="preserve">, 18, Article number 85. Available at: </w:t>
      </w:r>
      <w:hyperlink r:id="rId26" w:tgtFrame="_new" w:history="1">
        <w:r w:rsidRPr="00AD1C3A">
          <w:rPr>
            <w:rStyle w:val="Hyperlink"/>
            <w:rFonts w:ascii="Arial" w:hAnsi="Arial" w:cs="Arial"/>
          </w:rPr>
          <w:t>https://doi.org/10.1186/s12874-018-0545-3</w:t>
        </w:r>
      </w:hyperlink>
      <w:r w:rsidRPr="00AD1C3A">
        <w:rPr>
          <w:rFonts w:ascii="Arial" w:hAnsi="Arial" w:cs="Arial"/>
        </w:rPr>
        <w:t>.</w:t>
      </w:r>
    </w:p>
    <w:p w14:paraId="1384C517" w14:textId="77777777" w:rsidR="00AD1C3A" w:rsidRPr="00AD1C3A" w:rsidRDefault="00AD1C3A" w:rsidP="00AD1C3A">
      <w:pPr>
        <w:pStyle w:val="NormalWeb"/>
        <w:spacing w:before="0" w:beforeAutospacing="0" w:after="240" w:afterAutospacing="0" w:line="360" w:lineRule="auto"/>
        <w:rPr>
          <w:rFonts w:ascii="Arial" w:hAnsi="Arial" w:cs="Arial"/>
        </w:rPr>
      </w:pPr>
      <w:proofErr w:type="spellStart"/>
      <w:r w:rsidRPr="00AD1C3A">
        <w:rPr>
          <w:rFonts w:ascii="Arial" w:hAnsi="Arial" w:cs="Arial"/>
        </w:rPr>
        <w:t>Esparrago</w:t>
      </w:r>
      <w:proofErr w:type="spellEnd"/>
      <w:r w:rsidRPr="00AD1C3A">
        <w:rPr>
          <w:rFonts w:ascii="Arial" w:hAnsi="Arial" w:cs="Arial"/>
        </w:rPr>
        <w:t xml:space="preserve">-Kalidas, A.J. (2021) ‘The effectiveness of CRAAP test in evaluating credibility of sources’, </w:t>
      </w:r>
      <w:r w:rsidRPr="00AD1C3A">
        <w:rPr>
          <w:rFonts w:ascii="Arial" w:hAnsi="Arial" w:cs="Arial"/>
          <w:i/>
          <w:iCs/>
        </w:rPr>
        <w:t>International Journal of Technology and Education (IJTE)</w:t>
      </w:r>
      <w:r w:rsidRPr="00AD1C3A">
        <w:rPr>
          <w:rFonts w:ascii="Arial" w:hAnsi="Arial" w:cs="Arial"/>
        </w:rPr>
        <w:t xml:space="preserve">, 2(1), pp. 1–12. Available at: </w:t>
      </w:r>
      <w:hyperlink r:id="rId27" w:tgtFrame="_new" w:history="1">
        <w:r w:rsidRPr="00AD1C3A">
          <w:rPr>
            <w:rStyle w:val="Hyperlink"/>
            <w:rFonts w:ascii="Arial" w:hAnsi="Arial" w:cs="Arial"/>
          </w:rPr>
          <w:t>https://i-jte.org/index.php/journal/article/view/25</w:t>
        </w:r>
      </w:hyperlink>
      <w:r w:rsidRPr="00AD1C3A">
        <w:rPr>
          <w:rFonts w:ascii="Arial" w:hAnsi="Arial" w:cs="Arial"/>
        </w:rPr>
        <w:t xml:space="preserve"> (Accessed: 26 October 2025).</w:t>
      </w:r>
    </w:p>
    <w:p w14:paraId="6789BB8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Fancourt, D., Steptoe, A. and Bu, F. (2020) ‘Trajectories of anxiety and depressive symptoms during enforced isolation due to COVID-19 in England: A longitudinal observational study’, </w:t>
      </w:r>
      <w:r w:rsidRPr="00AD1C3A">
        <w:rPr>
          <w:rFonts w:ascii="Arial" w:hAnsi="Arial" w:cs="Arial"/>
          <w:i/>
          <w:iCs/>
        </w:rPr>
        <w:t>The Lancet Psychiatry</w:t>
      </w:r>
      <w:r w:rsidRPr="00AD1C3A">
        <w:rPr>
          <w:rFonts w:ascii="Arial" w:hAnsi="Arial" w:cs="Arial"/>
        </w:rPr>
        <w:t xml:space="preserve">, 8(2), pp. 141–149. Available at: </w:t>
      </w:r>
      <w:hyperlink r:id="rId28" w:tgtFrame="_new" w:history="1">
        <w:r w:rsidRPr="00AD1C3A">
          <w:rPr>
            <w:rStyle w:val="Hyperlink"/>
            <w:rFonts w:ascii="Arial" w:hAnsi="Arial" w:cs="Arial"/>
          </w:rPr>
          <w:t>https://doi.org/10.1016/s2215-0366(20)30482-x</w:t>
        </w:r>
      </w:hyperlink>
      <w:r w:rsidRPr="00AD1C3A">
        <w:rPr>
          <w:rFonts w:ascii="Arial" w:hAnsi="Arial" w:cs="Arial"/>
        </w:rPr>
        <w:t>.</w:t>
      </w:r>
    </w:p>
    <w:p w14:paraId="29ECF2E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Health Foundation (2022) </w:t>
      </w:r>
      <w:r w:rsidRPr="00AD1C3A">
        <w:rPr>
          <w:rFonts w:ascii="Arial" w:hAnsi="Arial" w:cs="Arial"/>
          <w:i/>
          <w:iCs/>
        </w:rPr>
        <w:t>Health Foundation Navigator</w:t>
      </w:r>
      <w:r w:rsidRPr="00AD1C3A">
        <w:rPr>
          <w:rFonts w:ascii="Arial" w:hAnsi="Arial" w:cs="Arial"/>
        </w:rPr>
        <w:t xml:space="preserve">. Available at: </w:t>
      </w:r>
      <w:hyperlink r:id="rId29" w:tgtFrame="_new" w:history="1">
        <w:r w:rsidRPr="00AD1C3A">
          <w:rPr>
            <w:rStyle w:val="Hyperlink"/>
            <w:rFonts w:ascii="Arial" w:hAnsi="Arial" w:cs="Arial"/>
          </w:rPr>
          <w:t>https://navigator.health.org.uk/</w:t>
        </w:r>
      </w:hyperlink>
      <w:r w:rsidRPr="00AD1C3A">
        <w:rPr>
          <w:rFonts w:ascii="Arial" w:hAnsi="Arial" w:cs="Arial"/>
        </w:rPr>
        <w:t xml:space="preserve"> (Accessed: 23 September 2025).</w:t>
      </w:r>
    </w:p>
    <w:p w14:paraId="022F6A3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Health Foundation (2023) </w:t>
      </w:r>
      <w:r w:rsidRPr="00AD1C3A">
        <w:rPr>
          <w:rFonts w:ascii="Arial" w:hAnsi="Arial" w:cs="Arial"/>
          <w:i/>
          <w:iCs/>
        </w:rPr>
        <w:t>What is happening to young people’s mental health?</w:t>
      </w:r>
      <w:r w:rsidRPr="00AD1C3A">
        <w:rPr>
          <w:rFonts w:ascii="Arial" w:hAnsi="Arial" w:cs="Arial"/>
        </w:rPr>
        <w:t xml:space="preserve"> Available at: </w:t>
      </w:r>
      <w:hyperlink r:id="rId30" w:tgtFrame="_new" w:history="1">
        <w:r w:rsidRPr="00AD1C3A">
          <w:rPr>
            <w:rStyle w:val="Hyperlink"/>
            <w:rFonts w:ascii="Arial" w:hAnsi="Arial" w:cs="Arial"/>
          </w:rPr>
          <w:t>https://www.health.org.uk/features-and-opinion/blogs/what-is-happening-to-young-people-s-mental-health</w:t>
        </w:r>
      </w:hyperlink>
      <w:r w:rsidRPr="00AD1C3A">
        <w:rPr>
          <w:rFonts w:ascii="Arial" w:hAnsi="Arial" w:cs="Arial"/>
        </w:rPr>
        <w:t xml:space="preserve"> (Accessed: 18 January 2026).</w:t>
      </w:r>
    </w:p>
    <w:p w14:paraId="700AF28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lang w:val="fr-FR"/>
        </w:rPr>
        <w:t xml:space="preserve">Holmes, E.A. et al. </w:t>
      </w:r>
      <w:r w:rsidRPr="00AD1C3A">
        <w:rPr>
          <w:rFonts w:ascii="Arial" w:hAnsi="Arial" w:cs="Arial"/>
        </w:rPr>
        <w:t xml:space="preserve">(2020) ‘Multidisciplinary research priorities for the COVID-19 pandemic: A call for action for mental health science’, </w:t>
      </w:r>
      <w:r w:rsidRPr="00AD1C3A">
        <w:rPr>
          <w:rFonts w:ascii="Arial" w:hAnsi="Arial" w:cs="Arial"/>
          <w:i/>
          <w:iCs/>
        </w:rPr>
        <w:t>The Lancet Psychiatry</w:t>
      </w:r>
      <w:r w:rsidRPr="00AD1C3A">
        <w:rPr>
          <w:rFonts w:ascii="Arial" w:hAnsi="Arial" w:cs="Arial"/>
        </w:rPr>
        <w:t xml:space="preserve">, 7(6), pp. 547–560. Available at: </w:t>
      </w:r>
      <w:hyperlink r:id="rId31" w:tgtFrame="_new" w:history="1">
        <w:r w:rsidRPr="00AD1C3A">
          <w:rPr>
            <w:rStyle w:val="Hyperlink"/>
            <w:rFonts w:ascii="Arial" w:hAnsi="Arial" w:cs="Arial"/>
          </w:rPr>
          <w:t>https://doi.org/10.1016/S2215-0366(20)30168-1</w:t>
        </w:r>
      </w:hyperlink>
      <w:r w:rsidRPr="00AD1C3A">
        <w:rPr>
          <w:rFonts w:ascii="Arial" w:hAnsi="Arial" w:cs="Arial"/>
        </w:rPr>
        <w:t xml:space="preserve"> (Accessed: 30 September 2025).</w:t>
      </w:r>
    </w:p>
    <w:p w14:paraId="6F0745D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Holt-</w:t>
      </w:r>
      <w:proofErr w:type="spellStart"/>
      <w:r w:rsidRPr="00AD1C3A">
        <w:rPr>
          <w:rFonts w:ascii="Arial" w:hAnsi="Arial" w:cs="Arial"/>
        </w:rPr>
        <w:t>Lunstad</w:t>
      </w:r>
      <w:proofErr w:type="spellEnd"/>
      <w:r w:rsidRPr="00AD1C3A">
        <w:rPr>
          <w:rFonts w:ascii="Arial" w:hAnsi="Arial" w:cs="Arial"/>
        </w:rPr>
        <w:t xml:space="preserve">, J. (2021) ‘A pandemic of social isolation?’, </w:t>
      </w:r>
      <w:r w:rsidRPr="00AD1C3A">
        <w:rPr>
          <w:rFonts w:ascii="Arial" w:hAnsi="Arial" w:cs="Arial"/>
          <w:i/>
          <w:iCs/>
        </w:rPr>
        <w:t>World Psychiatry</w:t>
      </w:r>
      <w:r w:rsidRPr="00AD1C3A">
        <w:rPr>
          <w:rFonts w:ascii="Arial" w:hAnsi="Arial" w:cs="Arial"/>
        </w:rPr>
        <w:t xml:space="preserve">, 20(1), pp. 55–56. Available at: </w:t>
      </w:r>
      <w:hyperlink r:id="rId32" w:tgtFrame="_new" w:history="1">
        <w:r w:rsidRPr="00AD1C3A">
          <w:rPr>
            <w:rStyle w:val="Hyperlink"/>
            <w:rFonts w:ascii="Arial" w:hAnsi="Arial" w:cs="Arial"/>
          </w:rPr>
          <w:t>https://onlinelibrary.wiley.com/doi/10.1002/wps.20839</w:t>
        </w:r>
      </w:hyperlink>
      <w:r w:rsidRPr="00AD1C3A">
        <w:rPr>
          <w:rFonts w:ascii="Arial" w:hAnsi="Arial" w:cs="Arial"/>
        </w:rPr>
        <w:t xml:space="preserve"> (Accessed: 10 January 2026).</w:t>
      </w:r>
    </w:p>
    <w:p w14:paraId="050F3262"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lang w:val="fr-FR"/>
        </w:rPr>
        <w:t xml:space="preserve">Hossain, M.M. et al. </w:t>
      </w:r>
      <w:r w:rsidRPr="00AD1C3A">
        <w:rPr>
          <w:rFonts w:ascii="Arial" w:hAnsi="Arial" w:cs="Arial"/>
        </w:rPr>
        <w:t xml:space="preserve">(2020) ‘Epidemiology of mental health problems in COVID-19: A review’, </w:t>
      </w:r>
      <w:r w:rsidRPr="00AD1C3A">
        <w:rPr>
          <w:rFonts w:ascii="Arial" w:hAnsi="Arial" w:cs="Arial"/>
          <w:i/>
          <w:iCs/>
        </w:rPr>
        <w:t>F1000Research</w:t>
      </w:r>
      <w:r w:rsidRPr="00AD1C3A">
        <w:rPr>
          <w:rFonts w:ascii="Arial" w:hAnsi="Arial" w:cs="Arial"/>
        </w:rPr>
        <w:t xml:space="preserve">, 9, 636. Available at: </w:t>
      </w:r>
      <w:hyperlink r:id="rId33" w:tgtFrame="_new" w:history="1">
        <w:r w:rsidRPr="00AD1C3A">
          <w:rPr>
            <w:rStyle w:val="Hyperlink"/>
            <w:rFonts w:ascii="Arial" w:hAnsi="Arial" w:cs="Arial"/>
          </w:rPr>
          <w:t>https://doi.org/10.12688/f1000research.24457.1</w:t>
        </w:r>
      </w:hyperlink>
      <w:r w:rsidRPr="00AD1C3A">
        <w:rPr>
          <w:rFonts w:ascii="Arial" w:hAnsi="Arial" w:cs="Arial"/>
        </w:rPr>
        <w:t xml:space="preserve"> (Accessed: 1 October 2025).</w:t>
      </w:r>
    </w:p>
    <w:p w14:paraId="330C9505"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Kokol, P., </w:t>
      </w:r>
      <w:proofErr w:type="spellStart"/>
      <w:r w:rsidRPr="00AD1C3A">
        <w:rPr>
          <w:rFonts w:ascii="Arial" w:hAnsi="Arial" w:cs="Arial"/>
        </w:rPr>
        <w:t>Blažun</w:t>
      </w:r>
      <w:proofErr w:type="spellEnd"/>
      <w:r w:rsidRPr="00AD1C3A">
        <w:rPr>
          <w:rFonts w:ascii="Arial" w:hAnsi="Arial" w:cs="Arial"/>
        </w:rPr>
        <w:t xml:space="preserve"> Vošner, H. and Završnik, J. (2021) ‘Application of bibliometrics in medicine: A historical bibliometrics analysis’, </w:t>
      </w:r>
      <w:r w:rsidRPr="00AD1C3A">
        <w:rPr>
          <w:rFonts w:ascii="Arial" w:hAnsi="Arial" w:cs="Arial"/>
          <w:i/>
          <w:iCs/>
        </w:rPr>
        <w:t>Health Information and Libraries Journal</w:t>
      </w:r>
      <w:r w:rsidRPr="00AD1C3A">
        <w:rPr>
          <w:rFonts w:ascii="Arial" w:hAnsi="Arial" w:cs="Arial"/>
        </w:rPr>
        <w:t>, 38(2), pp. 125–138. Available at: https://doi.org/10.1111/hir.12346.</w:t>
      </w:r>
    </w:p>
    <w:p w14:paraId="04BDBC3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Kreski, N.T., Keyes, K.M., Parks, M.J. and Patrick, M.E. (2022) ‘Depressive and anxious symptoms among young adults in the COVID-19 pandemic: Results from Monitoring the Future’, </w:t>
      </w:r>
      <w:r w:rsidRPr="00AD1C3A">
        <w:rPr>
          <w:rFonts w:ascii="Arial" w:hAnsi="Arial" w:cs="Arial"/>
          <w:i/>
          <w:iCs/>
        </w:rPr>
        <w:t>Depression and Anxiety</w:t>
      </w:r>
      <w:r w:rsidRPr="00AD1C3A">
        <w:rPr>
          <w:rFonts w:ascii="Arial" w:hAnsi="Arial" w:cs="Arial"/>
        </w:rPr>
        <w:t xml:space="preserve">, 39(6), pp. 536–547. Available at: https://doi.org/10.1002/da.23273. Available at: </w:t>
      </w:r>
      <w:hyperlink r:id="rId34" w:tgtFrame="_new" w:history="1">
        <w:r w:rsidRPr="00AD1C3A">
          <w:rPr>
            <w:rStyle w:val="Hyperlink"/>
            <w:rFonts w:ascii="Arial" w:hAnsi="Arial" w:cs="Arial"/>
          </w:rPr>
          <w:t>https://pubmed.ncbi.nlm.nih.gov/35621201/</w:t>
        </w:r>
      </w:hyperlink>
      <w:r w:rsidRPr="00AD1C3A">
        <w:rPr>
          <w:rFonts w:ascii="Arial" w:hAnsi="Arial" w:cs="Arial"/>
        </w:rPr>
        <w:t xml:space="preserve"> (Accessed: 29 September 2025).</w:t>
      </w:r>
    </w:p>
    <w:p w14:paraId="7DEAEDF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Kunzler, A.M. et al. (2020) ‘Psychological interventions to foster resilience in healthcare professionals’, </w:t>
      </w:r>
      <w:r w:rsidRPr="00AD1C3A">
        <w:rPr>
          <w:rFonts w:ascii="Arial" w:hAnsi="Arial" w:cs="Arial"/>
          <w:i/>
          <w:iCs/>
        </w:rPr>
        <w:t>Cochrane Database of Systematic Reviews</w:t>
      </w:r>
      <w:r w:rsidRPr="00AD1C3A">
        <w:rPr>
          <w:rFonts w:ascii="Arial" w:hAnsi="Arial" w:cs="Arial"/>
        </w:rPr>
        <w:t xml:space="preserve">, 7(7), pp. 1–41. Available at: </w:t>
      </w:r>
      <w:hyperlink r:id="rId35" w:tgtFrame="_new" w:history="1">
        <w:r w:rsidRPr="00AD1C3A">
          <w:rPr>
            <w:rStyle w:val="Hyperlink"/>
            <w:rFonts w:ascii="Arial" w:hAnsi="Arial" w:cs="Arial"/>
          </w:rPr>
          <w:t>https://doi.org/10.1002/14651858.cd012527.pub2</w:t>
        </w:r>
      </w:hyperlink>
      <w:r w:rsidRPr="00AD1C3A">
        <w:rPr>
          <w:rFonts w:ascii="Arial" w:hAnsi="Arial" w:cs="Arial"/>
        </w:rPr>
        <w:t xml:space="preserve"> (Accessed: 30 September 2025).</w:t>
      </w:r>
    </w:p>
    <w:p w14:paraId="38B8D27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Mahase, E. (2020) ‘Covid-19: UK starts social distancing after new model points to 260,000 potential deaths’, </w:t>
      </w:r>
      <w:r w:rsidRPr="00AD1C3A">
        <w:rPr>
          <w:rFonts w:ascii="Arial" w:hAnsi="Arial" w:cs="Arial"/>
          <w:i/>
          <w:iCs/>
        </w:rPr>
        <w:t>BMJ</w:t>
      </w:r>
      <w:r w:rsidRPr="00AD1C3A">
        <w:rPr>
          <w:rFonts w:ascii="Arial" w:hAnsi="Arial" w:cs="Arial"/>
        </w:rPr>
        <w:t xml:space="preserve">, 368, m1089. Available at: </w:t>
      </w:r>
      <w:hyperlink r:id="rId36" w:tgtFrame="_new" w:history="1">
        <w:r w:rsidRPr="00AD1C3A">
          <w:rPr>
            <w:rStyle w:val="Hyperlink"/>
            <w:rFonts w:ascii="Arial" w:hAnsi="Arial" w:cs="Arial"/>
          </w:rPr>
          <w:t>https://doi.org/10.1136/bmj.m1089</w:t>
        </w:r>
      </w:hyperlink>
      <w:r w:rsidRPr="00AD1C3A">
        <w:rPr>
          <w:rFonts w:ascii="Arial" w:hAnsi="Arial" w:cs="Arial"/>
        </w:rPr>
        <w:t xml:space="preserve"> (Accessed: 7 October 2025).</w:t>
      </w:r>
    </w:p>
    <w:p w14:paraId="256FB54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Marmot, M. and Allen, J. (2020) ‘COVID-19: Exposing and amplifying inequalities in England’, </w:t>
      </w:r>
      <w:r w:rsidRPr="00AD1C3A">
        <w:rPr>
          <w:rFonts w:ascii="Arial" w:hAnsi="Arial" w:cs="Arial"/>
          <w:i/>
          <w:iCs/>
        </w:rPr>
        <w:t>Journal of Epidemiology and Community Health</w:t>
      </w:r>
      <w:r w:rsidRPr="00AD1C3A">
        <w:rPr>
          <w:rFonts w:ascii="Arial" w:hAnsi="Arial" w:cs="Arial"/>
        </w:rPr>
        <w:t xml:space="preserve">, 74(9), pp. 681–682. Available at: </w:t>
      </w:r>
      <w:hyperlink r:id="rId37" w:tgtFrame="_new" w:history="1">
        <w:r w:rsidRPr="00AD1C3A">
          <w:rPr>
            <w:rStyle w:val="Hyperlink"/>
            <w:rFonts w:ascii="Arial" w:hAnsi="Arial" w:cs="Arial"/>
          </w:rPr>
          <w:t>https://doi.org/10.1136/jech-2020-214720</w:t>
        </w:r>
      </w:hyperlink>
      <w:r w:rsidRPr="00AD1C3A">
        <w:rPr>
          <w:rFonts w:ascii="Arial" w:hAnsi="Arial" w:cs="Arial"/>
        </w:rPr>
        <w:t xml:space="preserve"> (Accessed: 27 September 2025).</w:t>
      </w:r>
    </w:p>
    <w:p w14:paraId="498AB45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Marmot, M., Allen, J., Boyce, T., Goldblatt, P. and Morrison, J. (2020) </w:t>
      </w:r>
      <w:r w:rsidRPr="00AD1C3A">
        <w:rPr>
          <w:rFonts w:ascii="Arial" w:hAnsi="Arial" w:cs="Arial"/>
          <w:i/>
          <w:iCs/>
        </w:rPr>
        <w:t>Health equity in England: The Marmot review 10 years on</w:t>
      </w:r>
      <w:r w:rsidRPr="00AD1C3A">
        <w:rPr>
          <w:rFonts w:ascii="Arial" w:hAnsi="Arial" w:cs="Arial"/>
        </w:rPr>
        <w:t xml:space="preserve">. London: Institute of Health Equity. Available at: </w:t>
      </w:r>
      <w:hyperlink r:id="rId38" w:tgtFrame="_new" w:history="1">
        <w:r w:rsidRPr="00AD1C3A">
          <w:rPr>
            <w:rStyle w:val="Hyperlink"/>
            <w:rFonts w:ascii="Arial" w:hAnsi="Arial" w:cs="Arial"/>
          </w:rPr>
          <w:t>https://www.instituteofhealthequity.org/resources-reports/marmot-review-10-years-on</w:t>
        </w:r>
      </w:hyperlink>
      <w:r w:rsidRPr="00AD1C3A">
        <w:rPr>
          <w:rFonts w:ascii="Arial" w:hAnsi="Arial" w:cs="Arial"/>
        </w:rPr>
        <w:t xml:space="preserve"> (Accessed: 25 September 2025).</w:t>
      </w:r>
    </w:p>
    <w:p w14:paraId="6935735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Medcalf, A. (2023) </w:t>
      </w:r>
      <w:r w:rsidRPr="00AD1C3A">
        <w:rPr>
          <w:rFonts w:ascii="Arial" w:hAnsi="Arial" w:cs="Arial"/>
          <w:i/>
          <w:iCs/>
        </w:rPr>
        <w:t>Stress in teenagers: What it is and how to help</w:t>
      </w:r>
      <w:r w:rsidRPr="00AD1C3A">
        <w:rPr>
          <w:rFonts w:ascii="Arial" w:hAnsi="Arial" w:cs="Arial"/>
        </w:rPr>
        <w:t xml:space="preserve">. Available at: </w:t>
      </w:r>
      <w:hyperlink r:id="rId39" w:tgtFrame="_new" w:history="1">
        <w:r w:rsidRPr="00AD1C3A">
          <w:rPr>
            <w:rStyle w:val="Hyperlink"/>
            <w:rFonts w:ascii="Arial" w:hAnsi="Arial" w:cs="Arial"/>
          </w:rPr>
          <w:t>https://abbymedcalf.com/stress-teenagers-what-it-is-and-how-to-help/</w:t>
        </w:r>
      </w:hyperlink>
      <w:r w:rsidRPr="00AD1C3A">
        <w:rPr>
          <w:rFonts w:ascii="Arial" w:hAnsi="Arial" w:cs="Arial"/>
        </w:rPr>
        <w:t xml:space="preserve"> (Accessed: 21 September 2025).</w:t>
      </w:r>
    </w:p>
    <w:p w14:paraId="4297264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Mind (2021) </w:t>
      </w:r>
      <w:r w:rsidRPr="00AD1C3A">
        <w:rPr>
          <w:rFonts w:ascii="Arial" w:hAnsi="Arial" w:cs="Arial"/>
          <w:i/>
          <w:iCs/>
        </w:rPr>
        <w:t>The impact of coronavirus on mental health</w:t>
      </w:r>
      <w:r w:rsidRPr="00AD1C3A">
        <w:rPr>
          <w:rFonts w:ascii="Arial" w:hAnsi="Arial" w:cs="Arial"/>
        </w:rPr>
        <w:t xml:space="preserve">. Available at: </w:t>
      </w:r>
      <w:hyperlink r:id="rId40" w:tgtFrame="_new" w:history="1">
        <w:r w:rsidRPr="00AD1C3A">
          <w:rPr>
            <w:rStyle w:val="Hyperlink"/>
            <w:rFonts w:ascii="Arial" w:hAnsi="Arial" w:cs="Arial"/>
          </w:rPr>
          <w:t>https://www.mind.org.uk/about-us/our-policy-work/coronavirus-research/</w:t>
        </w:r>
      </w:hyperlink>
      <w:r w:rsidRPr="00AD1C3A">
        <w:rPr>
          <w:rFonts w:ascii="Arial" w:hAnsi="Arial" w:cs="Arial"/>
        </w:rPr>
        <w:t xml:space="preserve"> (Accessed: 16 March 2025).</w:t>
      </w:r>
    </w:p>
    <w:p w14:paraId="3BA53350"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Moreno, C. et al. (2020) ‘How mental health care should change as a consequence of the COVID-19 pandemic’, </w:t>
      </w:r>
      <w:r w:rsidRPr="00AD1C3A">
        <w:rPr>
          <w:rFonts w:ascii="Arial" w:hAnsi="Arial" w:cs="Arial"/>
          <w:i/>
          <w:iCs/>
        </w:rPr>
        <w:t>The Lancet Psychiatry</w:t>
      </w:r>
      <w:r w:rsidRPr="00AD1C3A">
        <w:rPr>
          <w:rFonts w:ascii="Arial" w:hAnsi="Arial" w:cs="Arial"/>
        </w:rPr>
        <w:t xml:space="preserve">, 7(9), pp. 813–824. Available at: </w:t>
      </w:r>
      <w:hyperlink r:id="rId41" w:tgtFrame="_new" w:history="1">
        <w:r w:rsidRPr="00AD1C3A">
          <w:rPr>
            <w:rStyle w:val="Hyperlink"/>
            <w:rFonts w:ascii="Arial" w:hAnsi="Arial" w:cs="Arial"/>
          </w:rPr>
          <w:t>https://doi.org/10.1016/S2215-0366(20)30307-2</w:t>
        </w:r>
      </w:hyperlink>
      <w:r w:rsidRPr="00AD1C3A">
        <w:rPr>
          <w:rFonts w:ascii="Arial" w:hAnsi="Arial" w:cs="Arial"/>
        </w:rPr>
        <w:t xml:space="preserve"> (Accessed: 28 September 2025).</w:t>
      </w:r>
    </w:p>
    <w:p w14:paraId="4BAE47A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Munn, Z. et al. (2020) ‘Systematic review or scoping review? Guidance for authors when choosing between a systematic or scoping review approach’, </w:t>
      </w:r>
      <w:r w:rsidRPr="00AD1C3A">
        <w:rPr>
          <w:rFonts w:ascii="Arial" w:hAnsi="Arial" w:cs="Arial"/>
          <w:i/>
          <w:iCs/>
        </w:rPr>
        <w:t>BMC Medical Research Methodology</w:t>
      </w:r>
      <w:r w:rsidRPr="00AD1C3A">
        <w:rPr>
          <w:rFonts w:ascii="Arial" w:hAnsi="Arial" w:cs="Arial"/>
        </w:rPr>
        <w:t xml:space="preserve">, 20(143). Available at: </w:t>
      </w:r>
      <w:hyperlink r:id="rId42" w:tgtFrame="_new" w:history="1">
        <w:r w:rsidRPr="00AD1C3A">
          <w:rPr>
            <w:rStyle w:val="Hyperlink"/>
            <w:rFonts w:ascii="Arial" w:hAnsi="Arial" w:cs="Arial"/>
          </w:rPr>
          <w:t>https://doi.org/10.1186/s12874-018-0611-x</w:t>
        </w:r>
      </w:hyperlink>
      <w:r w:rsidRPr="00AD1C3A">
        <w:rPr>
          <w:rFonts w:ascii="Arial" w:hAnsi="Arial" w:cs="Arial"/>
        </w:rPr>
        <w:t>.</w:t>
      </w:r>
    </w:p>
    <w:p w14:paraId="77FF7EF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National Health Service (2021) </w:t>
      </w:r>
      <w:r w:rsidRPr="00AD1C3A">
        <w:rPr>
          <w:rFonts w:ascii="Arial" w:hAnsi="Arial" w:cs="Arial"/>
          <w:i/>
          <w:iCs/>
        </w:rPr>
        <w:t>Anxiety – Every Mind Matters</w:t>
      </w:r>
      <w:r w:rsidRPr="00AD1C3A">
        <w:rPr>
          <w:rFonts w:ascii="Arial" w:hAnsi="Arial" w:cs="Arial"/>
        </w:rPr>
        <w:t xml:space="preserve">. Available at: </w:t>
      </w:r>
      <w:hyperlink r:id="rId43" w:tgtFrame="_new" w:history="1">
        <w:r w:rsidRPr="00AD1C3A">
          <w:rPr>
            <w:rStyle w:val="Hyperlink"/>
            <w:rFonts w:ascii="Arial" w:hAnsi="Arial" w:cs="Arial"/>
          </w:rPr>
          <w:t>https://www.nhs.uk/every-mind-matters/mental-health-issues/anxiety/</w:t>
        </w:r>
      </w:hyperlink>
      <w:r w:rsidRPr="00AD1C3A">
        <w:rPr>
          <w:rFonts w:ascii="Arial" w:hAnsi="Arial" w:cs="Arial"/>
        </w:rPr>
        <w:t xml:space="preserve"> (Accessed: 16 March 2025).</w:t>
      </w:r>
    </w:p>
    <w:p w14:paraId="1FB7F8B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(2021) </w:t>
      </w:r>
      <w:r w:rsidRPr="00AD1C3A">
        <w:rPr>
          <w:rFonts w:ascii="Arial" w:hAnsi="Arial" w:cs="Arial"/>
          <w:i/>
          <w:iCs/>
        </w:rPr>
        <w:t>Mental health services</w:t>
      </w:r>
      <w:r w:rsidRPr="00AD1C3A">
        <w:rPr>
          <w:rFonts w:ascii="Arial" w:hAnsi="Arial" w:cs="Arial"/>
        </w:rPr>
        <w:t xml:space="preserve">. Available at: </w:t>
      </w:r>
      <w:hyperlink r:id="rId44" w:tgtFrame="_new" w:history="1">
        <w:r w:rsidRPr="00AD1C3A">
          <w:rPr>
            <w:rStyle w:val="Hyperlink"/>
            <w:rFonts w:ascii="Arial" w:hAnsi="Arial" w:cs="Arial"/>
          </w:rPr>
          <w:t>https://www.nhs.uk/nhs-services/mental-health-services/</w:t>
        </w:r>
      </w:hyperlink>
      <w:r w:rsidRPr="00AD1C3A">
        <w:rPr>
          <w:rFonts w:ascii="Arial" w:hAnsi="Arial" w:cs="Arial"/>
        </w:rPr>
        <w:t xml:space="preserve"> (Accessed: 16 March 2025).</w:t>
      </w:r>
    </w:p>
    <w:p w14:paraId="6FCD7CE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(2023a) </w:t>
      </w:r>
      <w:r w:rsidRPr="00AD1C3A">
        <w:rPr>
          <w:rFonts w:ascii="Arial" w:hAnsi="Arial" w:cs="Arial"/>
          <w:i/>
          <w:iCs/>
        </w:rPr>
        <w:t>Overview – Depression in adults</w:t>
      </w:r>
      <w:r w:rsidRPr="00AD1C3A">
        <w:rPr>
          <w:rFonts w:ascii="Arial" w:hAnsi="Arial" w:cs="Arial"/>
        </w:rPr>
        <w:t xml:space="preserve">. Available at: </w:t>
      </w:r>
      <w:hyperlink r:id="rId45" w:tgtFrame="_new" w:history="1">
        <w:r w:rsidRPr="00AD1C3A">
          <w:rPr>
            <w:rStyle w:val="Hyperlink"/>
            <w:rFonts w:ascii="Arial" w:hAnsi="Arial" w:cs="Arial"/>
          </w:rPr>
          <w:t>https://www.nhs.uk/mental-health/conditions/depression-in-adults/overview/</w:t>
        </w:r>
      </w:hyperlink>
      <w:r w:rsidRPr="00AD1C3A">
        <w:rPr>
          <w:rFonts w:ascii="Arial" w:hAnsi="Arial" w:cs="Arial"/>
        </w:rPr>
        <w:t xml:space="preserve"> (Accessed: 16 March 2025).</w:t>
      </w:r>
    </w:p>
    <w:p w14:paraId="393D0CB2"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(2023b) </w:t>
      </w:r>
      <w:r w:rsidRPr="00AD1C3A">
        <w:rPr>
          <w:rFonts w:ascii="Arial" w:hAnsi="Arial" w:cs="Arial"/>
          <w:i/>
          <w:iCs/>
        </w:rPr>
        <w:t>Symptoms – Depression in adults</w:t>
      </w:r>
      <w:r w:rsidRPr="00AD1C3A">
        <w:rPr>
          <w:rFonts w:ascii="Arial" w:hAnsi="Arial" w:cs="Arial"/>
        </w:rPr>
        <w:t xml:space="preserve">. Available at: </w:t>
      </w:r>
      <w:hyperlink r:id="rId46" w:tgtFrame="_new" w:history="1">
        <w:r w:rsidRPr="00AD1C3A">
          <w:rPr>
            <w:rStyle w:val="Hyperlink"/>
            <w:rFonts w:ascii="Arial" w:hAnsi="Arial" w:cs="Arial"/>
          </w:rPr>
          <w:t>https://www.nhs.uk/mental-health/conditions/depression-in-adults/symptoms/</w:t>
        </w:r>
      </w:hyperlink>
      <w:r w:rsidRPr="00AD1C3A">
        <w:rPr>
          <w:rFonts w:ascii="Arial" w:hAnsi="Arial" w:cs="Arial"/>
        </w:rPr>
        <w:t xml:space="preserve"> (Accessed: 16 March 2025).</w:t>
      </w:r>
    </w:p>
    <w:p w14:paraId="761CE8C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(2024) </w:t>
      </w:r>
      <w:r w:rsidRPr="00AD1C3A">
        <w:rPr>
          <w:rFonts w:ascii="Arial" w:hAnsi="Arial" w:cs="Arial"/>
          <w:i/>
          <w:iCs/>
        </w:rPr>
        <w:t>Generalised anxiety disorder (GAD)</w:t>
      </w:r>
      <w:r w:rsidRPr="00AD1C3A">
        <w:rPr>
          <w:rFonts w:ascii="Arial" w:hAnsi="Arial" w:cs="Arial"/>
        </w:rPr>
        <w:t xml:space="preserve">. Available at: </w:t>
      </w:r>
      <w:hyperlink r:id="rId47" w:tgtFrame="_new" w:history="1">
        <w:r w:rsidRPr="00AD1C3A">
          <w:rPr>
            <w:rStyle w:val="Hyperlink"/>
            <w:rFonts w:ascii="Arial" w:hAnsi="Arial" w:cs="Arial"/>
          </w:rPr>
          <w:t>https://www.nhs.uk/mental-health/conditions/generalised-anxiety-disorder-gad/</w:t>
        </w:r>
      </w:hyperlink>
      <w:r w:rsidRPr="00AD1C3A">
        <w:rPr>
          <w:rFonts w:ascii="Arial" w:hAnsi="Arial" w:cs="Arial"/>
        </w:rPr>
        <w:t xml:space="preserve"> (Accessed: 16 March 2025).</w:t>
      </w:r>
    </w:p>
    <w:p w14:paraId="4E1BB5A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Digital (2023) </w:t>
      </w:r>
      <w:r w:rsidRPr="00AD1C3A">
        <w:rPr>
          <w:rFonts w:ascii="Arial" w:hAnsi="Arial" w:cs="Arial"/>
          <w:i/>
          <w:iCs/>
        </w:rPr>
        <w:t>Mental health of children and young people in England, 2023 – wave 4 follow-up to the 2017 survey: Introduction</w:t>
      </w:r>
      <w:r w:rsidRPr="00AD1C3A">
        <w:rPr>
          <w:rFonts w:ascii="Arial" w:hAnsi="Arial" w:cs="Arial"/>
        </w:rPr>
        <w:t xml:space="preserve">. London: NHS Digital. Available at: </w:t>
      </w:r>
      <w:hyperlink r:id="rId48" w:tgtFrame="_new" w:history="1">
        <w:r w:rsidRPr="00AD1C3A">
          <w:rPr>
            <w:rStyle w:val="Hyperlink"/>
            <w:rFonts w:ascii="Arial" w:hAnsi="Arial" w:cs="Arial"/>
          </w:rPr>
          <w:t>https://digital.nhs.uk/data-and-information/publications/statistical/mental-health-of-children-and-young-people-in-england/2023-wave-4-follow-up/introduction</w:t>
        </w:r>
      </w:hyperlink>
      <w:r w:rsidRPr="00AD1C3A">
        <w:rPr>
          <w:rFonts w:ascii="Arial" w:hAnsi="Arial" w:cs="Arial"/>
        </w:rPr>
        <w:t xml:space="preserve"> (Accessed: 26 October 2025).</w:t>
      </w:r>
    </w:p>
    <w:p w14:paraId="18156021"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Digital (2023) </w:t>
      </w:r>
      <w:r w:rsidRPr="00AD1C3A">
        <w:rPr>
          <w:rFonts w:ascii="Arial" w:hAnsi="Arial" w:cs="Arial"/>
          <w:i/>
          <w:iCs/>
        </w:rPr>
        <w:t>Mental health services activity</w:t>
      </w:r>
      <w:r w:rsidRPr="00AD1C3A">
        <w:rPr>
          <w:rFonts w:ascii="Arial" w:hAnsi="Arial" w:cs="Arial"/>
        </w:rPr>
        <w:t xml:space="preserve">. Available at: </w:t>
      </w:r>
      <w:hyperlink r:id="rId49" w:tgtFrame="_new" w:history="1">
        <w:r w:rsidRPr="00AD1C3A">
          <w:rPr>
            <w:rStyle w:val="Hyperlink"/>
            <w:rFonts w:ascii="Arial" w:hAnsi="Arial" w:cs="Arial"/>
          </w:rPr>
          <w:t>https://digital.nhs.uk/data-and-information/data-tools-and-services/data-services/mental-health-data-hub</w:t>
        </w:r>
      </w:hyperlink>
      <w:r w:rsidRPr="00AD1C3A">
        <w:rPr>
          <w:rFonts w:ascii="Arial" w:hAnsi="Arial" w:cs="Arial"/>
        </w:rPr>
        <w:t xml:space="preserve"> (Accessed: 25 January 2026).</w:t>
      </w:r>
    </w:p>
    <w:p w14:paraId="071580E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NHS England (2021) </w:t>
      </w:r>
      <w:r w:rsidRPr="00AD1C3A">
        <w:rPr>
          <w:rFonts w:ascii="Arial" w:hAnsi="Arial" w:cs="Arial"/>
          <w:i/>
          <w:iCs/>
        </w:rPr>
        <w:t>Expanding and improving mental health services</w:t>
      </w:r>
      <w:r w:rsidRPr="00AD1C3A">
        <w:rPr>
          <w:rFonts w:ascii="Arial" w:hAnsi="Arial" w:cs="Arial"/>
        </w:rPr>
        <w:t xml:space="preserve">. Available at: </w:t>
      </w:r>
      <w:hyperlink r:id="rId50" w:tgtFrame="_new" w:history="1">
        <w:r w:rsidRPr="00AD1C3A">
          <w:rPr>
            <w:rStyle w:val="Hyperlink"/>
            <w:rFonts w:ascii="Arial" w:hAnsi="Arial" w:cs="Arial"/>
          </w:rPr>
          <w:t>https://www.england.nhs.uk/mental-health/taskforce/imp/</w:t>
        </w:r>
      </w:hyperlink>
      <w:r w:rsidRPr="00AD1C3A">
        <w:rPr>
          <w:rFonts w:ascii="Arial" w:hAnsi="Arial" w:cs="Arial"/>
        </w:rPr>
        <w:t xml:space="preserve"> (Accessed: 29 September 2025).</w:t>
      </w:r>
    </w:p>
    <w:p w14:paraId="5EFE9FC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NHS England (2023) </w:t>
      </w:r>
      <w:r w:rsidRPr="00AD1C3A">
        <w:rPr>
          <w:rFonts w:ascii="Arial" w:hAnsi="Arial" w:cs="Arial"/>
          <w:i/>
          <w:iCs/>
        </w:rPr>
        <w:t>NHS talking therapies for anxiety and depression</w:t>
      </w:r>
      <w:r w:rsidRPr="00AD1C3A">
        <w:rPr>
          <w:rFonts w:ascii="Arial" w:hAnsi="Arial" w:cs="Arial"/>
        </w:rPr>
        <w:t xml:space="preserve">. Available at: </w:t>
      </w:r>
      <w:hyperlink r:id="rId51" w:tgtFrame="_new" w:history="1">
        <w:r w:rsidRPr="00AD1C3A">
          <w:rPr>
            <w:rStyle w:val="Hyperlink"/>
            <w:rFonts w:ascii="Arial" w:hAnsi="Arial" w:cs="Arial"/>
          </w:rPr>
          <w:t>https://www.england.nhs.uk/mental-health/adults/nhs-talking-therapies/</w:t>
        </w:r>
      </w:hyperlink>
      <w:r w:rsidRPr="00AD1C3A">
        <w:rPr>
          <w:rFonts w:ascii="Arial" w:hAnsi="Arial" w:cs="Arial"/>
        </w:rPr>
        <w:t xml:space="preserve"> (Accessed: 27 September 2025).</w:t>
      </w:r>
    </w:p>
    <w:p w14:paraId="6944F6F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Nowell, L.S., Norris, J.M., White, D.E. and Moules, N.J. (2017) ‘Thematic analysis: Striving to meet the trustworthiness criteria’, </w:t>
      </w:r>
      <w:r w:rsidRPr="00AD1C3A">
        <w:rPr>
          <w:rFonts w:ascii="Arial" w:hAnsi="Arial" w:cs="Arial"/>
          <w:i/>
          <w:iCs/>
        </w:rPr>
        <w:t>International Journal of Qualitative Methods</w:t>
      </w:r>
      <w:r w:rsidRPr="00AD1C3A">
        <w:rPr>
          <w:rFonts w:ascii="Arial" w:hAnsi="Arial" w:cs="Arial"/>
        </w:rPr>
        <w:t xml:space="preserve">, 16(1), pp. 1–13. Available at: </w:t>
      </w:r>
      <w:hyperlink r:id="rId52" w:tgtFrame="_new" w:history="1">
        <w:r w:rsidRPr="00AD1C3A">
          <w:rPr>
            <w:rStyle w:val="Hyperlink"/>
            <w:rFonts w:ascii="Arial" w:hAnsi="Arial" w:cs="Arial"/>
          </w:rPr>
          <w:t>https://journals.sagepub.com/doi/10.1177/1609406917733847</w:t>
        </w:r>
      </w:hyperlink>
      <w:r w:rsidRPr="00AD1C3A">
        <w:rPr>
          <w:rFonts w:ascii="Arial" w:hAnsi="Arial" w:cs="Arial"/>
        </w:rPr>
        <w:t xml:space="preserve"> (Accessed: 16 January 2026).</w:t>
      </w:r>
    </w:p>
    <w:p w14:paraId="15C3B28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O’Shea, N. (2020) </w:t>
      </w:r>
      <w:r w:rsidRPr="00AD1C3A">
        <w:rPr>
          <w:rFonts w:ascii="Arial" w:hAnsi="Arial" w:cs="Arial"/>
          <w:i/>
          <w:iCs/>
        </w:rPr>
        <w:t>Covid-19 and the nation’s mental health: Forecasting needs and risks in the UK</w:t>
      </w:r>
      <w:r w:rsidRPr="00AD1C3A">
        <w:rPr>
          <w:rFonts w:ascii="Arial" w:hAnsi="Arial" w:cs="Arial"/>
        </w:rPr>
        <w:t xml:space="preserve">. London: Centre for Mental Health. Available at: </w:t>
      </w:r>
      <w:hyperlink r:id="rId53" w:tgtFrame="_new" w:history="1">
        <w:r w:rsidRPr="00AD1C3A">
          <w:rPr>
            <w:rStyle w:val="Hyperlink"/>
            <w:rFonts w:ascii="Arial" w:hAnsi="Arial" w:cs="Arial"/>
          </w:rPr>
          <w:t>https://www.centreformentalhealth.org.uk/publications/covid-19-and-nations-mental-health</w:t>
        </w:r>
      </w:hyperlink>
      <w:r w:rsidRPr="00AD1C3A">
        <w:rPr>
          <w:rFonts w:ascii="Arial" w:hAnsi="Arial" w:cs="Arial"/>
        </w:rPr>
        <w:t xml:space="preserve"> (Accessed: 28 September 2025).</w:t>
      </w:r>
    </w:p>
    <w:p w14:paraId="0FA5D458"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Odriozola-González, P. et al. (2020) ‘Psychological effects of the COVID-19 outbreak and lockdown among students and workers of a Spanish university’, </w:t>
      </w:r>
      <w:r w:rsidRPr="00AD1C3A">
        <w:rPr>
          <w:rFonts w:ascii="Arial" w:hAnsi="Arial" w:cs="Arial"/>
          <w:i/>
          <w:iCs/>
        </w:rPr>
        <w:t>Psychiatry Research</w:t>
      </w:r>
      <w:r w:rsidRPr="00AD1C3A">
        <w:rPr>
          <w:rFonts w:ascii="Arial" w:hAnsi="Arial" w:cs="Arial"/>
        </w:rPr>
        <w:t xml:space="preserve">, 290, 113108. Available at: </w:t>
      </w:r>
      <w:hyperlink r:id="rId54" w:tgtFrame="_new" w:history="1">
        <w:r w:rsidRPr="00AD1C3A">
          <w:rPr>
            <w:rStyle w:val="Hyperlink"/>
            <w:rFonts w:ascii="Arial" w:hAnsi="Arial" w:cs="Arial"/>
          </w:rPr>
          <w:t>https://doi.org/10.1016/j.psychres.2020.113108</w:t>
        </w:r>
      </w:hyperlink>
      <w:r w:rsidRPr="00AD1C3A">
        <w:rPr>
          <w:rFonts w:ascii="Arial" w:hAnsi="Arial" w:cs="Arial"/>
        </w:rPr>
        <w:t xml:space="preserve"> (Accessed: 27 September 2025).</w:t>
      </w:r>
    </w:p>
    <w:p w14:paraId="67CFF6E1"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Office for National Statistics (2021) </w:t>
      </w:r>
      <w:r w:rsidRPr="00AD1C3A">
        <w:rPr>
          <w:rFonts w:ascii="Arial" w:hAnsi="Arial" w:cs="Arial"/>
          <w:i/>
          <w:iCs/>
        </w:rPr>
        <w:t>Coronavirus and depression in adults, Great Britain: January to March 2021</w:t>
      </w:r>
      <w:r w:rsidRPr="00AD1C3A">
        <w:rPr>
          <w:rFonts w:ascii="Arial" w:hAnsi="Arial" w:cs="Arial"/>
        </w:rPr>
        <w:t xml:space="preserve">. Available at: </w:t>
      </w:r>
      <w:hyperlink r:id="rId55" w:tgtFrame="_new" w:history="1">
        <w:r w:rsidRPr="00AD1C3A">
          <w:rPr>
            <w:rStyle w:val="Hyperlink"/>
            <w:rFonts w:ascii="Arial" w:hAnsi="Arial" w:cs="Arial"/>
          </w:rPr>
          <w:t>https://www.ons.gov.uk/peoplepopulationandcommunity/wellbeing/articles/coronavirusanddepressioninadultsgreatbritain/januarytomarch2021</w:t>
        </w:r>
      </w:hyperlink>
      <w:r w:rsidRPr="00AD1C3A">
        <w:rPr>
          <w:rFonts w:ascii="Arial" w:hAnsi="Arial" w:cs="Arial"/>
        </w:rPr>
        <w:t xml:space="preserve"> (Accessed: 16 March 2025).</w:t>
      </w:r>
    </w:p>
    <w:p w14:paraId="303EF772"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Office for National Statistics (ONS) (2020) </w:t>
      </w:r>
      <w:r w:rsidRPr="00AD1C3A">
        <w:rPr>
          <w:rFonts w:ascii="Arial" w:hAnsi="Arial" w:cs="Arial"/>
          <w:i/>
          <w:iCs/>
        </w:rPr>
        <w:t>Coronavirus and depression in adults, Great Britain: June 2020</w:t>
      </w:r>
      <w:r w:rsidRPr="00AD1C3A">
        <w:rPr>
          <w:rFonts w:ascii="Arial" w:hAnsi="Arial" w:cs="Arial"/>
        </w:rPr>
        <w:t xml:space="preserve">. Available at: </w:t>
      </w:r>
      <w:hyperlink r:id="rId56" w:tgtFrame="_new" w:history="1">
        <w:r w:rsidRPr="00AD1C3A">
          <w:rPr>
            <w:rStyle w:val="Hyperlink"/>
            <w:rFonts w:ascii="Arial" w:hAnsi="Arial" w:cs="Arial"/>
          </w:rPr>
          <w:t>https://www.ons.gov.uk/peoplepopulationandcommunity/wellbeing/articles/coronavirusanddepressioninadultsgreatbritain/june2020</w:t>
        </w:r>
      </w:hyperlink>
      <w:r w:rsidRPr="00AD1C3A">
        <w:rPr>
          <w:rFonts w:ascii="Arial" w:hAnsi="Arial" w:cs="Arial"/>
        </w:rPr>
        <w:t xml:space="preserve"> (Accessed: 28 September 2025).</w:t>
      </w:r>
    </w:p>
    <w:p w14:paraId="7AA7A4D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Organisation for Economic Co-operation and Development (OECD) (2021) </w:t>
      </w:r>
      <w:r w:rsidRPr="00AD1C3A">
        <w:rPr>
          <w:rFonts w:ascii="Arial" w:hAnsi="Arial" w:cs="Arial"/>
          <w:i/>
          <w:iCs/>
        </w:rPr>
        <w:t>Strengthening the frontline: How primary health care helps health systems adapt during the COVID-19 pandemic</w:t>
      </w:r>
      <w:r w:rsidRPr="00AD1C3A">
        <w:rPr>
          <w:rFonts w:ascii="Arial" w:hAnsi="Arial" w:cs="Arial"/>
        </w:rPr>
        <w:t xml:space="preserve">. Paris: OECD. Available at: </w:t>
      </w:r>
      <w:hyperlink r:id="rId57" w:tgtFrame="_new" w:history="1">
        <w:r w:rsidRPr="00AD1C3A">
          <w:rPr>
            <w:rStyle w:val="Hyperlink"/>
            <w:rFonts w:ascii="Arial" w:hAnsi="Arial" w:cs="Arial"/>
          </w:rPr>
          <w:t>https://www.oecd.org/health/strengthening-the-frontline-primary-health-care-and-covid-19.htm</w:t>
        </w:r>
      </w:hyperlink>
      <w:r w:rsidRPr="00AD1C3A">
        <w:rPr>
          <w:rFonts w:ascii="Arial" w:hAnsi="Arial" w:cs="Arial"/>
        </w:rPr>
        <w:t xml:space="preserve"> (Accessed: 30 September 2025).</w:t>
      </w:r>
    </w:p>
    <w:p w14:paraId="0C6C5A9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Pierce, M. et al. (2020) ‘Mental health before and during the COVID-19 pandemic: A longitudinal probability sample survey of the UK population’, </w:t>
      </w:r>
      <w:r w:rsidRPr="00AD1C3A">
        <w:rPr>
          <w:rFonts w:ascii="Arial" w:hAnsi="Arial" w:cs="Arial"/>
          <w:i/>
          <w:iCs/>
        </w:rPr>
        <w:t>The Lancet Psychiatry</w:t>
      </w:r>
      <w:r w:rsidRPr="00AD1C3A">
        <w:rPr>
          <w:rFonts w:ascii="Arial" w:hAnsi="Arial" w:cs="Arial"/>
        </w:rPr>
        <w:t xml:space="preserve">, 7(10), pp. 883–892. Available at: </w:t>
      </w:r>
      <w:hyperlink r:id="rId58" w:tgtFrame="_new" w:history="1">
        <w:r w:rsidRPr="00AD1C3A">
          <w:rPr>
            <w:rStyle w:val="Hyperlink"/>
            <w:rFonts w:ascii="Arial" w:hAnsi="Arial" w:cs="Arial"/>
          </w:rPr>
          <w:t>https://doi.org/10.1016/S2215-0366(20)30308-4</w:t>
        </w:r>
      </w:hyperlink>
      <w:r w:rsidRPr="00AD1C3A">
        <w:rPr>
          <w:rFonts w:ascii="Arial" w:hAnsi="Arial" w:cs="Arial"/>
        </w:rPr>
        <w:t>.</w:t>
      </w:r>
    </w:p>
    <w:p w14:paraId="33DC6EE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PubMed (2023) </w:t>
      </w:r>
      <w:r w:rsidRPr="00AD1C3A">
        <w:rPr>
          <w:rFonts w:ascii="Arial" w:hAnsi="Arial" w:cs="Arial"/>
          <w:i/>
          <w:iCs/>
        </w:rPr>
        <w:t xml:space="preserve">Anxiety and depression prevalence among young </w:t>
      </w:r>
      <w:proofErr w:type="gramStart"/>
      <w:r w:rsidRPr="00AD1C3A">
        <w:rPr>
          <w:rFonts w:ascii="Arial" w:hAnsi="Arial" w:cs="Arial"/>
          <w:i/>
          <w:iCs/>
        </w:rPr>
        <w:t>adults</w:t>
      </w:r>
      <w:proofErr w:type="gramEnd"/>
      <w:r w:rsidRPr="00AD1C3A">
        <w:rPr>
          <w:rFonts w:ascii="Arial" w:hAnsi="Arial" w:cs="Arial"/>
          <w:i/>
          <w:iCs/>
        </w:rPr>
        <w:t xml:space="preserve"> post-COVID-19 pandemic</w:t>
      </w:r>
      <w:r w:rsidRPr="00AD1C3A">
        <w:rPr>
          <w:rFonts w:ascii="Arial" w:hAnsi="Arial" w:cs="Arial"/>
        </w:rPr>
        <w:t xml:space="preserve">. Available at: </w:t>
      </w:r>
      <w:hyperlink r:id="rId59" w:tgtFrame="_new" w:history="1">
        <w:r w:rsidRPr="00AD1C3A">
          <w:rPr>
            <w:rStyle w:val="Hyperlink"/>
            <w:rFonts w:ascii="Arial" w:hAnsi="Arial" w:cs="Arial"/>
          </w:rPr>
          <w:t>https://pubmed.ncbi.nlm.nih.gov/37437728/</w:t>
        </w:r>
      </w:hyperlink>
      <w:r w:rsidRPr="00AD1C3A">
        <w:rPr>
          <w:rFonts w:ascii="Arial" w:hAnsi="Arial" w:cs="Arial"/>
        </w:rPr>
        <w:t xml:space="preserve"> (Accessed: 25 September 2025).</w:t>
      </w:r>
    </w:p>
    <w:p w14:paraId="2A98880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Resnik, D.B. (2020) </w:t>
      </w:r>
      <w:r w:rsidRPr="00AD1C3A">
        <w:rPr>
          <w:rFonts w:ascii="Arial" w:hAnsi="Arial" w:cs="Arial"/>
          <w:i/>
          <w:iCs/>
        </w:rPr>
        <w:t>Ethics of research with human participants: Protecting people, advancing science, promoting trust</w:t>
      </w:r>
      <w:r w:rsidRPr="00AD1C3A">
        <w:rPr>
          <w:rFonts w:ascii="Arial" w:hAnsi="Arial" w:cs="Arial"/>
        </w:rPr>
        <w:t xml:space="preserve">. Cham: Springer. Available at: </w:t>
      </w:r>
      <w:hyperlink r:id="rId60" w:tgtFrame="_new" w:history="1">
        <w:r w:rsidRPr="00AD1C3A">
          <w:rPr>
            <w:rStyle w:val="Hyperlink"/>
            <w:rFonts w:ascii="Arial" w:hAnsi="Arial" w:cs="Arial"/>
          </w:rPr>
          <w:t>https://doi.org/10.1007/978-3-030-48415-6</w:t>
        </w:r>
      </w:hyperlink>
      <w:r w:rsidRPr="00AD1C3A">
        <w:rPr>
          <w:rFonts w:ascii="Arial" w:hAnsi="Arial" w:cs="Arial"/>
        </w:rPr>
        <w:t>.</w:t>
      </w:r>
    </w:p>
    <w:p w14:paraId="38A6B5F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Scally, G., Jacobson, B. and Abbasi, K. (2020) ‘The UK’s public health response to COVID-19’, </w:t>
      </w:r>
      <w:r w:rsidRPr="00AD1C3A">
        <w:rPr>
          <w:rFonts w:ascii="Arial" w:hAnsi="Arial" w:cs="Arial"/>
          <w:i/>
          <w:iCs/>
        </w:rPr>
        <w:t>BMJ</w:t>
      </w:r>
      <w:r w:rsidRPr="00AD1C3A">
        <w:rPr>
          <w:rFonts w:ascii="Arial" w:hAnsi="Arial" w:cs="Arial"/>
        </w:rPr>
        <w:t xml:space="preserve">, 369, m1932. Available at: </w:t>
      </w:r>
      <w:hyperlink r:id="rId61" w:tgtFrame="_new" w:history="1">
        <w:r w:rsidRPr="00AD1C3A">
          <w:rPr>
            <w:rStyle w:val="Hyperlink"/>
            <w:rFonts w:ascii="Arial" w:hAnsi="Arial" w:cs="Arial"/>
          </w:rPr>
          <w:t>https://doi.org/10.1136/bmj.m1932</w:t>
        </w:r>
      </w:hyperlink>
      <w:r w:rsidRPr="00AD1C3A">
        <w:rPr>
          <w:rFonts w:ascii="Arial" w:hAnsi="Arial" w:cs="Arial"/>
        </w:rPr>
        <w:t xml:space="preserve"> (Accessed: 7 October 2025).</w:t>
      </w:r>
    </w:p>
    <w:p w14:paraId="0FB81C3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Shanahan, L. et al. (2020) ‘Emotional distress in young adults during the COVID-19 pandemic: Evidence of risk and resilience from a longitudinal cohort study’, </w:t>
      </w:r>
      <w:r w:rsidRPr="00AD1C3A">
        <w:rPr>
          <w:rFonts w:ascii="Arial" w:hAnsi="Arial" w:cs="Arial"/>
          <w:i/>
          <w:iCs/>
        </w:rPr>
        <w:t>Psychological Medicine</w:t>
      </w:r>
      <w:r w:rsidRPr="00AD1C3A">
        <w:rPr>
          <w:rFonts w:ascii="Arial" w:hAnsi="Arial" w:cs="Arial"/>
        </w:rPr>
        <w:t xml:space="preserve">, 52(5), pp. 824–833. Available at: </w:t>
      </w:r>
      <w:hyperlink r:id="rId62" w:tgtFrame="_new" w:history="1">
        <w:r w:rsidRPr="00AD1C3A">
          <w:rPr>
            <w:rStyle w:val="Hyperlink"/>
            <w:rFonts w:ascii="Arial" w:hAnsi="Arial" w:cs="Arial"/>
          </w:rPr>
          <w:t>https://doi.org/10.1017/S003329172000241X</w:t>
        </w:r>
      </w:hyperlink>
      <w:r w:rsidRPr="00AD1C3A">
        <w:rPr>
          <w:rFonts w:ascii="Arial" w:hAnsi="Arial" w:cs="Arial"/>
        </w:rPr>
        <w:t xml:space="preserve"> (Accessed: 1 October 2025).</w:t>
      </w:r>
    </w:p>
    <w:p w14:paraId="251F172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Smith, L.E. et al. (2020) ‘Adherence to the test, trace and isolate system in the UK: Results from 37 nationally representative surveys’, </w:t>
      </w:r>
      <w:r w:rsidRPr="00AD1C3A">
        <w:rPr>
          <w:rFonts w:ascii="Arial" w:hAnsi="Arial" w:cs="Arial"/>
          <w:i/>
          <w:iCs/>
        </w:rPr>
        <w:t>BMJ</w:t>
      </w:r>
      <w:r w:rsidRPr="00AD1C3A">
        <w:rPr>
          <w:rFonts w:ascii="Arial" w:hAnsi="Arial" w:cs="Arial"/>
        </w:rPr>
        <w:t xml:space="preserve">, 372, n608. Available at: </w:t>
      </w:r>
      <w:hyperlink r:id="rId63" w:tgtFrame="_new" w:history="1">
        <w:r w:rsidRPr="00AD1C3A">
          <w:rPr>
            <w:rStyle w:val="Hyperlink"/>
            <w:rFonts w:ascii="Arial" w:hAnsi="Arial" w:cs="Arial"/>
          </w:rPr>
          <w:t>https://doi.org/10.1136/bmj.n608</w:t>
        </w:r>
      </w:hyperlink>
      <w:r w:rsidRPr="00AD1C3A">
        <w:rPr>
          <w:rFonts w:ascii="Arial" w:hAnsi="Arial" w:cs="Arial"/>
        </w:rPr>
        <w:t xml:space="preserve"> (Accessed: 7 October 2025).</w:t>
      </w:r>
    </w:p>
    <w:p w14:paraId="34C86E0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Snyder, H. (2019) ‘Literature review as a research methodology: An overview and guidelines’, </w:t>
      </w:r>
      <w:r w:rsidRPr="00AD1C3A">
        <w:rPr>
          <w:rFonts w:ascii="Arial" w:hAnsi="Arial" w:cs="Arial"/>
          <w:i/>
          <w:iCs/>
        </w:rPr>
        <w:t>Journal of Business Research</w:t>
      </w:r>
      <w:r w:rsidRPr="00AD1C3A">
        <w:rPr>
          <w:rFonts w:ascii="Arial" w:hAnsi="Arial" w:cs="Arial"/>
        </w:rPr>
        <w:t xml:space="preserve">, 104, pp. 333–339. Available at: </w:t>
      </w:r>
      <w:hyperlink r:id="rId64" w:tgtFrame="_new" w:history="1">
        <w:r w:rsidRPr="00AD1C3A">
          <w:rPr>
            <w:rStyle w:val="Hyperlink"/>
            <w:rFonts w:ascii="Arial" w:hAnsi="Arial" w:cs="Arial"/>
          </w:rPr>
          <w:t>https://doi.org/10.1016/j.jbusres.2019.07.039</w:t>
        </w:r>
      </w:hyperlink>
      <w:r w:rsidRPr="00AD1C3A">
        <w:rPr>
          <w:rFonts w:ascii="Arial" w:hAnsi="Arial" w:cs="Arial"/>
        </w:rPr>
        <w:t>.</w:t>
      </w:r>
    </w:p>
    <w:p w14:paraId="08324FE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lastRenderedPageBreak/>
        <w:t xml:space="preserve">Gilburt, H. (2020) </w:t>
      </w:r>
      <w:r w:rsidRPr="00AD1C3A">
        <w:rPr>
          <w:rFonts w:ascii="Arial" w:hAnsi="Arial" w:cs="Arial"/>
          <w:i/>
          <w:iCs/>
        </w:rPr>
        <w:t>Mental health care in the time of COVID-19</w:t>
      </w:r>
      <w:r w:rsidRPr="00AD1C3A">
        <w:rPr>
          <w:rFonts w:ascii="Arial" w:hAnsi="Arial" w:cs="Arial"/>
        </w:rPr>
        <w:t xml:space="preserve">. Available at: </w:t>
      </w:r>
      <w:hyperlink r:id="rId65" w:tgtFrame="_new" w:history="1">
        <w:r w:rsidRPr="00AD1C3A">
          <w:rPr>
            <w:rStyle w:val="Hyperlink"/>
            <w:rFonts w:ascii="Arial" w:hAnsi="Arial" w:cs="Arial"/>
          </w:rPr>
          <w:t>https://www.kingsfund.org.uk/insight-and-analysis/blogs/mental-health-care-covid-19</w:t>
        </w:r>
      </w:hyperlink>
      <w:r w:rsidRPr="00AD1C3A">
        <w:rPr>
          <w:rFonts w:ascii="Arial" w:hAnsi="Arial" w:cs="Arial"/>
        </w:rPr>
        <w:t xml:space="preserve"> (Accessed: 24 January 2026).</w:t>
      </w:r>
    </w:p>
    <w:p w14:paraId="0D30E5DB"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Gross, Y. (2020) ‘Erikson’s stages of psychosocial development’, in </w:t>
      </w:r>
      <w:r w:rsidRPr="00AD1C3A">
        <w:rPr>
          <w:rFonts w:ascii="Arial" w:hAnsi="Arial" w:cs="Arial"/>
          <w:i/>
          <w:iCs/>
        </w:rPr>
        <w:t xml:space="preserve">The Wiley </w:t>
      </w:r>
      <w:proofErr w:type="spellStart"/>
      <w:r w:rsidRPr="00AD1C3A">
        <w:rPr>
          <w:rFonts w:ascii="Arial" w:hAnsi="Arial" w:cs="Arial"/>
          <w:i/>
          <w:iCs/>
        </w:rPr>
        <w:t>Encyclopedia</w:t>
      </w:r>
      <w:proofErr w:type="spellEnd"/>
      <w:r w:rsidRPr="00AD1C3A">
        <w:rPr>
          <w:rFonts w:ascii="Arial" w:hAnsi="Arial" w:cs="Arial"/>
          <w:i/>
          <w:iCs/>
        </w:rPr>
        <w:t xml:space="preserve"> of Personality and Individual Differences: Models and Theories</w:t>
      </w:r>
      <w:r w:rsidRPr="00AD1C3A">
        <w:rPr>
          <w:rFonts w:ascii="Arial" w:hAnsi="Arial" w:cs="Arial"/>
        </w:rPr>
        <w:t xml:space="preserve">. Hoboken, NJ: Wiley, pp. 179–184. Available at: </w:t>
      </w:r>
      <w:hyperlink r:id="rId66" w:tgtFrame="_new" w:history="1">
        <w:r w:rsidRPr="00AD1C3A">
          <w:rPr>
            <w:rStyle w:val="Hyperlink"/>
            <w:rFonts w:ascii="Arial" w:hAnsi="Arial" w:cs="Arial"/>
          </w:rPr>
          <w:t>https://doi.org/10.1002/9781119547143.ch31</w:t>
        </w:r>
      </w:hyperlink>
      <w:r w:rsidRPr="00AD1C3A">
        <w:rPr>
          <w:rFonts w:ascii="Arial" w:hAnsi="Arial" w:cs="Arial"/>
        </w:rPr>
        <w:t xml:space="preserve"> (Accessed: 16 January 2026).</w:t>
      </w:r>
    </w:p>
    <w:p w14:paraId="27EEC339"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The Health Foundation (2023) </w:t>
      </w:r>
      <w:r w:rsidRPr="00AD1C3A">
        <w:rPr>
          <w:rFonts w:ascii="Arial" w:hAnsi="Arial" w:cs="Arial"/>
          <w:i/>
          <w:iCs/>
        </w:rPr>
        <w:t>What is happening to young people's mental health?</w:t>
      </w:r>
      <w:r w:rsidRPr="00AD1C3A">
        <w:rPr>
          <w:rFonts w:ascii="Arial" w:hAnsi="Arial" w:cs="Arial"/>
        </w:rPr>
        <w:t xml:space="preserve"> Available at: </w:t>
      </w:r>
      <w:hyperlink r:id="rId67" w:tgtFrame="_new" w:history="1">
        <w:r w:rsidRPr="00AD1C3A">
          <w:rPr>
            <w:rStyle w:val="Hyperlink"/>
            <w:rFonts w:ascii="Arial" w:hAnsi="Arial" w:cs="Arial"/>
          </w:rPr>
          <w:t>https://www.health.org.uk/features-and-opinion/blogs/what-is-happening-to-young-people-s-mental-health?gad_source=1&amp;gclid=Cj0KCQjw7dm-BhCoARIsALFk4v9j9R4puwTTmiwA8gms3e6XxCQjNewC2pNpNKlaid-2Eq0qYLZ1m-QaAgIbEALw_wcB</w:t>
        </w:r>
      </w:hyperlink>
      <w:r w:rsidRPr="00AD1C3A">
        <w:rPr>
          <w:rFonts w:ascii="Arial" w:hAnsi="Arial" w:cs="Arial"/>
        </w:rPr>
        <w:t xml:space="preserve"> (Accessed: 16 March 2025).</w:t>
      </w:r>
    </w:p>
    <w:p w14:paraId="0DC4322F"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The King’s Fund (2023) </w:t>
      </w:r>
      <w:r w:rsidRPr="00AD1C3A">
        <w:rPr>
          <w:rFonts w:ascii="Arial" w:hAnsi="Arial" w:cs="Arial"/>
          <w:i/>
          <w:iCs/>
        </w:rPr>
        <w:t>How does the NHS compare to health care systems in other countries?</w:t>
      </w:r>
      <w:r w:rsidRPr="00AD1C3A">
        <w:rPr>
          <w:rFonts w:ascii="Arial" w:hAnsi="Arial" w:cs="Arial"/>
        </w:rPr>
        <w:t xml:space="preserve"> Available at: </w:t>
      </w:r>
      <w:hyperlink r:id="rId68" w:tgtFrame="_new" w:history="1">
        <w:r w:rsidRPr="00AD1C3A">
          <w:rPr>
            <w:rStyle w:val="Hyperlink"/>
            <w:rFonts w:ascii="Arial" w:hAnsi="Arial" w:cs="Arial"/>
          </w:rPr>
          <w:t>https://www.kingsfund.org.uk/insight-and-analysis/reports/nhs-compare-health-care-systems-other-countries</w:t>
        </w:r>
      </w:hyperlink>
      <w:r w:rsidRPr="00AD1C3A">
        <w:rPr>
          <w:rFonts w:ascii="Arial" w:hAnsi="Arial" w:cs="Arial"/>
        </w:rPr>
        <w:t xml:space="preserve"> (Accessed: 25 September 2025).</w:t>
      </w:r>
    </w:p>
    <w:p w14:paraId="3AC5EBB3"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Wiedemann, A., Jones, P.B. and Burn, A.M. (2024) ‘Impact of the COVID-19 pandemic on young adults’ mental health and beyond: A qualitative investigation nested within an ongoing general population cohort study’, </w:t>
      </w:r>
      <w:r w:rsidRPr="00AD1C3A">
        <w:rPr>
          <w:rFonts w:ascii="Arial" w:hAnsi="Arial" w:cs="Arial"/>
          <w:i/>
          <w:iCs/>
        </w:rPr>
        <w:t>Social Psychiatry and Psychiatric Epidemiology</w:t>
      </w:r>
      <w:r w:rsidRPr="00AD1C3A">
        <w:rPr>
          <w:rFonts w:ascii="Arial" w:hAnsi="Arial" w:cs="Arial"/>
        </w:rPr>
        <w:t>. Available at: https://doi.org/10.1007/s00127-024-02659-5.</w:t>
      </w:r>
    </w:p>
    <w:p w14:paraId="55EFF576"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(2019) </w:t>
      </w:r>
      <w:r w:rsidRPr="00AD1C3A">
        <w:rPr>
          <w:rFonts w:ascii="Arial" w:hAnsi="Arial" w:cs="Arial"/>
          <w:i/>
          <w:iCs/>
        </w:rPr>
        <w:t>ICD-10 Version: 2019</w:t>
      </w:r>
      <w:r w:rsidRPr="00AD1C3A">
        <w:rPr>
          <w:rFonts w:ascii="Arial" w:hAnsi="Arial" w:cs="Arial"/>
        </w:rPr>
        <w:t xml:space="preserve">. Available at: </w:t>
      </w:r>
      <w:hyperlink r:id="rId69" w:anchor="/F32" w:tgtFrame="_new" w:history="1">
        <w:r w:rsidRPr="00AD1C3A">
          <w:rPr>
            <w:rStyle w:val="Hyperlink"/>
            <w:rFonts w:ascii="Arial" w:hAnsi="Arial" w:cs="Arial"/>
          </w:rPr>
          <w:t>https://icd.who.int/browse10/2019/en#/F32</w:t>
        </w:r>
      </w:hyperlink>
      <w:r w:rsidRPr="00AD1C3A">
        <w:rPr>
          <w:rFonts w:ascii="Arial" w:hAnsi="Arial" w:cs="Arial"/>
        </w:rPr>
        <w:t xml:space="preserve"> (Accessed: 16 March 2025).</w:t>
      </w:r>
    </w:p>
    <w:p w14:paraId="71A89BF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(2020) </w:t>
      </w:r>
      <w:r w:rsidRPr="00AD1C3A">
        <w:rPr>
          <w:rFonts w:ascii="Arial" w:hAnsi="Arial" w:cs="Arial"/>
          <w:i/>
          <w:iCs/>
        </w:rPr>
        <w:t>WHO Director-General’s opening remarks at the media briefing on COVID-19 – 11 March 2020</w:t>
      </w:r>
      <w:r w:rsidRPr="00AD1C3A">
        <w:rPr>
          <w:rFonts w:ascii="Arial" w:hAnsi="Arial" w:cs="Arial"/>
        </w:rPr>
        <w:t xml:space="preserve">. Available at: </w:t>
      </w:r>
      <w:hyperlink r:id="rId70" w:tgtFrame="_new" w:history="1">
        <w:r w:rsidRPr="00AD1C3A">
          <w:rPr>
            <w:rStyle w:val="Hyperlink"/>
            <w:rFonts w:ascii="Arial" w:hAnsi="Arial" w:cs="Arial"/>
          </w:rPr>
          <w:t>https://www.who.int/director-general/speeches/detail/who-director-general-s-opening-remarks-at-the-media-briefing-on-covid-19---11-march-2020</w:t>
        </w:r>
      </w:hyperlink>
      <w:r w:rsidRPr="00AD1C3A">
        <w:rPr>
          <w:rFonts w:ascii="Arial" w:hAnsi="Arial" w:cs="Arial"/>
        </w:rPr>
        <w:t xml:space="preserve"> (Accessed: 7 October 2025).</w:t>
      </w:r>
    </w:p>
    <w:p w14:paraId="6C7516DE"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(2022) </w:t>
      </w:r>
      <w:r w:rsidRPr="00AD1C3A">
        <w:rPr>
          <w:rFonts w:ascii="Arial" w:hAnsi="Arial" w:cs="Arial"/>
          <w:i/>
          <w:iCs/>
        </w:rPr>
        <w:t>COVID-19 pandemic triggers 25% increase in prevalence of anxiety and depression worldwide</w:t>
      </w:r>
      <w:r w:rsidRPr="00AD1C3A">
        <w:rPr>
          <w:rFonts w:ascii="Arial" w:hAnsi="Arial" w:cs="Arial"/>
        </w:rPr>
        <w:t xml:space="preserve">. Available at: </w:t>
      </w:r>
      <w:hyperlink r:id="rId71" w:tgtFrame="_new" w:history="1">
        <w:r w:rsidRPr="00AD1C3A">
          <w:rPr>
            <w:rStyle w:val="Hyperlink"/>
            <w:rFonts w:ascii="Arial" w:hAnsi="Arial" w:cs="Arial"/>
          </w:rPr>
          <w:t>https://www.who.int/news/item/02-03-2022-covid-19-pandemic-triggers-25-increase-in-prevalence-of-anxiety-and-depression-worldwide</w:t>
        </w:r>
      </w:hyperlink>
      <w:r w:rsidRPr="00AD1C3A">
        <w:rPr>
          <w:rFonts w:ascii="Arial" w:hAnsi="Arial" w:cs="Arial"/>
        </w:rPr>
        <w:t xml:space="preserve"> (Accessed: 29 September 2025).</w:t>
      </w:r>
    </w:p>
    <w:p w14:paraId="5AFE856D"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(2022) </w:t>
      </w:r>
      <w:r w:rsidRPr="00AD1C3A">
        <w:rPr>
          <w:rFonts w:ascii="Arial" w:hAnsi="Arial" w:cs="Arial"/>
          <w:i/>
          <w:iCs/>
        </w:rPr>
        <w:t>Global Health Observatory data</w:t>
      </w:r>
      <w:r w:rsidRPr="00AD1C3A">
        <w:rPr>
          <w:rFonts w:ascii="Arial" w:hAnsi="Arial" w:cs="Arial"/>
        </w:rPr>
        <w:t xml:space="preserve">. Available at: </w:t>
      </w:r>
      <w:hyperlink r:id="rId72" w:tgtFrame="_new" w:history="1">
        <w:r w:rsidRPr="00AD1C3A">
          <w:rPr>
            <w:rStyle w:val="Hyperlink"/>
            <w:rFonts w:ascii="Arial" w:hAnsi="Arial" w:cs="Arial"/>
          </w:rPr>
          <w:t>https://www.who.int/data/gho</w:t>
        </w:r>
      </w:hyperlink>
      <w:r w:rsidRPr="00AD1C3A">
        <w:rPr>
          <w:rFonts w:ascii="Arial" w:hAnsi="Arial" w:cs="Arial"/>
        </w:rPr>
        <w:t xml:space="preserve"> (Accessed: 22 September 2025).</w:t>
      </w:r>
    </w:p>
    <w:p w14:paraId="71518827"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(2022) </w:t>
      </w:r>
      <w:r w:rsidRPr="00AD1C3A">
        <w:rPr>
          <w:rFonts w:ascii="Arial" w:hAnsi="Arial" w:cs="Arial"/>
          <w:i/>
          <w:iCs/>
        </w:rPr>
        <w:t>Mental health and COVID-19: Early evidence of the pandemic’s impact: Scientific brief</w:t>
      </w:r>
      <w:r w:rsidRPr="00AD1C3A">
        <w:rPr>
          <w:rFonts w:ascii="Arial" w:hAnsi="Arial" w:cs="Arial"/>
        </w:rPr>
        <w:t xml:space="preserve">. Geneva: World Health Organization. Available at: </w:t>
      </w:r>
      <w:hyperlink r:id="rId73" w:tgtFrame="_new" w:history="1">
        <w:r w:rsidRPr="00AD1C3A">
          <w:rPr>
            <w:rStyle w:val="Hyperlink"/>
            <w:rFonts w:ascii="Arial" w:hAnsi="Arial" w:cs="Arial"/>
          </w:rPr>
          <w:t>https://www.who.int/publications/i/item/WHO-2019-nCoV-Sci_Brief-Mental_health-2022.1</w:t>
        </w:r>
      </w:hyperlink>
      <w:r w:rsidRPr="00AD1C3A">
        <w:rPr>
          <w:rFonts w:ascii="Arial" w:hAnsi="Arial" w:cs="Arial"/>
        </w:rPr>
        <w:t xml:space="preserve"> (Accessed: 16 March 2025).</w:t>
      </w:r>
    </w:p>
    <w:p w14:paraId="5FE12D0A"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World Health Organization (2024) </w:t>
      </w:r>
      <w:r w:rsidRPr="00AD1C3A">
        <w:rPr>
          <w:rFonts w:ascii="Arial" w:hAnsi="Arial" w:cs="Arial"/>
          <w:i/>
          <w:iCs/>
        </w:rPr>
        <w:t>International classification of diseases (ICD)</w:t>
      </w:r>
      <w:r w:rsidRPr="00AD1C3A">
        <w:rPr>
          <w:rFonts w:ascii="Arial" w:hAnsi="Arial" w:cs="Arial"/>
        </w:rPr>
        <w:t xml:space="preserve">. Available at: </w:t>
      </w:r>
      <w:hyperlink r:id="rId74" w:tgtFrame="_new" w:history="1">
        <w:r w:rsidRPr="00AD1C3A">
          <w:rPr>
            <w:rStyle w:val="Hyperlink"/>
            <w:rFonts w:ascii="Arial" w:hAnsi="Arial" w:cs="Arial"/>
          </w:rPr>
          <w:t>https://www.who.int/standards/classifications/classification-of-diseases</w:t>
        </w:r>
      </w:hyperlink>
      <w:r w:rsidRPr="00AD1C3A">
        <w:rPr>
          <w:rFonts w:ascii="Arial" w:hAnsi="Arial" w:cs="Arial"/>
        </w:rPr>
        <w:t xml:space="preserve"> (Accessed: 16 March 2025).</w:t>
      </w:r>
    </w:p>
    <w:p w14:paraId="5C89AFA0"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Xiong, J. et al. (2020) ‘Impact of COVID-19 pandemic on mental health in the general population: A systematic review’, </w:t>
      </w:r>
      <w:r w:rsidRPr="00AD1C3A">
        <w:rPr>
          <w:rFonts w:ascii="Arial" w:hAnsi="Arial" w:cs="Arial"/>
          <w:i/>
          <w:iCs/>
        </w:rPr>
        <w:t>Journal of Affective Disorders</w:t>
      </w:r>
      <w:r w:rsidRPr="00AD1C3A">
        <w:rPr>
          <w:rFonts w:ascii="Arial" w:hAnsi="Arial" w:cs="Arial"/>
        </w:rPr>
        <w:t xml:space="preserve">, 277, pp. 55–64. Available at: </w:t>
      </w:r>
      <w:hyperlink r:id="rId75" w:tgtFrame="_new" w:history="1">
        <w:r w:rsidRPr="00AD1C3A">
          <w:rPr>
            <w:rStyle w:val="Hyperlink"/>
            <w:rFonts w:ascii="Arial" w:hAnsi="Arial" w:cs="Arial"/>
          </w:rPr>
          <w:t>https://doi.org/10.1016/j.jad.2020.08.001</w:t>
        </w:r>
      </w:hyperlink>
      <w:r w:rsidRPr="00AD1C3A">
        <w:rPr>
          <w:rFonts w:ascii="Arial" w:hAnsi="Arial" w:cs="Arial"/>
        </w:rPr>
        <w:t xml:space="preserve"> (Accessed: 26 September 2025).</w:t>
      </w:r>
    </w:p>
    <w:p w14:paraId="2923628C" w14:textId="77777777" w:rsidR="00AD1C3A" w:rsidRPr="00AD1C3A" w:rsidRDefault="00AD1C3A" w:rsidP="00AD1C3A">
      <w:pPr>
        <w:pStyle w:val="NormalWeb"/>
        <w:spacing w:before="0" w:beforeAutospacing="0" w:after="240" w:afterAutospacing="0" w:line="360" w:lineRule="auto"/>
        <w:rPr>
          <w:rFonts w:ascii="Arial" w:hAnsi="Arial" w:cs="Arial"/>
        </w:rPr>
      </w:pPr>
      <w:r w:rsidRPr="00AD1C3A">
        <w:rPr>
          <w:rFonts w:ascii="Arial" w:hAnsi="Arial" w:cs="Arial"/>
        </w:rPr>
        <w:t xml:space="preserve">Young Minds (2021) </w:t>
      </w:r>
      <w:r w:rsidRPr="00AD1C3A">
        <w:rPr>
          <w:rFonts w:ascii="Arial" w:hAnsi="Arial" w:cs="Arial"/>
          <w:i/>
          <w:iCs/>
        </w:rPr>
        <w:t>Covid impact on young people with mental health needs</w:t>
      </w:r>
      <w:r w:rsidRPr="00AD1C3A">
        <w:rPr>
          <w:rFonts w:ascii="Arial" w:hAnsi="Arial" w:cs="Arial"/>
        </w:rPr>
        <w:t xml:space="preserve">. Available at: </w:t>
      </w:r>
      <w:hyperlink r:id="rId76" w:tgtFrame="_new" w:history="1">
        <w:r w:rsidRPr="00AD1C3A">
          <w:rPr>
            <w:rStyle w:val="Hyperlink"/>
            <w:rFonts w:ascii="Arial" w:hAnsi="Arial" w:cs="Arial"/>
          </w:rPr>
          <w:t>https://www.youngminds.org.uk/about-us/reports-and-impact/coronavirus-impact-on-young-people-with-mental-health-needs/</w:t>
        </w:r>
      </w:hyperlink>
      <w:r w:rsidRPr="00AD1C3A">
        <w:rPr>
          <w:rFonts w:ascii="Arial" w:hAnsi="Arial" w:cs="Arial"/>
        </w:rPr>
        <w:t xml:space="preserve"> (Accessed: 16 March 2025).</w:t>
      </w:r>
    </w:p>
    <w:p w14:paraId="6BBCC533" w14:textId="726F968A" w:rsidR="005E3251" w:rsidRDefault="005E3251" w:rsidP="005E3251">
      <w:pPr>
        <w:pStyle w:val="NormalWeb"/>
        <w:spacing w:before="0" w:beforeAutospacing="0" w:after="240" w:afterAutospacing="0" w:line="360" w:lineRule="auto"/>
        <w:rPr>
          <w:rFonts w:ascii="Arial" w:hAnsi="Arial" w:cs="Arial"/>
        </w:rPr>
      </w:pPr>
    </w:p>
    <w:p w14:paraId="43E61A3B" w14:textId="2962102B" w:rsidR="00DA52F5" w:rsidRDefault="00DA52F5">
      <w:pPr>
        <w:spacing w:line="259" w:lineRule="auto"/>
        <w:jc w:val="left"/>
      </w:pPr>
      <w:r>
        <w:br w:type="page"/>
      </w:r>
    </w:p>
    <w:p w14:paraId="6F1E4912" w14:textId="646DFB21" w:rsidR="00C12BFD" w:rsidRDefault="00B07A76" w:rsidP="00DA52F5">
      <w:pPr>
        <w:pStyle w:val="Heading2"/>
      </w:pPr>
      <w:r w:rsidRPr="00B07A76">
        <w:lastRenderedPageBreak/>
        <w:t>Appendix A – Source Tracking and Evaluation Table</w:t>
      </w:r>
    </w:p>
    <w:p w14:paraId="47FD6636" w14:textId="115709A7" w:rsidR="00B07A76" w:rsidRPr="00B07A76" w:rsidRDefault="00B07A76" w:rsidP="00B07A76"/>
    <w:tbl>
      <w:tblPr>
        <w:tblStyle w:val="GridTable5Dark-Accent1"/>
        <w:tblW w:w="0" w:type="auto"/>
        <w:tblLook w:val="04A0" w:firstRow="1" w:lastRow="0" w:firstColumn="1" w:lastColumn="0" w:noHBand="0" w:noVBand="1"/>
      </w:tblPr>
      <w:tblGrid>
        <w:gridCol w:w="1677"/>
        <w:gridCol w:w="2667"/>
        <w:gridCol w:w="2144"/>
        <w:gridCol w:w="2528"/>
      </w:tblGrid>
      <w:tr w:rsidR="00B71D5C" w:rsidRPr="00B71D5C" w14:paraId="799A8913" w14:textId="77777777" w:rsidTr="00B71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73D353"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Author</w:t>
            </w:r>
          </w:p>
        </w:tc>
        <w:tc>
          <w:tcPr>
            <w:tcW w:w="0" w:type="auto"/>
            <w:hideMark/>
          </w:tcPr>
          <w:p w14:paraId="177EDC77" w14:textId="77777777" w:rsidR="00B71D5C" w:rsidRPr="00B71D5C" w:rsidRDefault="00B71D5C" w:rsidP="00B71D5C">
            <w:pPr>
              <w:pStyle w:val="NormalWeb"/>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Key Finding</w:t>
            </w:r>
          </w:p>
        </w:tc>
        <w:tc>
          <w:tcPr>
            <w:tcW w:w="0" w:type="auto"/>
            <w:hideMark/>
          </w:tcPr>
          <w:p w14:paraId="78DC7561" w14:textId="77777777" w:rsidR="00B71D5C" w:rsidRPr="00B71D5C" w:rsidRDefault="00B71D5C" w:rsidP="00B71D5C">
            <w:pPr>
              <w:pStyle w:val="NormalWeb"/>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Code</w:t>
            </w:r>
          </w:p>
        </w:tc>
        <w:tc>
          <w:tcPr>
            <w:tcW w:w="0" w:type="auto"/>
            <w:hideMark/>
          </w:tcPr>
          <w:p w14:paraId="3C8FF443" w14:textId="77777777" w:rsidR="00B71D5C" w:rsidRPr="00B71D5C" w:rsidRDefault="00B71D5C" w:rsidP="00B71D5C">
            <w:pPr>
              <w:pStyle w:val="NormalWeb"/>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Theme</w:t>
            </w:r>
          </w:p>
        </w:tc>
      </w:tr>
      <w:tr w:rsidR="00B71D5C" w:rsidRPr="00B71D5C" w14:paraId="161592F4" w14:textId="77777777" w:rsidTr="00B71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99CD5"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Pierce et al. (2020)</w:t>
            </w:r>
          </w:p>
        </w:tc>
        <w:tc>
          <w:tcPr>
            <w:tcW w:w="0" w:type="auto"/>
            <w:hideMark/>
          </w:tcPr>
          <w:p w14:paraId="125265D5"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Distress increased during lockdown</w:t>
            </w:r>
          </w:p>
        </w:tc>
        <w:tc>
          <w:tcPr>
            <w:tcW w:w="0" w:type="auto"/>
            <w:hideMark/>
          </w:tcPr>
          <w:p w14:paraId="7E1956AB"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Psychological distress</w:t>
            </w:r>
          </w:p>
        </w:tc>
        <w:tc>
          <w:tcPr>
            <w:tcW w:w="0" w:type="auto"/>
            <w:hideMark/>
          </w:tcPr>
          <w:p w14:paraId="2D1EEA77"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Social isolation</w:t>
            </w:r>
          </w:p>
        </w:tc>
      </w:tr>
      <w:tr w:rsidR="00B71D5C" w:rsidRPr="00B71D5C" w14:paraId="7926CA05" w14:textId="77777777" w:rsidTr="00B71D5C">
        <w:tc>
          <w:tcPr>
            <w:cnfStyle w:val="001000000000" w:firstRow="0" w:lastRow="0" w:firstColumn="1" w:lastColumn="0" w:oddVBand="0" w:evenVBand="0" w:oddHBand="0" w:evenHBand="0" w:firstRowFirstColumn="0" w:firstRowLastColumn="0" w:lastRowFirstColumn="0" w:lastRowLastColumn="0"/>
            <w:tcW w:w="0" w:type="auto"/>
            <w:hideMark/>
          </w:tcPr>
          <w:p w14:paraId="54B34533"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Banks &amp; Xu (2020)</w:t>
            </w:r>
          </w:p>
        </w:tc>
        <w:tc>
          <w:tcPr>
            <w:tcW w:w="0" w:type="auto"/>
            <w:hideMark/>
          </w:tcPr>
          <w:p w14:paraId="7C7295F5" w14:textId="77777777" w:rsidR="00B71D5C" w:rsidRPr="00B71D5C" w:rsidRDefault="00B71D5C" w:rsidP="00B71D5C">
            <w:pPr>
              <w:pStyle w:val="NormalWeb"/>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Job loss increased anxiety</w:t>
            </w:r>
          </w:p>
        </w:tc>
        <w:tc>
          <w:tcPr>
            <w:tcW w:w="0" w:type="auto"/>
            <w:hideMark/>
          </w:tcPr>
          <w:p w14:paraId="52EFCF70" w14:textId="77777777" w:rsidR="00B71D5C" w:rsidRPr="00B71D5C" w:rsidRDefault="00B71D5C" w:rsidP="00B71D5C">
            <w:pPr>
              <w:pStyle w:val="NormalWeb"/>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Financial insecurity</w:t>
            </w:r>
          </w:p>
        </w:tc>
        <w:tc>
          <w:tcPr>
            <w:tcW w:w="0" w:type="auto"/>
            <w:hideMark/>
          </w:tcPr>
          <w:p w14:paraId="54F5EA35" w14:textId="77777777" w:rsidR="00B71D5C" w:rsidRPr="00B71D5C" w:rsidRDefault="00B71D5C" w:rsidP="00B71D5C">
            <w:pPr>
              <w:pStyle w:val="NormalWeb"/>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1D5C">
              <w:rPr>
                <w:rFonts w:ascii="Arial" w:hAnsi="Arial" w:cs="Arial"/>
              </w:rPr>
              <w:t>Economic precarity</w:t>
            </w:r>
          </w:p>
        </w:tc>
      </w:tr>
      <w:tr w:rsidR="00B71D5C" w:rsidRPr="00B71D5C" w14:paraId="6E210D42" w14:textId="77777777" w:rsidTr="00B71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108B1" w14:textId="77777777" w:rsidR="00B71D5C" w:rsidRPr="00B71D5C" w:rsidRDefault="00B71D5C" w:rsidP="00B71D5C">
            <w:pPr>
              <w:pStyle w:val="NormalWeb"/>
              <w:spacing w:after="240" w:line="360" w:lineRule="auto"/>
              <w:rPr>
                <w:rFonts w:ascii="Arial" w:hAnsi="Arial" w:cs="Arial"/>
              </w:rPr>
            </w:pPr>
            <w:r w:rsidRPr="00B71D5C">
              <w:rPr>
                <w:rFonts w:ascii="Arial" w:hAnsi="Arial" w:cs="Arial"/>
              </w:rPr>
              <w:t>NHS Digital (2023)</w:t>
            </w:r>
          </w:p>
        </w:tc>
        <w:tc>
          <w:tcPr>
            <w:tcW w:w="0" w:type="auto"/>
            <w:hideMark/>
          </w:tcPr>
          <w:p w14:paraId="6E575746"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Waiting lists increased</w:t>
            </w:r>
          </w:p>
        </w:tc>
        <w:tc>
          <w:tcPr>
            <w:tcW w:w="0" w:type="auto"/>
            <w:hideMark/>
          </w:tcPr>
          <w:p w14:paraId="27BC04A1"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Service delay</w:t>
            </w:r>
          </w:p>
        </w:tc>
        <w:tc>
          <w:tcPr>
            <w:tcW w:w="0" w:type="auto"/>
            <w:hideMark/>
          </w:tcPr>
          <w:p w14:paraId="730A530D" w14:textId="77777777" w:rsidR="00B71D5C" w:rsidRPr="00B71D5C" w:rsidRDefault="00B71D5C" w:rsidP="00B71D5C">
            <w:pPr>
              <w:pStyle w:val="NormalWeb"/>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1D5C">
              <w:rPr>
                <w:rFonts w:ascii="Arial" w:hAnsi="Arial" w:cs="Arial"/>
              </w:rPr>
              <w:t>Access to mental health services</w:t>
            </w:r>
          </w:p>
        </w:tc>
      </w:tr>
    </w:tbl>
    <w:p w14:paraId="30C9EFBF" w14:textId="77777777" w:rsidR="00B71D5C" w:rsidRDefault="00B71D5C" w:rsidP="00D46BE4">
      <w:pPr>
        <w:pStyle w:val="NormalWeb"/>
        <w:spacing w:before="0" w:beforeAutospacing="0" w:after="240" w:afterAutospacing="0" w:line="360" w:lineRule="auto"/>
        <w:rPr>
          <w:rFonts w:ascii="Arial" w:hAnsi="Arial" w:cs="Arial"/>
        </w:rPr>
      </w:pPr>
    </w:p>
    <w:p w14:paraId="5CD94250" w14:textId="77777777" w:rsidR="00B07A76" w:rsidRPr="00B07A76" w:rsidRDefault="00B07A76" w:rsidP="00B07A76">
      <w:pPr>
        <w:pStyle w:val="Heading2"/>
      </w:pPr>
      <w:r w:rsidRPr="00B07A76">
        <w:t>Appendix B – Results Summary and Theme Development</w:t>
      </w:r>
    </w:p>
    <w:p w14:paraId="15D1CFDB" w14:textId="0137B256" w:rsidR="00B07A76" w:rsidRPr="00B07A76" w:rsidRDefault="00B07A76" w:rsidP="00B07A76"/>
    <w:tbl>
      <w:tblPr>
        <w:tblStyle w:val="GridTable5Dark-Accent6"/>
        <w:tblW w:w="0" w:type="auto"/>
        <w:tblLook w:val="04A0" w:firstRow="1" w:lastRow="0" w:firstColumn="1" w:lastColumn="0" w:noHBand="0" w:noVBand="1"/>
      </w:tblPr>
      <w:tblGrid>
        <w:gridCol w:w="1643"/>
        <w:gridCol w:w="2744"/>
        <w:gridCol w:w="2042"/>
        <w:gridCol w:w="2587"/>
      </w:tblGrid>
      <w:tr w:rsidR="00B07A76" w:rsidRPr="00B07A76" w14:paraId="546E562C" w14:textId="77777777" w:rsidTr="00B07A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1FC167" w14:textId="77777777" w:rsidR="00B07A76" w:rsidRPr="00B07A76" w:rsidRDefault="00B07A76" w:rsidP="00B07A76">
            <w:pPr>
              <w:spacing w:after="160"/>
            </w:pPr>
            <w:r w:rsidRPr="00B07A76">
              <w:t>Author</w:t>
            </w:r>
          </w:p>
        </w:tc>
        <w:tc>
          <w:tcPr>
            <w:tcW w:w="0" w:type="auto"/>
            <w:hideMark/>
          </w:tcPr>
          <w:p w14:paraId="364B52C7" w14:textId="77777777" w:rsidR="00B07A76" w:rsidRPr="00B07A76" w:rsidRDefault="00B07A76" w:rsidP="00B07A76">
            <w:pPr>
              <w:spacing w:after="160"/>
              <w:cnfStyle w:val="100000000000" w:firstRow="1" w:lastRow="0" w:firstColumn="0" w:lastColumn="0" w:oddVBand="0" w:evenVBand="0" w:oddHBand="0" w:evenHBand="0" w:firstRowFirstColumn="0" w:firstRowLastColumn="0" w:lastRowFirstColumn="0" w:lastRowLastColumn="0"/>
            </w:pPr>
            <w:r w:rsidRPr="00B07A76">
              <w:t>Key Finding</w:t>
            </w:r>
          </w:p>
        </w:tc>
        <w:tc>
          <w:tcPr>
            <w:tcW w:w="0" w:type="auto"/>
            <w:hideMark/>
          </w:tcPr>
          <w:p w14:paraId="02B36547" w14:textId="77777777" w:rsidR="00B07A76" w:rsidRPr="00B07A76" w:rsidRDefault="00B07A76" w:rsidP="00B07A76">
            <w:pPr>
              <w:spacing w:after="160"/>
              <w:cnfStyle w:val="100000000000" w:firstRow="1" w:lastRow="0" w:firstColumn="0" w:lastColumn="0" w:oddVBand="0" w:evenVBand="0" w:oddHBand="0" w:evenHBand="0" w:firstRowFirstColumn="0" w:firstRowLastColumn="0" w:lastRowFirstColumn="0" w:lastRowLastColumn="0"/>
            </w:pPr>
            <w:r w:rsidRPr="00B07A76">
              <w:t>Code</w:t>
            </w:r>
          </w:p>
        </w:tc>
        <w:tc>
          <w:tcPr>
            <w:tcW w:w="0" w:type="auto"/>
            <w:hideMark/>
          </w:tcPr>
          <w:p w14:paraId="3741051F" w14:textId="77777777" w:rsidR="00B07A76" w:rsidRPr="00B07A76" w:rsidRDefault="00B07A76" w:rsidP="00B07A76">
            <w:pPr>
              <w:spacing w:after="160"/>
              <w:cnfStyle w:val="100000000000" w:firstRow="1" w:lastRow="0" w:firstColumn="0" w:lastColumn="0" w:oddVBand="0" w:evenVBand="0" w:oddHBand="0" w:evenHBand="0" w:firstRowFirstColumn="0" w:firstRowLastColumn="0" w:lastRowFirstColumn="0" w:lastRowLastColumn="0"/>
            </w:pPr>
            <w:r w:rsidRPr="00B07A76">
              <w:t>Theme</w:t>
            </w:r>
          </w:p>
        </w:tc>
      </w:tr>
      <w:tr w:rsidR="00B07A76" w:rsidRPr="00B07A76" w14:paraId="7138A6C7" w14:textId="77777777" w:rsidTr="00B07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ECB3A6" w14:textId="77777777" w:rsidR="00B07A76" w:rsidRPr="00B07A76" w:rsidRDefault="00B07A76" w:rsidP="00B07A76">
            <w:pPr>
              <w:spacing w:after="160"/>
            </w:pPr>
            <w:r w:rsidRPr="00B07A76">
              <w:t>Pierce et al. (2020)</w:t>
            </w:r>
          </w:p>
        </w:tc>
        <w:tc>
          <w:tcPr>
            <w:tcW w:w="0" w:type="auto"/>
            <w:hideMark/>
          </w:tcPr>
          <w:p w14:paraId="3EB49CBB"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Distress increased during lockdown</w:t>
            </w:r>
          </w:p>
        </w:tc>
        <w:tc>
          <w:tcPr>
            <w:tcW w:w="0" w:type="auto"/>
            <w:hideMark/>
          </w:tcPr>
          <w:p w14:paraId="31ED78F8"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Psychological distress</w:t>
            </w:r>
          </w:p>
        </w:tc>
        <w:tc>
          <w:tcPr>
            <w:tcW w:w="0" w:type="auto"/>
            <w:hideMark/>
          </w:tcPr>
          <w:p w14:paraId="7E467D0F"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Social isolation</w:t>
            </w:r>
          </w:p>
        </w:tc>
      </w:tr>
      <w:tr w:rsidR="00B07A76" w:rsidRPr="00B07A76" w14:paraId="51BE31E4" w14:textId="77777777" w:rsidTr="00B07A76">
        <w:tc>
          <w:tcPr>
            <w:cnfStyle w:val="001000000000" w:firstRow="0" w:lastRow="0" w:firstColumn="1" w:lastColumn="0" w:oddVBand="0" w:evenVBand="0" w:oddHBand="0" w:evenHBand="0" w:firstRowFirstColumn="0" w:firstRowLastColumn="0" w:lastRowFirstColumn="0" w:lastRowLastColumn="0"/>
            <w:tcW w:w="0" w:type="auto"/>
            <w:hideMark/>
          </w:tcPr>
          <w:p w14:paraId="256303BA" w14:textId="77777777" w:rsidR="00B07A76" w:rsidRPr="00B07A76" w:rsidRDefault="00B07A76" w:rsidP="00B07A76">
            <w:pPr>
              <w:spacing w:after="160"/>
            </w:pPr>
            <w:r w:rsidRPr="00B07A76">
              <w:t>Banks &amp; Xu (2020)</w:t>
            </w:r>
          </w:p>
        </w:tc>
        <w:tc>
          <w:tcPr>
            <w:tcW w:w="0" w:type="auto"/>
            <w:hideMark/>
          </w:tcPr>
          <w:p w14:paraId="6292AB8B" w14:textId="77777777" w:rsidR="00B07A76" w:rsidRPr="00B07A76" w:rsidRDefault="00B07A76" w:rsidP="00B07A76">
            <w:pPr>
              <w:spacing w:after="160"/>
              <w:cnfStyle w:val="000000000000" w:firstRow="0" w:lastRow="0" w:firstColumn="0" w:lastColumn="0" w:oddVBand="0" w:evenVBand="0" w:oddHBand="0" w:evenHBand="0" w:firstRowFirstColumn="0" w:firstRowLastColumn="0" w:lastRowFirstColumn="0" w:lastRowLastColumn="0"/>
            </w:pPr>
            <w:r w:rsidRPr="00B07A76">
              <w:t>Job loss increased anxiety</w:t>
            </w:r>
          </w:p>
        </w:tc>
        <w:tc>
          <w:tcPr>
            <w:tcW w:w="0" w:type="auto"/>
            <w:hideMark/>
          </w:tcPr>
          <w:p w14:paraId="2FCBDD72" w14:textId="77777777" w:rsidR="00B07A76" w:rsidRPr="00B07A76" w:rsidRDefault="00B07A76" w:rsidP="00B07A76">
            <w:pPr>
              <w:spacing w:after="160"/>
              <w:cnfStyle w:val="000000000000" w:firstRow="0" w:lastRow="0" w:firstColumn="0" w:lastColumn="0" w:oddVBand="0" w:evenVBand="0" w:oddHBand="0" w:evenHBand="0" w:firstRowFirstColumn="0" w:firstRowLastColumn="0" w:lastRowFirstColumn="0" w:lastRowLastColumn="0"/>
            </w:pPr>
            <w:r w:rsidRPr="00B07A76">
              <w:t>Financial insecurity</w:t>
            </w:r>
          </w:p>
        </w:tc>
        <w:tc>
          <w:tcPr>
            <w:tcW w:w="0" w:type="auto"/>
            <w:hideMark/>
          </w:tcPr>
          <w:p w14:paraId="3AFB321C" w14:textId="77777777" w:rsidR="00B07A76" w:rsidRPr="00B07A76" w:rsidRDefault="00B07A76" w:rsidP="00B07A76">
            <w:pPr>
              <w:spacing w:after="160"/>
              <w:cnfStyle w:val="000000000000" w:firstRow="0" w:lastRow="0" w:firstColumn="0" w:lastColumn="0" w:oddVBand="0" w:evenVBand="0" w:oddHBand="0" w:evenHBand="0" w:firstRowFirstColumn="0" w:firstRowLastColumn="0" w:lastRowFirstColumn="0" w:lastRowLastColumn="0"/>
            </w:pPr>
            <w:r w:rsidRPr="00B07A76">
              <w:t>Economic precarity</w:t>
            </w:r>
          </w:p>
        </w:tc>
      </w:tr>
      <w:tr w:rsidR="00B07A76" w:rsidRPr="00B07A76" w14:paraId="252FC9EE" w14:textId="77777777" w:rsidTr="00B07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CC9E1" w14:textId="77777777" w:rsidR="00B07A76" w:rsidRPr="00B07A76" w:rsidRDefault="00B07A76" w:rsidP="00B07A76">
            <w:pPr>
              <w:spacing w:after="160"/>
            </w:pPr>
            <w:r w:rsidRPr="00B07A76">
              <w:t>NHS Digital (2023)</w:t>
            </w:r>
          </w:p>
        </w:tc>
        <w:tc>
          <w:tcPr>
            <w:tcW w:w="0" w:type="auto"/>
            <w:hideMark/>
          </w:tcPr>
          <w:p w14:paraId="1C296C3F"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Waiting lists increased</w:t>
            </w:r>
          </w:p>
        </w:tc>
        <w:tc>
          <w:tcPr>
            <w:tcW w:w="0" w:type="auto"/>
            <w:hideMark/>
          </w:tcPr>
          <w:p w14:paraId="7C2A6681"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Service delay</w:t>
            </w:r>
          </w:p>
        </w:tc>
        <w:tc>
          <w:tcPr>
            <w:tcW w:w="0" w:type="auto"/>
            <w:hideMark/>
          </w:tcPr>
          <w:p w14:paraId="01AB56DB" w14:textId="77777777" w:rsidR="00B07A76" w:rsidRPr="00B07A76" w:rsidRDefault="00B07A76" w:rsidP="00B07A76">
            <w:pPr>
              <w:spacing w:after="160"/>
              <w:cnfStyle w:val="000000100000" w:firstRow="0" w:lastRow="0" w:firstColumn="0" w:lastColumn="0" w:oddVBand="0" w:evenVBand="0" w:oddHBand="1" w:evenHBand="0" w:firstRowFirstColumn="0" w:firstRowLastColumn="0" w:lastRowFirstColumn="0" w:lastRowLastColumn="0"/>
            </w:pPr>
            <w:r w:rsidRPr="00B07A76">
              <w:t>Access to mental health services</w:t>
            </w:r>
          </w:p>
        </w:tc>
      </w:tr>
    </w:tbl>
    <w:p w14:paraId="229BD543" w14:textId="77777777" w:rsidR="00B07A76" w:rsidRPr="0070099E" w:rsidRDefault="00B07A76" w:rsidP="0020442C"/>
    <w:p w14:paraId="154DEA03" w14:textId="77777777" w:rsidR="0020442C" w:rsidRPr="00E446F4" w:rsidRDefault="0020442C" w:rsidP="0020442C"/>
    <w:p w14:paraId="073A0E0A" w14:textId="77777777" w:rsidR="0020442C" w:rsidRDefault="0020442C" w:rsidP="00D46BE4">
      <w:pPr>
        <w:pStyle w:val="NormalWeb"/>
        <w:spacing w:before="0" w:beforeAutospacing="0" w:after="240" w:afterAutospacing="0" w:line="360" w:lineRule="auto"/>
        <w:rPr>
          <w:rFonts w:ascii="Arial" w:hAnsi="Arial" w:cs="Arial"/>
        </w:rPr>
      </w:pPr>
    </w:p>
    <w:p w14:paraId="2DEFFA73" w14:textId="77777777" w:rsidR="00D46BE4" w:rsidRDefault="00D46BE4"/>
    <w:p w14:paraId="417E5551" w14:textId="77777777" w:rsidR="00B07A76" w:rsidRDefault="00B07A76"/>
    <w:sectPr w:rsidR="00B07A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BE538" w14:textId="77777777" w:rsidR="00300C9A" w:rsidRDefault="00300C9A" w:rsidP="00211184">
      <w:pPr>
        <w:spacing w:after="0" w:line="240" w:lineRule="auto"/>
      </w:pPr>
      <w:r>
        <w:separator/>
      </w:r>
    </w:p>
  </w:endnote>
  <w:endnote w:type="continuationSeparator" w:id="0">
    <w:p w14:paraId="0D770A64" w14:textId="77777777" w:rsidR="00300C9A" w:rsidRDefault="00300C9A"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841A1" w14:textId="77777777" w:rsidR="00300C9A" w:rsidRDefault="00300C9A" w:rsidP="00211184">
      <w:pPr>
        <w:spacing w:after="0" w:line="240" w:lineRule="auto"/>
      </w:pPr>
      <w:r>
        <w:separator/>
      </w:r>
    </w:p>
  </w:footnote>
  <w:footnote w:type="continuationSeparator" w:id="0">
    <w:p w14:paraId="1B14B30A" w14:textId="77777777" w:rsidR="00300C9A" w:rsidRDefault="00300C9A"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33F6D56"/>
    <w:multiLevelType w:val="multilevel"/>
    <w:tmpl w:val="B936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EEE3422"/>
    <w:multiLevelType w:val="multilevel"/>
    <w:tmpl w:val="6242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5943392A"/>
    <w:multiLevelType w:val="multilevel"/>
    <w:tmpl w:val="A46C6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668E320C"/>
    <w:multiLevelType w:val="multilevel"/>
    <w:tmpl w:val="6908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0D65CA"/>
    <w:multiLevelType w:val="multilevel"/>
    <w:tmpl w:val="943C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2213107">
    <w:abstractNumId w:val="23"/>
  </w:num>
  <w:num w:numId="2" w16cid:durableId="1790927071">
    <w:abstractNumId w:val="16"/>
  </w:num>
  <w:num w:numId="3" w16cid:durableId="1092819689">
    <w:abstractNumId w:val="81"/>
  </w:num>
  <w:num w:numId="4" w16cid:durableId="1500121260">
    <w:abstractNumId w:val="44"/>
  </w:num>
  <w:num w:numId="5" w16cid:durableId="438111508">
    <w:abstractNumId w:val="74"/>
  </w:num>
  <w:num w:numId="6" w16cid:durableId="106121269">
    <w:abstractNumId w:val="14"/>
  </w:num>
  <w:num w:numId="7" w16cid:durableId="1859468656">
    <w:abstractNumId w:val="86"/>
  </w:num>
  <w:num w:numId="8" w16cid:durableId="407923627">
    <w:abstractNumId w:val="84"/>
  </w:num>
  <w:num w:numId="9" w16cid:durableId="1173763238">
    <w:abstractNumId w:val="55"/>
  </w:num>
  <w:num w:numId="10" w16cid:durableId="515197422">
    <w:abstractNumId w:val="38"/>
  </w:num>
  <w:num w:numId="11" w16cid:durableId="650984044">
    <w:abstractNumId w:val="11"/>
  </w:num>
  <w:num w:numId="12" w16cid:durableId="676225712">
    <w:abstractNumId w:val="78"/>
  </w:num>
  <w:num w:numId="13" w16cid:durableId="654647421">
    <w:abstractNumId w:val="54"/>
  </w:num>
  <w:num w:numId="14" w16cid:durableId="972827862">
    <w:abstractNumId w:val="56"/>
  </w:num>
  <w:num w:numId="15" w16cid:durableId="73359902">
    <w:abstractNumId w:val="36"/>
  </w:num>
  <w:num w:numId="16" w16cid:durableId="1233615214">
    <w:abstractNumId w:val="8"/>
  </w:num>
  <w:num w:numId="17" w16cid:durableId="1037585576">
    <w:abstractNumId w:val="83"/>
  </w:num>
  <w:num w:numId="18" w16cid:durableId="1454127918">
    <w:abstractNumId w:val="70"/>
  </w:num>
  <w:num w:numId="19" w16cid:durableId="1655717882">
    <w:abstractNumId w:val="27"/>
  </w:num>
  <w:num w:numId="20" w16cid:durableId="679818721">
    <w:abstractNumId w:val="5"/>
  </w:num>
  <w:num w:numId="21" w16cid:durableId="820851363">
    <w:abstractNumId w:val="1"/>
  </w:num>
  <w:num w:numId="22" w16cid:durableId="1752123437">
    <w:abstractNumId w:val="48"/>
  </w:num>
  <w:num w:numId="23" w16cid:durableId="776406381">
    <w:abstractNumId w:val="7"/>
  </w:num>
  <w:num w:numId="24" w16cid:durableId="2003772795">
    <w:abstractNumId w:val="88"/>
  </w:num>
  <w:num w:numId="25" w16cid:durableId="471214588">
    <w:abstractNumId w:val="6"/>
  </w:num>
  <w:num w:numId="26" w16cid:durableId="747188340">
    <w:abstractNumId w:val="73"/>
  </w:num>
  <w:num w:numId="27" w16cid:durableId="1617635105">
    <w:abstractNumId w:val="15"/>
  </w:num>
  <w:num w:numId="28" w16cid:durableId="1919750537">
    <w:abstractNumId w:val="79"/>
  </w:num>
  <w:num w:numId="29" w16cid:durableId="1917666381">
    <w:abstractNumId w:val="2"/>
  </w:num>
  <w:num w:numId="30" w16cid:durableId="836925604">
    <w:abstractNumId w:val="68"/>
  </w:num>
  <w:num w:numId="31" w16cid:durableId="881479433">
    <w:abstractNumId w:val="58"/>
  </w:num>
  <w:num w:numId="32" w16cid:durableId="164788852">
    <w:abstractNumId w:val="62"/>
  </w:num>
  <w:num w:numId="33" w16cid:durableId="735323509">
    <w:abstractNumId w:val="13"/>
  </w:num>
  <w:num w:numId="34" w16cid:durableId="1000431254">
    <w:abstractNumId w:val="35"/>
  </w:num>
  <w:num w:numId="35" w16cid:durableId="434404662">
    <w:abstractNumId w:val="20"/>
  </w:num>
  <w:num w:numId="36" w16cid:durableId="792409853">
    <w:abstractNumId w:val="42"/>
  </w:num>
  <w:num w:numId="37" w16cid:durableId="70469880">
    <w:abstractNumId w:val="46"/>
  </w:num>
  <w:num w:numId="38" w16cid:durableId="1255548974">
    <w:abstractNumId w:val="41"/>
  </w:num>
  <w:num w:numId="39" w16cid:durableId="509951972">
    <w:abstractNumId w:val="31"/>
  </w:num>
  <w:num w:numId="40" w16cid:durableId="1491873496">
    <w:abstractNumId w:val="51"/>
  </w:num>
  <w:num w:numId="41" w16cid:durableId="1277179892">
    <w:abstractNumId w:val="61"/>
  </w:num>
  <w:num w:numId="42" w16cid:durableId="1137721610">
    <w:abstractNumId w:val="47"/>
  </w:num>
  <w:num w:numId="43" w16cid:durableId="1569337486">
    <w:abstractNumId w:val="89"/>
  </w:num>
  <w:num w:numId="44" w16cid:durableId="1771851078">
    <w:abstractNumId w:val="3"/>
  </w:num>
  <w:num w:numId="45" w16cid:durableId="1096747610">
    <w:abstractNumId w:val="19"/>
  </w:num>
  <w:num w:numId="46" w16cid:durableId="1853105471">
    <w:abstractNumId w:val="71"/>
  </w:num>
  <w:num w:numId="47" w16cid:durableId="2016615092">
    <w:abstractNumId w:val="43"/>
  </w:num>
  <w:num w:numId="48" w16cid:durableId="439030946">
    <w:abstractNumId w:val="59"/>
  </w:num>
  <w:num w:numId="49" w16cid:durableId="315690756">
    <w:abstractNumId w:val="32"/>
  </w:num>
  <w:num w:numId="50" w16cid:durableId="1252278660">
    <w:abstractNumId w:val="10"/>
  </w:num>
  <w:num w:numId="51" w16cid:durableId="1719351677">
    <w:abstractNumId w:val="64"/>
  </w:num>
  <w:num w:numId="52" w16cid:durableId="1107427397">
    <w:abstractNumId w:val="22"/>
  </w:num>
  <w:num w:numId="53" w16cid:durableId="371266753">
    <w:abstractNumId w:val="60"/>
  </w:num>
  <w:num w:numId="54" w16cid:durableId="491869272">
    <w:abstractNumId w:val="26"/>
  </w:num>
  <w:num w:numId="55" w16cid:durableId="1351251430">
    <w:abstractNumId w:val="63"/>
  </w:num>
  <w:num w:numId="56" w16cid:durableId="1368607436">
    <w:abstractNumId w:val="80"/>
  </w:num>
  <w:num w:numId="57" w16cid:durableId="1588029100">
    <w:abstractNumId w:val="85"/>
  </w:num>
  <w:num w:numId="58" w16cid:durableId="415832180">
    <w:abstractNumId w:val="75"/>
  </w:num>
  <w:num w:numId="59" w16cid:durableId="1178735139">
    <w:abstractNumId w:val="37"/>
  </w:num>
  <w:num w:numId="60" w16cid:durableId="721834200">
    <w:abstractNumId w:val="45"/>
  </w:num>
  <w:num w:numId="61" w16cid:durableId="686251813">
    <w:abstractNumId w:val="0"/>
  </w:num>
  <w:num w:numId="62" w16cid:durableId="1960641414">
    <w:abstractNumId w:val="12"/>
  </w:num>
  <w:num w:numId="63" w16cid:durableId="39089564">
    <w:abstractNumId w:val="40"/>
  </w:num>
  <w:num w:numId="64" w16cid:durableId="1192718157">
    <w:abstractNumId w:val="18"/>
  </w:num>
  <w:num w:numId="65" w16cid:durableId="1777825955">
    <w:abstractNumId w:val="65"/>
  </w:num>
  <w:num w:numId="66" w16cid:durableId="286199487">
    <w:abstractNumId w:val="24"/>
  </w:num>
  <w:num w:numId="67" w16cid:durableId="1119490663">
    <w:abstractNumId w:val="50"/>
  </w:num>
  <w:num w:numId="68" w16cid:durableId="1353922786">
    <w:abstractNumId w:val="28"/>
  </w:num>
  <w:num w:numId="69" w16cid:durableId="492723980">
    <w:abstractNumId w:val="53"/>
  </w:num>
  <w:num w:numId="70" w16cid:durableId="526941613">
    <w:abstractNumId w:val="29"/>
  </w:num>
  <w:num w:numId="71" w16cid:durableId="320043301">
    <w:abstractNumId w:val="52"/>
  </w:num>
  <w:num w:numId="72" w16cid:durableId="2037610982">
    <w:abstractNumId w:val="4"/>
  </w:num>
  <w:num w:numId="73" w16cid:durableId="1079794559">
    <w:abstractNumId w:val="34"/>
  </w:num>
  <w:num w:numId="74" w16cid:durableId="503403534">
    <w:abstractNumId w:val="30"/>
  </w:num>
  <w:num w:numId="75" w16cid:durableId="194734275">
    <w:abstractNumId w:val="9"/>
  </w:num>
  <w:num w:numId="76" w16cid:durableId="424033359">
    <w:abstractNumId w:val="39"/>
  </w:num>
  <w:num w:numId="77" w16cid:durableId="1335066293">
    <w:abstractNumId w:val="72"/>
  </w:num>
  <w:num w:numId="78" w16cid:durableId="662587085">
    <w:abstractNumId w:val="33"/>
  </w:num>
  <w:num w:numId="79" w16cid:durableId="2071072074">
    <w:abstractNumId w:val="67"/>
  </w:num>
  <w:num w:numId="80" w16cid:durableId="1573662111">
    <w:abstractNumId w:val="82"/>
  </w:num>
  <w:num w:numId="81" w16cid:durableId="131678057">
    <w:abstractNumId w:val="76"/>
  </w:num>
  <w:num w:numId="82" w16cid:durableId="2103643901">
    <w:abstractNumId w:val="66"/>
  </w:num>
  <w:num w:numId="83" w16cid:durableId="99565733">
    <w:abstractNumId w:val="25"/>
  </w:num>
  <w:num w:numId="84" w16cid:durableId="834734195">
    <w:abstractNumId w:val="17"/>
  </w:num>
  <w:num w:numId="85" w16cid:durableId="215900309">
    <w:abstractNumId w:val="69"/>
  </w:num>
  <w:num w:numId="86" w16cid:durableId="1937054150">
    <w:abstractNumId w:val="77"/>
  </w:num>
  <w:num w:numId="87" w16cid:durableId="1208763282">
    <w:abstractNumId w:val="87"/>
  </w:num>
  <w:num w:numId="88" w16cid:durableId="1402824519">
    <w:abstractNumId w:val="49"/>
  </w:num>
  <w:num w:numId="89" w16cid:durableId="1883207905">
    <w:abstractNumId w:val="57"/>
  </w:num>
  <w:num w:numId="90" w16cid:durableId="300233597">
    <w:abstractNumId w:val="2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2Njc2Mze3NDM3MzRU0lEKTi0uzszPAykwqQUAX3ImGiwAAAA="/>
  </w:docVars>
  <w:rsids>
    <w:rsidRoot w:val="00BB65AC"/>
    <w:rsid w:val="000264A2"/>
    <w:rsid w:val="00031A8C"/>
    <w:rsid w:val="000345DE"/>
    <w:rsid w:val="00036979"/>
    <w:rsid w:val="00063B4C"/>
    <w:rsid w:val="00065212"/>
    <w:rsid w:val="00074F7D"/>
    <w:rsid w:val="000905FF"/>
    <w:rsid w:val="000A625D"/>
    <w:rsid w:val="000B0F33"/>
    <w:rsid w:val="000D05D8"/>
    <w:rsid w:val="000D0641"/>
    <w:rsid w:val="000D2B00"/>
    <w:rsid w:val="000D3914"/>
    <w:rsid w:val="000F0D08"/>
    <w:rsid w:val="00121A29"/>
    <w:rsid w:val="00183B4C"/>
    <w:rsid w:val="001C3AF6"/>
    <w:rsid w:val="001D0389"/>
    <w:rsid w:val="001D1485"/>
    <w:rsid w:val="001F19A6"/>
    <w:rsid w:val="001F5EDD"/>
    <w:rsid w:val="001F7231"/>
    <w:rsid w:val="0020069B"/>
    <w:rsid w:val="0020442C"/>
    <w:rsid w:val="00211184"/>
    <w:rsid w:val="0021364B"/>
    <w:rsid w:val="00221AEB"/>
    <w:rsid w:val="0025020C"/>
    <w:rsid w:val="0025172C"/>
    <w:rsid w:val="00251B25"/>
    <w:rsid w:val="00256951"/>
    <w:rsid w:val="002570B2"/>
    <w:rsid w:val="00272006"/>
    <w:rsid w:val="002865F5"/>
    <w:rsid w:val="00292A36"/>
    <w:rsid w:val="002A469A"/>
    <w:rsid w:val="002C16CE"/>
    <w:rsid w:val="002D64A3"/>
    <w:rsid w:val="002F5E53"/>
    <w:rsid w:val="00300C9A"/>
    <w:rsid w:val="003108C0"/>
    <w:rsid w:val="003135AD"/>
    <w:rsid w:val="00315949"/>
    <w:rsid w:val="00326024"/>
    <w:rsid w:val="00330E31"/>
    <w:rsid w:val="0034275D"/>
    <w:rsid w:val="00362154"/>
    <w:rsid w:val="00367276"/>
    <w:rsid w:val="00393F39"/>
    <w:rsid w:val="0039449E"/>
    <w:rsid w:val="003A3F82"/>
    <w:rsid w:val="003A66FD"/>
    <w:rsid w:val="003B1E32"/>
    <w:rsid w:val="003B2686"/>
    <w:rsid w:val="004058BC"/>
    <w:rsid w:val="00425138"/>
    <w:rsid w:val="004255A9"/>
    <w:rsid w:val="00455E53"/>
    <w:rsid w:val="00486BF6"/>
    <w:rsid w:val="004B2D36"/>
    <w:rsid w:val="004D4021"/>
    <w:rsid w:val="004E3039"/>
    <w:rsid w:val="004F7C55"/>
    <w:rsid w:val="005446BF"/>
    <w:rsid w:val="0055147E"/>
    <w:rsid w:val="00553DAE"/>
    <w:rsid w:val="00582828"/>
    <w:rsid w:val="005B6E67"/>
    <w:rsid w:val="005C5E80"/>
    <w:rsid w:val="005D7A1E"/>
    <w:rsid w:val="005E1650"/>
    <w:rsid w:val="005E3251"/>
    <w:rsid w:val="005F302C"/>
    <w:rsid w:val="00603A8F"/>
    <w:rsid w:val="00604A87"/>
    <w:rsid w:val="00621776"/>
    <w:rsid w:val="00621872"/>
    <w:rsid w:val="00636D9A"/>
    <w:rsid w:val="00673E6E"/>
    <w:rsid w:val="006847DE"/>
    <w:rsid w:val="006A3F0D"/>
    <w:rsid w:val="006A4515"/>
    <w:rsid w:val="006C1B3B"/>
    <w:rsid w:val="006C78AA"/>
    <w:rsid w:val="006F03EF"/>
    <w:rsid w:val="006F04D4"/>
    <w:rsid w:val="006F4AB2"/>
    <w:rsid w:val="006F58E3"/>
    <w:rsid w:val="007063BA"/>
    <w:rsid w:val="00717196"/>
    <w:rsid w:val="007306CD"/>
    <w:rsid w:val="00730C3C"/>
    <w:rsid w:val="0073280B"/>
    <w:rsid w:val="00761F24"/>
    <w:rsid w:val="0077163A"/>
    <w:rsid w:val="007716E8"/>
    <w:rsid w:val="00776A50"/>
    <w:rsid w:val="00785752"/>
    <w:rsid w:val="00797978"/>
    <w:rsid w:val="007A59C8"/>
    <w:rsid w:val="007A712E"/>
    <w:rsid w:val="007C246B"/>
    <w:rsid w:val="007C55B8"/>
    <w:rsid w:val="007C685B"/>
    <w:rsid w:val="007D2588"/>
    <w:rsid w:val="007D52FD"/>
    <w:rsid w:val="008026CD"/>
    <w:rsid w:val="00804B94"/>
    <w:rsid w:val="00807B11"/>
    <w:rsid w:val="008200BE"/>
    <w:rsid w:val="0082776B"/>
    <w:rsid w:val="008345E6"/>
    <w:rsid w:val="008478AE"/>
    <w:rsid w:val="008552ED"/>
    <w:rsid w:val="00880B2D"/>
    <w:rsid w:val="00883AB0"/>
    <w:rsid w:val="00894108"/>
    <w:rsid w:val="008B0EFA"/>
    <w:rsid w:val="008B1DFA"/>
    <w:rsid w:val="008C38C3"/>
    <w:rsid w:val="008D6F0F"/>
    <w:rsid w:val="008E7B2E"/>
    <w:rsid w:val="00907E97"/>
    <w:rsid w:val="00916814"/>
    <w:rsid w:val="00984CA3"/>
    <w:rsid w:val="00995444"/>
    <w:rsid w:val="00996F34"/>
    <w:rsid w:val="009C2DB7"/>
    <w:rsid w:val="009C752E"/>
    <w:rsid w:val="009D06C5"/>
    <w:rsid w:val="009D534C"/>
    <w:rsid w:val="009D5DE0"/>
    <w:rsid w:val="009D728C"/>
    <w:rsid w:val="009E5B14"/>
    <w:rsid w:val="009E6EFC"/>
    <w:rsid w:val="00A54DA3"/>
    <w:rsid w:val="00A61A87"/>
    <w:rsid w:val="00A765BC"/>
    <w:rsid w:val="00A77BE1"/>
    <w:rsid w:val="00A90A7A"/>
    <w:rsid w:val="00AA437C"/>
    <w:rsid w:val="00AB56E2"/>
    <w:rsid w:val="00AB5D0A"/>
    <w:rsid w:val="00AB78F0"/>
    <w:rsid w:val="00AC6416"/>
    <w:rsid w:val="00AD1C3A"/>
    <w:rsid w:val="00AD524A"/>
    <w:rsid w:val="00B01396"/>
    <w:rsid w:val="00B0553D"/>
    <w:rsid w:val="00B07A76"/>
    <w:rsid w:val="00B51D8A"/>
    <w:rsid w:val="00B71B00"/>
    <w:rsid w:val="00B71D5C"/>
    <w:rsid w:val="00B81548"/>
    <w:rsid w:val="00B858A1"/>
    <w:rsid w:val="00B93BE9"/>
    <w:rsid w:val="00BB4079"/>
    <w:rsid w:val="00BB65AC"/>
    <w:rsid w:val="00BD2909"/>
    <w:rsid w:val="00BF69BB"/>
    <w:rsid w:val="00C06DA2"/>
    <w:rsid w:val="00C10A89"/>
    <w:rsid w:val="00C12BFD"/>
    <w:rsid w:val="00C21BB6"/>
    <w:rsid w:val="00C23DCB"/>
    <w:rsid w:val="00C566F4"/>
    <w:rsid w:val="00C91479"/>
    <w:rsid w:val="00C93D97"/>
    <w:rsid w:val="00CB3AF6"/>
    <w:rsid w:val="00CB3C13"/>
    <w:rsid w:val="00CB6B1A"/>
    <w:rsid w:val="00CD219F"/>
    <w:rsid w:val="00CE620E"/>
    <w:rsid w:val="00CF1ED5"/>
    <w:rsid w:val="00CF4AE9"/>
    <w:rsid w:val="00D13A82"/>
    <w:rsid w:val="00D13DB7"/>
    <w:rsid w:val="00D37A6D"/>
    <w:rsid w:val="00D46BE4"/>
    <w:rsid w:val="00D7683E"/>
    <w:rsid w:val="00D83957"/>
    <w:rsid w:val="00D96DBA"/>
    <w:rsid w:val="00DA52F5"/>
    <w:rsid w:val="00DB6FBD"/>
    <w:rsid w:val="00DB7EE3"/>
    <w:rsid w:val="00DC00D1"/>
    <w:rsid w:val="00DC0424"/>
    <w:rsid w:val="00DC49D4"/>
    <w:rsid w:val="00DD02A4"/>
    <w:rsid w:val="00DD60C4"/>
    <w:rsid w:val="00DE1A02"/>
    <w:rsid w:val="00DF3986"/>
    <w:rsid w:val="00E05C6C"/>
    <w:rsid w:val="00E157E1"/>
    <w:rsid w:val="00E2182C"/>
    <w:rsid w:val="00E2284C"/>
    <w:rsid w:val="00E2508B"/>
    <w:rsid w:val="00E40B0D"/>
    <w:rsid w:val="00E51186"/>
    <w:rsid w:val="00E71420"/>
    <w:rsid w:val="00E77BDB"/>
    <w:rsid w:val="00E94DA0"/>
    <w:rsid w:val="00EA5CC3"/>
    <w:rsid w:val="00EF6341"/>
    <w:rsid w:val="00F0560A"/>
    <w:rsid w:val="00F158D7"/>
    <w:rsid w:val="00F20EE5"/>
    <w:rsid w:val="00F44833"/>
    <w:rsid w:val="00F544B0"/>
    <w:rsid w:val="00F568BC"/>
    <w:rsid w:val="00F658C1"/>
    <w:rsid w:val="00F67C87"/>
    <w:rsid w:val="00F84C23"/>
    <w:rsid w:val="00FB12EB"/>
    <w:rsid w:val="00FC0864"/>
    <w:rsid w:val="00FD3DE0"/>
    <w:rsid w:val="00FD7729"/>
    <w:rsid w:val="00FD7A5D"/>
    <w:rsid w:val="00FD7C22"/>
    <w:rsid w:val="00FF79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8345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8200BE"/>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8200BE"/>
    <w:pPr>
      <w:spacing w:after="100"/>
    </w:pPr>
  </w:style>
  <w:style w:type="paragraph" w:styleId="TOC2">
    <w:name w:val="toc 2"/>
    <w:basedOn w:val="Normal"/>
    <w:next w:val="Normal"/>
    <w:autoRedefine/>
    <w:uiPriority w:val="39"/>
    <w:unhideWhenUsed/>
    <w:rsid w:val="008200BE"/>
    <w:pPr>
      <w:spacing w:after="100"/>
      <w:ind w:left="220"/>
    </w:pPr>
  </w:style>
  <w:style w:type="character" w:customStyle="1" w:styleId="Heading3Char">
    <w:name w:val="Heading 3 Char"/>
    <w:basedOn w:val="DefaultParagraphFont"/>
    <w:link w:val="Heading3"/>
    <w:uiPriority w:val="9"/>
    <w:semiHidden/>
    <w:rsid w:val="008345E6"/>
    <w:rPr>
      <w:rFonts w:asciiTheme="majorHAnsi" w:eastAsiaTheme="majorEastAsia" w:hAnsiTheme="majorHAnsi" w:cstheme="majorBidi"/>
      <w:color w:val="1F3763" w:themeColor="accent1" w:themeShade="7F"/>
      <w:sz w:val="24"/>
      <w:szCs w:val="24"/>
    </w:rPr>
  </w:style>
  <w:style w:type="paragraph" w:customStyle="1" w:styleId="pb-2">
    <w:name w:val="pb-2"/>
    <w:basedOn w:val="Normal"/>
    <w:rsid w:val="008345E6"/>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DF3986"/>
    <w:pPr>
      <w:spacing w:after="100"/>
      <w:ind w:left="440"/>
    </w:pPr>
  </w:style>
  <w:style w:type="paragraph" w:styleId="Caption">
    <w:name w:val="caption"/>
    <w:basedOn w:val="Normal"/>
    <w:next w:val="Normal"/>
    <w:uiPriority w:val="35"/>
    <w:unhideWhenUsed/>
    <w:qFormat/>
    <w:rsid w:val="00B71B00"/>
    <w:pPr>
      <w:spacing w:after="200" w:line="240" w:lineRule="auto"/>
      <w:jc w:val="left"/>
    </w:pPr>
    <w:rPr>
      <w:rFonts w:asciiTheme="minorHAnsi" w:eastAsiaTheme="minorHAnsi" w:hAnsiTheme="minorHAnsi"/>
      <w:i/>
      <w:iCs/>
      <w:color w:val="44546A" w:themeColor="text2"/>
      <w:sz w:val="18"/>
      <w:szCs w:val="18"/>
      <w:lang w:eastAsia="en-US"/>
    </w:rPr>
  </w:style>
  <w:style w:type="character" w:styleId="FollowedHyperlink">
    <w:name w:val="FollowedHyperlink"/>
    <w:basedOn w:val="DefaultParagraphFont"/>
    <w:uiPriority w:val="99"/>
    <w:semiHidden/>
    <w:unhideWhenUsed/>
    <w:rsid w:val="009E6EFC"/>
    <w:rPr>
      <w:color w:val="954F72" w:themeColor="followedHyperlink"/>
      <w:u w:val="single"/>
    </w:rPr>
  </w:style>
  <w:style w:type="table" w:styleId="GridTable4-Accent4">
    <w:name w:val="Grid Table 4 Accent 4"/>
    <w:basedOn w:val="TableNormal"/>
    <w:uiPriority w:val="49"/>
    <w:rsid w:val="0042513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B71D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B07A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96299">
      <w:bodyDiv w:val="1"/>
      <w:marLeft w:val="0"/>
      <w:marRight w:val="0"/>
      <w:marTop w:val="0"/>
      <w:marBottom w:val="0"/>
      <w:divBdr>
        <w:top w:val="none" w:sz="0" w:space="0" w:color="auto"/>
        <w:left w:val="none" w:sz="0" w:space="0" w:color="auto"/>
        <w:bottom w:val="none" w:sz="0" w:space="0" w:color="auto"/>
        <w:right w:val="none" w:sz="0" w:space="0" w:color="auto"/>
      </w:divBdr>
      <w:divsChild>
        <w:div w:id="882788874">
          <w:marLeft w:val="0"/>
          <w:marRight w:val="0"/>
          <w:marTop w:val="0"/>
          <w:marBottom w:val="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54403871">
      <w:bodyDiv w:val="1"/>
      <w:marLeft w:val="0"/>
      <w:marRight w:val="0"/>
      <w:marTop w:val="0"/>
      <w:marBottom w:val="0"/>
      <w:divBdr>
        <w:top w:val="none" w:sz="0" w:space="0" w:color="auto"/>
        <w:left w:val="none" w:sz="0" w:space="0" w:color="auto"/>
        <w:bottom w:val="none" w:sz="0" w:space="0" w:color="auto"/>
        <w:right w:val="none" w:sz="0" w:space="0" w:color="auto"/>
      </w:divBdr>
    </w:div>
    <w:div w:id="1230732011">
      <w:bodyDiv w:val="1"/>
      <w:marLeft w:val="0"/>
      <w:marRight w:val="0"/>
      <w:marTop w:val="0"/>
      <w:marBottom w:val="0"/>
      <w:divBdr>
        <w:top w:val="none" w:sz="0" w:space="0" w:color="auto"/>
        <w:left w:val="none" w:sz="0" w:space="0" w:color="auto"/>
        <w:bottom w:val="none" w:sz="0" w:space="0" w:color="auto"/>
        <w:right w:val="none" w:sz="0" w:space="0" w:color="auto"/>
      </w:divBdr>
    </w:div>
    <w:div w:id="1328635701">
      <w:bodyDiv w:val="1"/>
      <w:marLeft w:val="0"/>
      <w:marRight w:val="0"/>
      <w:marTop w:val="0"/>
      <w:marBottom w:val="0"/>
      <w:divBdr>
        <w:top w:val="none" w:sz="0" w:space="0" w:color="auto"/>
        <w:left w:val="none" w:sz="0" w:space="0" w:color="auto"/>
        <w:bottom w:val="none" w:sz="0" w:space="0" w:color="auto"/>
        <w:right w:val="none" w:sz="0" w:space="0" w:color="auto"/>
      </w:divBdr>
    </w:div>
    <w:div w:id="198292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86/s12874-018-0545-3" TargetMode="External"/><Relationship Id="rId21" Type="http://schemas.openxmlformats.org/officeDocument/2006/relationships/hyperlink" Target="https://www.adph.org.uk/resources/175th-anniversary-timeline/" TargetMode="External"/><Relationship Id="rId42" Type="http://schemas.openxmlformats.org/officeDocument/2006/relationships/hyperlink" Target="https://doi.org/10.1186/s12874-018-0611-x" TargetMode="External"/><Relationship Id="rId47" Type="http://schemas.openxmlformats.org/officeDocument/2006/relationships/hyperlink" Target="https://www.nhs.uk/mental-health/conditions/generalised-anxiety-disorder-gad/" TargetMode="External"/><Relationship Id="rId63" Type="http://schemas.openxmlformats.org/officeDocument/2006/relationships/hyperlink" Target="https://doi.org/10.1136/bmj.n608" TargetMode="External"/><Relationship Id="rId68" Type="http://schemas.openxmlformats.org/officeDocument/2006/relationships/hyperlink" Target="https://www.kingsfund.org.uk/insight-and-analysis/reports/nhs-compare-health-care-systems-other-countries" TargetMode="External"/><Relationship Id="rId16" Type="http://schemas.openxmlformats.org/officeDocument/2006/relationships/diagramColors" Target="diagrams/colors1.xml"/><Relationship Id="rId11" Type="http://schemas.openxmlformats.org/officeDocument/2006/relationships/image" Target="media/image1.png"/><Relationship Id="rId24" Type="http://schemas.openxmlformats.org/officeDocument/2006/relationships/hyperlink" Target="https://www.cdc.gov/mmwr/volumes/69/wr/mm6932a1.htm" TargetMode="External"/><Relationship Id="rId32" Type="http://schemas.openxmlformats.org/officeDocument/2006/relationships/hyperlink" Target="https://onlinelibrary.wiley.com/doi/10.1002/wps.20839" TargetMode="External"/><Relationship Id="rId37" Type="http://schemas.openxmlformats.org/officeDocument/2006/relationships/hyperlink" Target="https://doi.org/10.1136/jech-2020-214720" TargetMode="External"/><Relationship Id="rId40" Type="http://schemas.openxmlformats.org/officeDocument/2006/relationships/hyperlink" Target="https://www.mind.org.uk/about-us/our-policy-work/coronavirus-research/" TargetMode="External"/><Relationship Id="rId45" Type="http://schemas.openxmlformats.org/officeDocument/2006/relationships/hyperlink" Target="https://www.nhs.uk/mental-health/conditions/depression-in-adults/overview/" TargetMode="External"/><Relationship Id="rId53" Type="http://schemas.openxmlformats.org/officeDocument/2006/relationships/hyperlink" Target="https://www.centreformentalhealth.org.uk/publications/covid-19-and-nations-mental-health" TargetMode="External"/><Relationship Id="rId58" Type="http://schemas.openxmlformats.org/officeDocument/2006/relationships/hyperlink" Target="https://doi.org/10.1016/S2215-0366(20)30308-4" TargetMode="External"/><Relationship Id="rId66" Type="http://schemas.openxmlformats.org/officeDocument/2006/relationships/hyperlink" Target="https://doi.org/10.1002/9781119547143.ch31" TargetMode="External"/><Relationship Id="rId74" Type="http://schemas.openxmlformats.org/officeDocument/2006/relationships/hyperlink" Target="https://www.who.int/standards/classifications/classification-of-diseases" TargetMode="External"/><Relationship Id="rId5" Type="http://schemas.openxmlformats.org/officeDocument/2006/relationships/numbering" Target="numbering.xml"/><Relationship Id="rId61" Type="http://schemas.openxmlformats.org/officeDocument/2006/relationships/hyperlink" Target="https://doi.org/10.1136/bmj.m1932" TargetMode="External"/><Relationship Id="rId1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s://doi.org/10.1111/1475-5890.12239" TargetMode="External"/><Relationship Id="rId27" Type="http://schemas.openxmlformats.org/officeDocument/2006/relationships/hyperlink" Target="https://i-jte.org/index.php/journal/article/view/25" TargetMode="External"/><Relationship Id="rId30" Type="http://schemas.openxmlformats.org/officeDocument/2006/relationships/hyperlink" Target="https://www.health.org.uk/features-and-opinion/blogs/what-is-happening-to-young-people-s-mental-health" TargetMode="External"/><Relationship Id="rId35" Type="http://schemas.openxmlformats.org/officeDocument/2006/relationships/hyperlink" Target="https://doi.org/10.1002/14651858.cd012527.pub2" TargetMode="External"/><Relationship Id="rId43" Type="http://schemas.openxmlformats.org/officeDocument/2006/relationships/hyperlink" Target="https://www.nhs.uk/every-mind-matters/mental-health-issues/anxiety/" TargetMode="External"/><Relationship Id="rId48" Type="http://schemas.openxmlformats.org/officeDocument/2006/relationships/hyperlink" Target="https://digital.nhs.uk/data-and-information/publications/statistical/mental-health-of-children-and-young-people-in-england/2023-wave-4-follow-up/introduction" TargetMode="External"/><Relationship Id="rId56" Type="http://schemas.openxmlformats.org/officeDocument/2006/relationships/hyperlink" Target="https://www.ons.gov.uk/peoplepopulationandcommunity/wellbeing/articles/coronavirusanddepressioninadultsgreatbritain/june2020" TargetMode="External"/><Relationship Id="rId64" Type="http://schemas.openxmlformats.org/officeDocument/2006/relationships/hyperlink" Target="https://doi.org/10.1016/j.jbusres.2019.07.039" TargetMode="External"/><Relationship Id="rId69" Type="http://schemas.openxmlformats.org/officeDocument/2006/relationships/hyperlink" Target="https://icd.who.int/browse10/2019/en"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england.nhs.uk/mental-health/adults/nhs-talking-therapies/" TargetMode="External"/><Relationship Id="rId72" Type="http://schemas.openxmlformats.org/officeDocument/2006/relationships/hyperlink" Target="https://www.who.int/data/gho" TargetMode="External"/><Relationship Id="rId3" Type="http://schemas.openxmlformats.org/officeDocument/2006/relationships/customXml" Target="../customXml/item3.xml"/><Relationship Id="rId12" Type="http://schemas.openxmlformats.org/officeDocument/2006/relationships/chart" Target="charts/chart1.xml"/><Relationship Id="rId17" Type="http://schemas.microsoft.com/office/2007/relationships/diagramDrawing" Target="diagrams/drawing1.xml"/><Relationship Id="rId25" Type="http://schemas.openxmlformats.org/officeDocument/2006/relationships/hyperlink" Target="https://doi.org/10.1037/tra0000685" TargetMode="External"/><Relationship Id="rId33" Type="http://schemas.openxmlformats.org/officeDocument/2006/relationships/hyperlink" Target="https://doi.org/10.12688/f1000research.24457.1" TargetMode="External"/><Relationship Id="rId38" Type="http://schemas.openxmlformats.org/officeDocument/2006/relationships/hyperlink" Target="https://www.instituteofhealthequity.org/resources-reports/marmot-review-10-years-on" TargetMode="External"/><Relationship Id="rId46" Type="http://schemas.openxmlformats.org/officeDocument/2006/relationships/hyperlink" Target="https://www.nhs.uk/mental-health/conditions/depression-in-adults/symptoms/" TargetMode="External"/><Relationship Id="rId59" Type="http://schemas.openxmlformats.org/officeDocument/2006/relationships/hyperlink" Target="https://pubmed.ncbi.nlm.nih.gov/37437728/" TargetMode="External"/><Relationship Id="rId67" Type="http://schemas.openxmlformats.org/officeDocument/2006/relationships/hyperlink" Target="https://www.health.org.uk/features-and-opinion/blogs/what-is-happening-to-young-people-s-mental-health?gad_source=1&amp;gclid=Cj0KCQjw7dm-BhCoARIsALFk4v9j9R4puwTTmiwA8gms3e6XxCQjNewC2pNpNKlaid-2Eq0qYLZ1m-QaAgIbEALw_wcB" TargetMode="External"/><Relationship Id="rId20" Type="http://schemas.openxmlformats.org/officeDocument/2006/relationships/hyperlink" Target="https://www.psychiatry.org/psychiatrists/practice/dsm" TargetMode="External"/><Relationship Id="rId41" Type="http://schemas.openxmlformats.org/officeDocument/2006/relationships/hyperlink" Target="https://doi.org/10.1016/S2215-0366(20)30307-2" TargetMode="External"/><Relationship Id="rId54" Type="http://schemas.openxmlformats.org/officeDocument/2006/relationships/hyperlink" Target="https://doi.org/10.1016/j.psychres.2020.113108" TargetMode="External"/><Relationship Id="rId62" Type="http://schemas.openxmlformats.org/officeDocument/2006/relationships/hyperlink" Target="https://doi.org/10.1017/S003329172000241X" TargetMode="External"/><Relationship Id="rId70" Type="http://schemas.openxmlformats.org/officeDocument/2006/relationships/hyperlink" Target="https://www.who.int/director-general/speeches/detail/who-director-general-s-opening-remarks-at-the-media-briefing-on-covid-19---11-march-2020" TargetMode="External"/><Relationship Id="rId75" Type="http://schemas.openxmlformats.org/officeDocument/2006/relationships/hyperlink" Target="https://doi.org/10.1016/j.jad.2020.08.00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QuickStyle" Target="diagrams/quickStyle1.xml"/><Relationship Id="rId23" Type="http://schemas.openxmlformats.org/officeDocument/2006/relationships/hyperlink" Target="https://bestforyou.org.uk/for-young-people/" TargetMode="External"/><Relationship Id="rId28" Type="http://schemas.openxmlformats.org/officeDocument/2006/relationships/hyperlink" Target="https://doi.org/10.1016/s2215-0366(20)30482-x" TargetMode="External"/><Relationship Id="rId36" Type="http://schemas.openxmlformats.org/officeDocument/2006/relationships/hyperlink" Target="https://doi.org/10.1136/bmj.m1089" TargetMode="External"/><Relationship Id="rId49" Type="http://schemas.openxmlformats.org/officeDocument/2006/relationships/hyperlink" Target="https://digital.nhs.uk/data-and-information/data-tools-and-services/data-services/mental-health-data-hub" TargetMode="External"/><Relationship Id="rId57" Type="http://schemas.openxmlformats.org/officeDocument/2006/relationships/hyperlink" Target="https://www.oecd.org/health/strengthening-the-frontline-primary-health-care-and-covid-19.htm" TargetMode="External"/><Relationship Id="rId10" Type="http://schemas.openxmlformats.org/officeDocument/2006/relationships/endnotes" Target="endnotes.xml"/><Relationship Id="rId31" Type="http://schemas.openxmlformats.org/officeDocument/2006/relationships/hyperlink" Target="https://doi.org/10.1016/S2215-0366(20)30168-1" TargetMode="External"/><Relationship Id="rId44" Type="http://schemas.openxmlformats.org/officeDocument/2006/relationships/hyperlink" Target="https://www.nhs.uk/nhs-services/mental-health-services/" TargetMode="External"/><Relationship Id="rId52" Type="http://schemas.openxmlformats.org/officeDocument/2006/relationships/hyperlink" Target="https://journals.sagepub.com/doi/10.1177/1609406917733847" TargetMode="External"/><Relationship Id="rId60" Type="http://schemas.openxmlformats.org/officeDocument/2006/relationships/hyperlink" Target="https://doi.org/10.1007/978-3-030-48415-6" TargetMode="External"/><Relationship Id="rId65" Type="http://schemas.openxmlformats.org/officeDocument/2006/relationships/hyperlink" Target="https://www.kingsfund.org.uk/insight-and-analysis/blogs/mental-health-care-covid-19" TargetMode="External"/><Relationship Id="rId73" Type="http://schemas.openxmlformats.org/officeDocument/2006/relationships/hyperlink" Target="https://www.who.int/publications/i/item/WHO-2019-nCoV-Sci_Brief-Mental_health-2022.1"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footer" Target="footer1.xml"/><Relationship Id="rId39" Type="http://schemas.openxmlformats.org/officeDocument/2006/relationships/hyperlink" Target="https://abbymedcalf.com/stress-teenagers-what-it-is-and-how-to-help/" TargetMode="External"/><Relationship Id="rId34" Type="http://schemas.openxmlformats.org/officeDocument/2006/relationships/hyperlink" Target="https://pubmed.ncbi.nlm.nih.gov/35621201/" TargetMode="External"/><Relationship Id="rId50" Type="http://schemas.openxmlformats.org/officeDocument/2006/relationships/hyperlink" Target="https://www.england.nhs.uk/mental-health/taskforce/imp/" TargetMode="External"/><Relationship Id="rId55" Type="http://schemas.openxmlformats.org/officeDocument/2006/relationships/hyperlink" Target="https://www.ons.gov.uk/peoplepopulationandcommunity/wellbeing/articles/coronavirusanddepressioninadultsgreatbritain/januarytomarch2021" TargetMode="External"/><Relationship Id="rId76" Type="http://schemas.openxmlformats.org/officeDocument/2006/relationships/hyperlink" Target="https://www.youngminds.org.uk/about-us/reports-and-impact/coronavirus-impact-on-young-people-with-mental-health-needs/" TargetMode="External"/><Relationship Id="rId7" Type="http://schemas.openxmlformats.org/officeDocument/2006/relationships/settings" Target="settings.xml"/><Relationship Id="rId71" Type="http://schemas.openxmlformats.org/officeDocument/2006/relationships/hyperlink" Target="https://www.who.int/news/item/02-03-2022-covid-19-pandemic-triggers-25-increase-in-prevalence-of-anxiety-and-depression-worldwide" TargetMode="External"/><Relationship Id="rId2" Type="http://schemas.openxmlformats.org/officeDocument/2006/relationships/customXml" Target="../customXml/item2.xml"/><Relationship Id="rId29" Type="http://schemas.openxmlformats.org/officeDocument/2006/relationships/hyperlink" Target="https://navigator.health.org.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Prevalence of Anxiety and Depression Among Young Adults During COVID-19</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Prevalence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numFmt formatCode="0&quot;%&quot;"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UK</c:v>
                </c:pt>
                <c:pt idx="1">
                  <c:v>US</c:v>
                </c:pt>
                <c:pt idx="2">
                  <c:v>Germany</c:v>
                </c:pt>
                <c:pt idx="3">
                  <c:v>Nordic Countries</c:v>
                </c:pt>
              </c:strCache>
            </c:strRef>
          </c:cat>
          <c:val>
            <c:numRef>
              <c:f>Sheet1!$B$2:$B$5</c:f>
              <c:numCache>
                <c:formatCode>General</c:formatCode>
                <c:ptCount val="4"/>
                <c:pt idx="0">
                  <c:v>31</c:v>
                </c:pt>
                <c:pt idx="1">
                  <c:v>40</c:v>
                </c:pt>
                <c:pt idx="2">
                  <c:v>25</c:v>
                </c:pt>
                <c:pt idx="3">
                  <c:v>20</c:v>
                </c:pt>
              </c:numCache>
            </c:numRef>
          </c:val>
          <c:extLst>
            <c:ext xmlns:c16="http://schemas.microsoft.com/office/drawing/2014/chart" uri="{C3380CC4-5D6E-409C-BE32-E72D297353CC}">
              <c16:uniqueId val="{00000000-969E-45CA-A343-3E77915E5305}"/>
            </c:ext>
          </c:extLst>
        </c:ser>
        <c:dLbls>
          <c:dLblPos val="outEnd"/>
          <c:showLegendKey val="0"/>
          <c:showVal val="1"/>
          <c:showCatName val="0"/>
          <c:showSerName val="0"/>
          <c:showPercent val="0"/>
          <c:showBubbleSize val="0"/>
        </c:dLbls>
        <c:gapWidth val="100"/>
        <c:overlap val="-24"/>
        <c:axId val="434107344"/>
        <c:axId val="434116944"/>
      </c:barChart>
      <c:catAx>
        <c:axId val="4341073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116944"/>
        <c:crosses val="autoZero"/>
        <c:auto val="1"/>
        <c:lblAlgn val="ctr"/>
        <c:lblOffset val="100"/>
        <c:noMultiLvlLbl val="0"/>
      </c:catAx>
      <c:valAx>
        <c:axId val="43411694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Prevalence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107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5F2632-592D-4C6B-97EC-DB4C1445F4B4}"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E4D72252-D3AF-4097-AEF6-E4D2A55C72DD}">
      <dgm:prSet phldrT="[Text]" custT="1"/>
      <dgm:spPr>
        <a:solidFill>
          <a:schemeClr val="accent5"/>
        </a:solidFill>
      </dgm:spPr>
      <dgm:t>
        <a:bodyPr/>
        <a:lstStyle/>
        <a:p>
          <a:r>
            <a:rPr lang="en-GB" sz="1300"/>
            <a:t>Poor Mental Health Outcomes</a:t>
          </a:r>
        </a:p>
        <a:p>
          <a:pPr>
            <a:buFont typeface="Times New Roman" panose="02020603050405020304" pitchFamily="18" charset="0"/>
            <a:buChar char="•"/>
          </a:pPr>
          <a:r>
            <a:rPr lang="en-GB" sz="1300"/>
            <a:t>(Young Adults, UK, COVID-19)</a:t>
          </a:r>
        </a:p>
        <a:p>
          <a:endParaRPr lang="en-GB" sz="1300"/>
        </a:p>
      </dgm:t>
    </dgm:pt>
    <dgm:pt modelId="{480337FF-8083-400B-87F7-2809A40846F0}" type="parTrans" cxnId="{B87A3623-0751-48B8-BB68-0D127409434A}">
      <dgm:prSet/>
      <dgm:spPr/>
      <dgm:t>
        <a:bodyPr/>
        <a:lstStyle/>
        <a:p>
          <a:endParaRPr lang="en-GB"/>
        </a:p>
      </dgm:t>
    </dgm:pt>
    <dgm:pt modelId="{9DB6B114-89DD-4E17-B09D-EA1CD0F8BD0C}" type="sibTrans" cxnId="{B87A3623-0751-48B8-BB68-0D127409434A}">
      <dgm:prSet/>
      <dgm:spPr/>
      <dgm:t>
        <a:bodyPr/>
        <a:lstStyle/>
        <a:p>
          <a:endParaRPr lang="en-GB"/>
        </a:p>
      </dgm:t>
    </dgm:pt>
    <dgm:pt modelId="{B61CF097-72EA-4AA3-B8FC-3DD6D02DD6DB}">
      <dgm:prSet phldrT="[Text]" custT="1"/>
      <dgm:spPr/>
      <dgm:t>
        <a:bodyPr/>
        <a:lstStyle/>
        <a:p>
          <a:r>
            <a:rPr lang="en-GB" sz="1100" dirty="0"/>
            <a:t>Financial Insecurity</a:t>
          </a:r>
        </a:p>
        <a:p>
          <a:r>
            <a:rPr lang="en-GB" sz="1100" dirty="0"/>
            <a:t>- Job loss</a:t>
          </a:r>
        </a:p>
        <a:p>
          <a:r>
            <a:rPr lang="en-GB" sz="1100" dirty="0"/>
            <a:t>- Low income</a:t>
          </a:r>
        </a:p>
        <a:p>
          <a:r>
            <a:rPr lang="en-GB" sz="1100"/>
            <a:t>- Debt</a:t>
          </a:r>
        </a:p>
      </dgm:t>
    </dgm:pt>
    <dgm:pt modelId="{72519FA9-C8A6-44AB-A096-30DA614CB586}" type="parTrans" cxnId="{81F12A80-8B85-4A12-B21D-DB526E18107A}">
      <dgm:prSet/>
      <dgm:spPr/>
      <dgm:t>
        <a:bodyPr/>
        <a:lstStyle/>
        <a:p>
          <a:endParaRPr lang="en-GB"/>
        </a:p>
      </dgm:t>
    </dgm:pt>
    <dgm:pt modelId="{FFF5341C-3E5F-47AA-B5C6-41D898D1C368}" type="sibTrans" cxnId="{81F12A80-8B85-4A12-B21D-DB526E18107A}">
      <dgm:prSet/>
      <dgm:spPr/>
      <dgm:t>
        <a:bodyPr/>
        <a:lstStyle/>
        <a:p>
          <a:endParaRPr lang="en-GB"/>
        </a:p>
      </dgm:t>
    </dgm:pt>
    <dgm:pt modelId="{63CE2ED8-B6F1-4D7B-AB36-54734FAE4881}">
      <dgm:prSet phldrT="[Text]" custT="1"/>
      <dgm:spPr/>
      <dgm:t>
        <a:bodyPr/>
        <a:lstStyle/>
        <a:p>
          <a:r>
            <a:rPr lang="en-GB" sz="1100"/>
            <a:t>Housing</a:t>
          </a:r>
        </a:p>
        <a:p>
          <a:r>
            <a:rPr lang="en-GB" sz="1100"/>
            <a:t>Overcrowding</a:t>
          </a:r>
        </a:p>
        <a:p>
          <a:r>
            <a:rPr lang="en-GB" sz="1100"/>
            <a:t>-Insecure tenancy</a:t>
          </a:r>
        </a:p>
        <a:p>
          <a:r>
            <a:rPr lang="en-GB" sz="1100"/>
            <a:t>Poor conditions</a:t>
          </a:r>
        </a:p>
      </dgm:t>
    </dgm:pt>
    <dgm:pt modelId="{749FCD71-ABBB-46C2-AB7B-8E9369460735}" type="parTrans" cxnId="{3669EEA7-4D23-4C6C-893C-B5EF97B1016A}">
      <dgm:prSet/>
      <dgm:spPr/>
      <dgm:t>
        <a:bodyPr/>
        <a:lstStyle/>
        <a:p>
          <a:endParaRPr lang="en-GB"/>
        </a:p>
      </dgm:t>
    </dgm:pt>
    <dgm:pt modelId="{00B77151-4D86-4B0A-B1DE-1A346945EDA9}" type="sibTrans" cxnId="{3669EEA7-4D23-4C6C-893C-B5EF97B1016A}">
      <dgm:prSet/>
      <dgm:spPr/>
      <dgm:t>
        <a:bodyPr/>
        <a:lstStyle/>
        <a:p>
          <a:endParaRPr lang="en-GB"/>
        </a:p>
      </dgm:t>
    </dgm:pt>
    <dgm:pt modelId="{792E5B4C-4717-4597-A7F0-DFD2F68F8785}">
      <dgm:prSet phldrT="[Text]" custT="1"/>
      <dgm:spPr/>
      <dgm:t>
        <a:bodyPr/>
        <a:lstStyle/>
        <a:p>
          <a:r>
            <a:rPr lang="en-GB" sz="1100" dirty="0"/>
            <a:t>NHS Pressure</a:t>
          </a:r>
        </a:p>
        <a:p>
          <a:r>
            <a:rPr lang="en-GB" sz="1100" dirty="0"/>
            <a:t>- Long waiting lists</a:t>
          </a:r>
        </a:p>
        <a:p>
          <a:r>
            <a:rPr lang="en-GB" sz="1100" dirty="0"/>
            <a:t>- Staff shortages</a:t>
          </a:r>
        </a:p>
        <a:p>
          <a:r>
            <a:rPr lang="en-GB" sz="1100" dirty="0"/>
            <a:t>- Underfunded services</a:t>
          </a:r>
        </a:p>
      </dgm:t>
    </dgm:pt>
    <dgm:pt modelId="{C86220BE-CF84-41EC-A3A7-9DFDB71839C4}" type="parTrans" cxnId="{C3F58AA4-74E3-49D7-95A6-C698F0613CA6}">
      <dgm:prSet/>
      <dgm:spPr/>
      <dgm:t>
        <a:bodyPr/>
        <a:lstStyle/>
        <a:p>
          <a:endParaRPr lang="en-GB"/>
        </a:p>
      </dgm:t>
    </dgm:pt>
    <dgm:pt modelId="{A92985F4-B0D3-40D5-AE39-81F15A3A7D46}" type="sibTrans" cxnId="{C3F58AA4-74E3-49D7-95A6-C698F0613CA6}">
      <dgm:prSet/>
      <dgm:spPr/>
      <dgm:t>
        <a:bodyPr/>
        <a:lstStyle/>
        <a:p>
          <a:endParaRPr lang="en-GB"/>
        </a:p>
      </dgm:t>
    </dgm:pt>
    <dgm:pt modelId="{5866894A-60EF-4F3C-860E-8256546F61D5}">
      <dgm:prSet phldrT="[Text]" custT="1"/>
      <dgm:spPr/>
      <dgm:t>
        <a:bodyPr/>
        <a:lstStyle/>
        <a:p>
          <a:r>
            <a:rPr lang="en-GB" sz="1100"/>
            <a:t>Social Isolation</a:t>
          </a:r>
        </a:p>
        <a:p>
          <a:r>
            <a:rPr lang="en-GB" sz="1100"/>
            <a:t>- Lockdowns</a:t>
          </a:r>
        </a:p>
        <a:p>
          <a:r>
            <a:rPr lang="en-GB" sz="1100"/>
            <a:t>Restricted movement</a:t>
          </a:r>
        </a:p>
        <a:p>
          <a:r>
            <a:rPr lang="en-GB" sz="1100"/>
            <a:t>- Loneliness</a:t>
          </a:r>
        </a:p>
      </dgm:t>
    </dgm:pt>
    <dgm:pt modelId="{6F35AD97-AD97-44A0-B008-94950A50A80C}" type="parTrans" cxnId="{CF796B1C-3153-4858-A971-DEE4F640C659}">
      <dgm:prSet/>
      <dgm:spPr/>
      <dgm:t>
        <a:bodyPr/>
        <a:lstStyle/>
        <a:p>
          <a:endParaRPr lang="en-GB"/>
        </a:p>
      </dgm:t>
    </dgm:pt>
    <dgm:pt modelId="{EEF80D21-BBAD-42DD-B428-13FF76153F3E}" type="sibTrans" cxnId="{CF796B1C-3153-4858-A971-DEE4F640C659}">
      <dgm:prSet/>
      <dgm:spPr/>
      <dgm:t>
        <a:bodyPr/>
        <a:lstStyle/>
        <a:p>
          <a:endParaRPr lang="en-GB"/>
        </a:p>
      </dgm:t>
    </dgm:pt>
    <dgm:pt modelId="{1B62AA31-7D44-4988-846A-B1613B82B2F4}">
      <dgm:prSet phldrT="[Text]" custT="1"/>
      <dgm:spPr/>
      <dgm:t>
        <a:bodyPr/>
        <a:lstStyle/>
        <a:p>
          <a:r>
            <a:rPr lang="en-GB" sz="1100"/>
            <a:t>Digital Exclusion</a:t>
          </a:r>
        </a:p>
        <a:p>
          <a:r>
            <a:rPr lang="en-GB" sz="1100"/>
            <a:t>- No internet</a:t>
          </a:r>
        </a:p>
        <a:p>
          <a:r>
            <a:rPr lang="en-GB" sz="1100"/>
            <a:t>- Limited devices</a:t>
          </a:r>
        </a:p>
        <a:p>
          <a:r>
            <a:rPr lang="en-GB" sz="1100"/>
            <a:t>- Low digital skills</a:t>
          </a:r>
        </a:p>
      </dgm:t>
    </dgm:pt>
    <dgm:pt modelId="{0D52EA39-39BE-4ECF-A144-0964BEB63F37}" type="parTrans" cxnId="{6D6C3110-AFDD-4BAC-A3D8-B8B4692CC8EB}">
      <dgm:prSet/>
      <dgm:spPr/>
      <dgm:t>
        <a:bodyPr/>
        <a:lstStyle/>
        <a:p>
          <a:endParaRPr lang="en-GB"/>
        </a:p>
      </dgm:t>
    </dgm:pt>
    <dgm:pt modelId="{960A31B1-60CA-41E3-8FD4-0652F73EBC98}" type="sibTrans" cxnId="{6D6C3110-AFDD-4BAC-A3D8-B8B4692CC8EB}">
      <dgm:prSet/>
      <dgm:spPr/>
      <dgm:t>
        <a:bodyPr/>
        <a:lstStyle/>
        <a:p>
          <a:endParaRPr lang="en-GB"/>
        </a:p>
      </dgm:t>
    </dgm:pt>
    <dgm:pt modelId="{44B607BF-D394-43ED-A189-E3CA44896059}" type="pres">
      <dgm:prSet presAssocID="{C05F2632-592D-4C6B-97EC-DB4C1445F4B4}" presName="Name0" presStyleCnt="0">
        <dgm:presLayoutVars>
          <dgm:chMax val="1"/>
          <dgm:chPref val="1"/>
          <dgm:dir/>
          <dgm:animOne val="branch"/>
          <dgm:animLvl val="lvl"/>
        </dgm:presLayoutVars>
      </dgm:prSet>
      <dgm:spPr/>
    </dgm:pt>
    <dgm:pt modelId="{780BCC1C-B015-43D4-8AFF-88AAA2DD0E08}" type="pres">
      <dgm:prSet presAssocID="{E4D72252-D3AF-4097-AEF6-E4D2A55C72DD}" presName="singleCycle" presStyleCnt="0"/>
      <dgm:spPr/>
    </dgm:pt>
    <dgm:pt modelId="{A49F7FAE-8B32-4EE8-B30A-B466F8FC6E56}" type="pres">
      <dgm:prSet presAssocID="{E4D72252-D3AF-4097-AEF6-E4D2A55C72DD}" presName="singleCenter" presStyleLbl="node1" presStyleIdx="0" presStyleCnt="6" custLinFactNeighborX="0" custLinFactNeighborY="-16884">
        <dgm:presLayoutVars>
          <dgm:chMax val="7"/>
          <dgm:chPref val="7"/>
        </dgm:presLayoutVars>
      </dgm:prSet>
      <dgm:spPr/>
    </dgm:pt>
    <dgm:pt modelId="{65434A1D-4FE7-45CE-AA85-C28FCBF967D3}" type="pres">
      <dgm:prSet presAssocID="{72519FA9-C8A6-44AB-A096-30DA614CB586}" presName="Name56" presStyleLbl="parChTrans1D2" presStyleIdx="0" presStyleCnt="5"/>
      <dgm:spPr/>
    </dgm:pt>
    <dgm:pt modelId="{93BC5B3B-9727-4B4C-8815-7EA571F7FF05}" type="pres">
      <dgm:prSet presAssocID="{B61CF097-72EA-4AA3-B8FC-3DD6D02DD6DB}" presName="text0" presStyleLbl="node1" presStyleIdx="1" presStyleCnt="6" custScaleX="131024" custScaleY="129297" custRadScaleRad="124146" custRadScaleInc="-172227">
        <dgm:presLayoutVars>
          <dgm:bulletEnabled val="1"/>
        </dgm:presLayoutVars>
      </dgm:prSet>
      <dgm:spPr/>
    </dgm:pt>
    <dgm:pt modelId="{970B8DFC-AEF6-466A-9BAE-2F66B3A5BDB8}" type="pres">
      <dgm:prSet presAssocID="{749FCD71-ABBB-46C2-AB7B-8E9369460735}" presName="Name56" presStyleLbl="parChTrans1D2" presStyleIdx="1" presStyleCnt="5"/>
      <dgm:spPr/>
    </dgm:pt>
    <dgm:pt modelId="{1B9CC776-AA40-4ABF-A76C-CCBF54E38C50}" type="pres">
      <dgm:prSet presAssocID="{63CE2ED8-B6F1-4D7B-AB36-54734FAE4881}" presName="text0" presStyleLbl="node1" presStyleIdx="2" presStyleCnt="6" custScaleX="111622" custScaleY="157940" custRadScaleRad="122855" custRadScaleInc="-21194">
        <dgm:presLayoutVars>
          <dgm:bulletEnabled val="1"/>
        </dgm:presLayoutVars>
      </dgm:prSet>
      <dgm:spPr/>
    </dgm:pt>
    <dgm:pt modelId="{C53A7FC5-338D-4D08-AD96-F187B3C235D4}" type="pres">
      <dgm:prSet presAssocID="{C86220BE-CF84-41EC-A3A7-9DFDB71839C4}" presName="Name56" presStyleLbl="parChTrans1D2" presStyleIdx="2" presStyleCnt="5"/>
      <dgm:spPr/>
    </dgm:pt>
    <dgm:pt modelId="{CF12BADE-CA5D-4FE5-B3B4-E62BB9D5C523}" type="pres">
      <dgm:prSet presAssocID="{792E5B4C-4717-4597-A7F0-DFD2F68F8785}" presName="text0" presStyleLbl="node1" presStyleIdx="3" presStyleCnt="6" custScaleX="125083" custScaleY="150428" custRadScaleRad="138088" custRadScaleInc="-50377">
        <dgm:presLayoutVars>
          <dgm:bulletEnabled val="1"/>
        </dgm:presLayoutVars>
      </dgm:prSet>
      <dgm:spPr/>
    </dgm:pt>
    <dgm:pt modelId="{0912D4D1-2753-4FDB-B63F-2BC30ECDFAC5}" type="pres">
      <dgm:prSet presAssocID="{6F35AD97-AD97-44A0-B008-94950A50A80C}" presName="Name56" presStyleLbl="parChTrans1D2" presStyleIdx="3" presStyleCnt="5"/>
      <dgm:spPr/>
    </dgm:pt>
    <dgm:pt modelId="{6188541C-34A1-4DB8-AB87-84A6832D4498}" type="pres">
      <dgm:prSet presAssocID="{5866894A-60EF-4F3C-860E-8256546F61D5}" presName="text0" presStyleLbl="node1" presStyleIdx="4" presStyleCnt="6" custScaleX="157717" custScaleY="150748" custRadScaleRad="82196" custRadScaleInc="-109612">
        <dgm:presLayoutVars>
          <dgm:bulletEnabled val="1"/>
        </dgm:presLayoutVars>
      </dgm:prSet>
      <dgm:spPr/>
    </dgm:pt>
    <dgm:pt modelId="{0381B8C2-270E-4D68-B6BA-2782FD3DBA07}" type="pres">
      <dgm:prSet presAssocID="{0D52EA39-39BE-4ECF-A144-0964BEB63F37}" presName="Name56" presStyleLbl="parChTrans1D2" presStyleIdx="4" presStyleCnt="5"/>
      <dgm:spPr/>
    </dgm:pt>
    <dgm:pt modelId="{FC1C2351-056A-4638-8FDB-DBED1BC8C791}" type="pres">
      <dgm:prSet presAssocID="{1B62AA31-7D44-4988-846A-B1613B82B2F4}" presName="text0" presStyleLbl="node1" presStyleIdx="5" presStyleCnt="6" custScaleX="157307" custScaleY="141907" custRadScaleRad="133949" custRadScaleInc="-149108">
        <dgm:presLayoutVars>
          <dgm:bulletEnabled val="1"/>
        </dgm:presLayoutVars>
      </dgm:prSet>
      <dgm:spPr/>
    </dgm:pt>
  </dgm:ptLst>
  <dgm:cxnLst>
    <dgm:cxn modelId="{7100300C-61E2-45C0-91A4-E35D2EDE3148}" type="presOf" srcId="{792E5B4C-4717-4597-A7F0-DFD2F68F8785}" destId="{CF12BADE-CA5D-4FE5-B3B4-E62BB9D5C523}" srcOrd="0" destOrd="0" presId="urn:microsoft.com/office/officeart/2008/layout/RadialCluster"/>
    <dgm:cxn modelId="{0A9A8C0E-76E2-4619-8C52-A44198AA1B2A}" type="presOf" srcId="{E4D72252-D3AF-4097-AEF6-E4D2A55C72DD}" destId="{A49F7FAE-8B32-4EE8-B30A-B466F8FC6E56}" srcOrd="0" destOrd="0" presId="urn:microsoft.com/office/officeart/2008/layout/RadialCluster"/>
    <dgm:cxn modelId="{6D6C3110-AFDD-4BAC-A3D8-B8B4692CC8EB}" srcId="{E4D72252-D3AF-4097-AEF6-E4D2A55C72DD}" destId="{1B62AA31-7D44-4988-846A-B1613B82B2F4}" srcOrd="4" destOrd="0" parTransId="{0D52EA39-39BE-4ECF-A144-0964BEB63F37}" sibTransId="{960A31B1-60CA-41E3-8FD4-0652F73EBC98}"/>
    <dgm:cxn modelId="{65B81714-3A82-4EC7-A9C8-DC7E4CD58717}" type="presOf" srcId="{C05F2632-592D-4C6B-97EC-DB4C1445F4B4}" destId="{44B607BF-D394-43ED-A189-E3CA44896059}" srcOrd="0" destOrd="0" presId="urn:microsoft.com/office/officeart/2008/layout/RadialCluster"/>
    <dgm:cxn modelId="{44B1C81B-071B-47D8-BC07-26345D08FCEE}" type="presOf" srcId="{5866894A-60EF-4F3C-860E-8256546F61D5}" destId="{6188541C-34A1-4DB8-AB87-84A6832D4498}" srcOrd="0" destOrd="0" presId="urn:microsoft.com/office/officeart/2008/layout/RadialCluster"/>
    <dgm:cxn modelId="{CF796B1C-3153-4858-A971-DEE4F640C659}" srcId="{E4D72252-D3AF-4097-AEF6-E4D2A55C72DD}" destId="{5866894A-60EF-4F3C-860E-8256546F61D5}" srcOrd="3" destOrd="0" parTransId="{6F35AD97-AD97-44A0-B008-94950A50A80C}" sibTransId="{EEF80D21-BBAD-42DD-B428-13FF76153F3E}"/>
    <dgm:cxn modelId="{B87A3623-0751-48B8-BB68-0D127409434A}" srcId="{C05F2632-592D-4C6B-97EC-DB4C1445F4B4}" destId="{E4D72252-D3AF-4097-AEF6-E4D2A55C72DD}" srcOrd="0" destOrd="0" parTransId="{480337FF-8083-400B-87F7-2809A40846F0}" sibTransId="{9DB6B114-89DD-4E17-B09D-EA1CD0F8BD0C}"/>
    <dgm:cxn modelId="{93494E27-980A-4011-88E0-FF4AA399F54E}" type="presOf" srcId="{749FCD71-ABBB-46C2-AB7B-8E9369460735}" destId="{970B8DFC-AEF6-466A-9BAE-2F66B3A5BDB8}" srcOrd="0" destOrd="0" presId="urn:microsoft.com/office/officeart/2008/layout/RadialCluster"/>
    <dgm:cxn modelId="{E7673634-FD8E-4053-86A5-D21C768E510E}" type="presOf" srcId="{63CE2ED8-B6F1-4D7B-AB36-54734FAE4881}" destId="{1B9CC776-AA40-4ABF-A76C-CCBF54E38C50}" srcOrd="0" destOrd="0" presId="urn:microsoft.com/office/officeart/2008/layout/RadialCluster"/>
    <dgm:cxn modelId="{DC85BE4A-7EE1-42A3-A091-E44FF495523B}" type="presOf" srcId="{0D52EA39-39BE-4ECF-A144-0964BEB63F37}" destId="{0381B8C2-270E-4D68-B6BA-2782FD3DBA07}" srcOrd="0" destOrd="0" presId="urn:microsoft.com/office/officeart/2008/layout/RadialCluster"/>
    <dgm:cxn modelId="{81F12A80-8B85-4A12-B21D-DB526E18107A}" srcId="{E4D72252-D3AF-4097-AEF6-E4D2A55C72DD}" destId="{B61CF097-72EA-4AA3-B8FC-3DD6D02DD6DB}" srcOrd="0" destOrd="0" parTransId="{72519FA9-C8A6-44AB-A096-30DA614CB586}" sibTransId="{FFF5341C-3E5F-47AA-B5C6-41D898D1C368}"/>
    <dgm:cxn modelId="{C3F58AA4-74E3-49D7-95A6-C698F0613CA6}" srcId="{E4D72252-D3AF-4097-AEF6-E4D2A55C72DD}" destId="{792E5B4C-4717-4597-A7F0-DFD2F68F8785}" srcOrd="2" destOrd="0" parTransId="{C86220BE-CF84-41EC-A3A7-9DFDB71839C4}" sibTransId="{A92985F4-B0D3-40D5-AE39-81F15A3A7D46}"/>
    <dgm:cxn modelId="{D8556CA5-02B9-4B3B-A929-6D890A4A6BF6}" type="presOf" srcId="{C86220BE-CF84-41EC-A3A7-9DFDB71839C4}" destId="{C53A7FC5-338D-4D08-AD96-F187B3C235D4}" srcOrd="0" destOrd="0" presId="urn:microsoft.com/office/officeart/2008/layout/RadialCluster"/>
    <dgm:cxn modelId="{3669EEA7-4D23-4C6C-893C-B5EF97B1016A}" srcId="{E4D72252-D3AF-4097-AEF6-E4D2A55C72DD}" destId="{63CE2ED8-B6F1-4D7B-AB36-54734FAE4881}" srcOrd="1" destOrd="0" parTransId="{749FCD71-ABBB-46C2-AB7B-8E9369460735}" sibTransId="{00B77151-4D86-4B0A-B1DE-1A346945EDA9}"/>
    <dgm:cxn modelId="{50DE49BE-EDF7-4A16-A709-62E0CA5F4AA5}" type="presOf" srcId="{6F35AD97-AD97-44A0-B008-94950A50A80C}" destId="{0912D4D1-2753-4FDB-B63F-2BC30ECDFAC5}" srcOrd="0" destOrd="0" presId="urn:microsoft.com/office/officeart/2008/layout/RadialCluster"/>
    <dgm:cxn modelId="{BE939ECD-E9AD-457C-BA7F-63288FAB0D7E}" type="presOf" srcId="{1B62AA31-7D44-4988-846A-B1613B82B2F4}" destId="{FC1C2351-056A-4638-8FDB-DBED1BC8C791}" srcOrd="0" destOrd="0" presId="urn:microsoft.com/office/officeart/2008/layout/RadialCluster"/>
    <dgm:cxn modelId="{D909FAEE-7C3A-43CB-96AA-552B72EA2934}" type="presOf" srcId="{B61CF097-72EA-4AA3-B8FC-3DD6D02DD6DB}" destId="{93BC5B3B-9727-4B4C-8815-7EA571F7FF05}" srcOrd="0" destOrd="0" presId="urn:microsoft.com/office/officeart/2008/layout/RadialCluster"/>
    <dgm:cxn modelId="{233F8DF8-366A-475B-B82E-F10CBCB77E6C}" type="presOf" srcId="{72519FA9-C8A6-44AB-A096-30DA614CB586}" destId="{65434A1D-4FE7-45CE-AA85-C28FCBF967D3}" srcOrd="0" destOrd="0" presId="urn:microsoft.com/office/officeart/2008/layout/RadialCluster"/>
    <dgm:cxn modelId="{3CEB9BE4-79F5-4CB4-A592-14F547CB79B0}" type="presParOf" srcId="{44B607BF-D394-43ED-A189-E3CA44896059}" destId="{780BCC1C-B015-43D4-8AFF-88AAA2DD0E08}" srcOrd="0" destOrd="0" presId="urn:microsoft.com/office/officeart/2008/layout/RadialCluster"/>
    <dgm:cxn modelId="{7DCDB6DD-2B27-4CF7-8F2F-B23F4CAB975B}" type="presParOf" srcId="{780BCC1C-B015-43D4-8AFF-88AAA2DD0E08}" destId="{A49F7FAE-8B32-4EE8-B30A-B466F8FC6E56}" srcOrd="0" destOrd="0" presId="urn:microsoft.com/office/officeart/2008/layout/RadialCluster"/>
    <dgm:cxn modelId="{72EC0567-2A91-4956-800C-09B0B0A553DA}" type="presParOf" srcId="{780BCC1C-B015-43D4-8AFF-88AAA2DD0E08}" destId="{65434A1D-4FE7-45CE-AA85-C28FCBF967D3}" srcOrd="1" destOrd="0" presId="urn:microsoft.com/office/officeart/2008/layout/RadialCluster"/>
    <dgm:cxn modelId="{2217ECE9-879E-49C0-9B21-C64DB3294154}" type="presParOf" srcId="{780BCC1C-B015-43D4-8AFF-88AAA2DD0E08}" destId="{93BC5B3B-9727-4B4C-8815-7EA571F7FF05}" srcOrd="2" destOrd="0" presId="urn:microsoft.com/office/officeart/2008/layout/RadialCluster"/>
    <dgm:cxn modelId="{C6326B7C-EC1B-4CA0-980B-1C44B9E9739B}" type="presParOf" srcId="{780BCC1C-B015-43D4-8AFF-88AAA2DD0E08}" destId="{970B8DFC-AEF6-466A-9BAE-2F66B3A5BDB8}" srcOrd="3" destOrd="0" presId="urn:microsoft.com/office/officeart/2008/layout/RadialCluster"/>
    <dgm:cxn modelId="{04195CA9-1B7D-4CC0-A127-6766248C8A90}" type="presParOf" srcId="{780BCC1C-B015-43D4-8AFF-88AAA2DD0E08}" destId="{1B9CC776-AA40-4ABF-A76C-CCBF54E38C50}" srcOrd="4" destOrd="0" presId="urn:microsoft.com/office/officeart/2008/layout/RadialCluster"/>
    <dgm:cxn modelId="{56D91B42-CEA7-4FDE-BD9F-51BB965712E3}" type="presParOf" srcId="{780BCC1C-B015-43D4-8AFF-88AAA2DD0E08}" destId="{C53A7FC5-338D-4D08-AD96-F187B3C235D4}" srcOrd="5" destOrd="0" presId="urn:microsoft.com/office/officeart/2008/layout/RadialCluster"/>
    <dgm:cxn modelId="{283D8927-DA8A-418F-B4B0-520CD188772A}" type="presParOf" srcId="{780BCC1C-B015-43D4-8AFF-88AAA2DD0E08}" destId="{CF12BADE-CA5D-4FE5-B3B4-E62BB9D5C523}" srcOrd="6" destOrd="0" presId="urn:microsoft.com/office/officeart/2008/layout/RadialCluster"/>
    <dgm:cxn modelId="{74664323-3003-4451-9A52-5C9804B119D2}" type="presParOf" srcId="{780BCC1C-B015-43D4-8AFF-88AAA2DD0E08}" destId="{0912D4D1-2753-4FDB-B63F-2BC30ECDFAC5}" srcOrd="7" destOrd="0" presId="urn:microsoft.com/office/officeart/2008/layout/RadialCluster"/>
    <dgm:cxn modelId="{6B7CF6B8-6734-4DFA-8E34-F90EEC944B10}" type="presParOf" srcId="{780BCC1C-B015-43D4-8AFF-88AAA2DD0E08}" destId="{6188541C-34A1-4DB8-AB87-84A6832D4498}" srcOrd="8" destOrd="0" presId="urn:microsoft.com/office/officeart/2008/layout/RadialCluster"/>
    <dgm:cxn modelId="{2EB4A79C-34D4-41B1-9DCF-386E216C81A4}" type="presParOf" srcId="{780BCC1C-B015-43D4-8AFF-88AAA2DD0E08}" destId="{0381B8C2-270E-4D68-B6BA-2782FD3DBA07}" srcOrd="9" destOrd="0" presId="urn:microsoft.com/office/officeart/2008/layout/RadialCluster"/>
    <dgm:cxn modelId="{151E9126-CAD5-4CCA-BD6B-80985EB300A6}" type="presParOf" srcId="{780BCC1C-B015-43D4-8AFF-88AAA2DD0E08}" destId="{FC1C2351-056A-4638-8FDB-DBED1BC8C791}" srcOrd="10" destOrd="0" presId="urn:microsoft.com/office/officeart/2008/layout/RadialCluster"/>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9F7FAE-8B32-4EE8-B30A-B466F8FC6E56}">
      <dsp:nvSpPr>
        <dsp:cNvPr id="0" name=""/>
        <dsp:cNvSpPr/>
      </dsp:nvSpPr>
      <dsp:spPr>
        <a:xfrm>
          <a:off x="2277198" y="1100367"/>
          <a:ext cx="1389816" cy="1389816"/>
        </a:xfrm>
        <a:prstGeom prst="round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Poor Mental Health Outcomes</a:t>
          </a:r>
        </a:p>
        <a:p>
          <a:pPr marL="0" lvl="0" indent="0" algn="ctr" defTabSz="577850">
            <a:lnSpc>
              <a:spcPct val="90000"/>
            </a:lnSpc>
            <a:spcBef>
              <a:spcPct val="0"/>
            </a:spcBef>
            <a:spcAft>
              <a:spcPct val="35000"/>
            </a:spcAft>
            <a:buFont typeface="Times New Roman" panose="02020603050405020304" pitchFamily="18" charset="0"/>
            <a:buNone/>
          </a:pPr>
          <a:r>
            <a:rPr lang="en-GB" sz="1300" kern="1200"/>
            <a:t>(Young Adults, UK, COVID-19)</a:t>
          </a:r>
        </a:p>
        <a:p>
          <a:pPr marL="0" lvl="0" indent="0" algn="ctr" defTabSz="577850">
            <a:lnSpc>
              <a:spcPct val="90000"/>
            </a:lnSpc>
            <a:spcBef>
              <a:spcPct val="0"/>
            </a:spcBef>
            <a:spcAft>
              <a:spcPct val="35000"/>
            </a:spcAft>
            <a:buNone/>
          </a:pPr>
          <a:endParaRPr lang="en-GB" sz="1300" kern="1200"/>
        </a:p>
      </dsp:txBody>
      <dsp:txXfrm>
        <a:off x="2345043" y="1168212"/>
        <a:ext cx="1254126" cy="1254126"/>
      </dsp:txXfrm>
    </dsp:sp>
    <dsp:sp modelId="{65434A1D-4FE7-45CE-AA85-C28FCBF967D3}">
      <dsp:nvSpPr>
        <dsp:cNvPr id="0" name=""/>
        <dsp:cNvSpPr/>
      </dsp:nvSpPr>
      <dsp:spPr>
        <a:xfrm rot="11556287">
          <a:off x="1439468" y="1547362"/>
          <a:ext cx="847948" cy="0"/>
        </a:xfrm>
        <a:custGeom>
          <a:avLst/>
          <a:gdLst/>
          <a:ahLst/>
          <a:cxnLst/>
          <a:rect l="0" t="0" r="0" b="0"/>
          <a:pathLst>
            <a:path>
              <a:moveTo>
                <a:pt x="0" y="0"/>
              </a:moveTo>
              <a:lnTo>
                <a:pt x="84794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C5B3B-9727-4B4C-8815-7EA571F7FF05}">
      <dsp:nvSpPr>
        <dsp:cNvPr id="0" name=""/>
        <dsp:cNvSpPr/>
      </dsp:nvSpPr>
      <dsp:spPr>
        <a:xfrm>
          <a:off x="229621" y="716436"/>
          <a:ext cx="1220065" cy="12039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dirty="0"/>
            <a:t>Financial Insecurity</a:t>
          </a:r>
        </a:p>
        <a:p>
          <a:pPr marL="0" lvl="0" indent="0" algn="ctr" defTabSz="488950">
            <a:lnSpc>
              <a:spcPct val="90000"/>
            </a:lnSpc>
            <a:spcBef>
              <a:spcPct val="0"/>
            </a:spcBef>
            <a:spcAft>
              <a:spcPct val="35000"/>
            </a:spcAft>
            <a:buNone/>
          </a:pPr>
          <a:r>
            <a:rPr lang="en-GB" sz="1100" kern="1200" dirty="0"/>
            <a:t>- Job loss</a:t>
          </a:r>
        </a:p>
        <a:p>
          <a:pPr marL="0" lvl="0" indent="0" algn="ctr" defTabSz="488950">
            <a:lnSpc>
              <a:spcPct val="90000"/>
            </a:lnSpc>
            <a:spcBef>
              <a:spcPct val="0"/>
            </a:spcBef>
            <a:spcAft>
              <a:spcPct val="35000"/>
            </a:spcAft>
            <a:buNone/>
          </a:pPr>
          <a:r>
            <a:rPr lang="en-GB" sz="1100" kern="1200" dirty="0"/>
            <a:t>- Low income</a:t>
          </a:r>
        </a:p>
        <a:p>
          <a:pPr marL="0" lvl="0" indent="0" algn="ctr" defTabSz="488950">
            <a:lnSpc>
              <a:spcPct val="90000"/>
            </a:lnSpc>
            <a:spcBef>
              <a:spcPct val="0"/>
            </a:spcBef>
            <a:spcAft>
              <a:spcPct val="35000"/>
            </a:spcAft>
            <a:buNone/>
          </a:pPr>
          <a:r>
            <a:rPr lang="en-GB" sz="1100" kern="1200"/>
            <a:t>- Debt</a:t>
          </a:r>
        </a:p>
      </dsp:txBody>
      <dsp:txXfrm>
        <a:off x="288395" y="775210"/>
        <a:ext cx="1102517" cy="1086436"/>
      </dsp:txXfrm>
    </dsp:sp>
    <dsp:sp modelId="{970B8DFC-AEF6-466A-9BAE-2F66B3A5BDB8}">
      <dsp:nvSpPr>
        <dsp:cNvPr id="0" name=""/>
        <dsp:cNvSpPr/>
      </dsp:nvSpPr>
      <dsp:spPr>
        <a:xfrm rot="21004745">
          <a:off x="3659878" y="1591508"/>
          <a:ext cx="954505" cy="0"/>
        </a:xfrm>
        <a:custGeom>
          <a:avLst/>
          <a:gdLst/>
          <a:ahLst/>
          <a:cxnLst/>
          <a:rect l="0" t="0" r="0" b="0"/>
          <a:pathLst>
            <a:path>
              <a:moveTo>
                <a:pt x="0" y="0"/>
              </a:moveTo>
              <a:lnTo>
                <a:pt x="95450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9CC776-AA40-4ABF-A76C-CCBF54E38C50}">
      <dsp:nvSpPr>
        <dsp:cNvPr id="0" name=""/>
        <dsp:cNvSpPr/>
      </dsp:nvSpPr>
      <dsp:spPr>
        <a:xfrm>
          <a:off x="4607248" y="683034"/>
          <a:ext cx="1039398" cy="14707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Housing</a:t>
          </a:r>
        </a:p>
        <a:p>
          <a:pPr marL="0" lvl="0" indent="0" algn="ctr" defTabSz="488950">
            <a:lnSpc>
              <a:spcPct val="90000"/>
            </a:lnSpc>
            <a:spcBef>
              <a:spcPct val="0"/>
            </a:spcBef>
            <a:spcAft>
              <a:spcPct val="35000"/>
            </a:spcAft>
            <a:buNone/>
          </a:pPr>
          <a:r>
            <a:rPr lang="en-GB" sz="1100" kern="1200"/>
            <a:t>Overcrowding</a:t>
          </a:r>
        </a:p>
        <a:p>
          <a:pPr marL="0" lvl="0" indent="0" algn="ctr" defTabSz="488950">
            <a:lnSpc>
              <a:spcPct val="90000"/>
            </a:lnSpc>
            <a:spcBef>
              <a:spcPct val="0"/>
            </a:spcBef>
            <a:spcAft>
              <a:spcPct val="35000"/>
            </a:spcAft>
            <a:buNone/>
          </a:pPr>
          <a:r>
            <a:rPr lang="en-GB" sz="1100" kern="1200"/>
            <a:t>-Insecure tenancy</a:t>
          </a:r>
        </a:p>
        <a:p>
          <a:pPr marL="0" lvl="0" indent="0" algn="ctr" defTabSz="488950">
            <a:lnSpc>
              <a:spcPct val="90000"/>
            </a:lnSpc>
            <a:spcBef>
              <a:spcPct val="0"/>
            </a:spcBef>
            <a:spcAft>
              <a:spcPct val="35000"/>
            </a:spcAft>
            <a:buNone/>
          </a:pPr>
          <a:r>
            <a:rPr lang="en-GB" sz="1100" kern="1200"/>
            <a:t>Poor conditions</a:t>
          </a:r>
        </a:p>
      </dsp:txBody>
      <dsp:txXfrm>
        <a:off x="4657987" y="733773"/>
        <a:ext cx="937920" cy="1369223"/>
      </dsp:txXfrm>
    </dsp:sp>
    <dsp:sp modelId="{C53A7FC5-338D-4D08-AD96-F187B3C235D4}">
      <dsp:nvSpPr>
        <dsp:cNvPr id="0" name=""/>
        <dsp:cNvSpPr/>
      </dsp:nvSpPr>
      <dsp:spPr>
        <a:xfrm rot="2741901">
          <a:off x="3452423" y="2959734"/>
          <a:ext cx="1312194" cy="0"/>
        </a:xfrm>
        <a:custGeom>
          <a:avLst/>
          <a:gdLst/>
          <a:ahLst/>
          <a:cxnLst/>
          <a:rect l="0" t="0" r="0" b="0"/>
          <a:pathLst>
            <a:path>
              <a:moveTo>
                <a:pt x="0" y="0"/>
              </a:moveTo>
              <a:lnTo>
                <a:pt x="131219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12BADE-CA5D-4FE5-B3B4-E62BB9D5C523}">
      <dsp:nvSpPr>
        <dsp:cNvPr id="0" name=""/>
        <dsp:cNvSpPr/>
      </dsp:nvSpPr>
      <dsp:spPr>
        <a:xfrm>
          <a:off x="4566762" y="3325654"/>
          <a:ext cx="1164744" cy="14007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dirty="0"/>
            <a:t>NHS Pressure</a:t>
          </a:r>
        </a:p>
        <a:p>
          <a:pPr marL="0" lvl="0" indent="0" algn="ctr" defTabSz="488950">
            <a:lnSpc>
              <a:spcPct val="90000"/>
            </a:lnSpc>
            <a:spcBef>
              <a:spcPct val="0"/>
            </a:spcBef>
            <a:spcAft>
              <a:spcPct val="35000"/>
            </a:spcAft>
            <a:buNone/>
          </a:pPr>
          <a:r>
            <a:rPr lang="en-GB" sz="1100" kern="1200" dirty="0"/>
            <a:t>- Long waiting lists</a:t>
          </a:r>
        </a:p>
        <a:p>
          <a:pPr marL="0" lvl="0" indent="0" algn="ctr" defTabSz="488950">
            <a:lnSpc>
              <a:spcPct val="90000"/>
            </a:lnSpc>
            <a:spcBef>
              <a:spcPct val="0"/>
            </a:spcBef>
            <a:spcAft>
              <a:spcPct val="35000"/>
            </a:spcAft>
            <a:buNone/>
          </a:pPr>
          <a:r>
            <a:rPr lang="en-GB" sz="1100" kern="1200" dirty="0"/>
            <a:t>- Staff shortages</a:t>
          </a:r>
        </a:p>
        <a:p>
          <a:pPr marL="0" lvl="0" indent="0" algn="ctr" defTabSz="488950">
            <a:lnSpc>
              <a:spcPct val="90000"/>
            </a:lnSpc>
            <a:spcBef>
              <a:spcPct val="0"/>
            </a:spcBef>
            <a:spcAft>
              <a:spcPct val="35000"/>
            </a:spcAft>
            <a:buNone/>
          </a:pPr>
          <a:r>
            <a:rPr lang="en-GB" sz="1100" kern="1200" dirty="0"/>
            <a:t>- Underfunded services</a:t>
          </a:r>
        </a:p>
      </dsp:txBody>
      <dsp:txXfrm>
        <a:off x="4623620" y="3382512"/>
        <a:ext cx="1051028" cy="1287035"/>
      </dsp:txXfrm>
    </dsp:sp>
    <dsp:sp modelId="{0912D4D1-2753-4FDB-B63F-2BC30ECDFAC5}">
      <dsp:nvSpPr>
        <dsp:cNvPr id="0" name=""/>
        <dsp:cNvSpPr/>
      </dsp:nvSpPr>
      <dsp:spPr>
        <a:xfrm rot="5251360">
          <a:off x="2602828" y="2907178"/>
          <a:ext cx="834769" cy="0"/>
        </a:xfrm>
        <a:custGeom>
          <a:avLst/>
          <a:gdLst/>
          <a:ahLst/>
          <a:cxnLst/>
          <a:rect l="0" t="0" r="0" b="0"/>
          <a:pathLst>
            <a:path>
              <a:moveTo>
                <a:pt x="0" y="0"/>
              </a:moveTo>
              <a:lnTo>
                <a:pt x="8347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88541C-34A1-4DB8-AB87-84A6832D4498}">
      <dsp:nvSpPr>
        <dsp:cNvPr id="0" name=""/>
        <dsp:cNvSpPr/>
      </dsp:nvSpPr>
      <dsp:spPr>
        <a:xfrm>
          <a:off x="2334307" y="3324173"/>
          <a:ext cx="1468624" cy="14037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Social Isolation</a:t>
          </a:r>
        </a:p>
        <a:p>
          <a:pPr marL="0" lvl="0" indent="0" algn="ctr" defTabSz="488950">
            <a:lnSpc>
              <a:spcPct val="90000"/>
            </a:lnSpc>
            <a:spcBef>
              <a:spcPct val="0"/>
            </a:spcBef>
            <a:spcAft>
              <a:spcPct val="35000"/>
            </a:spcAft>
            <a:buNone/>
          </a:pPr>
          <a:r>
            <a:rPr lang="en-GB" sz="1100" kern="1200"/>
            <a:t>- Lockdowns</a:t>
          </a:r>
        </a:p>
        <a:p>
          <a:pPr marL="0" lvl="0" indent="0" algn="ctr" defTabSz="488950">
            <a:lnSpc>
              <a:spcPct val="90000"/>
            </a:lnSpc>
            <a:spcBef>
              <a:spcPct val="0"/>
            </a:spcBef>
            <a:spcAft>
              <a:spcPct val="35000"/>
            </a:spcAft>
            <a:buNone/>
          </a:pPr>
          <a:r>
            <a:rPr lang="en-GB" sz="1100" kern="1200"/>
            <a:t>Restricted movement</a:t>
          </a:r>
        </a:p>
        <a:p>
          <a:pPr marL="0" lvl="0" indent="0" algn="ctr" defTabSz="488950">
            <a:lnSpc>
              <a:spcPct val="90000"/>
            </a:lnSpc>
            <a:spcBef>
              <a:spcPct val="0"/>
            </a:spcBef>
            <a:spcAft>
              <a:spcPct val="35000"/>
            </a:spcAft>
            <a:buNone/>
          </a:pPr>
          <a:r>
            <a:rPr lang="en-GB" sz="1100" kern="1200"/>
            <a:t>- Loneliness</a:t>
          </a:r>
        </a:p>
      </dsp:txBody>
      <dsp:txXfrm>
        <a:off x="2402831" y="3392697"/>
        <a:ext cx="1331576" cy="1266683"/>
      </dsp:txXfrm>
    </dsp:sp>
    <dsp:sp modelId="{0381B8C2-270E-4D68-B6BA-2782FD3DBA07}">
      <dsp:nvSpPr>
        <dsp:cNvPr id="0" name=""/>
        <dsp:cNvSpPr/>
      </dsp:nvSpPr>
      <dsp:spPr>
        <a:xfrm rot="8051932">
          <a:off x="1324450" y="2900748"/>
          <a:ext cx="1145348" cy="0"/>
        </a:xfrm>
        <a:custGeom>
          <a:avLst/>
          <a:gdLst/>
          <a:ahLst/>
          <a:cxnLst/>
          <a:rect l="0" t="0" r="0" b="0"/>
          <a:pathLst>
            <a:path>
              <a:moveTo>
                <a:pt x="0" y="0"/>
              </a:moveTo>
              <a:lnTo>
                <a:pt x="114534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1C2351-056A-4638-8FDB-DBED1BC8C791}">
      <dsp:nvSpPr>
        <dsp:cNvPr id="0" name=""/>
        <dsp:cNvSpPr/>
      </dsp:nvSpPr>
      <dsp:spPr>
        <a:xfrm>
          <a:off x="123000" y="3311312"/>
          <a:ext cx="1464807" cy="13214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Digital Exclusion</a:t>
          </a:r>
        </a:p>
        <a:p>
          <a:pPr marL="0" lvl="0" indent="0" algn="ctr" defTabSz="488950">
            <a:lnSpc>
              <a:spcPct val="90000"/>
            </a:lnSpc>
            <a:spcBef>
              <a:spcPct val="0"/>
            </a:spcBef>
            <a:spcAft>
              <a:spcPct val="35000"/>
            </a:spcAft>
            <a:buNone/>
          </a:pPr>
          <a:r>
            <a:rPr lang="en-GB" sz="1100" kern="1200"/>
            <a:t>- No internet</a:t>
          </a:r>
        </a:p>
        <a:p>
          <a:pPr marL="0" lvl="0" indent="0" algn="ctr" defTabSz="488950">
            <a:lnSpc>
              <a:spcPct val="90000"/>
            </a:lnSpc>
            <a:spcBef>
              <a:spcPct val="0"/>
            </a:spcBef>
            <a:spcAft>
              <a:spcPct val="35000"/>
            </a:spcAft>
            <a:buNone/>
          </a:pPr>
          <a:r>
            <a:rPr lang="en-GB" sz="1100" kern="1200"/>
            <a:t>- Limited devices</a:t>
          </a:r>
        </a:p>
        <a:p>
          <a:pPr marL="0" lvl="0" indent="0" algn="ctr" defTabSz="488950">
            <a:lnSpc>
              <a:spcPct val="90000"/>
            </a:lnSpc>
            <a:spcBef>
              <a:spcPct val="0"/>
            </a:spcBef>
            <a:spcAft>
              <a:spcPct val="35000"/>
            </a:spcAft>
            <a:buNone/>
          </a:pPr>
          <a:r>
            <a:rPr lang="en-GB" sz="1100" kern="1200"/>
            <a:t>- Low digital skills</a:t>
          </a:r>
        </a:p>
      </dsp:txBody>
      <dsp:txXfrm>
        <a:off x="187506" y="3375818"/>
        <a:ext cx="1335795" cy="119239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4fb5c810d119ecf434dcbcd9439d7d1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044555016fffe4bb7dde3108eed99ced"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E6556D-FE33-40C5-8FE9-55EB6C66B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772075-3DBB-44D4-B7C6-A79060DD6FB4}">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4.xml><?xml version="1.0" encoding="utf-8"?>
<ds:datastoreItem xmlns:ds="http://schemas.openxmlformats.org/officeDocument/2006/customXml" ds:itemID="{2DC35D8F-AA34-4DD7-BA80-2B38B9E9F0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14111</Words>
  <Characters>80434</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Nazia Haroon (2208947)</cp:lastModifiedBy>
  <cp:revision>2</cp:revision>
  <dcterms:created xsi:type="dcterms:W3CDTF">2026-03-15T20:15:00Z</dcterms:created>
  <dcterms:modified xsi:type="dcterms:W3CDTF">2026-03-15T20:15:00Z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