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5003D0" w14:textId="4BAE60B5" w:rsidR="004430FB" w:rsidRPr="004430FB" w:rsidRDefault="004430FB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9"/>
        <w:rPr>
          <w:b/>
          <w:bCs/>
          <w:color w:val="000000"/>
        </w:rPr>
      </w:pPr>
      <w:r w:rsidRPr="004430FB">
        <w:rPr>
          <w:b/>
          <w:bCs/>
          <w:color w:val="000000"/>
        </w:rPr>
        <w:t>Fozia Parveen – LCHS4008</w:t>
      </w:r>
    </w:p>
    <w:p w14:paraId="32DB11B3" w14:textId="77777777" w:rsidR="004430FB" w:rsidRPr="004430FB" w:rsidRDefault="004430FB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9"/>
        <w:rPr>
          <w:b/>
          <w:bCs/>
          <w:color w:val="000000"/>
        </w:rPr>
      </w:pPr>
    </w:p>
    <w:p w14:paraId="00000001" w14:textId="7364E91D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9"/>
        <w:rPr>
          <w:b/>
          <w:bCs/>
          <w:color w:val="000000"/>
        </w:rPr>
      </w:pPr>
      <w:r w:rsidRPr="004430FB">
        <w:rPr>
          <w:b/>
          <w:bCs/>
          <w:color w:val="000000"/>
        </w:rPr>
        <w:t xml:space="preserve">GROUP DISCUSSION </w:t>
      </w:r>
    </w:p>
    <w:p w14:paraId="00000002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1" w:line="360" w:lineRule="auto"/>
        <w:ind w:left="16"/>
        <w:rPr>
          <w:b/>
          <w:bCs/>
          <w:color w:val="000000"/>
        </w:rPr>
      </w:pPr>
      <w:r w:rsidRPr="004430FB">
        <w:rPr>
          <w:b/>
          <w:bCs/>
          <w:color w:val="000000"/>
        </w:rPr>
        <w:t xml:space="preserve">Dementia Community: Measures, Monitoring and Control. </w:t>
      </w:r>
    </w:p>
    <w:p w14:paraId="00000003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00" w:line="360" w:lineRule="auto"/>
        <w:ind w:left="14"/>
        <w:rPr>
          <w:b/>
          <w:bCs/>
          <w:color w:val="000000"/>
        </w:rPr>
      </w:pPr>
      <w:r w:rsidRPr="004430FB">
        <w:rPr>
          <w:b/>
          <w:bCs/>
          <w:color w:val="000000"/>
        </w:rPr>
        <w:t xml:space="preserve">INTRODUCTION  </w:t>
      </w:r>
    </w:p>
    <w:p w14:paraId="00000004" w14:textId="4818E328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1" w:line="360" w:lineRule="auto"/>
        <w:ind w:left="8" w:right="113" w:hanging="5"/>
        <w:rPr>
          <w:color w:val="000000"/>
        </w:rPr>
      </w:pPr>
      <w:r w:rsidRPr="004430FB">
        <w:rPr>
          <w:color w:val="000000"/>
        </w:rPr>
        <w:t xml:space="preserve">The case study I selected is dementia - one of the major public health issues </w:t>
      </w:r>
      <w:r w:rsidR="004430FB" w:rsidRPr="004430FB">
        <w:rPr>
          <w:color w:val="000000"/>
        </w:rPr>
        <w:t>UK communities</w:t>
      </w:r>
      <w:r w:rsidRPr="004430FB">
        <w:rPr>
          <w:color w:val="000000"/>
        </w:rPr>
        <w:t xml:space="preserve"> have encountered in the contemporary society. The Office for </w:t>
      </w:r>
      <w:r w:rsidR="004430FB" w:rsidRPr="004430FB">
        <w:rPr>
          <w:color w:val="000000"/>
        </w:rPr>
        <w:t>Health Improvement</w:t>
      </w:r>
      <w:r w:rsidRPr="004430FB">
        <w:rPr>
          <w:color w:val="000000"/>
        </w:rPr>
        <w:t xml:space="preserve"> and Disparities (2024) states that at present, there are approximately </w:t>
      </w:r>
      <w:r w:rsidR="004430FB" w:rsidRPr="004430FB">
        <w:rPr>
          <w:color w:val="000000"/>
        </w:rPr>
        <w:t>982,000 individuals</w:t>
      </w:r>
      <w:r w:rsidRPr="004430FB">
        <w:rPr>
          <w:color w:val="000000"/>
        </w:rPr>
        <w:t xml:space="preserve"> with dementia in the UK, and the number of patients is expected to reach </w:t>
      </w:r>
      <w:proofErr w:type="gramStart"/>
      <w:r w:rsidRPr="004430FB">
        <w:rPr>
          <w:color w:val="000000"/>
        </w:rPr>
        <w:t>over  1.2</w:t>
      </w:r>
      <w:proofErr w:type="gramEnd"/>
      <w:r w:rsidRPr="004430FB">
        <w:rPr>
          <w:color w:val="000000"/>
        </w:rPr>
        <w:t xml:space="preserve"> million by 2040. </w:t>
      </w:r>
    </w:p>
    <w:p w14:paraId="00000005" w14:textId="3E3AB22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7" w:right="211" w:firstLine="8"/>
        <w:rPr>
          <w:color w:val="000000"/>
        </w:rPr>
      </w:pPr>
      <w:r w:rsidRPr="004430FB">
        <w:rPr>
          <w:color w:val="000000"/>
        </w:rPr>
        <w:t xml:space="preserve">My contribution today will be based on the three main areas that we were asked to </w:t>
      </w:r>
      <w:r w:rsidR="004430FB" w:rsidRPr="004430FB">
        <w:rPr>
          <w:color w:val="000000"/>
        </w:rPr>
        <w:t>discuss in</w:t>
      </w:r>
      <w:r w:rsidRPr="004430FB">
        <w:rPr>
          <w:color w:val="000000"/>
        </w:rPr>
        <w:t xml:space="preserve"> our task including how we gauge the incidence of dementia, how we track trends </w:t>
      </w:r>
      <w:r w:rsidR="004430FB" w:rsidRPr="004430FB">
        <w:rPr>
          <w:color w:val="000000"/>
        </w:rPr>
        <w:t>and inequalities</w:t>
      </w:r>
      <w:r w:rsidRPr="004430FB">
        <w:rPr>
          <w:color w:val="000000"/>
        </w:rPr>
        <w:t xml:space="preserve">, and how we manage the condition in the community. I am going to rely on </w:t>
      </w:r>
      <w:r w:rsidR="004430FB" w:rsidRPr="004430FB">
        <w:rPr>
          <w:color w:val="000000"/>
        </w:rPr>
        <w:t>six reliable</w:t>
      </w:r>
      <w:r w:rsidRPr="004430FB">
        <w:rPr>
          <w:color w:val="000000"/>
        </w:rPr>
        <w:t xml:space="preserve"> sources such as government policy of the UK, government health </w:t>
      </w:r>
      <w:r w:rsidR="004430FB" w:rsidRPr="004430FB">
        <w:rPr>
          <w:color w:val="000000"/>
        </w:rPr>
        <w:t>statistics, academic</w:t>
      </w:r>
      <w:r w:rsidRPr="004430FB">
        <w:rPr>
          <w:color w:val="000000"/>
        </w:rPr>
        <w:t xml:space="preserve"> literature, and charity reports. </w:t>
      </w:r>
    </w:p>
    <w:p w14:paraId="00000006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16"/>
        <w:rPr>
          <w:b/>
          <w:bCs/>
          <w:color w:val="000000"/>
        </w:rPr>
      </w:pPr>
      <w:r w:rsidRPr="004430FB">
        <w:rPr>
          <w:b/>
          <w:bCs/>
          <w:color w:val="000000"/>
        </w:rPr>
        <w:t xml:space="preserve">PART 1: MEASURES </w:t>
      </w:r>
    </w:p>
    <w:p w14:paraId="00000007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1" w:line="360" w:lineRule="auto"/>
        <w:ind w:left="17" w:right="141" w:firstLine="1"/>
        <w:rPr>
          <w:color w:val="000000"/>
        </w:rPr>
      </w:pPr>
      <w:r w:rsidRPr="004430FB">
        <w:rPr>
          <w:color w:val="000000"/>
        </w:rPr>
        <w:t xml:space="preserve">Prima Porta </w:t>
      </w:r>
      <w:proofErr w:type="spellStart"/>
      <w:r w:rsidRPr="004430FB">
        <w:rPr>
          <w:color w:val="000000"/>
        </w:rPr>
        <w:t>versum</w:t>
      </w:r>
      <w:proofErr w:type="spellEnd"/>
      <w:r w:rsidRPr="004430FB">
        <w:rPr>
          <w:color w:val="000000"/>
        </w:rPr>
        <w:t xml:space="preserve"> mensuration. Dementia incidence in the UK is mainly gauged by </w:t>
      </w:r>
      <w:proofErr w:type="gramStart"/>
      <w:r w:rsidRPr="004430FB">
        <w:rPr>
          <w:color w:val="000000"/>
        </w:rPr>
        <w:t>GP  registers</w:t>
      </w:r>
      <w:proofErr w:type="gramEnd"/>
      <w:r w:rsidRPr="004430FB">
        <w:rPr>
          <w:color w:val="000000"/>
        </w:rPr>
        <w:t xml:space="preserve"> as a part of the Quality and Outcomes Framework or QOF. This system keeps </w:t>
      </w:r>
      <w:proofErr w:type="gramStart"/>
      <w:r w:rsidRPr="004430FB">
        <w:rPr>
          <w:color w:val="000000"/>
        </w:rPr>
        <w:t>the  record</w:t>
      </w:r>
      <w:proofErr w:type="gramEnd"/>
      <w:r w:rsidRPr="004430FB">
        <w:rPr>
          <w:color w:val="000000"/>
        </w:rPr>
        <w:t xml:space="preserve"> of patients, who have been diagnosed with dementia. </w:t>
      </w:r>
    </w:p>
    <w:p w14:paraId="00000008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7" w:right="106" w:hanging="4"/>
        <w:jc w:val="both"/>
        <w:rPr>
          <w:color w:val="000000"/>
        </w:rPr>
      </w:pPr>
      <w:r w:rsidRPr="004430FB">
        <w:rPr>
          <w:color w:val="000000"/>
        </w:rPr>
        <w:t xml:space="preserve">The Department of Health and Social Care (2023) has two national targets: a diagnosis </w:t>
      </w:r>
      <w:proofErr w:type="gramStart"/>
      <w:r w:rsidRPr="004430FB">
        <w:rPr>
          <w:color w:val="000000"/>
        </w:rPr>
        <w:t>rate  of</w:t>
      </w:r>
      <w:proofErr w:type="gramEnd"/>
      <w:r w:rsidRPr="004430FB">
        <w:rPr>
          <w:color w:val="000000"/>
        </w:rPr>
        <w:t xml:space="preserve"> 66.7% - i.e., two-thirds of those people estimated to have dementia should be diagnosed.  But the current diagnosis rate in the UK according to the Office for Health Improvement </w:t>
      </w:r>
      <w:proofErr w:type="gramStart"/>
      <w:r w:rsidRPr="004430FB">
        <w:rPr>
          <w:color w:val="000000"/>
        </w:rPr>
        <w:t>and  Disparities</w:t>
      </w:r>
      <w:proofErr w:type="gramEnd"/>
      <w:r w:rsidRPr="004430FB">
        <w:rPr>
          <w:color w:val="000000"/>
        </w:rPr>
        <w:t xml:space="preserve"> (2025) is nearly 63 to 65 per cent, which is below the target. </w:t>
      </w:r>
    </w:p>
    <w:p w14:paraId="00000009" w14:textId="21718E74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4" w:line="360" w:lineRule="auto"/>
        <w:ind w:left="3" w:right="168" w:firstLine="13"/>
        <w:rPr>
          <w:color w:val="000000"/>
        </w:rPr>
      </w:pPr>
      <w:r w:rsidRPr="004430FB">
        <w:rPr>
          <w:color w:val="000000"/>
        </w:rPr>
        <w:t xml:space="preserve">However, there is a more serious issue. Walsh et al. (2023) in the British Journal of General Practice is a longitudinal cohort study that discovered that the average delay </w:t>
      </w:r>
      <w:r w:rsidR="004430FB" w:rsidRPr="004430FB">
        <w:rPr>
          <w:color w:val="000000"/>
        </w:rPr>
        <w:t>between diagnosis</w:t>
      </w:r>
      <w:r w:rsidRPr="004430FB">
        <w:rPr>
          <w:color w:val="000000"/>
        </w:rPr>
        <w:t xml:space="preserve"> and treatment is two to three years, with wide range of variance between </w:t>
      </w:r>
      <w:proofErr w:type="gramStart"/>
      <w:r w:rsidRPr="004430FB">
        <w:rPr>
          <w:color w:val="000000"/>
        </w:rPr>
        <w:t>GP  practices</w:t>
      </w:r>
      <w:proofErr w:type="gramEnd"/>
      <w:r w:rsidRPr="004430FB">
        <w:rPr>
          <w:color w:val="000000"/>
        </w:rPr>
        <w:t xml:space="preserve">. This implies that individuals are experiencing years of undiagnosed </w:t>
      </w:r>
      <w:r w:rsidR="004430FB" w:rsidRPr="004430FB">
        <w:rPr>
          <w:color w:val="000000"/>
        </w:rPr>
        <w:t>dementia without</w:t>
      </w:r>
      <w:r w:rsidRPr="004430FB">
        <w:rPr>
          <w:color w:val="000000"/>
        </w:rPr>
        <w:t xml:space="preserve"> access to early treatment and care. </w:t>
      </w:r>
    </w:p>
    <w:p w14:paraId="0000000A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7" w:line="360" w:lineRule="auto"/>
        <w:ind w:left="3" w:right="84" w:firstLine="13"/>
        <w:rPr>
          <w:color w:val="000000"/>
        </w:rPr>
      </w:pPr>
      <w:r w:rsidRPr="004430FB">
        <w:rPr>
          <w:color w:val="000000"/>
        </w:rPr>
        <w:t xml:space="preserve">Most importantly, this informs us that we have an incomplete measurement system. The </w:t>
      </w:r>
      <w:proofErr w:type="gramStart"/>
      <w:r w:rsidRPr="004430FB">
        <w:rPr>
          <w:color w:val="000000"/>
        </w:rPr>
        <w:t xml:space="preserve">GP  </w:t>
      </w:r>
      <w:r w:rsidRPr="004430FB">
        <w:rPr>
          <w:color w:val="000000"/>
        </w:rPr>
        <w:lastRenderedPageBreak/>
        <w:t>registers</w:t>
      </w:r>
      <w:proofErr w:type="gramEnd"/>
      <w:r w:rsidRPr="004430FB">
        <w:rPr>
          <w:color w:val="000000"/>
        </w:rPr>
        <w:t xml:space="preserve"> underreport the true prevalence as it only records diagnosed people. The figure </w:t>
      </w:r>
      <w:proofErr w:type="gramStart"/>
      <w:r w:rsidRPr="004430FB">
        <w:rPr>
          <w:color w:val="000000"/>
        </w:rPr>
        <w:t>of  982,000</w:t>
      </w:r>
      <w:proofErr w:type="gramEnd"/>
      <w:r w:rsidRPr="004430FB">
        <w:rPr>
          <w:color w:val="000000"/>
        </w:rPr>
        <w:t xml:space="preserve"> in the OHID (2024) report is an estimate - the actual figure is probably much larger.  There are practical implications of this lack of measurement: without properly measuring </w:t>
      </w:r>
      <w:proofErr w:type="gramStart"/>
      <w:r w:rsidRPr="004430FB">
        <w:rPr>
          <w:color w:val="000000"/>
        </w:rPr>
        <w:t>the  size</w:t>
      </w:r>
      <w:proofErr w:type="gramEnd"/>
      <w:r w:rsidRPr="004430FB">
        <w:rPr>
          <w:color w:val="000000"/>
        </w:rPr>
        <w:t xml:space="preserve"> of the problem, we cannot properly resource the response.</w:t>
      </w:r>
    </w:p>
    <w:p w14:paraId="0000000B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6"/>
        <w:rPr>
          <w:b/>
          <w:bCs/>
          <w:color w:val="000000"/>
        </w:rPr>
      </w:pPr>
      <w:r w:rsidRPr="004430FB">
        <w:rPr>
          <w:b/>
          <w:bCs/>
          <w:color w:val="000000"/>
        </w:rPr>
        <w:t xml:space="preserve">PART 2: MONITORING </w:t>
      </w:r>
    </w:p>
    <w:p w14:paraId="0000000C" w14:textId="7800491E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1" w:line="360" w:lineRule="auto"/>
        <w:ind w:left="3" w:right="225" w:firstLine="12"/>
        <w:jc w:val="both"/>
        <w:rPr>
          <w:color w:val="000000"/>
        </w:rPr>
      </w:pPr>
      <w:r w:rsidRPr="004430FB">
        <w:rPr>
          <w:color w:val="000000"/>
        </w:rPr>
        <w:t xml:space="preserve">"Moving to monitoring. After we have measurement data then how do we follow the </w:t>
      </w:r>
      <w:proofErr w:type="gramStart"/>
      <w:r w:rsidRPr="004430FB">
        <w:rPr>
          <w:color w:val="000000"/>
        </w:rPr>
        <w:t>trends  and</w:t>
      </w:r>
      <w:proofErr w:type="gramEnd"/>
      <w:r w:rsidRPr="004430FB">
        <w:rPr>
          <w:color w:val="000000"/>
        </w:rPr>
        <w:t xml:space="preserve"> where to </w:t>
      </w:r>
      <w:proofErr w:type="gramStart"/>
      <w:r w:rsidRPr="004430FB">
        <w:rPr>
          <w:color w:val="000000"/>
        </w:rPr>
        <w:t>take action</w:t>
      </w:r>
      <w:proofErr w:type="gramEnd"/>
      <w:r w:rsidRPr="004430FB">
        <w:rPr>
          <w:color w:val="000000"/>
        </w:rPr>
        <w:t xml:space="preserve">? The first one is the OHID Dementia Profile that is an </w:t>
      </w:r>
      <w:r w:rsidR="004430FB" w:rsidRPr="004430FB">
        <w:rPr>
          <w:color w:val="000000"/>
        </w:rPr>
        <w:t>interactive tool</w:t>
      </w:r>
      <w:r w:rsidRPr="004430FB">
        <w:rPr>
          <w:color w:val="000000"/>
        </w:rPr>
        <w:t xml:space="preserve"> that enables local authorities and integrated care systems to track important indicators. </w:t>
      </w:r>
    </w:p>
    <w:p w14:paraId="0000000D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8" w:line="360" w:lineRule="auto"/>
        <w:ind w:left="14" w:right="443" w:hanging="11"/>
        <w:rPr>
          <w:color w:val="000000"/>
        </w:rPr>
      </w:pPr>
      <w:r w:rsidRPr="004430FB">
        <w:rPr>
          <w:color w:val="000000"/>
        </w:rPr>
        <w:t>The latest figures provided by the Office for Health Improvement and Disparities (2025</w:t>
      </w:r>
      <w:proofErr w:type="gramStart"/>
      <w:r w:rsidRPr="004430FB">
        <w:rPr>
          <w:color w:val="000000"/>
        </w:rPr>
        <w:t>)  make</w:t>
      </w:r>
      <w:proofErr w:type="gramEnd"/>
      <w:r w:rsidRPr="004430FB">
        <w:rPr>
          <w:color w:val="000000"/>
        </w:rPr>
        <w:t xml:space="preserve"> us all concerned with the fact that there is much inequality that is to be considered. </w:t>
      </w:r>
    </w:p>
    <w:p w14:paraId="0000000E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2" w:right="-6"/>
        <w:rPr>
          <w:color w:val="000000"/>
        </w:rPr>
      </w:pPr>
      <w:r w:rsidRPr="004430FB">
        <w:rPr>
          <w:color w:val="000000"/>
        </w:rPr>
        <w:t xml:space="preserve">To start with, geographical difference: some of the London boroughs show a diagnosis </w:t>
      </w:r>
      <w:proofErr w:type="gramStart"/>
      <w:r w:rsidRPr="004430FB">
        <w:rPr>
          <w:color w:val="000000"/>
        </w:rPr>
        <w:t>rate  as</w:t>
      </w:r>
      <w:proofErr w:type="gramEnd"/>
      <w:r w:rsidRPr="004430FB">
        <w:rPr>
          <w:color w:val="000000"/>
        </w:rPr>
        <w:t xml:space="preserve"> low as 50 per cent, whereas in parts of the </w:t>
      </w:r>
      <w:proofErr w:type="gramStart"/>
      <w:r w:rsidRPr="004430FB">
        <w:rPr>
          <w:color w:val="000000"/>
        </w:rPr>
        <w:t>North East</w:t>
      </w:r>
      <w:proofErr w:type="gramEnd"/>
      <w:r w:rsidRPr="004430FB">
        <w:rPr>
          <w:color w:val="000000"/>
        </w:rPr>
        <w:t xml:space="preserve">, it is as high as 75 per cent. It is </w:t>
      </w:r>
      <w:proofErr w:type="gramStart"/>
      <w:r w:rsidRPr="004430FB">
        <w:rPr>
          <w:color w:val="000000"/>
        </w:rPr>
        <w:t>a  lottery</w:t>
      </w:r>
      <w:proofErr w:type="gramEnd"/>
      <w:r w:rsidRPr="004430FB">
        <w:rPr>
          <w:color w:val="000000"/>
        </w:rPr>
        <w:t xml:space="preserve"> of postcodes so that your chances of getting a dementia diagnosis significantly rely </w:t>
      </w:r>
      <w:proofErr w:type="gramStart"/>
      <w:r w:rsidRPr="004430FB">
        <w:rPr>
          <w:color w:val="000000"/>
        </w:rPr>
        <w:t>on  your</w:t>
      </w:r>
      <w:proofErr w:type="gramEnd"/>
      <w:r w:rsidRPr="004430FB">
        <w:rPr>
          <w:color w:val="000000"/>
        </w:rPr>
        <w:t xml:space="preserve"> postcode. </w:t>
      </w:r>
    </w:p>
    <w:p w14:paraId="0000000F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7" w:line="360" w:lineRule="auto"/>
        <w:ind w:left="14" w:right="472" w:hanging="3"/>
        <w:rPr>
          <w:color w:val="000000"/>
        </w:rPr>
      </w:pPr>
      <w:r w:rsidRPr="004430FB">
        <w:rPr>
          <w:color w:val="000000"/>
        </w:rPr>
        <w:t xml:space="preserve">Second, deprivation: more deprived areas in fact have more prevalence of dementia </w:t>
      </w:r>
      <w:proofErr w:type="gramStart"/>
      <w:r w:rsidRPr="004430FB">
        <w:rPr>
          <w:color w:val="000000"/>
        </w:rPr>
        <w:t>but  lower</w:t>
      </w:r>
      <w:proofErr w:type="gramEnd"/>
      <w:r w:rsidRPr="004430FB">
        <w:rPr>
          <w:color w:val="000000"/>
        </w:rPr>
        <w:t xml:space="preserve"> rates of diagnosis. It is a two-sided inequality - the communities having the </w:t>
      </w:r>
      <w:proofErr w:type="gramStart"/>
      <w:r w:rsidRPr="004430FB">
        <w:rPr>
          <w:color w:val="000000"/>
        </w:rPr>
        <w:t>higher  needs</w:t>
      </w:r>
      <w:proofErr w:type="gramEnd"/>
      <w:r w:rsidRPr="004430FB">
        <w:rPr>
          <w:color w:val="000000"/>
        </w:rPr>
        <w:t xml:space="preserve"> are getting fewer recognition and assistance. </w:t>
      </w:r>
    </w:p>
    <w:p w14:paraId="00000010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7" w:right="824" w:hanging="4"/>
        <w:rPr>
          <w:color w:val="000000"/>
        </w:rPr>
      </w:pPr>
      <w:r w:rsidRPr="004430FB">
        <w:rPr>
          <w:color w:val="000000"/>
        </w:rPr>
        <w:t xml:space="preserve">Third, ethnicity: individuals belonging to Black, Asian, and minority ethnic groups </w:t>
      </w:r>
      <w:proofErr w:type="gramStart"/>
      <w:r w:rsidRPr="004430FB">
        <w:rPr>
          <w:color w:val="000000"/>
        </w:rPr>
        <w:t>are  diagnosed</w:t>
      </w:r>
      <w:proofErr w:type="gramEnd"/>
      <w:r w:rsidRPr="004430FB">
        <w:rPr>
          <w:color w:val="000000"/>
        </w:rPr>
        <w:t xml:space="preserve"> later, at more advanced stages, which gives them more obstacles to anti diagnostic support. </w:t>
      </w:r>
    </w:p>
    <w:p w14:paraId="00000011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right="-5" w:firstLine="16"/>
        <w:rPr>
          <w:color w:val="000000"/>
        </w:rPr>
      </w:pPr>
      <w:r w:rsidRPr="004430FB">
        <w:rPr>
          <w:color w:val="000000"/>
        </w:rPr>
        <w:t xml:space="preserve">Monitoring </w:t>
      </w:r>
      <w:proofErr w:type="gramStart"/>
      <w:r w:rsidRPr="004430FB">
        <w:rPr>
          <w:color w:val="000000"/>
        </w:rPr>
        <w:t>is</w:t>
      </w:r>
      <w:proofErr w:type="gramEnd"/>
      <w:r w:rsidRPr="004430FB">
        <w:rPr>
          <w:color w:val="000000"/>
        </w:rPr>
        <w:t xml:space="preserve"> however, not sufficient. In their report, From Diagnosis to End of Life, </w:t>
      </w:r>
      <w:proofErr w:type="gramStart"/>
      <w:r w:rsidRPr="004430FB">
        <w:rPr>
          <w:color w:val="000000"/>
        </w:rPr>
        <w:t>the  Alzheimer’s</w:t>
      </w:r>
      <w:proofErr w:type="gramEnd"/>
      <w:r w:rsidRPr="004430FB">
        <w:rPr>
          <w:color w:val="000000"/>
        </w:rPr>
        <w:t xml:space="preserve"> Society (2024) discovered that only one out of three dementia patients </w:t>
      </w:r>
      <w:proofErr w:type="gramStart"/>
      <w:r w:rsidRPr="004430FB">
        <w:rPr>
          <w:color w:val="000000"/>
        </w:rPr>
        <w:t>are  provided</w:t>
      </w:r>
      <w:proofErr w:type="gramEnd"/>
      <w:r w:rsidRPr="004430FB">
        <w:rPr>
          <w:color w:val="000000"/>
        </w:rPr>
        <w:t xml:space="preserve"> with enough post-diagnostic services despite the monitoring systems. This is a </w:t>
      </w:r>
      <w:proofErr w:type="gramStart"/>
      <w:r w:rsidRPr="004430FB">
        <w:rPr>
          <w:color w:val="000000"/>
        </w:rPr>
        <w:t>core  malpractice</w:t>
      </w:r>
      <w:proofErr w:type="gramEnd"/>
      <w:r w:rsidRPr="004430FB">
        <w:rPr>
          <w:color w:val="000000"/>
        </w:rPr>
        <w:t xml:space="preserve"> of not converting monitoring data into a meaningful action. </w:t>
      </w:r>
    </w:p>
    <w:p w14:paraId="00000012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4" w:line="360" w:lineRule="auto"/>
        <w:ind w:left="16"/>
        <w:rPr>
          <w:b/>
          <w:bCs/>
          <w:color w:val="000000"/>
        </w:rPr>
      </w:pPr>
      <w:r w:rsidRPr="004430FB">
        <w:rPr>
          <w:b/>
          <w:bCs/>
          <w:color w:val="000000"/>
        </w:rPr>
        <w:t xml:space="preserve">PART 3: CONTROL MEASURES </w:t>
      </w:r>
    </w:p>
    <w:p w14:paraId="00000013" w14:textId="6C02C69B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1" w:line="360" w:lineRule="auto"/>
        <w:ind w:left="7" w:right="1120" w:firstLine="9"/>
        <w:rPr>
          <w:color w:val="000000"/>
        </w:rPr>
      </w:pPr>
      <w:r w:rsidRPr="004430FB">
        <w:rPr>
          <w:color w:val="000000"/>
        </w:rPr>
        <w:t xml:space="preserve">Now, to control strategies - how we can be seen to intervene </w:t>
      </w:r>
      <w:proofErr w:type="gramStart"/>
      <w:r w:rsidRPr="004430FB">
        <w:rPr>
          <w:color w:val="000000"/>
        </w:rPr>
        <w:t>in order to</w:t>
      </w:r>
      <w:proofErr w:type="gramEnd"/>
      <w:r w:rsidRPr="004430FB">
        <w:rPr>
          <w:color w:val="000000"/>
        </w:rPr>
        <w:t xml:space="preserve"> lower </w:t>
      </w:r>
      <w:r w:rsidR="004430FB" w:rsidRPr="004430FB">
        <w:rPr>
          <w:color w:val="000000"/>
        </w:rPr>
        <w:t>the occurrence</w:t>
      </w:r>
      <w:r w:rsidRPr="004430FB">
        <w:rPr>
          <w:color w:val="000000"/>
        </w:rPr>
        <w:t xml:space="preserve"> and the effects of dementia in our areas. </w:t>
      </w:r>
    </w:p>
    <w:p w14:paraId="00000014" w14:textId="6BED9F29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3" w:right="312" w:firstLine="17"/>
        <w:rPr>
          <w:color w:val="000000"/>
        </w:rPr>
      </w:pPr>
      <w:r w:rsidRPr="004430FB">
        <w:rPr>
          <w:color w:val="000000"/>
        </w:rPr>
        <w:lastRenderedPageBreak/>
        <w:t xml:space="preserve">I would like to put this in the context of the model of public health primary, secondary, </w:t>
      </w:r>
      <w:r w:rsidR="004430FB" w:rsidRPr="004430FB">
        <w:rPr>
          <w:color w:val="000000"/>
        </w:rPr>
        <w:t>and tertiary</w:t>
      </w:r>
      <w:r w:rsidRPr="004430FB">
        <w:rPr>
          <w:color w:val="000000"/>
        </w:rPr>
        <w:t xml:space="preserve"> prevention. </w:t>
      </w:r>
    </w:p>
    <w:p w14:paraId="00000015" w14:textId="02469885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3" w:line="360" w:lineRule="auto"/>
        <w:ind w:left="14" w:right="169" w:firstLine="4"/>
        <w:rPr>
          <w:color w:val="000000"/>
        </w:rPr>
      </w:pPr>
      <w:r w:rsidRPr="004430FB">
        <w:rPr>
          <w:color w:val="000000"/>
        </w:rPr>
        <w:t xml:space="preserve">Primary prevention seeks to prevent the occurrence of dementia. In this case, the </w:t>
      </w:r>
      <w:r w:rsidR="004430FB" w:rsidRPr="004430FB">
        <w:rPr>
          <w:color w:val="000000"/>
        </w:rPr>
        <w:t>evidence is</w:t>
      </w:r>
      <w:r w:rsidRPr="004430FB">
        <w:rPr>
          <w:color w:val="000000"/>
        </w:rPr>
        <w:t xml:space="preserve"> overwhelming. In a report published by the Lancet Commission in 2024 under </w:t>
      </w:r>
      <w:r w:rsidR="004430FB" w:rsidRPr="004430FB">
        <w:rPr>
          <w:color w:val="000000"/>
        </w:rPr>
        <w:t>the leadership</w:t>
      </w:r>
      <w:r w:rsidRPr="004430FB">
        <w:rPr>
          <w:color w:val="000000"/>
        </w:rPr>
        <w:t xml:space="preserve"> of Livingston and others the 14 modifiable risk factors listed as the cause of 40 </w:t>
      </w:r>
    </w:p>
    <w:p w14:paraId="00000016" w14:textId="1BF27F0F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7" w:right="65" w:firstLine="5"/>
        <w:rPr>
          <w:color w:val="000000"/>
        </w:rPr>
      </w:pPr>
      <w:r w:rsidRPr="004430FB">
        <w:rPr>
          <w:color w:val="000000"/>
        </w:rPr>
        <w:t xml:space="preserve">per cent of all cases of dementia. These are loss of hearing, isolation, air pollution, </w:t>
      </w:r>
      <w:r w:rsidR="004430FB" w:rsidRPr="004430FB">
        <w:rPr>
          <w:color w:val="000000"/>
        </w:rPr>
        <w:t>exercise, smoking</w:t>
      </w:r>
      <w:r w:rsidRPr="004430FB">
        <w:rPr>
          <w:color w:val="000000"/>
        </w:rPr>
        <w:t xml:space="preserve"> and blood pressure. </w:t>
      </w:r>
    </w:p>
    <w:p w14:paraId="00000017" w14:textId="628D6CF0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7" w:right="108" w:firstLine="3"/>
        <w:rPr>
          <w:color w:val="000000"/>
        </w:rPr>
      </w:pPr>
      <w:r w:rsidRPr="004430FB">
        <w:rPr>
          <w:color w:val="000000"/>
        </w:rPr>
        <w:t xml:space="preserve">So, what is the implication on communities? It implies that such solutions as </w:t>
      </w:r>
      <w:r w:rsidR="004430FB" w:rsidRPr="004430FB">
        <w:rPr>
          <w:color w:val="000000"/>
        </w:rPr>
        <w:t>hearing screening</w:t>
      </w:r>
      <w:r w:rsidRPr="004430FB">
        <w:rPr>
          <w:color w:val="000000"/>
        </w:rPr>
        <w:t xml:space="preserve"> programmes, social prescribing to minimize isolation, active travel schemes </w:t>
      </w:r>
      <w:proofErr w:type="gramStart"/>
      <w:r w:rsidRPr="004430FB">
        <w:rPr>
          <w:color w:val="000000"/>
        </w:rPr>
        <w:t>to  boost</w:t>
      </w:r>
      <w:proofErr w:type="gramEnd"/>
      <w:r w:rsidRPr="004430FB">
        <w:rPr>
          <w:color w:val="000000"/>
        </w:rPr>
        <w:t xml:space="preserve"> physical activity, and clean air zones are not only environmental or social policies, </w:t>
      </w:r>
      <w:proofErr w:type="gramStart"/>
      <w:r w:rsidRPr="004430FB">
        <w:rPr>
          <w:color w:val="000000"/>
        </w:rPr>
        <w:t>but  also</w:t>
      </w:r>
      <w:proofErr w:type="gramEnd"/>
      <w:r w:rsidRPr="004430FB">
        <w:rPr>
          <w:color w:val="000000"/>
        </w:rPr>
        <w:t xml:space="preserve"> dementia control strategies. However, as I have mentioned above, the </w:t>
      </w:r>
      <w:r w:rsidR="004430FB" w:rsidRPr="004430FB">
        <w:rPr>
          <w:color w:val="000000"/>
        </w:rPr>
        <w:t>contemporary commissioning</w:t>
      </w:r>
      <w:r w:rsidRPr="004430FB">
        <w:rPr>
          <w:color w:val="000000"/>
        </w:rPr>
        <w:t xml:space="preserve"> gives more focus to diagnosis rather than prevention. </w:t>
      </w:r>
    </w:p>
    <w:p w14:paraId="00000018" w14:textId="69E92A4D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7" w:right="-6" w:firstLine="3"/>
        <w:rPr>
          <w:color w:val="000000"/>
        </w:rPr>
      </w:pPr>
      <w:r w:rsidRPr="004430FB">
        <w:rPr>
          <w:color w:val="000000"/>
        </w:rPr>
        <w:t xml:space="preserve">Secondary prevention is concerned with the early intervention. The strategy of </w:t>
      </w:r>
      <w:r w:rsidR="004430FB" w:rsidRPr="004430FB">
        <w:rPr>
          <w:color w:val="000000"/>
        </w:rPr>
        <w:t>the Department</w:t>
      </w:r>
      <w:r w:rsidRPr="004430FB">
        <w:rPr>
          <w:color w:val="000000"/>
        </w:rPr>
        <w:t xml:space="preserve"> of Health and Social Care (2023) focuses on early diagnosis and post diagnostic assistance. Nevertheless, the report prepared by the Alzheimer Society (2024</w:t>
      </w:r>
      <w:proofErr w:type="gramStart"/>
      <w:r w:rsidRPr="004430FB">
        <w:rPr>
          <w:color w:val="000000"/>
        </w:rPr>
        <w:t>)  reveals</w:t>
      </w:r>
      <w:proofErr w:type="gramEnd"/>
      <w:r w:rsidRPr="004430FB">
        <w:rPr>
          <w:color w:val="000000"/>
        </w:rPr>
        <w:t xml:space="preserve"> that the provision of post-diagnostic assistance is irregular - only a third of </w:t>
      </w:r>
      <w:r w:rsidR="004430FB" w:rsidRPr="004430FB">
        <w:rPr>
          <w:color w:val="000000"/>
        </w:rPr>
        <w:t>individuals get</w:t>
      </w:r>
      <w:r w:rsidRPr="004430FB">
        <w:rPr>
          <w:color w:val="000000"/>
        </w:rPr>
        <w:t xml:space="preserve"> proper care coordination. </w:t>
      </w:r>
    </w:p>
    <w:p w14:paraId="00000019" w14:textId="5DDA758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7" w:line="360" w:lineRule="auto"/>
        <w:ind w:left="3" w:right="556"/>
        <w:rPr>
          <w:color w:val="000000"/>
        </w:rPr>
      </w:pPr>
      <w:r w:rsidRPr="004430FB">
        <w:rPr>
          <w:color w:val="000000"/>
        </w:rPr>
        <w:t xml:space="preserve">Tertiary prevention is intended to assist individuals to live normally with dementia </w:t>
      </w:r>
      <w:r w:rsidR="004430FB" w:rsidRPr="004430FB">
        <w:rPr>
          <w:color w:val="000000"/>
        </w:rPr>
        <w:t>and prevent</w:t>
      </w:r>
      <w:r w:rsidRPr="004430FB">
        <w:rPr>
          <w:color w:val="000000"/>
        </w:rPr>
        <w:t xml:space="preserve"> crises. This involves dementia-friendly communities, in which local </w:t>
      </w:r>
      <w:r w:rsidR="004430FB" w:rsidRPr="004430FB">
        <w:rPr>
          <w:color w:val="000000"/>
        </w:rPr>
        <w:t>businesses, transport</w:t>
      </w:r>
      <w:r w:rsidRPr="004430FB">
        <w:rPr>
          <w:color w:val="000000"/>
        </w:rPr>
        <w:t xml:space="preserve">, and public services are trained to be friendly, and care coordination to </w:t>
      </w:r>
      <w:proofErr w:type="gramStart"/>
      <w:r w:rsidRPr="004430FB">
        <w:rPr>
          <w:color w:val="000000"/>
        </w:rPr>
        <w:t>avoid  unnecessary</w:t>
      </w:r>
      <w:proofErr w:type="gramEnd"/>
      <w:r w:rsidRPr="004430FB">
        <w:rPr>
          <w:color w:val="000000"/>
        </w:rPr>
        <w:t xml:space="preserve"> hospital admissions. </w:t>
      </w:r>
    </w:p>
    <w:p w14:paraId="0000001A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6" w:line="360" w:lineRule="auto"/>
        <w:ind w:left="5" w:right="38" w:firstLine="10"/>
        <w:rPr>
          <w:color w:val="000000"/>
        </w:rPr>
      </w:pPr>
      <w:r w:rsidRPr="004430FB">
        <w:rPr>
          <w:color w:val="000000"/>
        </w:rPr>
        <w:t xml:space="preserve">More importantly, we have good evidence on what works but there is a big gap </w:t>
      </w:r>
      <w:proofErr w:type="gramStart"/>
      <w:r w:rsidRPr="004430FB">
        <w:rPr>
          <w:color w:val="000000"/>
        </w:rPr>
        <w:t>in  implementation</w:t>
      </w:r>
      <w:proofErr w:type="gramEnd"/>
      <w:r w:rsidRPr="004430FB">
        <w:rPr>
          <w:color w:val="000000"/>
        </w:rPr>
        <w:t xml:space="preserve">. The evidence can be given by the Lancet Commission (Livingston et al.  2024), the policy by the Department of Health and Social Care (2023), and the </w:t>
      </w:r>
      <w:proofErr w:type="gramStart"/>
      <w:r w:rsidRPr="004430FB">
        <w:rPr>
          <w:color w:val="000000"/>
        </w:rPr>
        <w:t>actual  delivery</w:t>
      </w:r>
      <w:proofErr w:type="gramEnd"/>
      <w:r w:rsidRPr="004430FB">
        <w:rPr>
          <w:color w:val="000000"/>
        </w:rPr>
        <w:t xml:space="preserve"> by the Alzheimer's Society (2024); however, it can be seen that in reality, the </w:t>
      </w:r>
      <w:proofErr w:type="gramStart"/>
      <w:r w:rsidRPr="004430FB">
        <w:rPr>
          <w:color w:val="000000"/>
        </w:rPr>
        <w:t>results  do</w:t>
      </w:r>
      <w:proofErr w:type="gramEnd"/>
      <w:r w:rsidRPr="004430FB">
        <w:rPr>
          <w:color w:val="000000"/>
        </w:rPr>
        <w:t xml:space="preserve"> not match the policy, especially in relation to underserved communities. </w:t>
      </w:r>
    </w:p>
    <w:p w14:paraId="0000001B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79"/>
        <w:rPr>
          <w:b/>
          <w:bCs/>
          <w:color w:val="000000"/>
        </w:rPr>
      </w:pPr>
      <w:r w:rsidRPr="004430FB">
        <w:rPr>
          <w:b/>
          <w:bCs/>
          <w:color w:val="000000"/>
        </w:rPr>
        <w:t xml:space="preserve">Effect on self and other people. </w:t>
      </w:r>
    </w:p>
    <w:p w14:paraId="0000001C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1" w:line="360" w:lineRule="auto"/>
        <w:ind w:left="16" w:right="1755" w:firstLine="3"/>
        <w:rPr>
          <w:b/>
          <w:bCs/>
          <w:color w:val="000000"/>
        </w:rPr>
      </w:pPr>
      <w:r w:rsidRPr="004430FB">
        <w:rPr>
          <w:color w:val="000000"/>
        </w:rPr>
        <w:t xml:space="preserve">Influence on the Person - Alzheimer Society (2024); Livingston et al. (2024) </w:t>
      </w:r>
      <w:r w:rsidRPr="004430FB">
        <w:rPr>
          <w:b/>
          <w:bCs/>
          <w:color w:val="000000"/>
        </w:rPr>
        <w:t xml:space="preserve">Dementia impacts persons on </w:t>
      </w:r>
      <w:proofErr w:type="gramStart"/>
      <w:r w:rsidRPr="004430FB">
        <w:rPr>
          <w:b/>
          <w:bCs/>
          <w:color w:val="000000"/>
        </w:rPr>
        <w:t>a number of</w:t>
      </w:r>
      <w:proofErr w:type="gramEnd"/>
      <w:r w:rsidRPr="004430FB">
        <w:rPr>
          <w:b/>
          <w:bCs/>
          <w:color w:val="000000"/>
        </w:rPr>
        <w:t xml:space="preserve"> dimensions: </w:t>
      </w:r>
    </w:p>
    <w:p w14:paraId="0000001D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03" w:line="360" w:lineRule="auto"/>
        <w:ind w:left="371" w:right="1321"/>
        <w:rPr>
          <w:color w:val="000000"/>
        </w:rPr>
      </w:pPr>
      <w:r w:rsidRPr="004430FB">
        <w:rPr>
          <w:rFonts w:eastAsia="Noto Sans Symbols"/>
          <w:color w:val="000000"/>
        </w:rPr>
        <w:lastRenderedPageBreak/>
        <w:t xml:space="preserve">• </w:t>
      </w:r>
      <w:r w:rsidRPr="004430FB">
        <w:rPr>
          <w:b/>
          <w:bCs/>
          <w:color w:val="000000"/>
        </w:rPr>
        <w:t>Cognitive</w:t>
      </w:r>
      <w:r w:rsidRPr="004430FB">
        <w:rPr>
          <w:color w:val="000000"/>
        </w:rPr>
        <w:t xml:space="preserve">: Loss of memory, confusion and difficulties in communication. </w:t>
      </w:r>
      <w:r w:rsidRPr="004430FB">
        <w:rPr>
          <w:rFonts w:eastAsia="Noto Sans Symbols"/>
          <w:color w:val="000000"/>
        </w:rPr>
        <w:t xml:space="preserve">• </w:t>
      </w:r>
      <w:r w:rsidRPr="004430FB">
        <w:rPr>
          <w:b/>
          <w:bCs/>
          <w:color w:val="000000"/>
        </w:rPr>
        <w:t>Emotional</w:t>
      </w:r>
      <w:r w:rsidRPr="004430FB">
        <w:rPr>
          <w:color w:val="000000"/>
        </w:rPr>
        <w:t xml:space="preserve">: Fear, despair, anxiety, lack of self-identity. </w:t>
      </w:r>
    </w:p>
    <w:p w14:paraId="0000001E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90" w:line="360" w:lineRule="auto"/>
        <w:ind w:left="371"/>
        <w:rPr>
          <w:color w:val="000000"/>
        </w:rPr>
      </w:pPr>
      <w:r w:rsidRPr="004430FB">
        <w:rPr>
          <w:rFonts w:eastAsia="Noto Sans Symbols"/>
          <w:color w:val="000000"/>
        </w:rPr>
        <w:t xml:space="preserve">• </w:t>
      </w:r>
      <w:r w:rsidRPr="004430FB">
        <w:rPr>
          <w:b/>
          <w:bCs/>
          <w:color w:val="000000"/>
        </w:rPr>
        <w:t>Social</w:t>
      </w:r>
      <w:r w:rsidRPr="004430FB">
        <w:rPr>
          <w:color w:val="000000"/>
        </w:rPr>
        <w:t>: withdrawal behaviour, loss of friends, isolation.</w:t>
      </w:r>
    </w:p>
    <w:p w14:paraId="0000001F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371"/>
        <w:rPr>
          <w:color w:val="000000"/>
        </w:rPr>
      </w:pPr>
      <w:r w:rsidRPr="004430FB">
        <w:rPr>
          <w:rFonts w:eastAsia="Noto Sans Symbols"/>
          <w:color w:val="000000"/>
        </w:rPr>
        <w:t xml:space="preserve">• </w:t>
      </w:r>
      <w:r w:rsidRPr="004430FB">
        <w:rPr>
          <w:b/>
          <w:bCs/>
          <w:color w:val="000000"/>
        </w:rPr>
        <w:t xml:space="preserve">Physical: </w:t>
      </w:r>
      <w:r w:rsidRPr="004430FB">
        <w:rPr>
          <w:color w:val="000000"/>
        </w:rPr>
        <w:t xml:space="preserve">Decreased mobility and risks of falls, loss of weight. </w:t>
      </w:r>
    </w:p>
    <w:p w14:paraId="00000020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17" w:line="360" w:lineRule="auto"/>
        <w:ind w:left="371"/>
        <w:rPr>
          <w:color w:val="000000"/>
        </w:rPr>
      </w:pPr>
      <w:r w:rsidRPr="004430FB">
        <w:rPr>
          <w:rFonts w:eastAsia="Noto Sans Symbols"/>
          <w:color w:val="000000"/>
        </w:rPr>
        <w:t xml:space="preserve">• </w:t>
      </w:r>
      <w:r w:rsidRPr="004430FB">
        <w:rPr>
          <w:b/>
          <w:bCs/>
          <w:color w:val="000000"/>
        </w:rPr>
        <w:t xml:space="preserve">Practical: </w:t>
      </w:r>
      <w:r w:rsidRPr="004430FB">
        <w:rPr>
          <w:color w:val="000000"/>
        </w:rPr>
        <w:t xml:space="preserve">Financial management difficulties, loss of driving. </w:t>
      </w:r>
    </w:p>
    <w:p w14:paraId="00000021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59" w:line="360" w:lineRule="auto"/>
        <w:ind w:left="9"/>
        <w:rPr>
          <w:b/>
          <w:bCs/>
          <w:color w:val="000000"/>
        </w:rPr>
      </w:pPr>
      <w:r w:rsidRPr="004430FB">
        <w:rPr>
          <w:b/>
          <w:bCs/>
          <w:color w:val="000000"/>
        </w:rPr>
        <w:t xml:space="preserve">CONCLUSION </w:t>
      </w:r>
    </w:p>
    <w:p w14:paraId="00000022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121" w:line="360" w:lineRule="auto"/>
        <w:ind w:left="20"/>
        <w:rPr>
          <w:color w:val="000000"/>
        </w:rPr>
      </w:pPr>
      <w:r w:rsidRPr="004430FB">
        <w:rPr>
          <w:color w:val="000000"/>
        </w:rPr>
        <w:t xml:space="preserve">In conclusion I should like to outline three major points. </w:t>
      </w:r>
    </w:p>
    <w:p w14:paraId="00000023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01" w:line="360" w:lineRule="auto"/>
        <w:ind w:left="7" w:right="531" w:hanging="4"/>
        <w:jc w:val="both"/>
        <w:rPr>
          <w:color w:val="000000"/>
        </w:rPr>
      </w:pPr>
      <w:r w:rsidRPr="004430FB">
        <w:rPr>
          <w:color w:val="000000"/>
        </w:rPr>
        <w:t xml:space="preserve">To start with, GP register measurement offers a starting point, although, as Walsh et al.  (2023) point out, it leads to diagnostic delays, which result in the underestimation of </w:t>
      </w:r>
      <w:proofErr w:type="gramStart"/>
      <w:r w:rsidRPr="004430FB">
        <w:rPr>
          <w:color w:val="000000"/>
        </w:rPr>
        <w:t>the  actual</w:t>
      </w:r>
      <w:proofErr w:type="gramEnd"/>
      <w:r w:rsidRPr="004430FB">
        <w:rPr>
          <w:color w:val="000000"/>
        </w:rPr>
        <w:t xml:space="preserve"> prevalence and loss of early intervention opportunities. </w:t>
      </w:r>
    </w:p>
    <w:p w14:paraId="00000024" w14:textId="2675E9B8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4" w:line="360" w:lineRule="auto"/>
        <w:ind w:left="7" w:right="800" w:firstLine="3"/>
        <w:rPr>
          <w:color w:val="000000"/>
        </w:rPr>
      </w:pPr>
      <w:r w:rsidRPr="004430FB">
        <w:rPr>
          <w:color w:val="000000"/>
        </w:rPr>
        <w:t xml:space="preserve">Second, that OHID Dementia Profile allows seeing sharp disparities by the </w:t>
      </w:r>
      <w:r w:rsidR="004430FB" w:rsidRPr="004430FB">
        <w:rPr>
          <w:color w:val="000000"/>
        </w:rPr>
        <w:t>region, deprivation</w:t>
      </w:r>
      <w:r w:rsidRPr="004430FB">
        <w:rPr>
          <w:color w:val="000000"/>
        </w:rPr>
        <w:t xml:space="preserve">, and ethnicity - but the Alzheimer s Society (2024) demonstrates that </w:t>
      </w:r>
      <w:proofErr w:type="gramStart"/>
      <w:r w:rsidRPr="004430FB">
        <w:rPr>
          <w:color w:val="000000"/>
        </w:rPr>
        <w:t>this  monitoring</w:t>
      </w:r>
      <w:proofErr w:type="gramEnd"/>
      <w:r w:rsidRPr="004430FB">
        <w:rPr>
          <w:color w:val="000000"/>
        </w:rPr>
        <w:t xml:space="preserve"> does not always result in equitable support. </w:t>
      </w:r>
    </w:p>
    <w:p w14:paraId="00000025" w14:textId="7BE5ABA4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3" w:right="6" w:hanging="2"/>
        <w:rPr>
          <w:color w:val="000000"/>
        </w:rPr>
      </w:pPr>
      <w:r w:rsidRPr="004430FB">
        <w:rPr>
          <w:color w:val="000000"/>
        </w:rPr>
        <w:t xml:space="preserve">Thirdly, the control strategies are available, and the Commission of Lancet (Livingston et al.  2024) showed that a 40 per cent of dementia cases can be prevented. But the existing </w:t>
      </w:r>
      <w:proofErr w:type="gramStart"/>
      <w:r w:rsidRPr="004430FB">
        <w:rPr>
          <w:color w:val="000000"/>
        </w:rPr>
        <w:t>policy  puts</w:t>
      </w:r>
      <w:proofErr w:type="gramEnd"/>
      <w:r w:rsidRPr="004430FB">
        <w:rPr>
          <w:color w:val="000000"/>
        </w:rPr>
        <w:t xml:space="preserve"> diagnosis over </w:t>
      </w:r>
      <w:r w:rsidR="004430FB" w:rsidRPr="004430FB">
        <w:rPr>
          <w:color w:val="000000"/>
        </w:rPr>
        <w:t>prevention,</w:t>
      </w:r>
      <w:r w:rsidRPr="004430FB">
        <w:rPr>
          <w:color w:val="000000"/>
        </w:rPr>
        <w:t xml:space="preserve"> and this poses a major gap of implementation. </w:t>
      </w:r>
    </w:p>
    <w:p w14:paraId="00000026" w14:textId="73F0F9F6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4" w:line="360" w:lineRule="auto"/>
        <w:ind w:left="3" w:right="66"/>
        <w:rPr>
          <w:color w:val="000000"/>
        </w:rPr>
      </w:pPr>
      <w:r w:rsidRPr="004430FB">
        <w:rPr>
          <w:color w:val="000000"/>
        </w:rPr>
        <w:t xml:space="preserve">We should go forward with an integrated solution, which connects measurement with </w:t>
      </w:r>
      <w:r w:rsidR="004430FB" w:rsidRPr="004430FB">
        <w:rPr>
          <w:color w:val="000000"/>
        </w:rPr>
        <w:t>action, which</w:t>
      </w:r>
      <w:r w:rsidRPr="004430FB">
        <w:rPr>
          <w:color w:val="000000"/>
        </w:rPr>
        <w:t xml:space="preserve"> handles the inequalities our monitoring uncovers, and focuses on prevention as </w:t>
      </w:r>
      <w:proofErr w:type="gramStart"/>
      <w:r w:rsidRPr="004430FB">
        <w:rPr>
          <w:color w:val="000000"/>
        </w:rPr>
        <w:t>well  as</w:t>
      </w:r>
      <w:proofErr w:type="gramEnd"/>
      <w:r w:rsidRPr="004430FB">
        <w:rPr>
          <w:color w:val="000000"/>
        </w:rPr>
        <w:t xml:space="preserve"> diagnosis. Thank you."</w:t>
      </w:r>
    </w:p>
    <w:p w14:paraId="00000027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line="360" w:lineRule="auto"/>
        <w:ind w:left="16"/>
        <w:rPr>
          <w:b/>
          <w:bCs/>
          <w:color w:val="0F1115"/>
        </w:rPr>
      </w:pPr>
      <w:r w:rsidRPr="004430FB">
        <w:rPr>
          <w:b/>
          <w:bCs/>
          <w:color w:val="0F1115"/>
        </w:rPr>
        <w:t xml:space="preserve">Reference List </w:t>
      </w:r>
    </w:p>
    <w:p w14:paraId="00000028" w14:textId="15C3CEA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501" w:line="360" w:lineRule="auto"/>
        <w:ind w:left="8" w:right="359" w:hanging="5"/>
        <w:rPr>
          <w:color w:val="000000"/>
        </w:rPr>
      </w:pPr>
      <w:r w:rsidRPr="004430FB">
        <w:rPr>
          <w:color w:val="000000"/>
        </w:rPr>
        <w:t xml:space="preserve">Alzheimer Society (2024) From diagnosis to end of life: the reality of dementia care in </w:t>
      </w:r>
      <w:r w:rsidR="004430FB" w:rsidRPr="004430FB">
        <w:rPr>
          <w:color w:val="000000"/>
        </w:rPr>
        <w:t>the community</w:t>
      </w:r>
      <w:r w:rsidRPr="004430FB">
        <w:rPr>
          <w:color w:val="000000"/>
        </w:rPr>
        <w:t xml:space="preserve">, London: Alzheimer Society. </w:t>
      </w:r>
    </w:p>
    <w:p w14:paraId="00000029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8" w:line="360" w:lineRule="auto"/>
        <w:ind w:left="8" w:right="426" w:firstLine="9"/>
        <w:rPr>
          <w:color w:val="000000"/>
        </w:rPr>
      </w:pPr>
      <w:r w:rsidRPr="004430FB">
        <w:rPr>
          <w:color w:val="000000"/>
        </w:rPr>
        <w:t xml:space="preserve">Department of Health and Social Care (2023) Dementia: overview of the Prime </w:t>
      </w:r>
      <w:proofErr w:type="gramStart"/>
      <w:r w:rsidRPr="004430FB">
        <w:rPr>
          <w:color w:val="000000"/>
        </w:rPr>
        <w:t>Ministers  challenge</w:t>
      </w:r>
      <w:proofErr w:type="gramEnd"/>
      <w:r w:rsidRPr="004430FB">
        <w:rPr>
          <w:color w:val="000000"/>
        </w:rPr>
        <w:t xml:space="preserve"> on dementia 2020 implementation, London: Department of Health and </w:t>
      </w:r>
      <w:proofErr w:type="gramStart"/>
      <w:r w:rsidRPr="004430FB">
        <w:rPr>
          <w:color w:val="000000"/>
        </w:rPr>
        <w:t xml:space="preserve">Social  </w:t>
      </w:r>
      <w:r w:rsidRPr="004430FB">
        <w:rPr>
          <w:color w:val="000000"/>
        </w:rPr>
        <w:lastRenderedPageBreak/>
        <w:t>Care</w:t>
      </w:r>
      <w:proofErr w:type="gramEnd"/>
      <w:r w:rsidRPr="004430FB">
        <w:rPr>
          <w:color w:val="000000"/>
        </w:rPr>
        <w:t xml:space="preserve">. Accessible: www.gov.uk (Accessed: 27 March 26). </w:t>
      </w:r>
    </w:p>
    <w:p w14:paraId="0000002A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7" w:right="52" w:firstLine="8"/>
        <w:rPr>
          <w:color w:val="000000"/>
        </w:rPr>
      </w:pPr>
      <w:r w:rsidRPr="004430FB">
        <w:rPr>
          <w:color w:val="000000"/>
        </w:rPr>
        <w:t xml:space="preserve">Livingston, G., Huntley, J., Liu, K.Y., </w:t>
      </w:r>
      <w:proofErr w:type="spellStart"/>
      <w:r w:rsidRPr="004430FB">
        <w:rPr>
          <w:color w:val="000000"/>
        </w:rPr>
        <w:t>Costafreda</w:t>
      </w:r>
      <w:proofErr w:type="spellEnd"/>
      <w:r w:rsidRPr="004430FB">
        <w:rPr>
          <w:color w:val="000000"/>
        </w:rPr>
        <w:t xml:space="preserve">, S.G., </w:t>
      </w:r>
      <w:proofErr w:type="spellStart"/>
      <w:r w:rsidRPr="004430FB">
        <w:rPr>
          <w:color w:val="000000"/>
        </w:rPr>
        <w:t>Selbaek</w:t>
      </w:r>
      <w:proofErr w:type="spellEnd"/>
      <w:r w:rsidRPr="004430FB">
        <w:rPr>
          <w:color w:val="000000"/>
        </w:rPr>
        <w:t>, G., Alladi, S., Ames, D.</w:t>
      </w:r>
      <w:proofErr w:type="gramStart"/>
      <w:r w:rsidRPr="004430FB">
        <w:rPr>
          <w:color w:val="000000"/>
        </w:rPr>
        <w:t>,  Banerjee</w:t>
      </w:r>
      <w:proofErr w:type="gramEnd"/>
      <w:r w:rsidRPr="004430FB">
        <w:rPr>
          <w:color w:val="000000"/>
        </w:rPr>
        <w:t xml:space="preserve">, S., Burns, A., </w:t>
      </w:r>
      <w:proofErr w:type="spellStart"/>
      <w:r w:rsidRPr="004430FB">
        <w:rPr>
          <w:color w:val="000000"/>
        </w:rPr>
        <w:t>Brayne</w:t>
      </w:r>
      <w:proofErr w:type="spellEnd"/>
      <w:r w:rsidRPr="004430FB">
        <w:rPr>
          <w:color w:val="000000"/>
        </w:rPr>
        <w:t xml:space="preserve">, C. and Fox, N.C. (2024) 'Dementia prevention, </w:t>
      </w:r>
      <w:proofErr w:type="gramStart"/>
      <w:r w:rsidRPr="004430FB">
        <w:rPr>
          <w:color w:val="000000"/>
        </w:rPr>
        <w:t>intervention,  and</w:t>
      </w:r>
      <w:proofErr w:type="gramEnd"/>
      <w:r w:rsidRPr="004430FB">
        <w:rPr>
          <w:color w:val="000000"/>
        </w:rPr>
        <w:t xml:space="preserve"> care: 2024 report of the Lancet Commission', The Lancet, 404(10452), pp. 572-628. </w:t>
      </w:r>
    </w:p>
    <w:p w14:paraId="0000002B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5" w:line="360" w:lineRule="auto"/>
        <w:ind w:left="7" w:right="447"/>
        <w:rPr>
          <w:color w:val="000000"/>
        </w:rPr>
      </w:pPr>
      <w:r w:rsidRPr="004430FB">
        <w:rPr>
          <w:color w:val="000000"/>
        </w:rPr>
        <w:t xml:space="preserve">Office for Health Improvement and Disparities (2024) Dementia: prevalence and rates </w:t>
      </w:r>
      <w:proofErr w:type="gramStart"/>
      <w:r w:rsidRPr="004430FB">
        <w:rPr>
          <w:color w:val="000000"/>
        </w:rPr>
        <w:t>of  diagnosis</w:t>
      </w:r>
      <w:proofErr w:type="gramEnd"/>
      <w:r w:rsidRPr="004430FB">
        <w:rPr>
          <w:color w:val="000000"/>
        </w:rPr>
        <w:t xml:space="preserve">, London: OHID. On: fingertips.phe.org.uk (Accessed: 27 March 2026). </w:t>
      </w:r>
    </w:p>
    <w:p w14:paraId="0000002C" w14:textId="77777777" w:rsidR="00D146F9" w:rsidRPr="004430FB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3" w:line="360" w:lineRule="auto"/>
        <w:ind w:left="5" w:right="349" w:firstLine="2"/>
        <w:rPr>
          <w:color w:val="000000"/>
        </w:rPr>
      </w:pPr>
      <w:r w:rsidRPr="004430FB">
        <w:rPr>
          <w:color w:val="000000"/>
        </w:rPr>
        <w:t xml:space="preserve">Office for Health Improvement and Disparities (2025) Dementia profile: September </w:t>
      </w:r>
      <w:proofErr w:type="gramStart"/>
      <w:r w:rsidRPr="004430FB">
        <w:rPr>
          <w:color w:val="000000"/>
        </w:rPr>
        <w:t>2025  nature</w:t>
      </w:r>
      <w:proofErr w:type="gramEnd"/>
      <w:r w:rsidRPr="004430FB">
        <w:rPr>
          <w:color w:val="000000"/>
        </w:rPr>
        <w:t xml:space="preserve"> of the data, London: OHID. Accessible: fingertips.phe.org.uk (Accessed: 27 </w:t>
      </w:r>
      <w:proofErr w:type="gramStart"/>
      <w:r w:rsidRPr="004430FB">
        <w:rPr>
          <w:color w:val="000000"/>
        </w:rPr>
        <w:t>March  26</w:t>
      </w:r>
      <w:proofErr w:type="gramEnd"/>
      <w:r w:rsidRPr="004430FB">
        <w:rPr>
          <w:color w:val="000000"/>
        </w:rPr>
        <w:t xml:space="preserve">). </w:t>
      </w:r>
    </w:p>
    <w:p w14:paraId="0000002D" w14:textId="77777777" w:rsidR="00D146F9" w:rsidRDefault="00000000" w:rsidP="004430FB">
      <w:pPr>
        <w:widowControl w:val="0"/>
        <w:pBdr>
          <w:top w:val="nil"/>
          <w:left w:val="nil"/>
          <w:bottom w:val="nil"/>
          <w:right w:val="nil"/>
          <w:between w:val="nil"/>
        </w:pBdr>
        <w:spacing w:before="406" w:line="360" w:lineRule="auto"/>
        <w:ind w:left="7" w:right="100" w:hanging="4"/>
        <w:rPr>
          <w:color w:val="000000"/>
        </w:rPr>
      </w:pPr>
      <w:r w:rsidRPr="004430FB">
        <w:rPr>
          <w:color w:val="000000"/>
        </w:rPr>
        <w:t xml:space="preserve">Walsh, S., Wallace, E., Merrick, R., O'Dowd, S. and </w:t>
      </w:r>
      <w:proofErr w:type="spellStart"/>
      <w:r w:rsidRPr="004430FB">
        <w:rPr>
          <w:color w:val="000000"/>
        </w:rPr>
        <w:t>Brayne</w:t>
      </w:r>
      <w:proofErr w:type="spellEnd"/>
      <w:r w:rsidRPr="004430FB">
        <w:rPr>
          <w:color w:val="000000"/>
        </w:rPr>
        <w:t xml:space="preserve">, C. (2023) 'Dementia </w:t>
      </w:r>
      <w:proofErr w:type="gramStart"/>
      <w:r w:rsidRPr="004430FB">
        <w:rPr>
          <w:color w:val="000000"/>
        </w:rPr>
        <w:t>diagnosis  in</w:t>
      </w:r>
      <w:proofErr w:type="gramEnd"/>
      <w:r w:rsidRPr="004430FB">
        <w:rPr>
          <w:color w:val="000000"/>
        </w:rPr>
        <w:t xml:space="preserve"> primary care: a longitudinal cohort study retrospective retrospective study', British </w:t>
      </w:r>
      <w:proofErr w:type="gramStart"/>
      <w:r w:rsidRPr="004430FB">
        <w:rPr>
          <w:color w:val="000000"/>
        </w:rPr>
        <w:t>Journal  of</w:t>
      </w:r>
      <w:proofErr w:type="gramEnd"/>
      <w:r w:rsidRPr="004430FB">
        <w:rPr>
          <w:color w:val="000000"/>
        </w:rPr>
        <w:t xml:space="preserve"> General Practice, 73(727), pp. e112</w:t>
      </w:r>
      <w:r>
        <w:rPr>
          <w:color w:val="000000"/>
        </w:rPr>
        <w:t>-e120.</w:t>
      </w:r>
    </w:p>
    <w:sectPr w:rsidR="00D146F9">
      <w:pgSz w:w="11900" w:h="16820"/>
      <w:pgMar w:top="1425" w:right="1378" w:bottom="1529" w:left="1440" w:header="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Italic r:id="rId1" w:fontKey="{B6AD0A41-11D6-4946-B0C2-4D7923F86DDB}"/>
  </w:font>
  <w:font w:name="Noto Sans Symbols">
    <w:charset w:val="00"/>
    <w:family w:val="auto"/>
    <w:pitch w:val="default"/>
    <w:embedRegular r:id="rId2" w:fontKey="{E6E44FE0-AE5F-49E4-B166-4CE6340034A7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3" w:fontKey="{B4155E96-BE4D-4932-8453-29BC8DA9951F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4" w:fontKey="{5E233B48-87FE-489E-AE40-9424C3D82CF8}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146F9"/>
    <w:rsid w:val="004430FB"/>
    <w:rsid w:val="00A8396B"/>
    <w:rsid w:val="00D146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DDFAB4"/>
  <w15:docId w15:val="{05C0E464-706E-43C0-98BB-89EDF8E436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bCs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bCs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bCs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bCs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iCs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1317</Words>
  <Characters>7512</Characters>
  <Application>Microsoft Office Word</Application>
  <DocSecurity>0</DocSecurity>
  <Lines>62</Lines>
  <Paragraphs>17</Paragraphs>
  <ScaleCrop>false</ScaleCrop>
  <Company/>
  <LinksUpToDate>false</LinksUpToDate>
  <CharactersWithSpaces>8812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fozia parveen</cp:lastModifiedBy>
  <cp:revision>2</cp:revision>
  <dcterms:created xsi:type="dcterms:W3CDTF">2026-03-31T00:13:00Z</dcterms:created>
  <dcterms:modified xsi:type="dcterms:W3CDTF">2026-03-31T00:17:00Z</dcterms:modified>
</cp:coreProperties>
</file>