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F927A1" w:rsidRPr="005D3F07" w14:paraId="68CAA39D" w14:textId="77777777" w:rsidTr="0016074C">
        <w:tc>
          <w:tcPr>
            <w:tcW w:w="10627" w:type="dxa"/>
            <w:shd w:val="clear" w:color="auto" w:fill="auto"/>
          </w:tcPr>
          <w:p w14:paraId="02F8EE88" w14:textId="395FCAD3" w:rsidR="00986B43" w:rsidRPr="0016074C"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16074C">
              <w:rPr>
                <w:rFonts w:ascii="Times New Roman" w:hAnsi="Times New Roman" w:cs="Times New Roman"/>
                <w:b/>
                <w:color w:val="auto"/>
                <w:sz w:val="44"/>
                <w:szCs w:val="44"/>
              </w:rPr>
              <w:t>Learner’s name:</w:t>
            </w:r>
            <w:r w:rsidR="00247265" w:rsidRPr="0016074C">
              <w:rPr>
                <w:rFonts w:ascii="Times New Roman" w:hAnsi="Times New Roman" w:cs="Times New Roman"/>
                <w:b/>
                <w:color w:val="auto"/>
                <w:sz w:val="44"/>
                <w:szCs w:val="44"/>
              </w:rPr>
              <w:t xml:space="preserve"> </w:t>
            </w:r>
            <w:r w:rsidR="005D2BCB" w:rsidRPr="0016074C">
              <w:rPr>
                <w:rFonts w:ascii="Times New Roman" w:hAnsi="Times New Roman" w:cs="Times New Roman"/>
                <w:b/>
                <w:color w:val="auto"/>
                <w:sz w:val="44"/>
                <w:szCs w:val="44"/>
              </w:rPr>
              <w:t>Angela Lewis</w:t>
            </w:r>
          </w:p>
          <w:p w14:paraId="3A6EAAC7" w14:textId="28519104" w:rsidR="009C337F" w:rsidRPr="0016074C"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16074C">
              <w:rPr>
                <w:rFonts w:ascii="Times New Roman" w:hAnsi="Times New Roman" w:cs="Times New Roman"/>
                <w:b/>
                <w:color w:val="auto"/>
                <w:sz w:val="44"/>
                <w:szCs w:val="44"/>
              </w:rPr>
              <w:t>Email address:</w:t>
            </w:r>
            <w:r w:rsidR="0016074C" w:rsidRPr="0016074C">
              <w:rPr>
                <w:rFonts w:ascii="Times New Roman" w:hAnsi="Times New Roman" w:cs="Times New Roman"/>
                <w:b/>
                <w:color w:val="auto"/>
                <w:sz w:val="44"/>
                <w:szCs w:val="44"/>
              </w:rPr>
              <w:t xml:space="preserve"> 2218239@student.uwtsd.ac.uk</w:t>
            </w:r>
          </w:p>
          <w:p w14:paraId="0DE696B2" w14:textId="1ABC37A1" w:rsidR="00F927A1" w:rsidRPr="0016074C"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16074C">
              <w:rPr>
                <w:rFonts w:ascii="Times New Roman" w:hAnsi="Times New Roman" w:cs="Times New Roman"/>
                <w:b/>
                <w:color w:val="auto"/>
                <w:sz w:val="44"/>
                <w:szCs w:val="44"/>
              </w:rPr>
              <w:t>Learner’s University Registration</w:t>
            </w:r>
            <w:r w:rsidR="00F927A1" w:rsidRPr="0016074C">
              <w:rPr>
                <w:rFonts w:ascii="Times New Roman" w:hAnsi="Times New Roman" w:cs="Times New Roman"/>
                <w:b/>
                <w:color w:val="auto"/>
                <w:sz w:val="44"/>
                <w:szCs w:val="44"/>
              </w:rPr>
              <w:t xml:space="preserve"> Number:</w:t>
            </w:r>
            <w:r w:rsidR="0016074C" w:rsidRPr="0016074C">
              <w:rPr>
                <w:rFonts w:ascii="Times New Roman" w:hAnsi="Times New Roman" w:cs="Times New Roman"/>
                <w:b/>
                <w:color w:val="auto"/>
                <w:sz w:val="44"/>
                <w:szCs w:val="44"/>
              </w:rPr>
              <w:t>2218239</w:t>
            </w:r>
          </w:p>
          <w:p w14:paraId="5F84129B" w14:textId="6E58B863"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16074C">
              <w:rPr>
                <w:rFonts w:ascii="Times New Roman" w:hAnsi="Times New Roman" w:cs="Times New Roman"/>
                <w:b/>
                <w:color w:val="auto"/>
                <w:sz w:val="44"/>
                <w:szCs w:val="44"/>
              </w:rPr>
              <w:t xml:space="preserve">Cohort: </w:t>
            </w:r>
            <w:r w:rsidR="00BD2306" w:rsidRPr="0016074C">
              <w:rPr>
                <w:rFonts w:ascii="Times New Roman" w:hAnsi="Times New Roman" w:cs="Times New Roman"/>
                <w:b/>
                <w:color w:val="auto"/>
                <w:sz w:val="44"/>
                <w:szCs w:val="44"/>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67E73F6D"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u w:val="single"/>
          <w:lang w:eastAsia="en-US"/>
        </w:rPr>
      </w:pPr>
      <w:r w:rsidRPr="00AF4B42">
        <w:rPr>
          <w:rFonts w:asciiTheme="minorHAnsi" w:eastAsiaTheme="minorHAnsi" w:hAnsiTheme="minorHAnsi" w:cstheme="minorBidi"/>
          <w:color w:val="auto"/>
          <w:sz w:val="22"/>
          <w:szCs w:val="22"/>
          <w:u w:val="single"/>
          <w:lang w:eastAsia="en-US"/>
        </w:rPr>
        <w:t xml:space="preserve">Reference List </w:t>
      </w:r>
    </w:p>
    <w:p w14:paraId="2D791C54"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Ainsworth, M., Belhar, M., Waters, E. and Wall, S. (1978) </w:t>
      </w:r>
      <w:r w:rsidRPr="00AF4B42">
        <w:rPr>
          <w:rFonts w:asciiTheme="minorHAnsi" w:eastAsiaTheme="minorHAnsi" w:hAnsiTheme="minorHAnsi" w:cstheme="minorBidi"/>
          <w:i/>
          <w:iCs/>
          <w:color w:val="auto"/>
          <w:sz w:val="22"/>
          <w:szCs w:val="22"/>
          <w:lang w:eastAsia="en-US"/>
        </w:rPr>
        <w:t>Patterns of Attachment: A psychological study of the strange situation.</w:t>
      </w:r>
      <w:r w:rsidRPr="00AF4B42">
        <w:rPr>
          <w:rFonts w:asciiTheme="minorHAnsi" w:eastAsiaTheme="minorHAnsi" w:hAnsiTheme="minorHAnsi" w:cstheme="minorBidi"/>
          <w:color w:val="auto"/>
          <w:sz w:val="22"/>
          <w:szCs w:val="22"/>
          <w:lang w:eastAsia="en-US"/>
        </w:rPr>
        <w:t xml:space="preserve"> Hillsdale: Erlbaum.</w:t>
      </w:r>
    </w:p>
    <w:p w14:paraId="1A40934A"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Banks, S. (2012). </w:t>
      </w:r>
      <w:r w:rsidRPr="00AF4B42">
        <w:rPr>
          <w:rFonts w:asciiTheme="minorHAnsi" w:eastAsiaTheme="minorHAnsi" w:hAnsiTheme="minorHAnsi" w:cstheme="minorBidi"/>
          <w:i/>
          <w:iCs/>
          <w:color w:val="auto"/>
          <w:sz w:val="22"/>
          <w:szCs w:val="22"/>
          <w:lang w:eastAsia="en-US"/>
        </w:rPr>
        <w:t>Ethics and Values in Social Work.</w:t>
      </w:r>
      <w:r w:rsidRPr="00AF4B42">
        <w:rPr>
          <w:rFonts w:asciiTheme="minorHAnsi" w:eastAsiaTheme="minorHAnsi" w:hAnsiTheme="minorHAnsi" w:cstheme="minorBidi"/>
          <w:color w:val="auto"/>
          <w:sz w:val="22"/>
          <w:szCs w:val="22"/>
          <w:lang w:eastAsia="en-US"/>
        </w:rPr>
        <w:t> United Kingdom: Palgrave Macmillan.</w:t>
      </w:r>
    </w:p>
    <w:p w14:paraId="3A5F5061"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Barnes, V. (2016) ’Skills for inter-professional social work practice’, in Davies, K. and Jones, R. (eds.) </w:t>
      </w:r>
      <w:r w:rsidRPr="00AF4B42">
        <w:rPr>
          <w:rFonts w:asciiTheme="minorHAnsi" w:eastAsiaTheme="minorHAnsi" w:hAnsiTheme="minorHAnsi" w:cstheme="minorBidi"/>
          <w:i/>
          <w:iCs/>
          <w:color w:val="auto"/>
          <w:sz w:val="22"/>
          <w:szCs w:val="22"/>
          <w:lang w:eastAsia="en-US"/>
        </w:rPr>
        <w:t>Skills for social work practice</w:t>
      </w:r>
      <w:r w:rsidRPr="00AF4B42">
        <w:rPr>
          <w:rFonts w:asciiTheme="minorHAnsi" w:eastAsiaTheme="minorHAnsi" w:hAnsiTheme="minorHAnsi" w:cstheme="minorBidi"/>
          <w:color w:val="auto"/>
          <w:sz w:val="22"/>
          <w:szCs w:val="22"/>
          <w:lang w:eastAsia="en-US"/>
        </w:rPr>
        <w:t>. London: Palgrave</w:t>
      </w:r>
    </w:p>
    <w:p w14:paraId="759B728D"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Bar‐On, A. (2002) Restoring Power to Social Work Practice. </w:t>
      </w:r>
      <w:r w:rsidRPr="00AF4B42">
        <w:rPr>
          <w:rFonts w:asciiTheme="minorHAnsi" w:eastAsiaTheme="minorHAnsi" w:hAnsiTheme="minorHAnsi" w:cstheme="minorBidi"/>
          <w:i/>
          <w:iCs/>
          <w:color w:val="auto"/>
          <w:sz w:val="22"/>
          <w:szCs w:val="22"/>
          <w:lang w:eastAsia="en-US"/>
        </w:rPr>
        <w:t>The British Journal of Social Work</w:t>
      </w:r>
      <w:r w:rsidRPr="00AF4B42">
        <w:rPr>
          <w:rFonts w:asciiTheme="minorHAnsi" w:eastAsiaTheme="minorHAnsi" w:hAnsiTheme="minorHAnsi" w:cstheme="minorBidi"/>
          <w:color w:val="auto"/>
          <w:sz w:val="22"/>
          <w:szCs w:val="22"/>
          <w:lang w:eastAsia="en-US"/>
        </w:rPr>
        <w:t>, 32(8), 997-1014.</w:t>
      </w:r>
    </w:p>
    <w:p w14:paraId="678678D7"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Braye, S., Orr, D., and Preston-Shoot, M. (2017) Autonomy and protection in self-neglect work: The ethical complexity of decision making. </w:t>
      </w:r>
      <w:r w:rsidRPr="00AF4B42">
        <w:rPr>
          <w:rFonts w:asciiTheme="minorHAnsi" w:eastAsiaTheme="minorHAnsi" w:hAnsiTheme="minorHAnsi" w:cstheme="minorBidi"/>
          <w:i/>
          <w:iCs/>
          <w:color w:val="auto"/>
          <w:sz w:val="22"/>
          <w:szCs w:val="22"/>
          <w:lang w:eastAsia="en-US"/>
        </w:rPr>
        <w:t>Ethics and Social Welfare</w:t>
      </w:r>
      <w:r w:rsidRPr="00AF4B42">
        <w:rPr>
          <w:rFonts w:asciiTheme="minorHAnsi" w:eastAsiaTheme="minorHAnsi" w:hAnsiTheme="minorHAnsi" w:cstheme="minorBidi"/>
          <w:color w:val="auto"/>
          <w:sz w:val="22"/>
          <w:szCs w:val="22"/>
          <w:lang w:eastAsia="en-US"/>
        </w:rPr>
        <w:t>, 11(4), pp. 320-335.</w:t>
      </w:r>
    </w:p>
    <w:p w14:paraId="2CD6C66B"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Beckett, C. (2009) </w:t>
      </w:r>
      <w:r w:rsidRPr="00AF4B42">
        <w:rPr>
          <w:rFonts w:asciiTheme="minorHAnsi" w:eastAsiaTheme="minorHAnsi" w:hAnsiTheme="minorHAnsi" w:cstheme="minorBidi"/>
          <w:i/>
          <w:iCs/>
          <w:color w:val="auto"/>
          <w:sz w:val="22"/>
          <w:szCs w:val="22"/>
          <w:lang w:eastAsia="en-US"/>
        </w:rPr>
        <w:t>Essential theory for social work practice</w:t>
      </w:r>
      <w:r w:rsidRPr="00AF4B42">
        <w:rPr>
          <w:rFonts w:asciiTheme="minorHAnsi" w:eastAsiaTheme="minorHAnsi" w:hAnsiTheme="minorHAnsi" w:cstheme="minorBidi"/>
          <w:color w:val="auto"/>
          <w:sz w:val="22"/>
          <w:szCs w:val="22"/>
          <w:lang w:eastAsia="en-US"/>
        </w:rPr>
        <w:t>. London: Sage Publications</w:t>
      </w:r>
    </w:p>
    <w:p w14:paraId="4686C971"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Brammer, A. (2010) </w:t>
      </w:r>
      <w:r w:rsidRPr="00AF4B42">
        <w:rPr>
          <w:rFonts w:asciiTheme="minorHAnsi" w:eastAsiaTheme="minorHAnsi" w:hAnsiTheme="minorHAnsi" w:cstheme="minorBidi"/>
          <w:i/>
          <w:iCs/>
          <w:color w:val="auto"/>
          <w:sz w:val="22"/>
          <w:szCs w:val="22"/>
          <w:lang w:eastAsia="en-US"/>
        </w:rPr>
        <w:t>Social work law</w:t>
      </w:r>
      <w:r w:rsidRPr="00AF4B42">
        <w:rPr>
          <w:rFonts w:asciiTheme="minorHAnsi" w:eastAsiaTheme="minorHAnsi" w:hAnsiTheme="minorHAnsi" w:cstheme="minorBidi"/>
          <w:color w:val="auto"/>
          <w:sz w:val="22"/>
          <w:szCs w:val="22"/>
          <w:lang w:eastAsia="en-US"/>
        </w:rPr>
        <w:t>. Essex: Pearson Education Limited</w:t>
      </w:r>
    </w:p>
    <w:p w14:paraId="3BEAD456"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i/>
          <w:iCs/>
          <w:color w:val="auto"/>
          <w:sz w:val="22"/>
          <w:szCs w:val="22"/>
          <w:lang w:eastAsia="en-US"/>
        </w:rPr>
        <w:t>British Association of Social workers (2023) Code of ethics</w:t>
      </w:r>
      <w:r w:rsidRPr="00AF4B42">
        <w:rPr>
          <w:rFonts w:asciiTheme="minorHAnsi" w:eastAsiaTheme="minorHAnsi" w:hAnsiTheme="minorHAnsi" w:cstheme="minorBidi"/>
          <w:color w:val="auto"/>
          <w:sz w:val="22"/>
          <w:szCs w:val="22"/>
          <w:lang w:eastAsia="en-US"/>
        </w:rPr>
        <w:t>. Available at https://new.basw.co.uk/policy-practice/standards/code-ethics (Accessed: 14 October 2023).</w:t>
      </w:r>
    </w:p>
    <w:p w14:paraId="3AE0AA61"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Borton, T. (1970) </w:t>
      </w:r>
      <w:r w:rsidRPr="00AF4B42">
        <w:rPr>
          <w:rFonts w:asciiTheme="minorHAnsi" w:eastAsiaTheme="minorHAnsi" w:hAnsiTheme="minorHAnsi" w:cstheme="minorBidi"/>
          <w:i/>
          <w:iCs/>
          <w:color w:val="auto"/>
          <w:sz w:val="22"/>
          <w:szCs w:val="22"/>
          <w:lang w:eastAsia="en-US"/>
        </w:rPr>
        <w:t>Reach, Touch and Teach</w:t>
      </w:r>
      <w:r w:rsidRPr="00AF4B42">
        <w:rPr>
          <w:rFonts w:asciiTheme="minorHAnsi" w:eastAsiaTheme="minorHAnsi" w:hAnsiTheme="minorHAnsi" w:cstheme="minorBidi"/>
          <w:color w:val="auto"/>
          <w:sz w:val="22"/>
          <w:szCs w:val="22"/>
          <w:lang w:eastAsia="en-US"/>
        </w:rPr>
        <w:t>.  London: Hutchinson.</w:t>
      </w:r>
    </w:p>
    <w:p w14:paraId="57F51B7C"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Bowlby, J. (1979) </w:t>
      </w:r>
      <w:r w:rsidRPr="00AF4B42">
        <w:rPr>
          <w:rFonts w:asciiTheme="minorHAnsi" w:eastAsiaTheme="minorHAnsi" w:hAnsiTheme="minorHAnsi" w:cstheme="minorBidi"/>
          <w:i/>
          <w:iCs/>
          <w:color w:val="auto"/>
          <w:sz w:val="22"/>
          <w:szCs w:val="22"/>
          <w:lang w:eastAsia="en-US"/>
        </w:rPr>
        <w:t>The making and breaking of affectional bonds</w:t>
      </w:r>
      <w:r w:rsidRPr="00AF4B42">
        <w:rPr>
          <w:rFonts w:asciiTheme="minorHAnsi" w:eastAsiaTheme="minorHAnsi" w:hAnsiTheme="minorHAnsi" w:cstheme="minorBidi"/>
          <w:color w:val="auto"/>
          <w:sz w:val="22"/>
          <w:szCs w:val="22"/>
          <w:lang w:eastAsia="en-US"/>
        </w:rPr>
        <w:t>. London: Tavistock</w:t>
      </w:r>
    </w:p>
    <w:p w14:paraId="712C527D"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Bowlby, J. (1988) </w:t>
      </w:r>
      <w:r w:rsidRPr="00AF4B42">
        <w:rPr>
          <w:rFonts w:asciiTheme="minorHAnsi" w:eastAsiaTheme="minorHAnsi" w:hAnsiTheme="minorHAnsi" w:cstheme="minorBidi"/>
          <w:i/>
          <w:iCs/>
          <w:color w:val="auto"/>
          <w:sz w:val="22"/>
          <w:szCs w:val="22"/>
          <w:lang w:eastAsia="en-US"/>
        </w:rPr>
        <w:t>A secure base: Clinical application of attachment theory</w:t>
      </w:r>
      <w:r w:rsidRPr="00AF4B42">
        <w:rPr>
          <w:rFonts w:asciiTheme="minorHAnsi" w:eastAsiaTheme="minorHAnsi" w:hAnsiTheme="minorHAnsi" w:cstheme="minorBidi"/>
          <w:color w:val="auto"/>
          <w:sz w:val="22"/>
          <w:szCs w:val="22"/>
          <w:lang w:eastAsia="en-US"/>
        </w:rPr>
        <w:t>. London: Routledge</w:t>
      </w:r>
    </w:p>
    <w:p w14:paraId="4C657B92"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Brophy, S., Todd, C., Rahman, M. A., Kennedy, N., and Rice, F. (2021). ‘Timing of parental depression on risk of child depression and poor educational outcomes: A population based routine data cohort study from Born in Wales, UK.’ </w:t>
      </w:r>
      <w:proofErr w:type="spellStart"/>
      <w:r w:rsidRPr="00AF4B42">
        <w:rPr>
          <w:rFonts w:asciiTheme="minorHAnsi" w:eastAsiaTheme="minorHAnsi" w:hAnsiTheme="minorHAnsi" w:cstheme="minorBidi"/>
          <w:i/>
          <w:iCs/>
          <w:color w:val="auto"/>
          <w:sz w:val="22"/>
          <w:szCs w:val="22"/>
          <w:lang w:eastAsia="en-US"/>
        </w:rPr>
        <w:t>PloS</w:t>
      </w:r>
      <w:proofErr w:type="spellEnd"/>
      <w:r w:rsidRPr="00AF4B42">
        <w:rPr>
          <w:rFonts w:asciiTheme="minorHAnsi" w:eastAsiaTheme="minorHAnsi" w:hAnsiTheme="minorHAnsi" w:cstheme="minorBidi"/>
          <w:i/>
          <w:iCs/>
          <w:color w:val="auto"/>
          <w:sz w:val="22"/>
          <w:szCs w:val="22"/>
          <w:lang w:eastAsia="en-US"/>
        </w:rPr>
        <w:t xml:space="preserve"> one</w:t>
      </w:r>
      <w:r w:rsidRPr="00AF4B42">
        <w:rPr>
          <w:rFonts w:asciiTheme="minorHAnsi" w:eastAsiaTheme="minorHAnsi" w:hAnsiTheme="minorHAnsi" w:cstheme="minorBidi"/>
          <w:color w:val="auto"/>
          <w:sz w:val="22"/>
          <w:szCs w:val="22"/>
          <w:lang w:eastAsia="en-US"/>
        </w:rPr>
        <w:t>, 16(11), Available at:  https://pubmed.ncbi.nlm.nih.gov/34788300/ (Accessed: 3 August 2023).</w:t>
      </w:r>
    </w:p>
    <w:p w14:paraId="6C427B1C"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Care Council for Wales. (2017) </w:t>
      </w:r>
      <w:r w:rsidRPr="00AF4B42">
        <w:rPr>
          <w:rFonts w:asciiTheme="minorHAnsi" w:eastAsiaTheme="minorHAnsi" w:hAnsiTheme="minorHAnsi" w:cstheme="minorBidi"/>
          <w:i/>
          <w:iCs/>
          <w:color w:val="auto"/>
          <w:sz w:val="22"/>
          <w:szCs w:val="22"/>
          <w:lang w:eastAsia="en-US"/>
        </w:rPr>
        <w:t xml:space="preserve">Social Services and Well-Being (Wales) Act 2014: The main principles underpinning the Act: voice and control, prevention and early intervention, well-being, co-production and </w:t>
      </w:r>
      <w:proofErr w:type="spellStart"/>
      <w:r w:rsidRPr="00AF4B42">
        <w:rPr>
          <w:rFonts w:asciiTheme="minorHAnsi" w:eastAsiaTheme="minorHAnsi" w:hAnsiTheme="minorHAnsi" w:cstheme="minorBidi"/>
          <w:i/>
          <w:iCs/>
          <w:color w:val="auto"/>
          <w:sz w:val="22"/>
          <w:szCs w:val="22"/>
          <w:lang w:eastAsia="en-US"/>
        </w:rPr>
        <w:t>multi agency</w:t>
      </w:r>
      <w:proofErr w:type="spellEnd"/>
      <w:r w:rsidRPr="00AF4B42">
        <w:rPr>
          <w:rFonts w:asciiTheme="minorHAnsi" w:eastAsiaTheme="minorHAnsi" w:hAnsiTheme="minorHAnsi" w:cstheme="minorBidi"/>
          <w:i/>
          <w:iCs/>
          <w:color w:val="auto"/>
          <w:sz w:val="22"/>
          <w:szCs w:val="22"/>
          <w:lang w:eastAsia="en-US"/>
        </w:rPr>
        <w:t xml:space="preserve">. </w:t>
      </w:r>
      <w:r w:rsidRPr="00AF4B42">
        <w:rPr>
          <w:rFonts w:asciiTheme="minorHAnsi" w:eastAsiaTheme="minorHAnsi" w:hAnsiTheme="minorHAnsi" w:cstheme="minorBidi"/>
          <w:color w:val="auto"/>
          <w:sz w:val="22"/>
          <w:szCs w:val="22"/>
          <w:lang w:eastAsia="en-US"/>
        </w:rPr>
        <w:t>Available at: https://socialcare.wales/cms-assets/documents/hub-downloads/Principles-Resource-Guide_March-17.pdf (Accessed: 1 September 2023).</w:t>
      </w:r>
    </w:p>
    <w:p w14:paraId="4D79D0AA"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AF4B42">
        <w:rPr>
          <w:rFonts w:asciiTheme="minorHAnsi" w:eastAsiaTheme="minorHAnsi" w:hAnsiTheme="minorHAnsi" w:cstheme="minorBidi"/>
          <w:color w:val="auto"/>
          <w:sz w:val="22"/>
          <w:szCs w:val="22"/>
          <w:lang w:eastAsia="en-US"/>
        </w:rPr>
        <w:t>Cheminnais</w:t>
      </w:r>
      <w:proofErr w:type="spellEnd"/>
      <w:r w:rsidRPr="00AF4B42">
        <w:rPr>
          <w:rFonts w:asciiTheme="minorHAnsi" w:eastAsiaTheme="minorHAnsi" w:hAnsiTheme="minorHAnsi" w:cstheme="minorBidi"/>
          <w:color w:val="auto"/>
          <w:sz w:val="22"/>
          <w:szCs w:val="22"/>
          <w:lang w:eastAsia="en-US"/>
        </w:rPr>
        <w:t xml:space="preserve">, R. (2009) </w:t>
      </w:r>
      <w:r w:rsidRPr="00AF4B42">
        <w:rPr>
          <w:rFonts w:asciiTheme="minorHAnsi" w:eastAsiaTheme="minorHAnsi" w:hAnsiTheme="minorHAnsi" w:cstheme="minorBidi"/>
          <w:i/>
          <w:iCs/>
          <w:color w:val="auto"/>
          <w:sz w:val="22"/>
          <w:szCs w:val="22"/>
          <w:lang w:eastAsia="en-US"/>
        </w:rPr>
        <w:t xml:space="preserve">Effective multi-agency partnerships: putting every child </w:t>
      </w:r>
      <w:proofErr w:type="gramStart"/>
      <w:r w:rsidRPr="00AF4B42">
        <w:rPr>
          <w:rFonts w:asciiTheme="minorHAnsi" w:eastAsiaTheme="minorHAnsi" w:hAnsiTheme="minorHAnsi" w:cstheme="minorBidi"/>
          <w:i/>
          <w:iCs/>
          <w:color w:val="auto"/>
          <w:sz w:val="22"/>
          <w:szCs w:val="22"/>
          <w:lang w:eastAsia="en-US"/>
        </w:rPr>
        <w:t>matters</w:t>
      </w:r>
      <w:proofErr w:type="gramEnd"/>
      <w:r w:rsidRPr="00AF4B42">
        <w:rPr>
          <w:rFonts w:asciiTheme="minorHAnsi" w:eastAsiaTheme="minorHAnsi" w:hAnsiTheme="minorHAnsi" w:cstheme="minorBidi"/>
          <w:i/>
          <w:iCs/>
          <w:color w:val="auto"/>
          <w:sz w:val="22"/>
          <w:szCs w:val="22"/>
          <w:lang w:eastAsia="en-US"/>
        </w:rPr>
        <w:t xml:space="preserve"> into practice</w:t>
      </w:r>
      <w:r w:rsidRPr="00AF4B42">
        <w:rPr>
          <w:rFonts w:asciiTheme="minorHAnsi" w:eastAsiaTheme="minorHAnsi" w:hAnsiTheme="minorHAnsi" w:cstheme="minorBidi"/>
          <w:color w:val="auto"/>
          <w:sz w:val="22"/>
          <w:szCs w:val="22"/>
          <w:lang w:eastAsia="en-US"/>
        </w:rPr>
        <w:t>. London: Sage</w:t>
      </w:r>
    </w:p>
    <w:p w14:paraId="5546EE63"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Child Safeguarding Practice Review Panel (2022) </w:t>
      </w:r>
      <w:r w:rsidRPr="00AF4B42">
        <w:rPr>
          <w:rFonts w:asciiTheme="minorHAnsi" w:eastAsiaTheme="minorHAnsi" w:hAnsiTheme="minorHAnsi" w:cstheme="minorBidi"/>
          <w:i/>
          <w:iCs/>
          <w:color w:val="auto"/>
          <w:sz w:val="22"/>
          <w:szCs w:val="22"/>
          <w:lang w:eastAsia="en-US"/>
        </w:rPr>
        <w:t xml:space="preserve">National review into the murders of Arthur </w:t>
      </w:r>
      <w:proofErr w:type="spellStart"/>
      <w:r w:rsidRPr="00AF4B42">
        <w:rPr>
          <w:rFonts w:asciiTheme="minorHAnsi" w:eastAsiaTheme="minorHAnsi" w:hAnsiTheme="minorHAnsi" w:cstheme="minorBidi"/>
          <w:i/>
          <w:iCs/>
          <w:color w:val="auto"/>
          <w:sz w:val="22"/>
          <w:szCs w:val="22"/>
          <w:lang w:eastAsia="en-US"/>
        </w:rPr>
        <w:t>Labinjo</w:t>
      </w:r>
      <w:proofErr w:type="spellEnd"/>
      <w:r w:rsidRPr="00AF4B42">
        <w:rPr>
          <w:rFonts w:asciiTheme="minorHAnsi" w:eastAsiaTheme="minorHAnsi" w:hAnsiTheme="minorHAnsi" w:cstheme="minorBidi"/>
          <w:i/>
          <w:iCs/>
          <w:color w:val="auto"/>
          <w:sz w:val="22"/>
          <w:szCs w:val="22"/>
          <w:lang w:eastAsia="en-US"/>
        </w:rPr>
        <w:t>-Hughes and Star Hobson</w:t>
      </w:r>
      <w:r w:rsidRPr="00AF4B42">
        <w:rPr>
          <w:rFonts w:asciiTheme="minorHAnsi" w:eastAsiaTheme="minorHAnsi" w:hAnsiTheme="minorHAnsi" w:cstheme="minorBidi"/>
          <w:color w:val="auto"/>
          <w:sz w:val="22"/>
          <w:szCs w:val="22"/>
          <w:lang w:eastAsia="en-US"/>
        </w:rPr>
        <w:t xml:space="preserve">. Available at </w:t>
      </w:r>
      <w:r w:rsidRPr="00AF4B42">
        <w:rPr>
          <w:rFonts w:asciiTheme="minorHAnsi" w:eastAsiaTheme="minorHAnsi" w:hAnsiTheme="minorHAnsi" w:cstheme="minorBidi"/>
          <w:color w:val="auto"/>
          <w:sz w:val="22"/>
          <w:szCs w:val="22"/>
          <w:lang w:eastAsia="en-US"/>
        </w:rPr>
        <w:lastRenderedPageBreak/>
        <w:t>https://assets.publishing.service.gov.uk/government/uploads/system/uploads/attachment_data/file/1078488/ALH_SH_National_Review_26-5-22.pdf (Accessed: 3 August 2023).</w:t>
      </w:r>
    </w:p>
    <w:p w14:paraId="1D3423A2"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i/>
          <w:iCs/>
          <w:color w:val="auto"/>
          <w:sz w:val="22"/>
          <w:szCs w:val="22"/>
          <w:lang w:eastAsia="en-US"/>
        </w:rPr>
        <w:t>Children Act 1989, c.41</w:t>
      </w:r>
      <w:r w:rsidRPr="00AF4B42">
        <w:rPr>
          <w:rFonts w:asciiTheme="minorHAnsi" w:eastAsiaTheme="minorHAnsi" w:hAnsiTheme="minorHAnsi" w:cstheme="minorBidi"/>
          <w:color w:val="auto"/>
          <w:sz w:val="22"/>
          <w:szCs w:val="22"/>
          <w:lang w:eastAsia="en-US"/>
        </w:rPr>
        <w:t>. Available at: https://www.legislation.gov.uk/ukpga/1989/41/contents (Accessed: 5 August 2023).</w:t>
      </w:r>
    </w:p>
    <w:p w14:paraId="7447C541"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i/>
          <w:iCs/>
          <w:color w:val="auto"/>
          <w:sz w:val="22"/>
          <w:szCs w:val="22"/>
          <w:lang w:eastAsia="en-US"/>
        </w:rPr>
        <w:t>Children Act 2004, c.31</w:t>
      </w:r>
      <w:r w:rsidRPr="00AF4B42">
        <w:rPr>
          <w:rFonts w:asciiTheme="minorHAnsi" w:eastAsiaTheme="minorHAnsi" w:hAnsiTheme="minorHAnsi" w:cstheme="minorBidi"/>
          <w:color w:val="auto"/>
          <w:sz w:val="22"/>
          <w:szCs w:val="22"/>
          <w:lang w:eastAsia="en-US"/>
        </w:rPr>
        <w:t>. Available at: https://www.legislation.gov.uk/ukpga/2004/31/contents (Accessed: 5 August 2023).</w:t>
      </w:r>
    </w:p>
    <w:p w14:paraId="006752CA"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Cross, S., Hubbard, A. and Munroe, E. (2010). </w:t>
      </w:r>
      <w:r w:rsidRPr="00AF4B42">
        <w:rPr>
          <w:rFonts w:asciiTheme="minorHAnsi" w:eastAsiaTheme="minorHAnsi" w:hAnsiTheme="minorHAnsi" w:cstheme="minorBidi"/>
          <w:i/>
          <w:iCs/>
          <w:color w:val="auto"/>
          <w:sz w:val="22"/>
          <w:szCs w:val="22"/>
          <w:lang w:eastAsia="en-US"/>
        </w:rPr>
        <w:t>Reclaiming social work: London Borough of Hackney Children and Young People’s Services, Parts 1 and 2</w:t>
      </w:r>
      <w:r w:rsidRPr="00AF4B42">
        <w:rPr>
          <w:rFonts w:asciiTheme="minorHAnsi" w:eastAsiaTheme="minorHAnsi" w:hAnsiTheme="minorHAnsi" w:cstheme="minorBidi"/>
          <w:color w:val="auto"/>
          <w:sz w:val="22"/>
          <w:szCs w:val="22"/>
          <w:lang w:eastAsia="en-US"/>
        </w:rPr>
        <w:t>. Available at https://www.virtual-college.co.uk/-/media/virtual-college/pdfs/... · PDF file (Accessed: 07 October 2023).</w:t>
      </w:r>
    </w:p>
    <w:p w14:paraId="16DFD2BF"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Department for Constitutional Affairs. (2007). </w:t>
      </w:r>
      <w:r w:rsidRPr="00AF4B42">
        <w:rPr>
          <w:rFonts w:asciiTheme="minorHAnsi" w:eastAsiaTheme="minorHAnsi" w:hAnsiTheme="minorHAnsi" w:cstheme="minorBidi"/>
          <w:i/>
          <w:iCs/>
          <w:color w:val="auto"/>
          <w:sz w:val="22"/>
          <w:szCs w:val="22"/>
          <w:lang w:eastAsia="en-US"/>
        </w:rPr>
        <w:t>Mental Capacity Act 2005 code of practice.</w:t>
      </w:r>
      <w:r w:rsidRPr="00AF4B42">
        <w:rPr>
          <w:rFonts w:asciiTheme="minorHAnsi" w:eastAsiaTheme="minorHAnsi" w:hAnsiTheme="minorHAnsi" w:cstheme="minorBidi"/>
          <w:color w:val="auto"/>
          <w:sz w:val="22"/>
          <w:szCs w:val="22"/>
          <w:lang w:eastAsia="en-US"/>
        </w:rPr>
        <w:t xml:space="preserve"> United Kingdom: Stationery Office. </w:t>
      </w:r>
    </w:p>
    <w:p w14:paraId="23A4A82E"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Doughty, J (2016) </w:t>
      </w:r>
      <w:r w:rsidRPr="00AF4B42">
        <w:rPr>
          <w:rFonts w:asciiTheme="minorHAnsi" w:eastAsiaTheme="minorHAnsi" w:hAnsiTheme="minorHAnsi" w:cstheme="minorBidi"/>
          <w:i/>
          <w:iCs/>
          <w:color w:val="auto"/>
          <w:sz w:val="22"/>
          <w:szCs w:val="22"/>
          <w:lang w:eastAsia="en-US"/>
        </w:rPr>
        <w:t>How do you define a child’s ‘welfare’ as opposed to ‘wellbeing’</w:t>
      </w:r>
      <w:r w:rsidRPr="00AF4B42">
        <w:rPr>
          <w:rFonts w:asciiTheme="minorHAnsi" w:eastAsiaTheme="minorHAnsi" w:hAnsiTheme="minorHAnsi" w:cstheme="minorBidi"/>
          <w:color w:val="auto"/>
          <w:sz w:val="22"/>
          <w:szCs w:val="22"/>
          <w:lang w:eastAsia="en-US"/>
        </w:rPr>
        <w:t>?  Available at: http://www.communitycare.co.uk/2016/01/28/define-childs-welfare-opposed-wellbeing/ (Accessed: 3 August 2023).</w:t>
      </w:r>
    </w:p>
    <w:p w14:paraId="7ED4B6CB"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i/>
          <w:iCs/>
          <w:color w:val="auto"/>
          <w:sz w:val="22"/>
          <w:szCs w:val="22"/>
          <w:lang w:eastAsia="en-US"/>
        </w:rPr>
        <w:t>Equality Act 2010, c.15.</w:t>
      </w:r>
      <w:r w:rsidRPr="00AF4B42">
        <w:rPr>
          <w:rFonts w:asciiTheme="minorHAnsi" w:eastAsiaTheme="minorHAnsi" w:hAnsiTheme="minorHAnsi" w:cstheme="minorBidi"/>
          <w:color w:val="auto"/>
          <w:sz w:val="22"/>
          <w:szCs w:val="22"/>
          <w:lang w:eastAsia="en-US"/>
        </w:rPr>
        <w:t xml:space="preserve"> Available at: https://www.legislation.gov.uk/ukpga/2010/15/contents/enacted (Accessed 19 October 2023).</w:t>
      </w:r>
    </w:p>
    <w:p w14:paraId="4175841B"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Equality and Human Rights Commission (2018). </w:t>
      </w:r>
      <w:r w:rsidRPr="00AF4B42">
        <w:rPr>
          <w:rFonts w:asciiTheme="minorHAnsi" w:eastAsiaTheme="minorHAnsi" w:hAnsiTheme="minorHAnsi" w:cstheme="minorBidi"/>
          <w:i/>
          <w:iCs/>
          <w:color w:val="auto"/>
          <w:sz w:val="22"/>
          <w:szCs w:val="22"/>
          <w:lang w:eastAsia="en-US"/>
        </w:rPr>
        <w:t>The Human Rights Act</w:t>
      </w:r>
      <w:r w:rsidRPr="00AF4B42">
        <w:rPr>
          <w:rFonts w:asciiTheme="minorHAnsi" w:eastAsiaTheme="minorHAnsi" w:hAnsiTheme="minorHAnsi" w:cstheme="minorBidi"/>
          <w:color w:val="auto"/>
          <w:sz w:val="22"/>
          <w:szCs w:val="22"/>
          <w:lang w:eastAsia="en-US"/>
        </w:rPr>
        <w:t>. Retrieved from</w:t>
      </w:r>
    </w:p>
    <w:p w14:paraId="5459CB1C"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https://www.equalityhumanrights.com/en/human-rights/human-rights-act (Accessed: 07 October 2023)</w:t>
      </w:r>
    </w:p>
    <w:p w14:paraId="13D1E012"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p>
    <w:p w14:paraId="758DBF6B"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Future Generations Commissioner for Wales (2020) </w:t>
      </w:r>
      <w:r w:rsidRPr="00AF4B42">
        <w:rPr>
          <w:rFonts w:asciiTheme="minorHAnsi" w:eastAsiaTheme="minorHAnsi" w:hAnsiTheme="minorHAnsi" w:cstheme="minorBidi"/>
          <w:i/>
          <w:iCs/>
          <w:color w:val="auto"/>
          <w:sz w:val="22"/>
          <w:szCs w:val="22"/>
          <w:lang w:eastAsia="en-US"/>
        </w:rPr>
        <w:t>A more equal Wales</w:t>
      </w:r>
      <w:r w:rsidRPr="00AF4B42">
        <w:rPr>
          <w:rFonts w:asciiTheme="minorHAnsi" w:eastAsiaTheme="minorHAnsi" w:hAnsiTheme="minorHAnsi" w:cstheme="minorBidi"/>
          <w:color w:val="auto"/>
          <w:sz w:val="22"/>
          <w:szCs w:val="22"/>
          <w:lang w:eastAsia="en-US"/>
        </w:rPr>
        <w:t>. Available at: https://futuregenerations2020.wales/english?category=equal (Accessed: 5 August 2023).</w:t>
      </w:r>
    </w:p>
    <w:p w14:paraId="59F56481"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p>
    <w:p w14:paraId="361D93C9"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Griffiths, J. (2012) </w:t>
      </w:r>
      <w:r w:rsidRPr="00AF4B42">
        <w:rPr>
          <w:rFonts w:asciiTheme="minorHAnsi" w:eastAsiaTheme="minorHAnsi" w:hAnsiTheme="minorHAnsi" w:cstheme="minorBidi"/>
          <w:i/>
          <w:iCs/>
          <w:color w:val="auto"/>
          <w:sz w:val="22"/>
          <w:szCs w:val="22"/>
          <w:lang w:eastAsia="en-US"/>
        </w:rPr>
        <w:t>How to use body language to improve your social work practice</w:t>
      </w:r>
      <w:r w:rsidRPr="00AF4B42">
        <w:rPr>
          <w:rFonts w:asciiTheme="minorHAnsi" w:eastAsiaTheme="minorHAnsi" w:hAnsiTheme="minorHAnsi" w:cstheme="minorBidi"/>
          <w:color w:val="auto"/>
          <w:sz w:val="22"/>
          <w:szCs w:val="22"/>
          <w:lang w:eastAsia="en-US"/>
        </w:rPr>
        <w:t>. Available at https://www.communitycare.co.uk/2012/08/10/how-to-use-body-language-to-improve-your-social-work-practice/ (Accessed: 30 September 2023).</w:t>
      </w:r>
    </w:p>
    <w:p w14:paraId="27BB6794"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p>
    <w:p w14:paraId="5B815F46"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Gutman, L., Joshi, H., Parsonage, M; Schoon, I. (2015) </w:t>
      </w:r>
      <w:r w:rsidRPr="00AF4B42">
        <w:rPr>
          <w:rFonts w:asciiTheme="minorHAnsi" w:eastAsiaTheme="minorHAnsi" w:hAnsiTheme="minorHAnsi" w:cstheme="minorBidi"/>
          <w:i/>
          <w:iCs/>
          <w:color w:val="auto"/>
          <w:sz w:val="22"/>
          <w:szCs w:val="22"/>
          <w:lang w:eastAsia="en-US"/>
        </w:rPr>
        <w:t>Children of the new century. Mental health findings from the Millennium Cohort Study</w:t>
      </w:r>
      <w:r w:rsidRPr="00AF4B42">
        <w:rPr>
          <w:rFonts w:asciiTheme="minorHAnsi" w:eastAsiaTheme="minorHAnsi" w:hAnsiTheme="minorHAnsi" w:cstheme="minorBidi"/>
          <w:color w:val="auto"/>
          <w:sz w:val="22"/>
          <w:szCs w:val="22"/>
          <w:lang w:eastAsia="en-US"/>
        </w:rPr>
        <w:t>. London: Centre for Mental Health</w:t>
      </w:r>
    </w:p>
    <w:p w14:paraId="0D30D75A"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p>
    <w:p w14:paraId="25C23FC9"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Hackney (2008) </w:t>
      </w:r>
      <w:r w:rsidRPr="00AF4B42">
        <w:rPr>
          <w:rFonts w:asciiTheme="minorHAnsi" w:eastAsiaTheme="minorHAnsi" w:hAnsiTheme="minorHAnsi" w:cstheme="minorBidi"/>
          <w:i/>
          <w:iCs/>
          <w:color w:val="auto"/>
          <w:sz w:val="22"/>
          <w:szCs w:val="22"/>
          <w:lang w:eastAsia="en-US"/>
        </w:rPr>
        <w:t xml:space="preserve">Hackney s new social work model up and running. </w:t>
      </w:r>
      <w:r w:rsidRPr="00AF4B42">
        <w:rPr>
          <w:rFonts w:asciiTheme="minorHAnsi" w:eastAsiaTheme="minorHAnsi" w:hAnsiTheme="minorHAnsi" w:cstheme="minorBidi"/>
          <w:color w:val="auto"/>
          <w:sz w:val="22"/>
          <w:szCs w:val="22"/>
          <w:lang w:eastAsia="en-US"/>
        </w:rPr>
        <w:t>Available at: https://news.hackney.gov.uk/hackney-s-new-social-work-model-up-and-running (Accessed: 28 August 2023).</w:t>
      </w:r>
    </w:p>
    <w:p w14:paraId="2815BC51"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Horwath, J. (2019) ‘The assessment process: Making a referral, planning the assessment and gathering information’, in Horwath, J and Platt, D. (ed.) </w:t>
      </w:r>
      <w:r w:rsidRPr="00AF4B42">
        <w:rPr>
          <w:rFonts w:asciiTheme="minorHAnsi" w:eastAsiaTheme="minorHAnsi" w:hAnsiTheme="minorHAnsi" w:cstheme="minorBidi"/>
          <w:i/>
          <w:iCs/>
          <w:color w:val="auto"/>
          <w:sz w:val="22"/>
          <w:szCs w:val="22"/>
          <w:lang w:eastAsia="en-US"/>
        </w:rPr>
        <w:t xml:space="preserve">The child’s world: The essential guide to assessing vulnerable children, young people and their families. </w:t>
      </w:r>
      <w:r w:rsidRPr="00AF4B42">
        <w:rPr>
          <w:rFonts w:asciiTheme="minorHAnsi" w:eastAsiaTheme="minorHAnsi" w:hAnsiTheme="minorHAnsi" w:cstheme="minorBidi"/>
          <w:color w:val="auto"/>
          <w:sz w:val="22"/>
          <w:szCs w:val="22"/>
          <w:lang w:eastAsia="en-US"/>
        </w:rPr>
        <w:t xml:space="preserve">London: Jessica Kingsley </w:t>
      </w:r>
    </w:p>
    <w:p w14:paraId="64E62F0A"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Howe, D. (2008) </w:t>
      </w:r>
      <w:r w:rsidRPr="00AF4B42">
        <w:rPr>
          <w:rFonts w:asciiTheme="minorHAnsi" w:eastAsiaTheme="minorHAnsi" w:hAnsiTheme="minorHAnsi" w:cstheme="minorBidi"/>
          <w:i/>
          <w:iCs/>
          <w:color w:val="auto"/>
          <w:sz w:val="22"/>
          <w:szCs w:val="22"/>
          <w:lang w:eastAsia="en-US"/>
        </w:rPr>
        <w:t>The emotionally Intelligent social worker.</w:t>
      </w:r>
      <w:r w:rsidRPr="00AF4B42">
        <w:rPr>
          <w:rFonts w:asciiTheme="minorHAnsi" w:eastAsiaTheme="minorHAnsi" w:hAnsiTheme="minorHAnsi" w:cstheme="minorBidi"/>
          <w:color w:val="auto"/>
          <w:sz w:val="22"/>
          <w:szCs w:val="22"/>
          <w:lang w:eastAsia="en-US"/>
        </w:rPr>
        <w:t xml:space="preserve"> Basingstoke: Palgrave Macmillan</w:t>
      </w:r>
    </w:p>
    <w:p w14:paraId="6DA774A3"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Howe, D. (2009) Psychodynamic theory in social work: an attachment perspective, in Adams, R., Dominelli, L. and Payne, M. (eds.) </w:t>
      </w:r>
      <w:r w:rsidRPr="00AF4B42">
        <w:rPr>
          <w:rFonts w:asciiTheme="minorHAnsi" w:eastAsiaTheme="minorHAnsi" w:hAnsiTheme="minorHAnsi" w:cstheme="minorBidi"/>
          <w:i/>
          <w:iCs/>
          <w:color w:val="auto"/>
          <w:sz w:val="22"/>
          <w:szCs w:val="22"/>
          <w:lang w:eastAsia="en-US"/>
        </w:rPr>
        <w:t>Critical practice in social work.</w:t>
      </w:r>
      <w:r w:rsidRPr="00AF4B42">
        <w:rPr>
          <w:rFonts w:asciiTheme="minorHAnsi" w:eastAsiaTheme="minorHAnsi" w:hAnsiTheme="minorHAnsi" w:cstheme="minorBidi"/>
          <w:color w:val="auto"/>
          <w:sz w:val="22"/>
          <w:szCs w:val="22"/>
          <w:lang w:eastAsia="en-US"/>
        </w:rPr>
        <w:t xml:space="preserve"> Basingstoke: Palgrave Macmillan</w:t>
      </w:r>
    </w:p>
    <w:p w14:paraId="4C328188"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i/>
          <w:iCs/>
          <w:color w:val="auto"/>
          <w:sz w:val="22"/>
          <w:szCs w:val="22"/>
          <w:lang w:eastAsia="en-US"/>
        </w:rPr>
        <w:t>Human Rights Act (1998), c.42.</w:t>
      </w:r>
      <w:r w:rsidRPr="00AF4B42">
        <w:rPr>
          <w:rFonts w:asciiTheme="minorHAnsi" w:eastAsiaTheme="minorHAnsi" w:hAnsiTheme="minorHAnsi" w:cstheme="minorBidi"/>
          <w:color w:val="auto"/>
          <w:sz w:val="22"/>
          <w:szCs w:val="22"/>
          <w:lang w:eastAsia="en-US"/>
        </w:rPr>
        <w:t xml:space="preserve"> Available at: https://www.legislation.gov.uk/ukpga/1998/42/schedule/1 (Accessed: 03 August 2023).</w:t>
      </w:r>
    </w:p>
    <w:p w14:paraId="48A02309"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AF4B42">
        <w:rPr>
          <w:rFonts w:asciiTheme="minorHAnsi" w:eastAsiaTheme="minorHAnsi" w:hAnsiTheme="minorHAnsi" w:cstheme="minorBidi"/>
          <w:color w:val="auto"/>
          <w:sz w:val="22"/>
          <w:szCs w:val="22"/>
          <w:lang w:eastAsia="en-US"/>
        </w:rPr>
        <w:lastRenderedPageBreak/>
        <w:t>Kemshall</w:t>
      </w:r>
      <w:proofErr w:type="spellEnd"/>
      <w:r w:rsidRPr="00AF4B42">
        <w:rPr>
          <w:rFonts w:asciiTheme="minorHAnsi" w:eastAsiaTheme="minorHAnsi" w:hAnsiTheme="minorHAnsi" w:cstheme="minorBidi"/>
          <w:color w:val="auto"/>
          <w:sz w:val="22"/>
          <w:szCs w:val="22"/>
          <w:lang w:eastAsia="en-US"/>
        </w:rPr>
        <w:t xml:space="preserve">, H., Wilkinson, B. and Baker, K. (2013) </w:t>
      </w:r>
      <w:r w:rsidRPr="00AF4B42">
        <w:rPr>
          <w:rFonts w:asciiTheme="minorHAnsi" w:eastAsiaTheme="minorHAnsi" w:hAnsiTheme="minorHAnsi" w:cstheme="minorBidi"/>
          <w:i/>
          <w:iCs/>
          <w:color w:val="auto"/>
          <w:sz w:val="22"/>
          <w:szCs w:val="22"/>
          <w:lang w:eastAsia="en-US"/>
        </w:rPr>
        <w:t>Working with risk.</w:t>
      </w:r>
      <w:r w:rsidRPr="00AF4B42">
        <w:rPr>
          <w:rFonts w:asciiTheme="minorHAnsi" w:eastAsiaTheme="minorHAnsi" w:hAnsiTheme="minorHAnsi" w:cstheme="minorBidi"/>
          <w:color w:val="auto"/>
          <w:sz w:val="22"/>
          <w:szCs w:val="22"/>
          <w:lang w:eastAsia="en-US"/>
        </w:rPr>
        <w:t xml:space="preserve"> Cambridge: Polity Press</w:t>
      </w:r>
    </w:p>
    <w:p w14:paraId="426CE7F0"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Killian, J and Todnem, G. (1991) Reflective judgement concepts of justification and their relationship to age and education.  </w:t>
      </w:r>
      <w:r w:rsidRPr="00AF4B42">
        <w:rPr>
          <w:rFonts w:asciiTheme="minorHAnsi" w:eastAsiaTheme="minorHAnsi" w:hAnsiTheme="minorHAnsi" w:cstheme="minorBidi"/>
          <w:i/>
          <w:iCs/>
          <w:color w:val="auto"/>
          <w:sz w:val="22"/>
          <w:szCs w:val="22"/>
          <w:lang w:eastAsia="en-US"/>
        </w:rPr>
        <w:t>Journal of Applied Developmental Psychology</w:t>
      </w:r>
      <w:r w:rsidRPr="00AF4B42">
        <w:rPr>
          <w:rFonts w:asciiTheme="minorHAnsi" w:eastAsiaTheme="minorHAnsi" w:hAnsiTheme="minorHAnsi" w:cstheme="minorBidi"/>
          <w:color w:val="auto"/>
          <w:sz w:val="22"/>
          <w:szCs w:val="22"/>
          <w:lang w:eastAsia="en-US"/>
        </w:rPr>
        <w:t>, 2(2), pp. 89-116</w:t>
      </w:r>
    </w:p>
    <w:p w14:paraId="670AA998"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AF4B42">
        <w:rPr>
          <w:rFonts w:asciiTheme="minorHAnsi" w:eastAsiaTheme="minorHAnsi" w:hAnsiTheme="minorHAnsi" w:cstheme="minorBidi"/>
          <w:color w:val="auto"/>
          <w:sz w:val="22"/>
          <w:szCs w:val="22"/>
          <w:lang w:eastAsia="en-US"/>
        </w:rPr>
        <w:t>Koubel</w:t>
      </w:r>
      <w:proofErr w:type="spellEnd"/>
      <w:r w:rsidRPr="00AF4B42">
        <w:rPr>
          <w:rFonts w:asciiTheme="minorHAnsi" w:eastAsiaTheme="minorHAnsi" w:hAnsiTheme="minorHAnsi" w:cstheme="minorBidi"/>
          <w:color w:val="auto"/>
          <w:sz w:val="22"/>
          <w:szCs w:val="22"/>
          <w:lang w:eastAsia="en-US"/>
        </w:rPr>
        <w:t xml:space="preserve">, Georgina (2016).  </w:t>
      </w:r>
      <w:r w:rsidRPr="00AF4B42">
        <w:rPr>
          <w:rFonts w:asciiTheme="minorHAnsi" w:eastAsiaTheme="minorHAnsi" w:hAnsiTheme="minorHAnsi" w:cstheme="minorBidi"/>
          <w:i/>
          <w:iCs/>
          <w:color w:val="auto"/>
          <w:sz w:val="22"/>
          <w:szCs w:val="22"/>
          <w:lang w:eastAsia="en-US"/>
        </w:rPr>
        <w:t>Safeguarding Adults and children.</w:t>
      </w:r>
      <w:r w:rsidRPr="00AF4B42">
        <w:rPr>
          <w:rFonts w:asciiTheme="minorHAnsi" w:eastAsiaTheme="minorHAnsi" w:hAnsiTheme="minorHAnsi" w:cstheme="minorBidi"/>
          <w:color w:val="auto"/>
          <w:sz w:val="22"/>
          <w:szCs w:val="22"/>
          <w:lang w:eastAsia="en-US"/>
        </w:rPr>
        <w:t xml:space="preserve"> Palgrave: London</w:t>
      </w:r>
    </w:p>
    <w:p w14:paraId="1F190A08"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Laming, H. (2003) </w:t>
      </w:r>
      <w:r w:rsidRPr="00AF4B42">
        <w:rPr>
          <w:rFonts w:asciiTheme="minorHAnsi" w:eastAsiaTheme="minorHAnsi" w:hAnsiTheme="minorHAnsi" w:cstheme="minorBidi"/>
          <w:i/>
          <w:iCs/>
          <w:color w:val="auto"/>
          <w:sz w:val="22"/>
          <w:szCs w:val="22"/>
          <w:lang w:eastAsia="en-US"/>
        </w:rPr>
        <w:t>The inquiry Victoria Climbie.</w:t>
      </w:r>
      <w:r w:rsidRPr="00AF4B42">
        <w:rPr>
          <w:rFonts w:asciiTheme="minorHAnsi" w:eastAsiaTheme="minorHAnsi" w:hAnsiTheme="minorHAnsi" w:cstheme="minorBidi"/>
          <w:color w:val="auto"/>
          <w:sz w:val="22"/>
          <w:szCs w:val="22"/>
          <w:lang w:eastAsia="en-US"/>
        </w:rPr>
        <w:t xml:space="preserve"> London: HMSO</w:t>
      </w:r>
    </w:p>
    <w:p w14:paraId="1EA29845"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Law Wales. (2021) </w:t>
      </w:r>
      <w:r w:rsidRPr="00AF4B42">
        <w:rPr>
          <w:rFonts w:asciiTheme="minorHAnsi" w:eastAsiaTheme="minorHAnsi" w:hAnsiTheme="minorHAnsi" w:cstheme="minorBidi"/>
          <w:i/>
          <w:iCs/>
          <w:color w:val="auto"/>
          <w:sz w:val="22"/>
          <w:szCs w:val="22"/>
          <w:lang w:eastAsia="en-US"/>
        </w:rPr>
        <w:t>Safeguarding</w:t>
      </w:r>
      <w:r w:rsidRPr="00AF4B42">
        <w:rPr>
          <w:rFonts w:asciiTheme="minorHAnsi" w:eastAsiaTheme="minorHAnsi" w:hAnsiTheme="minorHAnsi" w:cstheme="minorBidi"/>
          <w:color w:val="auto"/>
          <w:sz w:val="22"/>
          <w:szCs w:val="22"/>
          <w:lang w:eastAsia="en-US"/>
        </w:rPr>
        <w:t>. Available at: https://law.gov.wales/safeguarding (Accessed: 02 August 2023).</w:t>
      </w:r>
    </w:p>
    <w:p w14:paraId="5EB84DDB"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Lishman, J. (1994) </w:t>
      </w:r>
      <w:r w:rsidRPr="00AF4B42">
        <w:rPr>
          <w:rFonts w:asciiTheme="minorHAnsi" w:eastAsiaTheme="minorHAnsi" w:hAnsiTheme="minorHAnsi" w:cstheme="minorBidi"/>
          <w:i/>
          <w:iCs/>
          <w:color w:val="auto"/>
          <w:sz w:val="22"/>
          <w:szCs w:val="22"/>
          <w:lang w:eastAsia="en-US"/>
        </w:rPr>
        <w:t>Communication in social work.</w:t>
      </w:r>
      <w:r w:rsidRPr="00AF4B42">
        <w:rPr>
          <w:rFonts w:asciiTheme="minorHAnsi" w:eastAsiaTheme="minorHAnsi" w:hAnsiTheme="minorHAnsi" w:cstheme="minorBidi"/>
          <w:color w:val="auto"/>
          <w:sz w:val="22"/>
          <w:szCs w:val="22"/>
          <w:lang w:eastAsia="en-US"/>
        </w:rPr>
        <w:t xml:space="preserve"> Hampshire: Macmillan</w:t>
      </w:r>
    </w:p>
    <w:p w14:paraId="5F8FACA3"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Maclean, S. and Harrison, R. (2015). </w:t>
      </w:r>
      <w:r w:rsidRPr="00AF4B42">
        <w:rPr>
          <w:rFonts w:asciiTheme="minorHAnsi" w:eastAsiaTheme="minorHAnsi" w:hAnsiTheme="minorHAnsi" w:cstheme="minorBidi"/>
          <w:i/>
          <w:iCs/>
          <w:color w:val="auto"/>
          <w:sz w:val="22"/>
          <w:szCs w:val="22"/>
          <w:lang w:eastAsia="en-US"/>
        </w:rPr>
        <w:t>Theory and Practice: A Straightforward Guide for Social Work Students</w:t>
      </w:r>
      <w:r w:rsidRPr="00AF4B42">
        <w:rPr>
          <w:rFonts w:asciiTheme="minorHAnsi" w:eastAsiaTheme="minorHAnsi" w:hAnsiTheme="minorHAnsi" w:cstheme="minorBidi"/>
          <w:color w:val="auto"/>
          <w:sz w:val="22"/>
          <w:szCs w:val="22"/>
          <w:lang w:eastAsia="en-US"/>
        </w:rPr>
        <w:t>. 3</w:t>
      </w:r>
      <w:r w:rsidRPr="00AF4B42">
        <w:rPr>
          <w:rFonts w:asciiTheme="minorHAnsi" w:eastAsiaTheme="minorHAnsi" w:hAnsiTheme="minorHAnsi" w:cstheme="minorBidi"/>
          <w:color w:val="auto"/>
          <w:sz w:val="22"/>
          <w:szCs w:val="22"/>
          <w:vertAlign w:val="superscript"/>
          <w:lang w:eastAsia="en-US"/>
        </w:rPr>
        <w:t>rd</w:t>
      </w:r>
      <w:r w:rsidRPr="00AF4B42">
        <w:rPr>
          <w:rFonts w:asciiTheme="minorHAnsi" w:eastAsiaTheme="minorHAnsi" w:hAnsiTheme="minorHAnsi" w:cstheme="minorBidi"/>
          <w:color w:val="auto"/>
          <w:sz w:val="22"/>
          <w:szCs w:val="22"/>
          <w:lang w:eastAsia="en-US"/>
        </w:rPr>
        <w:t xml:space="preserve"> </w:t>
      </w:r>
      <w:proofErr w:type="spellStart"/>
      <w:r w:rsidRPr="00AF4B42">
        <w:rPr>
          <w:rFonts w:asciiTheme="minorHAnsi" w:eastAsiaTheme="minorHAnsi" w:hAnsiTheme="minorHAnsi" w:cstheme="minorBidi"/>
          <w:color w:val="auto"/>
          <w:sz w:val="22"/>
          <w:szCs w:val="22"/>
          <w:lang w:eastAsia="en-US"/>
        </w:rPr>
        <w:t>edn</w:t>
      </w:r>
      <w:proofErr w:type="spellEnd"/>
      <w:r w:rsidRPr="00AF4B42">
        <w:rPr>
          <w:rFonts w:asciiTheme="minorHAnsi" w:eastAsiaTheme="minorHAnsi" w:hAnsiTheme="minorHAnsi" w:cstheme="minorBidi"/>
          <w:color w:val="auto"/>
          <w:sz w:val="22"/>
          <w:szCs w:val="22"/>
          <w:lang w:eastAsia="en-US"/>
        </w:rPr>
        <w:t xml:space="preserve">. United Kingdom: Kirwin Maclean Associates. </w:t>
      </w:r>
    </w:p>
    <w:p w14:paraId="25DEE081"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Main, M., and Solomon, J. (1990). Procedures for identifying infants as disorganized/disoriented during the Ainsworth Strange Situation, in</w:t>
      </w:r>
      <w:r w:rsidRPr="00AF4B42">
        <w:rPr>
          <w:rFonts w:asciiTheme="minorHAnsi" w:eastAsiaTheme="minorHAnsi" w:hAnsiTheme="minorHAnsi" w:cstheme="minorBidi"/>
          <w:i/>
          <w:iCs/>
          <w:color w:val="auto"/>
          <w:sz w:val="22"/>
          <w:szCs w:val="22"/>
          <w:lang w:eastAsia="en-US"/>
        </w:rPr>
        <w:t xml:space="preserve"> </w:t>
      </w:r>
      <w:r w:rsidRPr="00AF4B42">
        <w:rPr>
          <w:rFonts w:asciiTheme="minorHAnsi" w:eastAsiaTheme="minorHAnsi" w:hAnsiTheme="minorHAnsi" w:cstheme="minorBidi"/>
          <w:color w:val="auto"/>
          <w:sz w:val="22"/>
          <w:szCs w:val="22"/>
          <w:lang w:eastAsia="en-US"/>
        </w:rPr>
        <w:t>Greenberg, M.T., Cicchetti. D. &amp; Cummings</w:t>
      </w:r>
      <w:r w:rsidRPr="00AF4B42">
        <w:rPr>
          <w:rFonts w:asciiTheme="minorHAnsi" w:eastAsiaTheme="minorHAnsi" w:hAnsiTheme="minorHAnsi" w:cstheme="minorBidi"/>
          <w:i/>
          <w:iCs/>
          <w:color w:val="auto"/>
          <w:sz w:val="22"/>
          <w:szCs w:val="22"/>
          <w:lang w:eastAsia="en-US"/>
        </w:rPr>
        <w:t xml:space="preserve"> </w:t>
      </w:r>
      <w:r w:rsidRPr="00AF4B42">
        <w:rPr>
          <w:rFonts w:asciiTheme="minorHAnsi" w:eastAsiaTheme="minorHAnsi" w:hAnsiTheme="minorHAnsi" w:cstheme="minorBidi"/>
          <w:color w:val="auto"/>
          <w:sz w:val="22"/>
          <w:szCs w:val="22"/>
          <w:lang w:eastAsia="en-US"/>
        </w:rPr>
        <w:t>E.M.</w:t>
      </w:r>
      <w:r w:rsidRPr="00AF4B42">
        <w:rPr>
          <w:rFonts w:asciiTheme="minorHAnsi" w:eastAsiaTheme="minorHAnsi" w:hAnsiTheme="minorHAnsi" w:cstheme="minorBidi"/>
          <w:i/>
          <w:iCs/>
          <w:color w:val="auto"/>
          <w:sz w:val="22"/>
          <w:szCs w:val="22"/>
          <w:lang w:eastAsia="en-US"/>
        </w:rPr>
        <w:t xml:space="preserve">  </w:t>
      </w:r>
      <w:r w:rsidRPr="00AF4B42">
        <w:rPr>
          <w:rFonts w:asciiTheme="minorHAnsi" w:eastAsiaTheme="minorHAnsi" w:hAnsiTheme="minorHAnsi" w:cstheme="minorBidi"/>
          <w:color w:val="auto"/>
          <w:sz w:val="22"/>
          <w:szCs w:val="22"/>
          <w:lang w:eastAsia="en-US"/>
        </w:rPr>
        <w:t xml:space="preserve">(ed.) </w:t>
      </w:r>
      <w:r w:rsidRPr="00AF4B42">
        <w:rPr>
          <w:rFonts w:asciiTheme="minorHAnsi" w:eastAsiaTheme="minorHAnsi" w:hAnsiTheme="minorHAnsi" w:cstheme="minorBidi"/>
          <w:i/>
          <w:iCs/>
          <w:color w:val="auto"/>
          <w:sz w:val="22"/>
          <w:szCs w:val="22"/>
          <w:lang w:eastAsia="en-US"/>
        </w:rPr>
        <w:t>Attachment in the preschool years: Theory, research, and intervention</w:t>
      </w:r>
      <w:r w:rsidRPr="00AF4B42">
        <w:rPr>
          <w:rFonts w:asciiTheme="minorHAnsi" w:eastAsiaTheme="minorHAnsi" w:hAnsiTheme="minorHAnsi" w:cstheme="minorBidi"/>
          <w:color w:val="auto"/>
          <w:sz w:val="22"/>
          <w:szCs w:val="22"/>
          <w:lang w:eastAsia="en-US"/>
        </w:rPr>
        <w:t>. Chicago: University of Chicago Press.</w:t>
      </w:r>
    </w:p>
    <w:p w14:paraId="72576EEE"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Manning, C., Gregoire, A. (2009) ‘Effects of parental mental illness on children’, Psychiatry, 8 (1) pp. 7-9. DOI: 10.1016/j.mppsy.2008.10.012.</w:t>
      </w:r>
    </w:p>
    <w:p w14:paraId="1F4797E6"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i/>
          <w:iCs/>
          <w:color w:val="auto"/>
          <w:sz w:val="22"/>
          <w:szCs w:val="22"/>
          <w:lang w:eastAsia="en-US"/>
        </w:rPr>
        <w:t>Mental Capacity Act 2005, c.9.</w:t>
      </w:r>
      <w:r w:rsidRPr="00AF4B42">
        <w:rPr>
          <w:rFonts w:asciiTheme="minorHAnsi" w:eastAsiaTheme="minorHAnsi" w:hAnsiTheme="minorHAnsi" w:cstheme="minorBidi"/>
          <w:color w:val="auto"/>
          <w:sz w:val="22"/>
          <w:szCs w:val="22"/>
          <w:lang w:eastAsia="en-US"/>
        </w:rPr>
        <w:t xml:space="preserve"> Available at: https://www.legislation.gov.uk/ukpga/2005/9/section/1 (Accessed: 06 October 2023).</w:t>
      </w:r>
    </w:p>
    <w:p w14:paraId="189B1AB7"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Miller, W. R. and Rollnick, S. (2013). </w:t>
      </w:r>
      <w:r w:rsidRPr="00AF4B42">
        <w:rPr>
          <w:rFonts w:asciiTheme="minorHAnsi" w:eastAsiaTheme="minorHAnsi" w:hAnsiTheme="minorHAnsi" w:cstheme="minorBidi"/>
          <w:i/>
          <w:iCs/>
          <w:color w:val="auto"/>
          <w:sz w:val="22"/>
          <w:szCs w:val="22"/>
          <w:lang w:eastAsia="en-US"/>
        </w:rPr>
        <w:t>Motivational Interviewing: Helping People Change</w:t>
      </w:r>
      <w:r w:rsidRPr="00AF4B42">
        <w:rPr>
          <w:rFonts w:asciiTheme="minorHAnsi" w:eastAsiaTheme="minorHAnsi" w:hAnsiTheme="minorHAnsi" w:cstheme="minorBidi"/>
          <w:color w:val="auto"/>
          <w:sz w:val="22"/>
          <w:szCs w:val="22"/>
          <w:lang w:eastAsia="en-US"/>
        </w:rPr>
        <w:t>. United Kingdom: Guilford Publications.</w:t>
      </w:r>
    </w:p>
    <w:p w14:paraId="115C8EE3"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Ministry of Justice. (2022) </w:t>
      </w:r>
      <w:r w:rsidRPr="00AF4B42">
        <w:rPr>
          <w:rFonts w:asciiTheme="minorHAnsi" w:eastAsiaTheme="minorHAnsi" w:hAnsiTheme="minorHAnsi" w:cstheme="minorBidi"/>
          <w:i/>
          <w:iCs/>
          <w:color w:val="auto"/>
          <w:sz w:val="22"/>
          <w:szCs w:val="22"/>
          <w:lang w:eastAsia="en-US"/>
        </w:rPr>
        <w:t>Human Rights: The UK’s international human rights obligations.</w:t>
      </w:r>
      <w:r w:rsidRPr="00AF4B42">
        <w:rPr>
          <w:rFonts w:asciiTheme="minorHAnsi" w:eastAsiaTheme="minorHAnsi" w:hAnsiTheme="minorHAnsi" w:cstheme="minorBidi"/>
          <w:color w:val="auto"/>
          <w:sz w:val="22"/>
          <w:szCs w:val="22"/>
          <w:lang w:eastAsia="en-US"/>
        </w:rPr>
        <w:t xml:space="preserve"> Available at: https://www.gov.uk/government/collections/human-rights-the-uks-international-human-rights-obligations (Accessed: 3 August 2023).</w:t>
      </w:r>
    </w:p>
    <w:p w14:paraId="26E25AFB"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Murphy, M. and Rogers, M. (2019) ‘Working with Adult-Orientated Issues’ in Horwath, J. and Platt, D. (ed.) </w:t>
      </w:r>
      <w:r w:rsidRPr="00AF4B42">
        <w:rPr>
          <w:rFonts w:asciiTheme="minorHAnsi" w:eastAsiaTheme="minorHAnsi" w:hAnsiTheme="minorHAnsi" w:cstheme="minorBidi"/>
          <w:i/>
          <w:iCs/>
          <w:color w:val="auto"/>
          <w:sz w:val="22"/>
          <w:szCs w:val="22"/>
          <w:lang w:eastAsia="en-US"/>
        </w:rPr>
        <w:t xml:space="preserve">The child’s world: The essential guide to assessing vulnerable children, young </w:t>
      </w:r>
      <w:proofErr w:type="gramStart"/>
      <w:r w:rsidRPr="00AF4B42">
        <w:rPr>
          <w:rFonts w:asciiTheme="minorHAnsi" w:eastAsiaTheme="minorHAnsi" w:hAnsiTheme="minorHAnsi" w:cstheme="minorBidi"/>
          <w:i/>
          <w:iCs/>
          <w:color w:val="auto"/>
          <w:sz w:val="22"/>
          <w:szCs w:val="22"/>
          <w:lang w:eastAsia="en-US"/>
        </w:rPr>
        <w:t>people</w:t>
      </w:r>
      <w:proofErr w:type="gramEnd"/>
      <w:r w:rsidRPr="00AF4B42">
        <w:rPr>
          <w:rFonts w:asciiTheme="minorHAnsi" w:eastAsiaTheme="minorHAnsi" w:hAnsiTheme="minorHAnsi" w:cstheme="minorBidi"/>
          <w:i/>
          <w:iCs/>
          <w:color w:val="auto"/>
          <w:sz w:val="22"/>
          <w:szCs w:val="22"/>
          <w:lang w:eastAsia="en-US"/>
        </w:rPr>
        <w:t xml:space="preserve"> and their families</w:t>
      </w:r>
      <w:r w:rsidRPr="00AF4B42">
        <w:rPr>
          <w:rFonts w:asciiTheme="minorHAnsi" w:eastAsiaTheme="minorHAnsi" w:hAnsiTheme="minorHAnsi" w:cstheme="minorBidi"/>
          <w:color w:val="auto"/>
          <w:sz w:val="22"/>
          <w:szCs w:val="22"/>
          <w:lang w:eastAsia="en-US"/>
        </w:rPr>
        <w:t>. London: Jessica Kingsley Publishers.</w:t>
      </w:r>
    </w:p>
    <w:p w14:paraId="54C911B8" w14:textId="77777777" w:rsidR="00AF4B42" w:rsidRPr="00AF4B42" w:rsidRDefault="00AF4B42" w:rsidP="00AF4B42">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National Assembly for Wales. (2000) </w:t>
      </w:r>
      <w:r w:rsidRPr="00AF4B42">
        <w:rPr>
          <w:rFonts w:asciiTheme="minorHAnsi" w:eastAsiaTheme="minorHAnsi" w:hAnsiTheme="minorHAnsi" w:cstheme="minorBidi"/>
          <w:i/>
          <w:iCs/>
          <w:color w:val="auto"/>
          <w:sz w:val="22"/>
          <w:szCs w:val="22"/>
          <w:lang w:eastAsia="en-US"/>
        </w:rPr>
        <w:t>In safe hands: Implementing adult protection procedures in Wales July 2000.</w:t>
      </w:r>
      <w:r w:rsidRPr="00AF4B42">
        <w:rPr>
          <w:rFonts w:asciiTheme="minorHAnsi" w:eastAsiaTheme="minorHAnsi" w:hAnsiTheme="minorHAnsi" w:cstheme="minorBidi"/>
          <w:color w:val="auto"/>
          <w:sz w:val="22"/>
          <w:szCs w:val="22"/>
          <w:lang w:eastAsia="en-US"/>
        </w:rPr>
        <w:t xml:space="preserve"> Available at: https://www.cysur.wales/media/xxybbuuj/in-safe-hands.pdf (Accessed: 06 October 2023).</w:t>
      </w:r>
    </w:p>
    <w:p w14:paraId="40B9A512"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Roberts, A.R. (2000) An overview of crisis theory and crisis intervention, in Roberts, A.R, (ed.) </w:t>
      </w:r>
      <w:r w:rsidRPr="00AF4B42">
        <w:rPr>
          <w:rFonts w:asciiTheme="minorHAnsi" w:eastAsiaTheme="minorHAnsi" w:hAnsiTheme="minorHAnsi" w:cstheme="minorBidi"/>
          <w:i/>
          <w:iCs/>
          <w:color w:val="auto"/>
          <w:sz w:val="22"/>
          <w:szCs w:val="22"/>
          <w:lang w:eastAsia="en-US"/>
        </w:rPr>
        <w:t>Crisis Intervention handbook.</w:t>
      </w:r>
      <w:r w:rsidRPr="00AF4B42">
        <w:rPr>
          <w:rFonts w:asciiTheme="minorHAnsi" w:eastAsiaTheme="minorHAnsi" w:hAnsiTheme="minorHAnsi" w:cstheme="minorBidi"/>
          <w:color w:val="auto"/>
          <w:sz w:val="22"/>
          <w:szCs w:val="22"/>
          <w:lang w:eastAsia="en-US"/>
        </w:rPr>
        <w:t xml:space="preserve"> New York: Oxford University Press</w:t>
      </w:r>
    </w:p>
    <w:p w14:paraId="2CFE8C97" w14:textId="77777777" w:rsidR="00AF4B42" w:rsidRPr="00AF4B42" w:rsidRDefault="00AF4B42" w:rsidP="00AF4B42">
      <w:pPr>
        <w:overflowPunct/>
        <w:autoSpaceDE/>
        <w:autoSpaceDN/>
        <w:adjustRightInd/>
        <w:textAlignment w:val="auto"/>
        <w:rPr>
          <w:rFonts w:asciiTheme="minorHAnsi" w:eastAsiaTheme="minorHAnsi" w:hAnsiTheme="minorHAnsi" w:cstheme="minorBidi"/>
          <w:i/>
          <w:iCs/>
          <w:color w:val="auto"/>
          <w:sz w:val="22"/>
          <w:szCs w:val="22"/>
          <w:lang w:eastAsia="en-US"/>
        </w:rPr>
      </w:pPr>
      <w:r w:rsidRPr="00AF4B42">
        <w:rPr>
          <w:rFonts w:asciiTheme="minorHAnsi" w:eastAsiaTheme="minorHAnsi" w:hAnsiTheme="minorHAnsi" w:cstheme="minorBidi"/>
          <w:color w:val="auto"/>
          <w:sz w:val="22"/>
          <w:szCs w:val="22"/>
          <w:lang w:eastAsia="en-US"/>
        </w:rPr>
        <w:t xml:space="preserve">Royal Town Planning Institute (2022) </w:t>
      </w:r>
      <w:r w:rsidRPr="00AF4B42">
        <w:rPr>
          <w:rFonts w:asciiTheme="minorHAnsi" w:eastAsiaTheme="minorHAnsi" w:hAnsiTheme="minorHAnsi" w:cstheme="minorBidi"/>
          <w:i/>
          <w:iCs/>
          <w:color w:val="auto"/>
          <w:sz w:val="22"/>
          <w:szCs w:val="22"/>
          <w:lang w:eastAsia="en-US"/>
        </w:rPr>
        <w:t>Living Locally in Rural Wales RTPI Cymru Discussion Paper.</w:t>
      </w:r>
    </w:p>
    <w:p w14:paraId="3C6449A8"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https://www.rtpi.org.uk/policy/2022/january/living-locally-in-rural-wales/#_Toc93496210</w:t>
      </w:r>
    </w:p>
    <w:p w14:paraId="6E6A92D6"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p>
    <w:p w14:paraId="09900FA9"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Ruch G. (2014) Helping children is a human process: understanding how social workers communicate with children through practice near research, </w:t>
      </w:r>
      <w:r w:rsidRPr="00AF4B42">
        <w:rPr>
          <w:rFonts w:asciiTheme="minorHAnsi" w:eastAsiaTheme="minorHAnsi" w:hAnsiTheme="minorHAnsi" w:cstheme="minorBidi"/>
          <w:i/>
          <w:iCs/>
          <w:color w:val="auto"/>
          <w:sz w:val="22"/>
          <w:szCs w:val="22"/>
          <w:lang w:eastAsia="en-US"/>
        </w:rPr>
        <w:t>British Journal of Social Work</w:t>
      </w:r>
      <w:r w:rsidRPr="00AF4B42">
        <w:rPr>
          <w:rFonts w:asciiTheme="minorHAnsi" w:eastAsiaTheme="minorHAnsi" w:hAnsiTheme="minorHAnsi" w:cstheme="minorBidi"/>
          <w:color w:val="auto"/>
          <w:sz w:val="22"/>
          <w:szCs w:val="22"/>
          <w:lang w:eastAsia="en-US"/>
        </w:rPr>
        <w:t>, 44, pp. 2145-2162.</w:t>
      </w:r>
    </w:p>
    <w:p w14:paraId="76B579DE"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Schon, D.A. (1983) </w:t>
      </w:r>
      <w:r w:rsidRPr="00AF4B42">
        <w:rPr>
          <w:rFonts w:asciiTheme="minorHAnsi" w:eastAsiaTheme="minorHAnsi" w:hAnsiTheme="minorHAnsi" w:cstheme="minorBidi"/>
          <w:i/>
          <w:iCs/>
          <w:color w:val="auto"/>
          <w:sz w:val="22"/>
          <w:szCs w:val="22"/>
          <w:lang w:eastAsia="en-US"/>
        </w:rPr>
        <w:t>The reflective practitioner: how professionals think in action</w:t>
      </w:r>
      <w:r w:rsidRPr="00AF4B42">
        <w:rPr>
          <w:rFonts w:asciiTheme="minorHAnsi" w:eastAsiaTheme="minorHAnsi" w:hAnsiTheme="minorHAnsi" w:cstheme="minorBidi"/>
          <w:color w:val="auto"/>
          <w:sz w:val="22"/>
          <w:szCs w:val="22"/>
          <w:lang w:eastAsia="en-US"/>
        </w:rPr>
        <w:t>. New York: Basic Books</w:t>
      </w:r>
    </w:p>
    <w:p w14:paraId="2B1131AF"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AF4B42">
        <w:rPr>
          <w:rFonts w:asciiTheme="minorHAnsi" w:eastAsiaTheme="minorHAnsi" w:hAnsiTheme="minorHAnsi" w:cstheme="minorBidi"/>
          <w:color w:val="auto"/>
          <w:sz w:val="22"/>
          <w:szCs w:val="22"/>
          <w:lang w:eastAsia="en-US"/>
        </w:rPr>
        <w:lastRenderedPageBreak/>
        <w:t>Shemmings</w:t>
      </w:r>
      <w:proofErr w:type="spellEnd"/>
      <w:r w:rsidRPr="00AF4B42">
        <w:rPr>
          <w:rFonts w:asciiTheme="minorHAnsi" w:eastAsiaTheme="minorHAnsi" w:hAnsiTheme="minorHAnsi" w:cstheme="minorBidi"/>
          <w:color w:val="auto"/>
          <w:sz w:val="22"/>
          <w:szCs w:val="22"/>
          <w:lang w:eastAsia="en-US"/>
        </w:rPr>
        <w:t xml:space="preserve">, D. (2018) </w:t>
      </w:r>
      <w:r w:rsidRPr="00AF4B42">
        <w:rPr>
          <w:rFonts w:asciiTheme="minorHAnsi" w:eastAsiaTheme="minorHAnsi" w:hAnsiTheme="minorHAnsi" w:cstheme="minorBidi"/>
          <w:i/>
          <w:iCs/>
          <w:color w:val="auto"/>
          <w:sz w:val="22"/>
          <w:szCs w:val="22"/>
          <w:lang w:eastAsia="en-US"/>
        </w:rPr>
        <w:t xml:space="preserve">Why social workers shouldn’t use ‘attachment’ in their records and reports. </w:t>
      </w:r>
      <w:r w:rsidRPr="00AF4B42">
        <w:rPr>
          <w:rFonts w:asciiTheme="minorHAnsi" w:eastAsiaTheme="minorHAnsi" w:hAnsiTheme="minorHAnsi" w:cstheme="minorBidi"/>
          <w:color w:val="auto"/>
          <w:sz w:val="22"/>
          <w:szCs w:val="22"/>
          <w:lang w:eastAsia="en-US"/>
        </w:rPr>
        <w:t>Available at: http://www.communitycare.co.uk/2018/06/28/social-workers-shouldnt-use-attachment-records-reports/ (Accessed: 4 August 2023).</w:t>
      </w:r>
    </w:p>
    <w:p w14:paraId="4DABE01D"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AF4B42">
        <w:rPr>
          <w:rFonts w:asciiTheme="minorHAnsi" w:eastAsiaTheme="minorHAnsi" w:hAnsiTheme="minorHAnsi" w:cstheme="minorBidi"/>
          <w:color w:val="auto"/>
          <w:sz w:val="22"/>
          <w:szCs w:val="22"/>
          <w:lang w:eastAsia="en-US"/>
        </w:rPr>
        <w:t>Shemmings</w:t>
      </w:r>
      <w:proofErr w:type="spellEnd"/>
      <w:r w:rsidRPr="00AF4B42">
        <w:rPr>
          <w:rFonts w:asciiTheme="minorHAnsi" w:eastAsiaTheme="minorHAnsi" w:hAnsiTheme="minorHAnsi" w:cstheme="minorBidi"/>
          <w:color w:val="auto"/>
          <w:sz w:val="22"/>
          <w:szCs w:val="22"/>
          <w:lang w:eastAsia="en-US"/>
        </w:rPr>
        <w:t xml:space="preserve">, D. and </w:t>
      </w:r>
      <w:proofErr w:type="spellStart"/>
      <w:r w:rsidRPr="00AF4B42">
        <w:rPr>
          <w:rFonts w:asciiTheme="minorHAnsi" w:eastAsiaTheme="minorHAnsi" w:hAnsiTheme="minorHAnsi" w:cstheme="minorBidi"/>
          <w:color w:val="auto"/>
          <w:sz w:val="22"/>
          <w:szCs w:val="22"/>
          <w:lang w:eastAsia="en-US"/>
        </w:rPr>
        <w:t>Shemmings</w:t>
      </w:r>
      <w:proofErr w:type="spellEnd"/>
      <w:r w:rsidRPr="00AF4B42">
        <w:rPr>
          <w:rFonts w:asciiTheme="minorHAnsi" w:eastAsiaTheme="minorHAnsi" w:hAnsiTheme="minorHAnsi" w:cstheme="minorBidi"/>
          <w:color w:val="auto"/>
          <w:sz w:val="22"/>
          <w:szCs w:val="22"/>
          <w:lang w:eastAsia="en-US"/>
        </w:rPr>
        <w:t xml:space="preserve">, Y. (2019) ‘Emotional and behavioural development’ in Horwath, J. and Platt, D. (ed.) </w:t>
      </w:r>
      <w:r w:rsidRPr="00AF4B42">
        <w:rPr>
          <w:rFonts w:asciiTheme="minorHAnsi" w:eastAsiaTheme="minorHAnsi" w:hAnsiTheme="minorHAnsi" w:cstheme="minorBidi"/>
          <w:i/>
          <w:iCs/>
          <w:color w:val="auto"/>
          <w:sz w:val="22"/>
          <w:szCs w:val="22"/>
          <w:lang w:eastAsia="en-US"/>
        </w:rPr>
        <w:t xml:space="preserve">The child’s world: The essential guide to assessing vulnerable children, young </w:t>
      </w:r>
      <w:proofErr w:type="gramStart"/>
      <w:r w:rsidRPr="00AF4B42">
        <w:rPr>
          <w:rFonts w:asciiTheme="minorHAnsi" w:eastAsiaTheme="minorHAnsi" w:hAnsiTheme="minorHAnsi" w:cstheme="minorBidi"/>
          <w:i/>
          <w:iCs/>
          <w:color w:val="auto"/>
          <w:sz w:val="22"/>
          <w:szCs w:val="22"/>
          <w:lang w:eastAsia="en-US"/>
        </w:rPr>
        <w:t>people</w:t>
      </w:r>
      <w:proofErr w:type="gramEnd"/>
      <w:r w:rsidRPr="00AF4B42">
        <w:rPr>
          <w:rFonts w:asciiTheme="minorHAnsi" w:eastAsiaTheme="minorHAnsi" w:hAnsiTheme="minorHAnsi" w:cstheme="minorBidi"/>
          <w:i/>
          <w:iCs/>
          <w:color w:val="auto"/>
          <w:sz w:val="22"/>
          <w:szCs w:val="22"/>
          <w:lang w:eastAsia="en-US"/>
        </w:rPr>
        <w:t xml:space="preserve"> and their families.</w:t>
      </w:r>
      <w:r w:rsidRPr="00AF4B42">
        <w:rPr>
          <w:rFonts w:asciiTheme="minorHAnsi" w:eastAsiaTheme="minorHAnsi" w:hAnsiTheme="minorHAnsi" w:cstheme="minorBidi"/>
          <w:color w:val="auto"/>
          <w:sz w:val="22"/>
          <w:szCs w:val="22"/>
          <w:lang w:eastAsia="en-US"/>
        </w:rPr>
        <w:t xml:space="preserve"> London: Jessica Kingsley Publishers.  </w:t>
      </w:r>
    </w:p>
    <w:p w14:paraId="55C194B2"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Social Care Wales (2017) </w:t>
      </w:r>
      <w:r w:rsidRPr="00AF4B42">
        <w:rPr>
          <w:rFonts w:asciiTheme="minorHAnsi" w:eastAsiaTheme="minorHAnsi" w:hAnsiTheme="minorHAnsi" w:cstheme="minorBidi"/>
          <w:i/>
          <w:iCs/>
          <w:color w:val="auto"/>
          <w:sz w:val="22"/>
          <w:szCs w:val="22"/>
          <w:lang w:eastAsia="en-US"/>
        </w:rPr>
        <w:t>Code of Professional Practice for Social Care</w:t>
      </w:r>
      <w:r w:rsidRPr="00AF4B42">
        <w:rPr>
          <w:rFonts w:asciiTheme="minorHAnsi" w:eastAsiaTheme="minorHAnsi" w:hAnsiTheme="minorHAnsi" w:cstheme="minorBidi"/>
          <w:color w:val="auto"/>
          <w:sz w:val="22"/>
          <w:szCs w:val="22"/>
          <w:lang w:eastAsia="en-US"/>
        </w:rPr>
        <w:t>. Available at https://socialcare.wales/cms-assets/documents/Code-of-Professional-Practice-for-Social-Care-web-version.pdf (Accessed: 15 April 2023).</w:t>
      </w:r>
    </w:p>
    <w:p w14:paraId="7E725A89"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Social Care Wales (2018) </w:t>
      </w:r>
      <w:r w:rsidRPr="00AF4B42">
        <w:rPr>
          <w:rFonts w:asciiTheme="minorHAnsi" w:eastAsiaTheme="minorHAnsi" w:hAnsiTheme="minorHAnsi" w:cstheme="minorBidi"/>
          <w:i/>
          <w:iCs/>
          <w:color w:val="auto"/>
          <w:sz w:val="22"/>
          <w:szCs w:val="22"/>
          <w:lang w:eastAsia="en-US"/>
        </w:rPr>
        <w:t>Continuing Professional Education and Learning: A Framework for social workers in Wales Requirements for the Consolidation Programme for Newly Qualified Social Workers.</w:t>
      </w:r>
      <w:r w:rsidRPr="00AF4B42">
        <w:rPr>
          <w:rFonts w:asciiTheme="minorHAnsi" w:eastAsiaTheme="minorHAnsi" w:hAnsiTheme="minorHAnsi" w:cstheme="minorBidi"/>
          <w:color w:val="auto"/>
          <w:sz w:val="22"/>
          <w:szCs w:val="22"/>
          <w:lang w:eastAsia="en-US"/>
        </w:rPr>
        <w:t xml:space="preserve">  Available at: https://socialcare.wales/cms-assets/documents/Requirements-for-the-Consolidation-Programme-for-Newly-Qualified-Social-Workers.pdf (Accessed: 15 April 2023).</w:t>
      </w:r>
    </w:p>
    <w:p w14:paraId="04082CDD"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000000" w:themeColor="text1"/>
          <w:sz w:val="22"/>
          <w:szCs w:val="22"/>
          <w:lang w:eastAsia="en-US"/>
        </w:rPr>
        <w:t xml:space="preserve">Social Care Wales. (2023). </w:t>
      </w:r>
      <w:r w:rsidRPr="00AF4B42">
        <w:rPr>
          <w:rFonts w:asciiTheme="minorHAnsi" w:eastAsiaTheme="minorHAnsi" w:hAnsiTheme="minorHAnsi" w:cstheme="minorBidi"/>
          <w:i/>
          <w:iCs/>
          <w:color w:val="000000" w:themeColor="text1"/>
          <w:sz w:val="22"/>
          <w:szCs w:val="22"/>
          <w:lang w:eastAsia="en-US"/>
        </w:rPr>
        <w:t>Wales Safeguarding Procedures</w:t>
      </w:r>
      <w:r w:rsidRPr="00AF4B42">
        <w:rPr>
          <w:rFonts w:asciiTheme="minorHAnsi" w:eastAsiaTheme="minorHAnsi" w:hAnsiTheme="minorHAnsi" w:cstheme="minorBidi"/>
          <w:color w:val="000000" w:themeColor="text1"/>
          <w:sz w:val="22"/>
          <w:szCs w:val="22"/>
          <w:lang w:eastAsia="en-US"/>
        </w:rPr>
        <w:t xml:space="preserve"> (Version 2.1.0) [App Store]. (Accessed: 01 </w:t>
      </w:r>
      <w:r w:rsidRPr="00AF4B42">
        <w:rPr>
          <w:rFonts w:asciiTheme="minorHAnsi" w:eastAsiaTheme="minorHAnsi" w:hAnsiTheme="minorHAnsi" w:cstheme="minorBidi"/>
          <w:color w:val="auto"/>
          <w:sz w:val="22"/>
          <w:szCs w:val="22"/>
          <w:lang w:eastAsia="en-US"/>
        </w:rPr>
        <w:t>August 2023).</w:t>
      </w:r>
    </w:p>
    <w:p w14:paraId="48ADCDC3"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i/>
          <w:iCs/>
          <w:color w:val="auto"/>
          <w:sz w:val="22"/>
          <w:szCs w:val="22"/>
          <w:lang w:eastAsia="en-US"/>
        </w:rPr>
        <w:t>Social Services and Well-being (Wales) Act 2014, (</w:t>
      </w:r>
      <w:proofErr w:type="spellStart"/>
      <w:r w:rsidRPr="00AF4B42">
        <w:rPr>
          <w:rFonts w:asciiTheme="minorHAnsi" w:eastAsiaTheme="minorHAnsi" w:hAnsiTheme="minorHAnsi" w:cstheme="minorBidi"/>
          <w:i/>
          <w:iCs/>
          <w:color w:val="auto"/>
          <w:sz w:val="22"/>
          <w:szCs w:val="22"/>
          <w:lang w:eastAsia="en-US"/>
        </w:rPr>
        <w:t>anaw</w:t>
      </w:r>
      <w:proofErr w:type="spellEnd"/>
      <w:r w:rsidRPr="00AF4B42">
        <w:rPr>
          <w:rFonts w:asciiTheme="minorHAnsi" w:eastAsiaTheme="minorHAnsi" w:hAnsiTheme="minorHAnsi" w:cstheme="minorBidi"/>
          <w:i/>
          <w:iCs/>
          <w:color w:val="auto"/>
          <w:sz w:val="22"/>
          <w:szCs w:val="22"/>
          <w:lang w:eastAsia="en-US"/>
        </w:rPr>
        <w:t xml:space="preserve"> 4).</w:t>
      </w:r>
      <w:r w:rsidRPr="00AF4B42">
        <w:rPr>
          <w:rFonts w:asciiTheme="minorHAnsi" w:eastAsiaTheme="minorHAnsi" w:hAnsiTheme="minorHAnsi" w:cstheme="minorBidi"/>
          <w:color w:val="auto"/>
          <w:sz w:val="22"/>
          <w:szCs w:val="22"/>
          <w:lang w:eastAsia="en-US"/>
        </w:rPr>
        <w:t xml:space="preserve"> Available at: https://www.legislation.gov enacted (Accessed: 01 August 2023).</w:t>
      </w:r>
    </w:p>
    <w:p w14:paraId="4EBB8383"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Stone, Juliet (2023) </w:t>
      </w:r>
      <w:r w:rsidRPr="00AF4B42">
        <w:rPr>
          <w:rFonts w:asciiTheme="minorHAnsi" w:eastAsiaTheme="minorHAnsi" w:hAnsiTheme="minorHAnsi" w:cstheme="minorBidi"/>
          <w:i/>
          <w:iCs/>
          <w:color w:val="auto"/>
          <w:sz w:val="22"/>
          <w:szCs w:val="22"/>
          <w:lang w:eastAsia="en-US"/>
        </w:rPr>
        <w:t>Local indicators of child poverty after housing costs, 2021/22 Summary of estimates of child poverty after housing costs in local authorities and parliamentary constituencies 2014/15 – 2021/22.</w:t>
      </w:r>
      <w:r w:rsidRPr="00AF4B42">
        <w:rPr>
          <w:rFonts w:asciiTheme="minorHAnsi" w:eastAsiaTheme="minorHAnsi" w:hAnsiTheme="minorHAnsi" w:cstheme="minorBidi"/>
          <w:color w:val="auto"/>
          <w:sz w:val="22"/>
          <w:szCs w:val="22"/>
          <w:lang w:eastAsia="en-US"/>
        </w:rPr>
        <w:t xml:space="preserve"> Available at: https://endchildpoverty.org.uk/wp-content/uploads/2023/06/Local-indicators-of-child-poverty-after-housing-costs_Final-Report-3.pdf (Accessed: 3 August 2023).</w:t>
      </w:r>
    </w:p>
    <w:p w14:paraId="0AB111FC"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Teater, B (2014). </w:t>
      </w:r>
      <w:r w:rsidRPr="00AF4B42">
        <w:rPr>
          <w:rFonts w:asciiTheme="minorHAnsi" w:eastAsiaTheme="minorHAnsi" w:hAnsiTheme="minorHAnsi" w:cstheme="minorBidi"/>
          <w:i/>
          <w:iCs/>
          <w:color w:val="auto"/>
          <w:sz w:val="22"/>
          <w:szCs w:val="22"/>
          <w:lang w:eastAsia="en-US"/>
        </w:rPr>
        <w:t>Applying social work theories and methods</w:t>
      </w:r>
      <w:r w:rsidRPr="00AF4B42">
        <w:rPr>
          <w:rFonts w:asciiTheme="minorHAnsi" w:eastAsiaTheme="minorHAnsi" w:hAnsiTheme="minorHAnsi" w:cstheme="minorBidi"/>
          <w:color w:val="auto"/>
          <w:sz w:val="22"/>
          <w:szCs w:val="22"/>
          <w:lang w:eastAsia="en-US"/>
        </w:rPr>
        <w:t xml:space="preserve">. 2nd </w:t>
      </w:r>
      <w:proofErr w:type="spellStart"/>
      <w:r w:rsidRPr="00AF4B42">
        <w:rPr>
          <w:rFonts w:asciiTheme="minorHAnsi" w:eastAsiaTheme="minorHAnsi" w:hAnsiTheme="minorHAnsi" w:cstheme="minorBidi"/>
          <w:color w:val="auto"/>
          <w:sz w:val="22"/>
          <w:szCs w:val="22"/>
          <w:lang w:eastAsia="en-US"/>
        </w:rPr>
        <w:t>edn</w:t>
      </w:r>
      <w:proofErr w:type="spellEnd"/>
      <w:r w:rsidRPr="00AF4B42">
        <w:rPr>
          <w:rFonts w:asciiTheme="minorHAnsi" w:eastAsiaTheme="minorHAnsi" w:hAnsiTheme="minorHAnsi" w:cstheme="minorBidi"/>
          <w:color w:val="auto"/>
          <w:sz w:val="22"/>
          <w:szCs w:val="22"/>
          <w:lang w:eastAsia="en-US"/>
        </w:rPr>
        <w:t>. Maidenhead: Open University Press</w:t>
      </w:r>
    </w:p>
    <w:p w14:paraId="460B9869"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Thompson, N. (2003) </w:t>
      </w:r>
      <w:r w:rsidRPr="00AF4B42">
        <w:rPr>
          <w:rFonts w:asciiTheme="minorHAnsi" w:eastAsiaTheme="minorHAnsi" w:hAnsiTheme="minorHAnsi" w:cstheme="minorBidi"/>
          <w:i/>
          <w:iCs/>
          <w:color w:val="auto"/>
          <w:sz w:val="22"/>
          <w:szCs w:val="22"/>
          <w:lang w:eastAsia="en-US"/>
        </w:rPr>
        <w:t>Communication and language: A handbook of Theory and Practice</w:t>
      </w:r>
      <w:r w:rsidRPr="00AF4B42">
        <w:rPr>
          <w:rFonts w:asciiTheme="minorHAnsi" w:eastAsiaTheme="minorHAnsi" w:hAnsiTheme="minorHAnsi" w:cstheme="minorBidi"/>
          <w:color w:val="auto"/>
          <w:sz w:val="22"/>
          <w:szCs w:val="22"/>
          <w:lang w:eastAsia="en-US"/>
        </w:rPr>
        <w:t xml:space="preserve">. Basingstoke: Palgrave Macmillan </w:t>
      </w:r>
    </w:p>
    <w:p w14:paraId="45E2BFE6"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Turney, D.  and Ruch, G. (2019) ‘Engaging and working with parents as part of the assessment process, in Horwath, J and Platt, D. (3</w:t>
      </w:r>
      <w:r w:rsidRPr="00AF4B42">
        <w:rPr>
          <w:rFonts w:asciiTheme="minorHAnsi" w:eastAsiaTheme="minorHAnsi" w:hAnsiTheme="minorHAnsi" w:cstheme="minorBidi"/>
          <w:color w:val="auto"/>
          <w:sz w:val="22"/>
          <w:szCs w:val="22"/>
          <w:vertAlign w:val="superscript"/>
          <w:lang w:eastAsia="en-US"/>
        </w:rPr>
        <w:t>rd</w:t>
      </w:r>
      <w:r w:rsidRPr="00AF4B42">
        <w:rPr>
          <w:rFonts w:asciiTheme="minorHAnsi" w:eastAsiaTheme="minorHAnsi" w:hAnsiTheme="minorHAnsi" w:cstheme="minorBidi"/>
          <w:color w:val="auto"/>
          <w:sz w:val="22"/>
          <w:szCs w:val="22"/>
          <w:lang w:eastAsia="en-US"/>
        </w:rPr>
        <w:t xml:space="preserve"> ed.) </w:t>
      </w:r>
      <w:r w:rsidRPr="00AF4B42">
        <w:rPr>
          <w:rFonts w:asciiTheme="minorHAnsi" w:eastAsiaTheme="minorHAnsi" w:hAnsiTheme="minorHAnsi" w:cstheme="minorBidi"/>
          <w:i/>
          <w:iCs/>
          <w:color w:val="auto"/>
          <w:sz w:val="22"/>
          <w:szCs w:val="22"/>
          <w:lang w:eastAsia="en-US"/>
        </w:rPr>
        <w:t xml:space="preserve">The </w:t>
      </w:r>
      <w:proofErr w:type="spellStart"/>
      <w:r w:rsidRPr="00AF4B42">
        <w:rPr>
          <w:rFonts w:asciiTheme="minorHAnsi" w:eastAsiaTheme="minorHAnsi" w:hAnsiTheme="minorHAnsi" w:cstheme="minorBidi"/>
          <w:i/>
          <w:iCs/>
          <w:color w:val="auto"/>
          <w:sz w:val="22"/>
          <w:szCs w:val="22"/>
          <w:lang w:eastAsia="en-US"/>
        </w:rPr>
        <w:t>childs</w:t>
      </w:r>
      <w:proofErr w:type="spellEnd"/>
      <w:r w:rsidRPr="00AF4B42">
        <w:rPr>
          <w:rFonts w:asciiTheme="minorHAnsi" w:eastAsiaTheme="minorHAnsi" w:hAnsiTheme="minorHAnsi" w:cstheme="minorBidi"/>
          <w:i/>
          <w:iCs/>
          <w:color w:val="auto"/>
          <w:sz w:val="22"/>
          <w:szCs w:val="22"/>
          <w:lang w:eastAsia="en-US"/>
        </w:rPr>
        <w:t xml:space="preserve"> world:</w:t>
      </w:r>
      <w:r w:rsidRPr="00AF4B42">
        <w:rPr>
          <w:rFonts w:asciiTheme="minorHAnsi" w:eastAsiaTheme="minorHAnsi" w:hAnsiTheme="minorHAnsi" w:cstheme="minorBidi"/>
          <w:color w:val="auto"/>
          <w:sz w:val="22"/>
          <w:szCs w:val="22"/>
          <w:lang w:eastAsia="en-US"/>
        </w:rPr>
        <w:t xml:space="preserve"> </w:t>
      </w:r>
      <w:r w:rsidRPr="00AF4B42">
        <w:rPr>
          <w:rFonts w:asciiTheme="minorHAnsi" w:eastAsiaTheme="minorHAnsi" w:hAnsiTheme="minorHAnsi" w:cstheme="minorBidi"/>
          <w:i/>
          <w:iCs/>
          <w:color w:val="auto"/>
          <w:sz w:val="22"/>
          <w:szCs w:val="22"/>
          <w:lang w:eastAsia="en-US"/>
        </w:rPr>
        <w:t xml:space="preserve">The essential guide to assessing vulnerable children, young </w:t>
      </w:r>
      <w:proofErr w:type="gramStart"/>
      <w:r w:rsidRPr="00AF4B42">
        <w:rPr>
          <w:rFonts w:asciiTheme="minorHAnsi" w:eastAsiaTheme="minorHAnsi" w:hAnsiTheme="minorHAnsi" w:cstheme="minorBidi"/>
          <w:i/>
          <w:iCs/>
          <w:color w:val="auto"/>
          <w:sz w:val="22"/>
          <w:szCs w:val="22"/>
          <w:lang w:eastAsia="en-US"/>
        </w:rPr>
        <w:t>people</w:t>
      </w:r>
      <w:proofErr w:type="gramEnd"/>
      <w:r w:rsidRPr="00AF4B42">
        <w:rPr>
          <w:rFonts w:asciiTheme="minorHAnsi" w:eastAsiaTheme="minorHAnsi" w:hAnsiTheme="minorHAnsi" w:cstheme="minorBidi"/>
          <w:i/>
          <w:iCs/>
          <w:color w:val="auto"/>
          <w:sz w:val="22"/>
          <w:szCs w:val="22"/>
          <w:lang w:eastAsia="en-US"/>
        </w:rPr>
        <w:t xml:space="preserve"> and their families.</w:t>
      </w:r>
      <w:r w:rsidRPr="00AF4B42">
        <w:rPr>
          <w:rFonts w:asciiTheme="minorHAnsi" w:eastAsiaTheme="minorHAnsi" w:hAnsiTheme="minorHAnsi" w:cstheme="minorBidi"/>
          <w:color w:val="auto"/>
          <w:sz w:val="22"/>
          <w:szCs w:val="22"/>
          <w:lang w:eastAsia="en-US"/>
        </w:rPr>
        <w:t xml:space="preserve"> London:  Jessica Kingsley Publishers </w:t>
      </w:r>
    </w:p>
    <w:p w14:paraId="26E8A689"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United Nations. (2023) </w:t>
      </w:r>
      <w:r w:rsidRPr="00AF4B42">
        <w:rPr>
          <w:rFonts w:asciiTheme="minorHAnsi" w:eastAsiaTheme="minorHAnsi" w:hAnsiTheme="minorHAnsi" w:cstheme="minorBidi"/>
          <w:i/>
          <w:iCs/>
          <w:color w:val="auto"/>
          <w:sz w:val="22"/>
          <w:szCs w:val="22"/>
          <w:lang w:eastAsia="en-US"/>
        </w:rPr>
        <w:t>Convention on the rights of the child.</w:t>
      </w:r>
      <w:r w:rsidRPr="00AF4B42">
        <w:rPr>
          <w:rFonts w:asciiTheme="minorHAnsi" w:eastAsiaTheme="minorHAnsi" w:hAnsiTheme="minorHAnsi" w:cstheme="minorBidi"/>
          <w:color w:val="auto"/>
          <w:sz w:val="22"/>
          <w:szCs w:val="22"/>
          <w:lang w:eastAsia="en-US"/>
        </w:rPr>
        <w:t xml:space="preserve"> Available at: https://www.ohchr.org/en/instruments-mechanisms/instruments/convention-rights-child (Accessed: 01 August 2023).</w:t>
      </w:r>
    </w:p>
    <w:p w14:paraId="4649904A"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i/>
          <w:iCs/>
          <w:color w:val="auto"/>
          <w:sz w:val="22"/>
          <w:szCs w:val="22"/>
          <w:lang w:eastAsia="en-US"/>
        </w:rPr>
        <w:t>Well-being of Future Generations (Wales) Act 2015, (</w:t>
      </w:r>
      <w:proofErr w:type="spellStart"/>
      <w:r w:rsidRPr="00AF4B42">
        <w:rPr>
          <w:rFonts w:asciiTheme="minorHAnsi" w:eastAsiaTheme="minorHAnsi" w:hAnsiTheme="minorHAnsi" w:cstheme="minorBidi"/>
          <w:i/>
          <w:iCs/>
          <w:color w:val="auto"/>
          <w:sz w:val="22"/>
          <w:szCs w:val="22"/>
          <w:lang w:eastAsia="en-US"/>
        </w:rPr>
        <w:t>anaw</w:t>
      </w:r>
      <w:proofErr w:type="spellEnd"/>
      <w:r w:rsidRPr="00AF4B42">
        <w:rPr>
          <w:rFonts w:asciiTheme="minorHAnsi" w:eastAsiaTheme="minorHAnsi" w:hAnsiTheme="minorHAnsi" w:cstheme="minorBidi"/>
          <w:i/>
          <w:iCs/>
          <w:color w:val="auto"/>
          <w:sz w:val="22"/>
          <w:szCs w:val="22"/>
          <w:lang w:eastAsia="en-US"/>
        </w:rPr>
        <w:t xml:space="preserve"> 2).</w:t>
      </w:r>
      <w:r w:rsidRPr="00AF4B42">
        <w:rPr>
          <w:rFonts w:asciiTheme="minorHAnsi" w:eastAsiaTheme="minorHAnsi" w:hAnsiTheme="minorHAnsi" w:cstheme="minorBidi"/>
          <w:color w:val="auto"/>
          <w:sz w:val="22"/>
          <w:szCs w:val="22"/>
          <w:lang w:eastAsia="en-US"/>
        </w:rPr>
        <w:t xml:space="preserve"> Available at: https://www.legislation.gov.uk/anaw/2015/2/contents/enacted (Accessed: 5 August 2023).</w:t>
      </w:r>
    </w:p>
    <w:p w14:paraId="0F313B68"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Ward, M. (2018) ‘Identifying the needs of children and young people affected by parental mental illness’, </w:t>
      </w:r>
      <w:r w:rsidRPr="00AF4B42">
        <w:rPr>
          <w:rFonts w:asciiTheme="minorHAnsi" w:eastAsiaTheme="minorHAnsi" w:hAnsiTheme="minorHAnsi" w:cstheme="minorBidi"/>
          <w:i/>
          <w:iCs/>
          <w:color w:val="auto"/>
          <w:sz w:val="22"/>
          <w:szCs w:val="22"/>
          <w:lang w:eastAsia="en-US"/>
        </w:rPr>
        <w:t>Mental Health Practice</w:t>
      </w:r>
      <w:r w:rsidRPr="00AF4B42">
        <w:rPr>
          <w:rFonts w:asciiTheme="minorHAnsi" w:eastAsiaTheme="minorHAnsi" w:hAnsiTheme="minorHAnsi" w:cstheme="minorBidi"/>
          <w:color w:val="auto"/>
          <w:sz w:val="22"/>
          <w:szCs w:val="22"/>
          <w:lang w:eastAsia="en-US"/>
        </w:rPr>
        <w:t>, 21(7) pp. 40-46. DOI: 10.7748/</w:t>
      </w:r>
      <w:proofErr w:type="gramStart"/>
      <w:r w:rsidRPr="00AF4B42">
        <w:rPr>
          <w:rFonts w:asciiTheme="minorHAnsi" w:eastAsiaTheme="minorHAnsi" w:hAnsiTheme="minorHAnsi" w:cstheme="minorBidi"/>
          <w:color w:val="auto"/>
          <w:sz w:val="22"/>
          <w:szCs w:val="22"/>
          <w:lang w:eastAsia="en-US"/>
        </w:rPr>
        <w:t>mhp.2018.e</w:t>
      </w:r>
      <w:proofErr w:type="gramEnd"/>
      <w:r w:rsidRPr="00AF4B42">
        <w:rPr>
          <w:rFonts w:asciiTheme="minorHAnsi" w:eastAsiaTheme="minorHAnsi" w:hAnsiTheme="minorHAnsi" w:cstheme="minorBidi"/>
          <w:color w:val="auto"/>
          <w:sz w:val="22"/>
          <w:szCs w:val="22"/>
          <w:lang w:eastAsia="en-US"/>
        </w:rPr>
        <w:t>1239</w:t>
      </w:r>
    </w:p>
    <w:p w14:paraId="6EC0B40F"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Watson, S. (2016) Legal skills for social workers, in Davies, K. and Jones, R. (ed.) </w:t>
      </w:r>
      <w:r w:rsidRPr="00AF4B42">
        <w:rPr>
          <w:rFonts w:asciiTheme="minorHAnsi" w:eastAsiaTheme="minorHAnsi" w:hAnsiTheme="minorHAnsi" w:cstheme="minorBidi"/>
          <w:i/>
          <w:iCs/>
          <w:color w:val="auto"/>
          <w:sz w:val="22"/>
          <w:szCs w:val="22"/>
          <w:lang w:eastAsia="en-US"/>
        </w:rPr>
        <w:t>Skills for social work practice</w:t>
      </w:r>
      <w:r w:rsidRPr="00AF4B42">
        <w:rPr>
          <w:rFonts w:asciiTheme="minorHAnsi" w:eastAsiaTheme="minorHAnsi" w:hAnsiTheme="minorHAnsi" w:cstheme="minorBidi"/>
          <w:color w:val="auto"/>
          <w:sz w:val="22"/>
          <w:szCs w:val="22"/>
          <w:lang w:eastAsia="en-US"/>
        </w:rPr>
        <w:t>. London: Palgrave</w:t>
      </w:r>
    </w:p>
    <w:p w14:paraId="71C894E3"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lastRenderedPageBreak/>
        <w:t xml:space="preserve">Welsh Government (2020) </w:t>
      </w:r>
      <w:r w:rsidRPr="00AF4B42">
        <w:rPr>
          <w:rFonts w:asciiTheme="minorHAnsi" w:eastAsiaTheme="minorHAnsi" w:hAnsiTheme="minorHAnsi" w:cstheme="minorBidi"/>
          <w:i/>
          <w:iCs/>
          <w:color w:val="auto"/>
          <w:sz w:val="22"/>
          <w:szCs w:val="22"/>
          <w:lang w:eastAsia="en-US"/>
        </w:rPr>
        <w:t>Together for Mental Health: Delivery Plan: 2019-22</w:t>
      </w:r>
      <w:r w:rsidRPr="00AF4B42">
        <w:rPr>
          <w:rFonts w:asciiTheme="minorHAnsi" w:eastAsiaTheme="minorHAnsi" w:hAnsiTheme="minorHAnsi" w:cstheme="minorBidi"/>
          <w:color w:val="auto"/>
          <w:sz w:val="22"/>
          <w:szCs w:val="22"/>
          <w:lang w:eastAsia="en-US"/>
        </w:rPr>
        <w:t>. Available at:  https://www.gov.wales/sites/default/files/publications/2020-01/together-for-mental-health-delivery-plan-2019-to-2022.pdf (Accessed: 15 August 2023).</w:t>
      </w:r>
    </w:p>
    <w:p w14:paraId="3704C8F8"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Welsh Government (2016) </w:t>
      </w:r>
      <w:r w:rsidRPr="00AF4B42">
        <w:rPr>
          <w:rFonts w:asciiTheme="minorHAnsi" w:eastAsiaTheme="minorHAnsi" w:hAnsiTheme="minorHAnsi" w:cstheme="minorBidi"/>
          <w:i/>
          <w:iCs/>
          <w:color w:val="auto"/>
          <w:sz w:val="22"/>
          <w:szCs w:val="22"/>
          <w:lang w:eastAsia="en-US"/>
        </w:rPr>
        <w:t>Social Services and Well-being (Wales) Act 2014 Working Together to Safeguard People Volume I – Introduction and Overview</w:t>
      </w:r>
      <w:r w:rsidRPr="00AF4B42">
        <w:rPr>
          <w:rFonts w:asciiTheme="minorHAnsi" w:eastAsiaTheme="minorHAnsi" w:hAnsiTheme="minorHAnsi" w:cstheme="minorBidi"/>
          <w:color w:val="auto"/>
          <w:sz w:val="22"/>
          <w:szCs w:val="22"/>
          <w:lang w:eastAsia="en-US"/>
        </w:rPr>
        <w:t xml:space="preserve">. Available </w:t>
      </w:r>
      <w:proofErr w:type="gramStart"/>
      <w:r w:rsidRPr="00AF4B42">
        <w:rPr>
          <w:rFonts w:asciiTheme="minorHAnsi" w:eastAsiaTheme="minorHAnsi" w:hAnsiTheme="minorHAnsi" w:cstheme="minorBidi"/>
          <w:color w:val="auto"/>
          <w:sz w:val="22"/>
          <w:szCs w:val="22"/>
          <w:lang w:eastAsia="en-US"/>
        </w:rPr>
        <w:t>at :</w:t>
      </w:r>
      <w:proofErr w:type="gramEnd"/>
      <w:r w:rsidRPr="00AF4B42">
        <w:rPr>
          <w:rFonts w:asciiTheme="minorHAnsi" w:eastAsiaTheme="minorHAnsi" w:hAnsiTheme="minorHAnsi" w:cstheme="minorBidi"/>
          <w:color w:val="auto"/>
          <w:sz w:val="22"/>
          <w:szCs w:val="22"/>
          <w:lang w:eastAsia="en-US"/>
        </w:rPr>
        <w:t xml:space="preserve"> https://www.gov.wales/sites/default/files/publications/2019-05/working-together-to-safeguard-people-volume-i-introduction-and-overview.pdf (Accessed: 5 August 2023).</w:t>
      </w:r>
    </w:p>
    <w:p w14:paraId="4D9E995A"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Welsh Government (2023) </w:t>
      </w:r>
      <w:r w:rsidRPr="00AF4B42">
        <w:rPr>
          <w:rFonts w:asciiTheme="minorHAnsi" w:eastAsiaTheme="minorHAnsi" w:hAnsiTheme="minorHAnsi" w:cstheme="minorBidi"/>
          <w:i/>
          <w:iCs/>
          <w:color w:val="auto"/>
          <w:sz w:val="22"/>
          <w:szCs w:val="22"/>
          <w:lang w:eastAsia="en-US"/>
        </w:rPr>
        <w:t>Child poverty strategy: 2022 progress report. Summary of our progress to reduce the number of children living in poverty.</w:t>
      </w:r>
      <w:r w:rsidRPr="00AF4B42">
        <w:rPr>
          <w:rFonts w:asciiTheme="minorHAnsi" w:eastAsiaTheme="minorHAnsi" w:hAnsiTheme="minorHAnsi" w:cstheme="minorBidi"/>
          <w:color w:val="auto"/>
          <w:sz w:val="22"/>
          <w:szCs w:val="22"/>
          <w:lang w:eastAsia="en-US"/>
        </w:rPr>
        <w:t xml:space="preserve"> Available at: https://www.gov.wales/child-poverty-strategy-2022-progress-report-html. (Accessed: 5 August 2023).</w:t>
      </w:r>
    </w:p>
    <w:p w14:paraId="586DE191"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Welsh Government (2015) </w:t>
      </w:r>
      <w:r w:rsidRPr="00AF4B42">
        <w:rPr>
          <w:rFonts w:asciiTheme="minorHAnsi" w:eastAsiaTheme="minorHAnsi" w:hAnsiTheme="minorHAnsi" w:cstheme="minorBidi"/>
          <w:i/>
          <w:iCs/>
          <w:color w:val="auto"/>
          <w:sz w:val="22"/>
          <w:szCs w:val="22"/>
          <w:lang w:eastAsia="en-US"/>
        </w:rPr>
        <w:t>More than just words.... Delivering the ‘Active Offer’ Information Pack – Social Services and Social Care.</w:t>
      </w:r>
      <w:r w:rsidRPr="00AF4B42">
        <w:rPr>
          <w:rFonts w:asciiTheme="minorHAnsi" w:eastAsiaTheme="minorHAnsi" w:hAnsiTheme="minorHAnsi" w:cstheme="minorBidi"/>
          <w:color w:val="auto"/>
          <w:sz w:val="22"/>
          <w:szCs w:val="22"/>
          <w:lang w:eastAsia="en-US"/>
        </w:rPr>
        <w:t xml:space="preserve"> Available at: https://socialcare.wales/cms-assets/documents/150928activeoffersocialservicesen.pdf (Accessed: 5 August 2023)</w:t>
      </w:r>
    </w:p>
    <w:p w14:paraId="0A7369A5"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Welsh Government. (2012). </w:t>
      </w:r>
      <w:r w:rsidRPr="00AF4B42">
        <w:rPr>
          <w:rFonts w:asciiTheme="minorHAnsi" w:eastAsiaTheme="minorHAnsi" w:hAnsiTheme="minorHAnsi" w:cstheme="minorBidi"/>
          <w:i/>
          <w:iCs/>
          <w:color w:val="auto"/>
          <w:sz w:val="22"/>
          <w:szCs w:val="22"/>
          <w:lang w:eastAsia="en-US"/>
        </w:rPr>
        <w:t xml:space="preserve">More than just words – Strategic framework for Welsh language services in health, social </w:t>
      </w:r>
      <w:proofErr w:type="gramStart"/>
      <w:r w:rsidRPr="00AF4B42">
        <w:rPr>
          <w:rFonts w:asciiTheme="minorHAnsi" w:eastAsiaTheme="minorHAnsi" w:hAnsiTheme="minorHAnsi" w:cstheme="minorBidi"/>
          <w:i/>
          <w:iCs/>
          <w:color w:val="auto"/>
          <w:sz w:val="22"/>
          <w:szCs w:val="22"/>
          <w:lang w:eastAsia="en-US"/>
        </w:rPr>
        <w:t>services</w:t>
      </w:r>
      <w:proofErr w:type="gramEnd"/>
      <w:r w:rsidRPr="00AF4B42">
        <w:rPr>
          <w:rFonts w:asciiTheme="minorHAnsi" w:eastAsiaTheme="minorHAnsi" w:hAnsiTheme="minorHAnsi" w:cstheme="minorBidi"/>
          <w:i/>
          <w:iCs/>
          <w:color w:val="auto"/>
          <w:sz w:val="22"/>
          <w:szCs w:val="22"/>
          <w:lang w:eastAsia="en-US"/>
        </w:rPr>
        <w:t xml:space="preserve"> and social care.</w:t>
      </w:r>
      <w:r w:rsidRPr="00AF4B42">
        <w:rPr>
          <w:rFonts w:asciiTheme="minorHAnsi" w:eastAsiaTheme="minorHAnsi" w:hAnsiTheme="minorHAnsi" w:cstheme="minorBidi"/>
          <w:color w:val="auto"/>
          <w:sz w:val="22"/>
          <w:szCs w:val="22"/>
          <w:lang w:eastAsia="en-US"/>
        </w:rPr>
        <w:t xml:space="preserve"> Cardiff: Welsh Government</w:t>
      </w:r>
    </w:p>
    <w:p w14:paraId="08A89CFC"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Welsh Assembly Government (2011). </w:t>
      </w:r>
      <w:r w:rsidRPr="00AF4B42">
        <w:rPr>
          <w:rFonts w:asciiTheme="minorHAnsi" w:eastAsiaTheme="minorHAnsi" w:hAnsiTheme="minorHAnsi" w:cstheme="minorBidi"/>
          <w:i/>
          <w:iCs/>
          <w:color w:val="auto"/>
          <w:sz w:val="22"/>
          <w:szCs w:val="22"/>
          <w:lang w:eastAsia="en-US"/>
        </w:rPr>
        <w:t>Sustainable social services for Wales: A framework for action</w:t>
      </w:r>
      <w:r w:rsidRPr="00AF4B42">
        <w:rPr>
          <w:rFonts w:asciiTheme="minorHAnsi" w:eastAsiaTheme="minorHAnsi" w:hAnsiTheme="minorHAnsi" w:cstheme="minorBidi"/>
          <w:color w:val="auto"/>
          <w:sz w:val="22"/>
          <w:szCs w:val="22"/>
          <w:lang w:eastAsia="en-US"/>
        </w:rPr>
        <w:t>. Available at: https://www.gov.wales/sites/default/files/publications/2019-06/sustainable-social-services-for-wales-a-framework-for-action.pdf (Accessed: 2 August 2023).</w:t>
      </w:r>
    </w:p>
    <w:p w14:paraId="479B324F"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Welsh Government (2022) </w:t>
      </w:r>
      <w:r w:rsidRPr="00AF4B42">
        <w:rPr>
          <w:rFonts w:asciiTheme="minorHAnsi" w:eastAsiaTheme="minorHAnsi" w:hAnsiTheme="minorHAnsi" w:cstheme="minorBidi"/>
          <w:i/>
          <w:iCs/>
          <w:color w:val="auto"/>
          <w:sz w:val="22"/>
          <w:szCs w:val="22"/>
          <w:lang w:eastAsia="en-US"/>
        </w:rPr>
        <w:t>Welsh Language in Wales (Census 2021).</w:t>
      </w:r>
      <w:r w:rsidRPr="00AF4B42">
        <w:rPr>
          <w:rFonts w:asciiTheme="minorHAnsi" w:eastAsiaTheme="minorHAnsi" w:hAnsiTheme="minorHAnsi" w:cstheme="minorBidi"/>
          <w:color w:val="auto"/>
          <w:sz w:val="22"/>
          <w:szCs w:val="22"/>
          <w:lang w:eastAsia="en-US"/>
        </w:rPr>
        <w:t xml:space="preserve"> Available at: https://www.gov.wales/sites/default/files/pdf-versions/2022/12/3/1671609478/welsh-language-wales-census-2021.pdf (Accessed: 02 August 2023).</w:t>
      </w:r>
    </w:p>
    <w:p w14:paraId="27E5D479"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Welsh Government (2018). </w:t>
      </w:r>
      <w:r w:rsidRPr="00AF4B42">
        <w:rPr>
          <w:rFonts w:asciiTheme="minorHAnsi" w:eastAsiaTheme="minorHAnsi" w:hAnsiTheme="minorHAnsi" w:cstheme="minorBidi"/>
          <w:i/>
          <w:iCs/>
          <w:color w:val="auto"/>
          <w:sz w:val="22"/>
          <w:szCs w:val="22"/>
          <w:lang w:eastAsia="en-US"/>
        </w:rPr>
        <w:t>Working Together to Safeguard People: Volume 5 Handling individual cases to protect children at risk.</w:t>
      </w:r>
      <w:r w:rsidRPr="00AF4B42">
        <w:rPr>
          <w:rFonts w:asciiTheme="minorHAnsi" w:eastAsiaTheme="minorHAnsi" w:hAnsiTheme="minorHAnsi" w:cstheme="minorBidi"/>
          <w:color w:val="auto"/>
          <w:sz w:val="22"/>
          <w:szCs w:val="22"/>
          <w:lang w:eastAsia="en-US"/>
        </w:rPr>
        <w:t xml:space="preserve">  Available at: https://www.gov.wales/sites/default/files/publications/2019-05/working-together-to-safeguard-people-volume-5-handling-individual-cases-to-protect-children-at-risk.pdf (Accessed: 1 August 2023).</w:t>
      </w:r>
    </w:p>
    <w:p w14:paraId="3714DC48"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Welsh Government (2015a). </w:t>
      </w:r>
      <w:r w:rsidRPr="00AF4B42">
        <w:rPr>
          <w:rFonts w:asciiTheme="minorHAnsi" w:eastAsiaTheme="minorHAnsi" w:hAnsiTheme="minorHAnsi" w:cstheme="minorBidi"/>
          <w:i/>
          <w:iCs/>
          <w:color w:val="auto"/>
          <w:sz w:val="22"/>
          <w:szCs w:val="22"/>
          <w:lang w:eastAsia="en-US"/>
        </w:rPr>
        <w:t>Social Services and Well-being (Wales) Act 2014 Part 3 Code of Practice (assessing the needs of individuals).</w:t>
      </w:r>
      <w:r w:rsidRPr="00AF4B42">
        <w:rPr>
          <w:rFonts w:asciiTheme="minorHAnsi" w:eastAsiaTheme="minorHAnsi" w:hAnsiTheme="minorHAnsi" w:cstheme="minorBidi"/>
          <w:color w:val="auto"/>
          <w:sz w:val="22"/>
          <w:szCs w:val="22"/>
          <w:lang w:eastAsia="en-US"/>
        </w:rPr>
        <w:t xml:space="preserve"> Available at: https://www.gov.wales/sites/default/files/publications/2019-05/part-3-code-of-practice-assessing-the-needs-of-individuals.pdf (Accessed: 3 August 2023). </w:t>
      </w:r>
    </w:p>
    <w:p w14:paraId="36538415"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Welsh Government (2015b). </w:t>
      </w:r>
      <w:r w:rsidRPr="00AF4B42">
        <w:rPr>
          <w:rFonts w:asciiTheme="minorHAnsi" w:eastAsiaTheme="minorHAnsi" w:hAnsiTheme="minorHAnsi" w:cstheme="minorBidi"/>
          <w:i/>
          <w:iCs/>
          <w:color w:val="auto"/>
          <w:sz w:val="22"/>
          <w:szCs w:val="22"/>
          <w:lang w:eastAsia="en-US"/>
        </w:rPr>
        <w:t xml:space="preserve">Social Services and Well-being (Wales) Act 2014 Part 4 Code of Practice (Meeting Needs). </w:t>
      </w:r>
      <w:r w:rsidRPr="00AF4B42">
        <w:rPr>
          <w:rFonts w:asciiTheme="minorHAnsi" w:eastAsiaTheme="minorHAnsi" w:hAnsiTheme="minorHAnsi" w:cstheme="minorBidi"/>
          <w:color w:val="auto"/>
          <w:sz w:val="22"/>
          <w:szCs w:val="22"/>
          <w:lang w:eastAsia="en-US"/>
        </w:rPr>
        <w:t>Available at: https://www.gov.wales/sites/default/files/publications/2019-05/part-4-code-of-practice-meeting-needs.pdf (Accessed: 3 August 2023).</w:t>
      </w:r>
    </w:p>
    <w:p w14:paraId="3CFEEFDF"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Welsh Government (n.d.) </w:t>
      </w:r>
      <w:proofErr w:type="spellStart"/>
      <w:r w:rsidRPr="00AF4B42">
        <w:rPr>
          <w:rFonts w:asciiTheme="minorHAnsi" w:eastAsiaTheme="minorHAnsi" w:hAnsiTheme="minorHAnsi" w:cstheme="minorBidi"/>
          <w:i/>
          <w:iCs/>
          <w:color w:val="auto"/>
          <w:sz w:val="22"/>
          <w:szCs w:val="22"/>
          <w:lang w:eastAsia="en-US"/>
        </w:rPr>
        <w:t>Bwrdd</w:t>
      </w:r>
      <w:proofErr w:type="spellEnd"/>
      <w:r w:rsidRPr="00AF4B42">
        <w:rPr>
          <w:rFonts w:asciiTheme="minorHAnsi" w:eastAsiaTheme="minorHAnsi" w:hAnsiTheme="minorHAnsi" w:cstheme="minorBidi"/>
          <w:i/>
          <w:iCs/>
          <w:color w:val="auto"/>
          <w:sz w:val="22"/>
          <w:szCs w:val="22"/>
          <w:lang w:eastAsia="en-US"/>
        </w:rPr>
        <w:t xml:space="preserve"> </w:t>
      </w:r>
      <w:proofErr w:type="spellStart"/>
      <w:r w:rsidRPr="00AF4B42">
        <w:rPr>
          <w:rFonts w:asciiTheme="minorHAnsi" w:eastAsiaTheme="minorHAnsi" w:hAnsiTheme="minorHAnsi" w:cstheme="minorBidi"/>
          <w:i/>
          <w:iCs/>
          <w:color w:val="auto"/>
          <w:sz w:val="22"/>
          <w:szCs w:val="22"/>
          <w:lang w:eastAsia="en-US"/>
        </w:rPr>
        <w:t>Diogelu</w:t>
      </w:r>
      <w:proofErr w:type="spellEnd"/>
      <w:r w:rsidRPr="00AF4B42">
        <w:rPr>
          <w:rFonts w:asciiTheme="minorHAnsi" w:eastAsiaTheme="minorHAnsi" w:hAnsiTheme="minorHAnsi" w:cstheme="minorBidi"/>
          <w:i/>
          <w:iCs/>
          <w:color w:val="auto"/>
          <w:sz w:val="22"/>
          <w:szCs w:val="22"/>
          <w:lang w:eastAsia="en-US"/>
        </w:rPr>
        <w:t xml:space="preserve"> </w:t>
      </w:r>
      <w:proofErr w:type="spellStart"/>
      <w:r w:rsidRPr="00AF4B42">
        <w:rPr>
          <w:rFonts w:asciiTheme="minorHAnsi" w:eastAsiaTheme="minorHAnsi" w:hAnsiTheme="minorHAnsi" w:cstheme="minorBidi"/>
          <w:i/>
          <w:iCs/>
          <w:color w:val="auto"/>
          <w:sz w:val="22"/>
          <w:szCs w:val="22"/>
          <w:lang w:eastAsia="en-US"/>
        </w:rPr>
        <w:t>Annibynol</w:t>
      </w:r>
      <w:proofErr w:type="spellEnd"/>
      <w:r w:rsidRPr="00AF4B42">
        <w:rPr>
          <w:rFonts w:asciiTheme="minorHAnsi" w:eastAsiaTheme="minorHAnsi" w:hAnsiTheme="minorHAnsi" w:cstheme="minorBidi"/>
          <w:i/>
          <w:iCs/>
          <w:color w:val="auto"/>
          <w:sz w:val="22"/>
          <w:szCs w:val="22"/>
          <w:lang w:eastAsia="en-US"/>
        </w:rPr>
        <w:t xml:space="preserve"> </w:t>
      </w:r>
      <w:proofErr w:type="spellStart"/>
      <w:r w:rsidRPr="00AF4B42">
        <w:rPr>
          <w:rFonts w:asciiTheme="minorHAnsi" w:eastAsiaTheme="minorHAnsi" w:hAnsiTheme="minorHAnsi" w:cstheme="minorBidi"/>
          <w:i/>
          <w:iCs/>
          <w:color w:val="auto"/>
          <w:sz w:val="22"/>
          <w:szCs w:val="22"/>
          <w:lang w:eastAsia="en-US"/>
        </w:rPr>
        <w:t>Cenedlaethol</w:t>
      </w:r>
      <w:proofErr w:type="spellEnd"/>
      <w:r w:rsidRPr="00AF4B42">
        <w:rPr>
          <w:rFonts w:asciiTheme="minorHAnsi" w:eastAsiaTheme="minorHAnsi" w:hAnsiTheme="minorHAnsi" w:cstheme="minorBidi"/>
          <w:i/>
          <w:iCs/>
          <w:color w:val="auto"/>
          <w:sz w:val="22"/>
          <w:szCs w:val="22"/>
          <w:lang w:eastAsia="en-US"/>
        </w:rPr>
        <w:t xml:space="preserve"> Cymru National Independent Safeguarding Board. </w:t>
      </w:r>
      <w:r w:rsidRPr="00AF4B42">
        <w:rPr>
          <w:rFonts w:asciiTheme="minorHAnsi" w:eastAsiaTheme="minorHAnsi" w:hAnsiTheme="minorHAnsi" w:cstheme="minorBidi"/>
          <w:color w:val="auto"/>
          <w:sz w:val="22"/>
          <w:szCs w:val="22"/>
          <w:lang w:eastAsia="en-US"/>
        </w:rPr>
        <w:t>Available at: https://safeguardingboard.wales/about-the-board/ (Accessed: 06 October 2023).</w:t>
      </w:r>
    </w:p>
    <w:p w14:paraId="1B451A7A" w14:textId="77777777" w:rsidR="00AF4B42" w:rsidRPr="00AF4B42" w:rsidRDefault="00AF4B42" w:rsidP="00AF4B42">
      <w:pPr>
        <w:overflowPunct/>
        <w:autoSpaceDE/>
        <w:autoSpaceDN/>
        <w:adjustRightInd/>
        <w:textAlignment w:val="auto"/>
        <w:rPr>
          <w:rFonts w:asciiTheme="minorHAnsi" w:eastAsiaTheme="minorHAnsi" w:hAnsiTheme="minorHAnsi" w:cstheme="minorBidi"/>
          <w:color w:val="auto"/>
          <w:sz w:val="22"/>
          <w:szCs w:val="22"/>
          <w:lang w:eastAsia="en-US"/>
        </w:rPr>
      </w:pPr>
    </w:p>
    <w:p w14:paraId="45157357"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i/>
          <w:iCs/>
          <w:color w:val="auto"/>
          <w:sz w:val="22"/>
          <w:szCs w:val="22"/>
          <w:lang w:eastAsia="en-US"/>
        </w:rPr>
        <w:t>Welsh Language (Wales) Measure 2011 (</w:t>
      </w:r>
      <w:proofErr w:type="spellStart"/>
      <w:r w:rsidRPr="00AF4B42">
        <w:rPr>
          <w:rFonts w:asciiTheme="minorHAnsi" w:eastAsiaTheme="minorHAnsi" w:hAnsiTheme="minorHAnsi" w:cstheme="minorBidi"/>
          <w:i/>
          <w:iCs/>
          <w:color w:val="auto"/>
          <w:sz w:val="22"/>
          <w:szCs w:val="22"/>
          <w:lang w:eastAsia="en-US"/>
        </w:rPr>
        <w:t>nawm</w:t>
      </w:r>
      <w:proofErr w:type="spellEnd"/>
      <w:r w:rsidRPr="00AF4B42">
        <w:rPr>
          <w:rFonts w:asciiTheme="minorHAnsi" w:eastAsiaTheme="minorHAnsi" w:hAnsiTheme="minorHAnsi" w:cstheme="minorBidi"/>
          <w:i/>
          <w:iCs/>
          <w:color w:val="auto"/>
          <w:sz w:val="22"/>
          <w:szCs w:val="22"/>
          <w:lang w:eastAsia="en-US"/>
        </w:rPr>
        <w:t xml:space="preserve"> 1).</w:t>
      </w:r>
      <w:r w:rsidRPr="00AF4B42">
        <w:rPr>
          <w:rFonts w:asciiTheme="minorHAnsi" w:eastAsiaTheme="minorHAnsi" w:hAnsiTheme="minorHAnsi" w:cstheme="minorBidi"/>
          <w:color w:val="auto"/>
          <w:sz w:val="22"/>
          <w:szCs w:val="22"/>
          <w:lang w:eastAsia="en-US"/>
        </w:rPr>
        <w:t xml:space="preserve"> Available at: https://www.legislation.gov.uk/mwa/2011/1/part/1/enacted (Accessed: 5 August 2023).</w:t>
      </w:r>
    </w:p>
    <w:p w14:paraId="62F6B336"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Whittington, C. (2003) ‘Collaboration and partnership in context’, in Weinstein, J; Whittington, C; Leiba, T. (ed.) </w:t>
      </w:r>
      <w:r w:rsidRPr="00AF4B42">
        <w:rPr>
          <w:rFonts w:asciiTheme="minorHAnsi" w:eastAsiaTheme="minorHAnsi" w:hAnsiTheme="minorHAnsi" w:cstheme="minorBidi"/>
          <w:i/>
          <w:iCs/>
          <w:color w:val="auto"/>
          <w:sz w:val="22"/>
          <w:szCs w:val="22"/>
          <w:lang w:eastAsia="en-US"/>
        </w:rPr>
        <w:t>Collaboration in social work practice.</w:t>
      </w:r>
      <w:r w:rsidRPr="00AF4B42">
        <w:rPr>
          <w:rFonts w:asciiTheme="minorHAnsi" w:eastAsiaTheme="minorHAnsi" w:hAnsiTheme="minorHAnsi" w:cstheme="minorBidi"/>
          <w:color w:val="auto"/>
          <w:sz w:val="22"/>
          <w:szCs w:val="22"/>
          <w:lang w:eastAsia="en-US"/>
        </w:rPr>
        <w:t xml:space="preserve"> London: Jessica Kingsley publishers.</w:t>
      </w:r>
    </w:p>
    <w:p w14:paraId="2D45F9F5"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lastRenderedPageBreak/>
        <w:t xml:space="preserve">Williams, J. (2017). Adult safeguarding in Wales: one step in the right direction.  </w:t>
      </w:r>
      <w:r w:rsidRPr="00AF4B42">
        <w:rPr>
          <w:rFonts w:asciiTheme="minorHAnsi" w:eastAsiaTheme="minorHAnsi" w:hAnsiTheme="minorHAnsi" w:cstheme="minorBidi"/>
          <w:i/>
          <w:iCs/>
          <w:color w:val="auto"/>
          <w:sz w:val="22"/>
          <w:szCs w:val="22"/>
          <w:lang w:eastAsia="en-US"/>
        </w:rPr>
        <w:t>The Journal of adult protection</w:t>
      </w:r>
      <w:r w:rsidRPr="00AF4B42">
        <w:rPr>
          <w:rFonts w:asciiTheme="minorHAnsi" w:eastAsiaTheme="minorHAnsi" w:hAnsiTheme="minorHAnsi" w:cstheme="minorBidi"/>
          <w:color w:val="auto"/>
          <w:sz w:val="22"/>
          <w:szCs w:val="22"/>
          <w:lang w:eastAsia="en-US"/>
        </w:rPr>
        <w:t>, 19 (4), pp. 175-186.</w:t>
      </w:r>
    </w:p>
    <w:p w14:paraId="7092EF96"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X County Council. (2021) X County Council Profile. Available at: https://www.X.gov.wales/media/1224912/county-profile.pdf (Accessed: 9 September 2023).</w:t>
      </w:r>
    </w:p>
    <w:p w14:paraId="4FFE478D"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i/>
          <w:iCs/>
          <w:color w:val="auto"/>
          <w:sz w:val="22"/>
          <w:szCs w:val="22"/>
          <w:lang w:eastAsia="en-US"/>
        </w:rPr>
        <w:t>X Council v B</w:t>
      </w:r>
      <w:r w:rsidRPr="00AF4B42">
        <w:rPr>
          <w:rFonts w:asciiTheme="minorHAnsi" w:eastAsiaTheme="minorHAnsi" w:hAnsiTheme="minorHAnsi" w:cstheme="minorBidi"/>
          <w:color w:val="auto"/>
          <w:sz w:val="22"/>
          <w:szCs w:val="22"/>
          <w:lang w:eastAsia="en-US"/>
        </w:rPr>
        <w:t xml:space="preserve"> (Emergency Protection Orders) (2004) Family Division Court, case LA03C00014. Swarb [Online] Available at: https://swarb.co.uk/x-council-v-b-emergency-protection-orders-fd-16-aug-2004/ (Accessed: 3 August 2023). </w:t>
      </w:r>
    </w:p>
    <w:p w14:paraId="690BC203"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AF4B42">
        <w:rPr>
          <w:rFonts w:asciiTheme="minorHAnsi" w:eastAsiaTheme="minorHAnsi" w:hAnsiTheme="minorHAnsi" w:cstheme="minorBidi"/>
          <w:color w:val="auto"/>
          <w:sz w:val="22"/>
          <w:szCs w:val="22"/>
          <w:lang w:eastAsia="en-US"/>
        </w:rPr>
        <w:t xml:space="preserve">X Safeguarding Adult Board (2018). </w:t>
      </w:r>
      <w:r w:rsidRPr="00AF4B42">
        <w:rPr>
          <w:rFonts w:asciiTheme="minorHAnsi" w:eastAsiaTheme="minorHAnsi" w:hAnsiTheme="minorHAnsi" w:cstheme="minorBidi"/>
          <w:i/>
          <w:iCs/>
          <w:color w:val="auto"/>
          <w:sz w:val="22"/>
          <w:szCs w:val="22"/>
          <w:lang w:eastAsia="en-US"/>
        </w:rPr>
        <w:t>Adult Safeguarding Threshold Guidance Document</w:t>
      </w:r>
      <w:r w:rsidRPr="00AF4B42">
        <w:rPr>
          <w:rFonts w:asciiTheme="minorHAnsi" w:eastAsiaTheme="minorHAnsi" w:hAnsiTheme="minorHAnsi" w:cstheme="minorBidi"/>
          <w:color w:val="auto"/>
          <w:sz w:val="22"/>
          <w:szCs w:val="22"/>
          <w:lang w:eastAsia="en-US"/>
        </w:rPr>
        <w:t>. Available at https://www.xr.wales/media/qpwji0ni/x-regional-adult-safeguarding-threshold-guidance-approved-july-2018.pdf (Accessed: 06 October 2023).</w:t>
      </w:r>
    </w:p>
    <w:p w14:paraId="031EEC79"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4628957"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33BAEF7" w14:textId="77777777" w:rsidR="00AF4B42" w:rsidRPr="00AF4B42" w:rsidRDefault="00AF4B42" w:rsidP="00AF4B4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0C020026" w:rsidR="00E559CE" w:rsidRPr="00B17FA0" w:rsidRDefault="008166B1" w:rsidP="00B94443">
            <w:pPr>
              <w:jc w:val="both"/>
              <w:rPr>
                <w:sz w:val="24"/>
                <w:szCs w:val="24"/>
              </w:rPr>
            </w:pPr>
            <w:r>
              <w:rPr>
                <w:sz w:val="24"/>
                <w:szCs w:val="24"/>
              </w:rPr>
              <w:t>08/11/202</w:t>
            </w:r>
            <w:r w:rsidR="00C61C03">
              <w:rPr>
                <w:sz w:val="24"/>
                <w:szCs w:val="24"/>
              </w:rPr>
              <w:t>2</w:t>
            </w:r>
          </w:p>
        </w:tc>
      </w:tr>
      <w:tr w:rsidR="00E559CE" w:rsidRPr="00B17FA0" w14:paraId="05C1FAE9" w14:textId="77777777" w:rsidTr="00B94443">
        <w:tc>
          <w:tcPr>
            <w:tcW w:w="5094" w:type="dxa"/>
          </w:tcPr>
          <w:p w14:paraId="2BDB6661" w14:textId="19028E9F" w:rsidR="00E559CE" w:rsidRPr="00B17FA0" w:rsidRDefault="00E559CE" w:rsidP="00B94443">
            <w:pPr>
              <w:jc w:val="both"/>
              <w:rPr>
                <w:sz w:val="24"/>
                <w:szCs w:val="24"/>
              </w:rPr>
            </w:pPr>
            <w:r w:rsidRPr="00B17FA0">
              <w:rPr>
                <w:sz w:val="24"/>
                <w:szCs w:val="24"/>
              </w:rPr>
              <w:t>2</w:t>
            </w:r>
            <w:r w:rsidR="008166B1">
              <w:rPr>
                <w:sz w:val="24"/>
                <w:szCs w:val="24"/>
              </w:rPr>
              <w:t xml:space="preserve"> </w:t>
            </w:r>
          </w:p>
        </w:tc>
        <w:tc>
          <w:tcPr>
            <w:tcW w:w="5094" w:type="dxa"/>
          </w:tcPr>
          <w:p w14:paraId="1AF3604C" w14:textId="12261DFD" w:rsidR="00E559CE" w:rsidRPr="00B17FA0" w:rsidRDefault="008166B1" w:rsidP="00B94443">
            <w:pPr>
              <w:jc w:val="both"/>
              <w:rPr>
                <w:sz w:val="24"/>
                <w:szCs w:val="24"/>
              </w:rPr>
            </w:pPr>
            <w:r>
              <w:rPr>
                <w:sz w:val="24"/>
                <w:szCs w:val="24"/>
              </w:rPr>
              <w:t>06/02/2023</w:t>
            </w:r>
          </w:p>
        </w:tc>
      </w:tr>
      <w:tr w:rsidR="00E559CE" w:rsidRPr="00B17FA0" w14:paraId="5356395F" w14:textId="77777777" w:rsidTr="00B94443">
        <w:tc>
          <w:tcPr>
            <w:tcW w:w="5094" w:type="dxa"/>
          </w:tcPr>
          <w:p w14:paraId="7DC37211" w14:textId="0C375A68" w:rsidR="00E559CE" w:rsidRPr="00B17FA0" w:rsidRDefault="00E559CE" w:rsidP="00B94443">
            <w:pPr>
              <w:jc w:val="both"/>
              <w:rPr>
                <w:sz w:val="24"/>
                <w:szCs w:val="24"/>
              </w:rPr>
            </w:pPr>
            <w:r w:rsidRPr="00B17FA0">
              <w:rPr>
                <w:sz w:val="24"/>
                <w:szCs w:val="24"/>
              </w:rPr>
              <w:t>3</w:t>
            </w:r>
            <w:r w:rsidR="008166B1">
              <w:rPr>
                <w:sz w:val="24"/>
                <w:szCs w:val="24"/>
              </w:rPr>
              <w:t xml:space="preserve"> </w:t>
            </w:r>
          </w:p>
        </w:tc>
        <w:tc>
          <w:tcPr>
            <w:tcW w:w="5094" w:type="dxa"/>
          </w:tcPr>
          <w:p w14:paraId="4DFBE392" w14:textId="7B4289C9" w:rsidR="00E559CE" w:rsidRPr="00B17FA0" w:rsidRDefault="008166B1" w:rsidP="00B94443">
            <w:pPr>
              <w:jc w:val="both"/>
              <w:rPr>
                <w:sz w:val="24"/>
                <w:szCs w:val="24"/>
              </w:rPr>
            </w:pPr>
            <w:r>
              <w:rPr>
                <w:sz w:val="24"/>
                <w:szCs w:val="24"/>
              </w:rPr>
              <w:t>14/03/2023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203DBE3" w:rsidR="00E559CE" w:rsidRPr="00B17FA0" w:rsidRDefault="00CD017D" w:rsidP="00B94443">
            <w:pPr>
              <w:jc w:val="both"/>
              <w:rPr>
                <w:sz w:val="24"/>
                <w:szCs w:val="24"/>
              </w:rPr>
            </w:pPr>
            <w:r>
              <w:rPr>
                <w:sz w:val="24"/>
                <w:szCs w:val="24"/>
              </w:rPr>
              <w:t>06/06/2023</w:t>
            </w:r>
          </w:p>
        </w:tc>
      </w:tr>
    </w:tbl>
    <w:p w14:paraId="3338AF4A" w14:textId="77777777" w:rsidR="00E559CE" w:rsidRPr="008B28E7" w:rsidRDefault="00E559CE" w:rsidP="00E559CE">
      <w:pPr>
        <w:jc w:val="both"/>
        <w:rPr>
          <w:sz w:val="24"/>
          <w:szCs w:val="24"/>
        </w:rPr>
      </w:pPr>
    </w:p>
    <w:p w14:paraId="20A980F4" w14:textId="6F5BFB1D"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40BDB1C" w:rsidR="00FC0334" w:rsidRDefault="00F30C3A" w:rsidP="005D4F72">
            <w:pPr>
              <w:jc w:val="both"/>
              <w:rPr>
                <w:color w:val="auto"/>
                <w:sz w:val="24"/>
                <w:szCs w:val="24"/>
              </w:rPr>
            </w:pPr>
            <w:r>
              <w:rPr>
                <w:color w:val="auto"/>
                <w:sz w:val="24"/>
                <w:szCs w:val="24"/>
              </w:rPr>
              <w:t>The learner has worked diligently throughout her time completing the CPEL programme. She has undertaken work on increasingly complex cases and use</w:t>
            </w:r>
            <w:r w:rsidR="00204C43">
              <w:rPr>
                <w:color w:val="auto"/>
                <w:sz w:val="24"/>
                <w:szCs w:val="24"/>
              </w:rPr>
              <w:t>d</w:t>
            </w:r>
            <w:r>
              <w:rPr>
                <w:color w:val="auto"/>
                <w:sz w:val="24"/>
                <w:szCs w:val="24"/>
              </w:rPr>
              <w:t xml:space="preserve"> supervision, pod, and mentor sessions, to reflect on her practice</w:t>
            </w:r>
            <w:r w:rsidR="00204C43">
              <w:rPr>
                <w:color w:val="auto"/>
                <w:sz w:val="24"/>
                <w:szCs w:val="24"/>
              </w:rPr>
              <w:t xml:space="preserve">, especially </w:t>
            </w:r>
            <w:proofErr w:type="gramStart"/>
            <w:r w:rsidR="00204C43">
              <w:rPr>
                <w:color w:val="auto"/>
                <w:sz w:val="24"/>
                <w:szCs w:val="24"/>
              </w:rPr>
              <w:t>with regard to</w:t>
            </w:r>
            <w:proofErr w:type="gramEnd"/>
            <w:r w:rsidR="00204C43">
              <w:rPr>
                <w:color w:val="auto"/>
                <w:sz w:val="24"/>
                <w:szCs w:val="24"/>
              </w:rPr>
              <w:t xml:space="preserve"> being critically reflective.</w:t>
            </w:r>
          </w:p>
          <w:p w14:paraId="23E78777" w14:textId="77777777" w:rsidR="00F30C3A" w:rsidRDefault="00F30C3A" w:rsidP="005D4F72">
            <w:pPr>
              <w:jc w:val="both"/>
              <w:rPr>
                <w:color w:val="auto"/>
                <w:sz w:val="24"/>
                <w:szCs w:val="24"/>
              </w:rPr>
            </w:pPr>
          </w:p>
          <w:p w14:paraId="58AC385A" w14:textId="7AA99490" w:rsidR="00F30C3A" w:rsidRDefault="00F30C3A" w:rsidP="005D4F72">
            <w:pPr>
              <w:jc w:val="both"/>
              <w:rPr>
                <w:color w:val="auto"/>
                <w:sz w:val="24"/>
                <w:szCs w:val="24"/>
              </w:rPr>
            </w:pPr>
            <w:r>
              <w:rPr>
                <w:color w:val="auto"/>
                <w:sz w:val="24"/>
                <w:szCs w:val="24"/>
              </w:rPr>
              <w:t>The mentoring sessions were used effectively to discuss her cases, to reflect on the cases, the work undertaken, and to hypothesis what may or may not be going on for the family members. The learner also ensured she used the sessions to direct her portfolio.</w:t>
            </w:r>
          </w:p>
          <w:p w14:paraId="7E1C34AC" w14:textId="77777777" w:rsidR="00204C43" w:rsidRDefault="00204C43" w:rsidP="005D4F72">
            <w:pPr>
              <w:jc w:val="both"/>
              <w:rPr>
                <w:color w:val="auto"/>
                <w:sz w:val="24"/>
                <w:szCs w:val="24"/>
              </w:rPr>
            </w:pPr>
          </w:p>
          <w:p w14:paraId="6524CA7E" w14:textId="30A9A361" w:rsidR="00204C43" w:rsidRDefault="00204C43" w:rsidP="005D4F72">
            <w:pPr>
              <w:jc w:val="both"/>
              <w:rPr>
                <w:color w:val="auto"/>
                <w:sz w:val="24"/>
                <w:szCs w:val="24"/>
              </w:rPr>
            </w:pPr>
            <w:r>
              <w:rPr>
                <w:color w:val="auto"/>
                <w:sz w:val="24"/>
                <w:szCs w:val="24"/>
              </w:rPr>
              <w:t xml:space="preserve">The learner began working within this team after a year of working within the adult sector. This brought some challenges to the learner despite some of the skills being transferrable. The learner was worried that there would be gaps in her social work knowledge when dealing with children and their families. The learner as such ensured that she utilised supervision effectively </w:t>
            </w:r>
            <w:r>
              <w:rPr>
                <w:color w:val="auto"/>
                <w:sz w:val="24"/>
                <w:szCs w:val="24"/>
              </w:rPr>
              <w:lastRenderedPageBreak/>
              <w:t>to discuss and examine her own professional practice and her social work role within cases. The learner has a wide knowledge and skill base and has been able to use these to form working relationships with the families, children, and young people. This is demonstrated in the feedback from the parents from the observation. The learner has recognised where there may be gaps in her knowledge and has sought to research this. The learner is conscientious and takes responsibility for her own professional development.</w:t>
            </w:r>
          </w:p>
          <w:p w14:paraId="11938197" w14:textId="77777777" w:rsidR="00204C43" w:rsidRDefault="00204C43" w:rsidP="005D4F72">
            <w:pPr>
              <w:jc w:val="both"/>
              <w:rPr>
                <w:color w:val="auto"/>
                <w:sz w:val="24"/>
                <w:szCs w:val="24"/>
              </w:rPr>
            </w:pPr>
          </w:p>
          <w:p w14:paraId="2A097DCF" w14:textId="0A1713C5" w:rsidR="00204C43" w:rsidRDefault="00204C43" w:rsidP="005D4F72">
            <w:pPr>
              <w:jc w:val="both"/>
              <w:rPr>
                <w:color w:val="auto"/>
                <w:sz w:val="24"/>
                <w:szCs w:val="24"/>
              </w:rPr>
            </w:pPr>
            <w:r>
              <w:rPr>
                <w:color w:val="auto"/>
                <w:sz w:val="24"/>
                <w:szCs w:val="24"/>
              </w:rPr>
              <w:t>The learner has been able to apply analysis when undertaking assessments</w:t>
            </w:r>
            <w:r w:rsidR="00202FA3">
              <w:rPr>
                <w:color w:val="auto"/>
                <w:sz w:val="24"/>
                <w:szCs w:val="24"/>
              </w:rPr>
              <w:t xml:space="preserve">. These assessments have been critical in informing the interventions needed moving forward. During assessments, and in work thereafter, the learner has worked, and continues to, collaboratively with families, children, young people, extended family, friends, professionals, and agencies. She has been able to build relationships with families even when the cases have been challenging. She has been able to effectively build trust and she has been able to listen to and resolve professional difference and reflect on the </w:t>
            </w:r>
            <w:r w:rsidR="00775D7C">
              <w:rPr>
                <w:color w:val="auto"/>
                <w:sz w:val="24"/>
                <w:szCs w:val="24"/>
              </w:rPr>
              <w:t>process and outcome.</w:t>
            </w:r>
          </w:p>
          <w:p w14:paraId="60FA2C6A" w14:textId="77777777" w:rsidR="00775D7C" w:rsidRDefault="00775D7C" w:rsidP="005D4F72">
            <w:pPr>
              <w:jc w:val="both"/>
              <w:rPr>
                <w:color w:val="auto"/>
                <w:sz w:val="24"/>
                <w:szCs w:val="24"/>
              </w:rPr>
            </w:pPr>
          </w:p>
          <w:p w14:paraId="670CB574" w14:textId="178AF09D" w:rsidR="00775D7C" w:rsidRDefault="00775D7C" w:rsidP="005D4F72">
            <w:pPr>
              <w:jc w:val="both"/>
              <w:rPr>
                <w:color w:val="auto"/>
                <w:sz w:val="24"/>
                <w:szCs w:val="24"/>
              </w:rPr>
            </w:pPr>
            <w:r>
              <w:rPr>
                <w:color w:val="auto"/>
                <w:sz w:val="24"/>
                <w:szCs w:val="24"/>
              </w:rPr>
              <w:t>As a way of moving on from this point, the learner should actively continue her professional development. She should continue to work diligently as her social work is appreciated by families, by professionals, and by her team members. She is a valued team member who is working some very complex cases with complicated social work processes and family dynamics. The learner should further develop her assessment skills, build on her experience, and consider facilitating social work students within the team.</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0DB780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p>
    <w:p w14:paraId="6FACD96D" w14:textId="6F7B8921" w:rsidR="004923DA" w:rsidRDefault="00BF5C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Angela Lewis</w:t>
      </w:r>
    </w:p>
    <w:p w14:paraId="551E228F" w14:textId="5032205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BF5CBA">
        <w:rPr>
          <w:b/>
          <w:sz w:val="24"/>
          <w:szCs w:val="24"/>
        </w:rPr>
        <w:t xml:space="preserve"> 2218239</w:t>
      </w: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37D8F22" w14:textId="3911BFD7" w:rsidR="004923DA" w:rsidRPr="008B28E7" w:rsidRDefault="00BF5C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Old Gate</w:t>
      </w:r>
    </w:p>
    <w:p w14:paraId="62E8FF90" w14:textId="33D244C8" w:rsidR="004923DA" w:rsidRPr="008B28E7" w:rsidRDefault="00BF5C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Rosehill</w:t>
      </w:r>
    </w:p>
    <w:p w14:paraId="1FA12CF4" w14:textId="7AE2487D" w:rsidR="004923DA" w:rsidRDefault="00BF5CBA"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Llangadog</w:t>
      </w:r>
      <w:proofErr w:type="spellEnd"/>
    </w:p>
    <w:p w14:paraId="6E203121" w14:textId="2E0FCAE3" w:rsidR="00BF5CBA" w:rsidRPr="008B28E7" w:rsidRDefault="00BF5C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SA19 9NF</w:t>
      </w:r>
    </w:p>
    <w:p w14:paraId="054646DD" w14:textId="2D0B08D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p>
    <w:p w14:paraId="741944EE" w14:textId="2D18602A" w:rsidR="004923DA" w:rsidRDefault="00BF5C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07866216187</w:t>
      </w:r>
    </w:p>
    <w:p w14:paraId="08764498" w14:textId="51B9223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p>
    <w:p w14:paraId="3C321E83" w14:textId="2F5C800D" w:rsidR="004923DA" w:rsidRDefault="00BF5C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anllewis</w:t>
      </w:r>
      <w:r w:rsidR="008166B1">
        <w:rPr>
          <w:b/>
          <w:sz w:val="24"/>
          <w:szCs w:val="24"/>
        </w:rPr>
        <w:t>@carmarthenshire.gov.uk</w:t>
      </w:r>
    </w:p>
    <w:p w14:paraId="69C9504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6B19483F" w14:textId="77367227" w:rsidR="004923DA" w:rsidRDefault="00BF5C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30/08/2021</w:t>
      </w:r>
    </w:p>
    <w:p w14:paraId="43F5894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3DA05451" w14:textId="5BA2E1B4" w:rsidR="00B17FA0" w:rsidRPr="008B28E7" w:rsidRDefault="00BF5C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05/08/2023</w:t>
      </w: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3EBAD751" w:rsidR="004923DA" w:rsidRPr="008B28E7"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Carmarthenshire County Council</w:t>
      </w: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2F3BC009" w:rsidR="004923DA"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Carmarthen Childcare Team</w:t>
      </w: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47B0B0EC" w:rsidR="004923DA"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Block 1</w:t>
      </w:r>
    </w:p>
    <w:p w14:paraId="60803848" w14:textId="0528CBB6" w:rsidR="008166B1"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Parc Myrddin</w:t>
      </w:r>
    </w:p>
    <w:p w14:paraId="455251A4" w14:textId="09C4843E" w:rsidR="004923DA"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Richmond Terrace</w:t>
      </w:r>
    </w:p>
    <w:p w14:paraId="0212D507" w14:textId="451928D0" w:rsidR="004923DA"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Carmarthen</w:t>
      </w:r>
    </w:p>
    <w:p w14:paraId="713F895A" w14:textId="51C9CFDB" w:rsidR="008166B1"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SA31 1HQ</w:t>
      </w: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4187B814" w:rsidR="004923DA"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01267 224417</w:t>
      </w:r>
    </w:p>
    <w:p w14:paraId="37E9A018" w14:textId="357E85A2"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w:t>
      </w:r>
      <w:r w:rsidR="008166B1">
        <w:rPr>
          <w:b/>
          <w:sz w:val="24"/>
          <w:szCs w:val="24"/>
        </w:rPr>
        <w:t xml:space="preserve"> </w:t>
      </w:r>
      <w:r w:rsidR="00BF5CBA">
        <w:rPr>
          <w:b/>
          <w:sz w:val="24"/>
          <w:szCs w:val="24"/>
        </w:rPr>
        <w:t>anllewis@carmarthenshire.gov.uk</w:t>
      </w:r>
      <w:r>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D0B28E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8166B1">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lastRenderedPageBreak/>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p>
    <w:p w14:paraId="1286878A" w14:textId="512F740B" w:rsidR="004923DA" w:rsidRDefault="00BF5C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Joanne Baker</w:t>
      </w:r>
    </w:p>
    <w:p w14:paraId="0767D8E9" w14:textId="77777777" w:rsidR="008166B1" w:rsidRPr="008B28E7" w:rsidRDefault="008166B1"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7C0CD04E" w:rsidR="004923DA" w:rsidRPr="008B28E7"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Carmarthen Childcare Team</w:t>
      </w:r>
    </w:p>
    <w:p w14:paraId="172161EE" w14:textId="77777777" w:rsidR="008166B1" w:rsidRDefault="008166B1" w:rsidP="008166B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Block 1</w:t>
      </w:r>
    </w:p>
    <w:p w14:paraId="76B699BC" w14:textId="77777777" w:rsidR="008166B1" w:rsidRDefault="008166B1" w:rsidP="008166B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Parc Myrddin</w:t>
      </w:r>
    </w:p>
    <w:p w14:paraId="5634BCED" w14:textId="77777777" w:rsidR="008166B1" w:rsidRDefault="008166B1" w:rsidP="008166B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Richmond Terrace</w:t>
      </w:r>
    </w:p>
    <w:p w14:paraId="4040C536" w14:textId="77777777" w:rsidR="008166B1" w:rsidRDefault="008166B1" w:rsidP="008166B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Carmarthen</w:t>
      </w:r>
    </w:p>
    <w:p w14:paraId="283F37FB" w14:textId="1D861719" w:rsidR="004923DA"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SA31 1HQ</w:t>
      </w:r>
    </w:p>
    <w:p w14:paraId="3C30D5F3" w14:textId="77777777" w:rsidR="008166B1" w:rsidRPr="008B28E7" w:rsidRDefault="008166B1"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477BAF02" w:rsidR="004923DA" w:rsidRDefault="008166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01267 224417</w:t>
      </w:r>
    </w:p>
    <w:p w14:paraId="6EF5CCBF" w14:textId="77777777" w:rsidR="008166B1" w:rsidRPr="008B28E7" w:rsidRDefault="008166B1"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6D7D4143" w14:textId="3DE0E48E" w:rsidR="00B17FA0" w:rsidRPr="008B28E7" w:rsidRDefault="008628CC" w:rsidP="00FF7EBB">
      <w:pPr>
        <w:pBdr>
          <w:top w:val="single" w:sz="6" w:space="1" w:color="auto"/>
          <w:left w:val="single" w:sz="6" w:space="1" w:color="auto"/>
          <w:bottom w:val="single" w:sz="6" w:space="1" w:color="auto"/>
          <w:right w:val="single" w:sz="6" w:space="1" w:color="auto"/>
        </w:pBdr>
        <w:jc w:val="both"/>
        <w:rPr>
          <w:b/>
          <w:i/>
          <w:sz w:val="24"/>
          <w:szCs w:val="24"/>
        </w:rPr>
      </w:pPr>
      <w:r w:rsidRPr="008628CC">
        <w:rPr>
          <w:b/>
          <w:sz w:val="24"/>
          <w:szCs w:val="24"/>
        </w:rPr>
        <w:t>jbaker@carmarthenshire.gov.uk</w:t>
      </w: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4EF4A770" w14:textId="2E3B5E30" w:rsidR="004923DA" w:rsidRDefault="00BF5CBA" w:rsidP="00FF7EBB">
            <w:pPr>
              <w:jc w:val="both"/>
              <w:rPr>
                <w:b/>
                <w:sz w:val="24"/>
                <w:szCs w:val="24"/>
              </w:rPr>
            </w:pPr>
            <w:r>
              <w:rPr>
                <w:b/>
                <w:sz w:val="24"/>
                <w:szCs w:val="24"/>
              </w:rPr>
              <w:t>Joanne Baker</w:t>
            </w:r>
          </w:p>
          <w:p w14:paraId="270906CC" w14:textId="77777777" w:rsidR="008166B1" w:rsidRPr="008B28E7" w:rsidRDefault="008166B1"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5AF7CB69" w14:textId="77777777" w:rsidR="008166B1" w:rsidRPr="008B28E7" w:rsidRDefault="008166B1" w:rsidP="008166B1">
            <w:pPr>
              <w:jc w:val="both"/>
              <w:rPr>
                <w:b/>
                <w:sz w:val="24"/>
                <w:szCs w:val="24"/>
              </w:rPr>
            </w:pPr>
            <w:r>
              <w:rPr>
                <w:b/>
                <w:sz w:val="24"/>
                <w:szCs w:val="24"/>
              </w:rPr>
              <w:t>Carmarthen Childcare Team</w:t>
            </w:r>
          </w:p>
          <w:p w14:paraId="6F4362D8" w14:textId="77777777" w:rsidR="008166B1" w:rsidRDefault="008166B1" w:rsidP="008166B1">
            <w:pPr>
              <w:jc w:val="both"/>
              <w:rPr>
                <w:b/>
                <w:sz w:val="24"/>
                <w:szCs w:val="24"/>
              </w:rPr>
            </w:pPr>
            <w:r>
              <w:rPr>
                <w:b/>
                <w:sz w:val="24"/>
                <w:szCs w:val="24"/>
              </w:rPr>
              <w:t>Block 1</w:t>
            </w:r>
          </w:p>
          <w:p w14:paraId="0733E14C" w14:textId="77777777" w:rsidR="008166B1" w:rsidRDefault="008166B1" w:rsidP="008166B1">
            <w:pPr>
              <w:jc w:val="both"/>
              <w:rPr>
                <w:b/>
                <w:sz w:val="24"/>
                <w:szCs w:val="24"/>
              </w:rPr>
            </w:pPr>
            <w:r>
              <w:rPr>
                <w:b/>
                <w:sz w:val="24"/>
                <w:szCs w:val="24"/>
              </w:rPr>
              <w:t>Parc Myrddin</w:t>
            </w:r>
          </w:p>
          <w:p w14:paraId="6C56D894" w14:textId="77777777" w:rsidR="008166B1" w:rsidRDefault="008166B1" w:rsidP="008166B1">
            <w:pPr>
              <w:jc w:val="both"/>
              <w:rPr>
                <w:b/>
                <w:sz w:val="24"/>
                <w:szCs w:val="24"/>
              </w:rPr>
            </w:pPr>
            <w:r>
              <w:rPr>
                <w:b/>
                <w:sz w:val="24"/>
                <w:szCs w:val="24"/>
              </w:rPr>
              <w:t>Richmond Terrace</w:t>
            </w:r>
          </w:p>
          <w:p w14:paraId="5ABF99E7" w14:textId="77777777" w:rsidR="008166B1" w:rsidRDefault="008166B1" w:rsidP="008166B1">
            <w:pPr>
              <w:jc w:val="both"/>
              <w:rPr>
                <w:b/>
                <w:sz w:val="24"/>
                <w:szCs w:val="24"/>
              </w:rPr>
            </w:pPr>
            <w:r>
              <w:rPr>
                <w:b/>
                <w:sz w:val="24"/>
                <w:szCs w:val="24"/>
              </w:rPr>
              <w:t>Carmarthen</w:t>
            </w:r>
          </w:p>
          <w:p w14:paraId="038021BE" w14:textId="77777777" w:rsidR="008166B1" w:rsidRDefault="008166B1" w:rsidP="008166B1">
            <w:pPr>
              <w:jc w:val="both"/>
              <w:rPr>
                <w:b/>
                <w:sz w:val="24"/>
                <w:szCs w:val="24"/>
              </w:rPr>
            </w:pPr>
            <w:r>
              <w:rPr>
                <w:b/>
                <w:sz w:val="24"/>
                <w:szCs w:val="24"/>
              </w:rPr>
              <w:t>SA31 1HQ</w:t>
            </w:r>
          </w:p>
          <w:p w14:paraId="12053DB3" w14:textId="77777777" w:rsidR="004923DA" w:rsidRPr="008B28E7" w:rsidRDefault="004923DA" w:rsidP="00FF7EBB">
            <w:pPr>
              <w:jc w:val="both"/>
              <w:rPr>
                <w:b/>
                <w:sz w:val="24"/>
                <w:szCs w:val="24"/>
              </w:rPr>
            </w:pPr>
          </w:p>
          <w:p w14:paraId="6E1CBC17" w14:textId="6FD1445A" w:rsidR="004923DA" w:rsidRPr="008B28E7" w:rsidRDefault="004923DA" w:rsidP="00FF7EBB">
            <w:pPr>
              <w:jc w:val="both"/>
              <w:rPr>
                <w:b/>
                <w:sz w:val="24"/>
                <w:szCs w:val="24"/>
              </w:rPr>
            </w:pPr>
            <w:r w:rsidRPr="008B28E7">
              <w:rPr>
                <w:b/>
                <w:sz w:val="24"/>
                <w:szCs w:val="24"/>
              </w:rPr>
              <w:t>Professional Qualification and date of qualification:</w:t>
            </w:r>
            <w:r w:rsidR="006D4A12">
              <w:rPr>
                <w:b/>
                <w:sz w:val="24"/>
                <w:szCs w:val="24"/>
              </w:rPr>
              <w:t xml:space="preserve"> </w:t>
            </w:r>
            <w:proofErr w:type="spellStart"/>
            <w:r w:rsidR="006D4A12">
              <w:rPr>
                <w:b/>
                <w:sz w:val="24"/>
                <w:szCs w:val="24"/>
              </w:rPr>
              <w:t>DipSW</w:t>
            </w:r>
            <w:proofErr w:type="spellEnd"/>
            <w:r w:rsidR="006D4A12">
              <w:rPr>
                <w:b/>
                <w:sz w:val="24"/>
                <w:szCs w:val="24"/>
              </w:rPr>
              <w:t xml:space="preserve"> January </w:t>
            </w:r>
            <w:r w:rsidR="00D27E8A">
              <w:rPr>
                <w:b/>
                <w:sz w:val="24"/>
                <w:szCs w:val="24"/>
              </w:rPr>
              <w:t>20</w:t>
            </w:r>
            <w:r w:rsidR="00D27E8A" w:rsidRPr="00D27E8A">
              <w:rPr>
                <w:b/>
                <w:sz w:val="24"/>
                <w:szCs w:val="24"/>
                <w:vertAlign w:val="superscript"/>
              </w:rPr>
              <w:t>th</w:t>
            </w:r>
            <w:proofErr w:type="gramStart"/>
            <w:r w:rsidR="00D27E8A">
              <w:rPr>
                <w:b/>
                <w:sz w:val="24"/>
                <w:szCs w:val="24"/>
              </w:rPr>
              <w:t xml:space="preserve"> </w:t>
            </w:r>
            <w:r w:rsidR="006D4A12">
              <w:rPr>
                <w:b/>
                <w:sz w:val="24"/>
                <w:szCs w:val="24"/>
              </w:rPr>
              <w:t>2004</w:t>
            </w:r>
            <w:proofErr w:type="gramEnd"/>
          </w:p>
          <w:p w14:paraId="5F68A3CF" w14:textId="77777777" w:rsidR="004923DA" w:rsidRDefault="004923DA" w:rsidP="00FF7EBB">
            <w:pPr>
              <w:jc w:val="both"/>
              <w:rPr>
                <w:b/>
                <w:sz w:val="24"/>
                <w:szCs w:val="24"/>
              </w:rPr>
            </w:pPr>
          </w:p>
          <w:p w14:paraId="4C6113F1" w14:textId="4034EB18" w:rsidR="004923DA" w:rsidRDefault="009D59C2" w:rsidP="00FF7EBB">
            <w:pPr>
              <w:jc w:val="both"/>
              <w:rPr>
                <w:b/>
                <w:sz w:val="24"/>
                <w:szCs w:val="24"/>
              </w:rPr>
            </w:pPr>
            <w:r>
              <w:rPr>
                <w:b/>
                <w:sz w:val="24"/>
                <w:szCs w:val="24"/>
              </w:rPr>
              <w:t>T</w:t>
            </w:r>
            <w:r w:rsidR="004923DA" w:rsidRPr="008B28E7">
              <w:rPr>
                <w:b/>
                <w:sz w:val="24"/>
                <w:szCs w:val="24"/>
              </w:rPr>
              <w:t>elephone number:</w:t>
            </w:r>
            <w:r w:rsidR="00846275">
              <w:rPr>
                <w:b/>
                <w:sz w:val="24"/>
                <w:szCs w:val="24"/>
              </w:rPr>
              <w:t xml:space="preserve"> 01267 224417</w:t>
            </w:r>
          </w:p>
          <w:p w14:paraId="0BB87919" w14:textId="548A11EF" w:rsidR="009D59C2" w:rsidRDefault="009D59C2" w:rsidP="00FF7EBB">
            <w:pPr>
              <w:jc w:val="both"/>
              <w:rPr>
                <w:b/>
                <w:sz w:val="24"/>
                <w:szCs w:val="24"/>
              </w:rPr>
            </w:pPr>
          </w:p>
          <w:p w14:paraId="4FDEE73F" w14:textId="69EF60D7" w:rsidR="009D59C2" w:rsidRPr="008B28E7" w:rsidRDefault="009D59C2" w:rsidP="00FF7EBB">
            <w:pPr>
              <w:jc w:val="both"/>
              <w:rPr>
                <w:b/>
                <w:sz w:val="24"/>
                <w:szCs w:val="24"/>
              </w:rPr>
            </w:pPr>
            <w:r>
              <w:rPr>
                <w:b/>
                <w:sz w:val="24"/>
                <w:szCs w:val="24"/>
              </w:rPr>
              <w:t>Email address:</w:t>
            </w:r>
            <w:r w:rsidR="008166B1">
              <w:rPr>
                <w:b/>
                <w:sz w:val="24"/>
                <w:szCs w:val="24"/>
              </w:rPr>
              <w:t xml:space="preserve"> </w:t>
            </w:r>
            <w:r w:rsidR="00BF5CBA" w:rsidRPr="00BF5CBA">
              <w:rPr>
                <w:b/>
                <w:sz w:val="24"/>
                <w:szCs w:val="24"/>
              </w:rPr>
              <w:t>jbaker@carmarthenshire.gov.uk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04198C29" w:rsidR="00BC5725" w:rsidRPr="008B28E7" w:rsidRDefault="003643F4"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9264" behindDoc="0" locked="0" layoutInCell="1" allowOverlap="1" wp14:anchorId="1EA3FF00" wp14:editId="762BFEE6">
            <wp:simplePos x="0" y="0"/>
            <wp:positionH relativeFrom="column">
              <wp:posOffset>794559</wp:posOffset>
            </wp:positionH>
            <wp:positionV relativeFrom="paragraph">
              <wp:posOffset>410</wp:posOffset>
            </wp:positionV>
            <wp:extent cx="1362075" cy="542925"/>
            <wp:effectExtent l="0" t="0" r="9525" b="9525"/>
            <wp:wrapSquare wrapText="bothSides"/>
            <wp:docPr id="268120163" name="Picture 4" descr="A black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20163" name="Picture 4" descr="A black lines on a white backgroun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362075" cy="542925"/>
                    </a:xfrm>
                    <a:prstGeom prst="rect">
                      <a:avLst/>
                    </a:prstGeom>
                  </pic:spPr>
                </pic:pic>
              </a:graphicData>
            </a:graphic>
          </wp:anchor>
        </w:drawing>
      </w:r>
    </w:p>
    <w:p w14:paraId="7A6B46C8" w14:textId="5DA0FD1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w:t>
      </w:r>
      <w:r w:rsidR="003643F4">
        <w:rPr>
          <w:sz w:val="24"/>
          <w:szCs w:val="24"/>
        </w:rPr>
        <w:t xml:space="preserve"> </w:t>
      </w:r>
      <w:r w:rsidR="004923DA" w:rsidRPr="008B28E7">
        <w:rPr>
          <w:sz w:val="24"/>
          <w:szCs w:val="24"/>
        </w:rPr>
        <w:t>(Learner</w:t>
      </w:r>
      <w:r w:rsidR="000E0D51">
        <w:rPr>
          <w:sz w:val="24"/>
          <w:szCs w:val="24"/>
        </w:rPr>
        <w:t>)</w:t>
      </w:r>
    </w:p>
    <w:p w14:paraId="457711CC" w14:textId="77777777" w:rsidR="003643F4" w:rsidRDefault="003643F4" w:rsidP="00FF7EBB">
      <w:pPr>
        <w:pBdr>
          <w:top w:val="single" w:sz="6" w:space="1" w:color="auto"/>
          <w:left w:val="single" w:sz="6" w:space="1" w:color="auto"/>
          <w:bottom w:val="single" w:sz="6" w:space="1" w:color="auto"/>
          <w:right w:val="single" w:sz="6" w:space="1" w:color="auto"/>
        </w:pBdr>
        <w:jc w:val="both"/>
        <w:rPr>
          <w:sz w:val="24"/>
          <w:szCs w:val="24"/>
        </w:rPr>
      </w:pPr>
    </w:p>
    <w:p w14:paraId="00876D75" w14:textId="72BD2E2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97001DC" w14:textId="4DDCF73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CF285C">
        <w:rPr>
          <w:sz w:val="24"/>
          <w:szCs w:val="24"/>
        </w:rPr>
        <w:t>23/10/2022</w:t>
      </w: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59199F90" w:rsidR="004923DA" w:rsidRDefault="003068A3"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8240" behindDoc="0" locked="0" layoutInCell="1" allowOverlap="1" wp14:anchorId="3895FD22" wp14:editId="480807EB">
            <wp:simplePos x="0" y="0"/>
            <wp:positionH relativeFrom="column">
              <wp:posOffset>641237</wp:posOffset>
            </wp:positionH>
            <wp:positionV relativeFrom="paragraph">
              <wp:posOffset>107124</wp:posOffset>
            </wp:positionV>
            <wp:extent cx="1327150" cy="655320"/>
            <wp:effectExtent l="0" t="0" r="6350" b="0"/>
            <wp:wrapSquare wrapText="bothSides"/>
            <wp:docPr id="303053456" name="Picture 3" descr="A close-up of a handwritt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53456" name="Picture 3" descr="A close-up of a handwritten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27150" cy="655320"/>
                    </a:xfrm>
                    <a:prstGeom prst="rect">
                      <a:avLst/>
                    </a:prstGeom>
                  </pic:spPr>
                </pic:pic>
              </a:graphicData>
            </a:graphic>
          </wp:anchor>
        </w:drawing>
      </w:r>
    </w:p>
    <w:p w14:paraId="6B500D52" w14:textId="441E713F"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5B9846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proofErr w:type="gramStart"/>
      <w:r w:rsidR="009D59C2">
        <w:rPr>
          <w:sz w:val="24"/>
          <w:szCs w:val="24"/>
        </w:rPr>
        <w:t xml:space="preserve">  </w:t>
      </w:r>
      <w:r w:rsidRPr="008B28E7">
        <w:rPr>
          <w:sz w:val="24"/>
          <w:szCs w:val="24"/>
        </w:rPr>
        <w:t xml:space="preserve"> (</w:t>
      </w:r>
      <w:proofErr w:type="gramEnd"/>
      <w:r>
        <w:rPr>
          <w:sz w:val="24"/>
          <w:szCs w:val="24"/>
        </w:rPr>
        <w:t>Observer</w:t>
      </w:r>
      <w:r w:rsidRPr="008B28E7">
        <w:rPr>
          <w:sz w:val="24"/>
          <w:szCs w:val="24"/>
        </w:rPr>
        <w:t>)</w:t>
      </w:r>
    </w:p>
    <w:p w14:paraId="79349E91" w14:textId="77777777" w:rsidR="00E709F4" w:rsidRDefault="00E709F4" w:rsidP="00FF7EBB">
      <w:pPr>
        <w:pBdr>
          <w:top w:val="single" w:sz="6" w:space="1" w:color="auto"/>
          <w:left w:val="single" w:sz="6" w:space="1" w:color="auto"/>
          <w:bottom w:val="single" w:sz="6" w:space="1" w:color="auto"/>
          <w:right w:val="single" w:sz="6" w:space="1" w:color="auto"/>
        </w:pBdr>
        <w:jc w:val="both"/>
        <w:rPr>
          <w:sz w:val="24"/>
          <w:szCs w:val="24"/>
        </w:rPr>
      </w:pPr>
    </w:p>
    <w:p w14:paraId="7FFFD047" w14:textId="77777777" w:rsidR="00E709F4" w:rsidRDefault="00E709F4"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2B40A6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E709F4">
        <w:rPr>
          <w:sz w:val="24"/>
          <w:szCs w:val="24"/>
        </w:rPr>
        <w:t>15/2/2023</w:t>
      </w:r>
      <w:r>
        <w:rPr>
          <w:sz w:val="24"/>
          <w:szCs w:val="24"/>
        </w:rPr>
        <w:t xml:space="preserve"> </w:t>
      </w:r>
      <w:r w:rsidR="009D59C2">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71D52362"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7572FD2B" w:rsidR="00335C41" w:rsidRPr="00D3203C" w:rsidRDefault="003643F4" w:rsidP="00335C41">
            <w:pPr>
              <w:ind w:right="180"/>
              <w:jc w:val="both"/>
              <w:rPr>
                <w:sz w:val="24"/>
                <w:szCs w:val="24"/>
              </w:rPr>
            </w:pPr>
            <w:r>
              <w:rPr>
                <w:noProof/>
                <w:sz w:val="24"/>
                <w:szCs w:val="24"/>
              </w:rPr>
              <w:drawing>
                <wp:anchor distT="0" distB="0" distL="114300" distR="114300" simplePos="0" relativeHeight="251660288" behindDoc="0" locked="0" layoutInCell="1" allowOverlap="1" wp14:anchorId="1982EBD3" wp14:editId="0A647B9E">
                  <wp:simplePos x="0" y="0"/>
                  <wp:positionH relativeFrom="column">
                    <wp:posOffset>626110</wp:posOffset>
                  </wp:positionH>
                  <wp:positionV relativeFrom="paragraph">
                    <wp:posOffset>64135</wp:posOffset>
                  </wp:positionV>
                  <wp:extent cx="1322705" cy="658495"/>
                  <wp:effectExtent l="0" t="0" r="0" b="8255"/>
                  <wp:wrapSquare wrapText="bothSides"/>
                  <wp:docPr id="484653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2705" cy="658495"/>
                          </a:xfrm>
                          <a:prstGeom prst="rect">
                            <a:avLst/>
                          </a:prstGeom>
                          <a:noFill/>
                        </pic:spPr>
                      </pic:pic>
                    </a:graphicData>
                  </a:graphic>
                </wp:anchor>
              </w:drawing>
            </w:r>
          </w:p>
          <w:p w14:paraId="79D77BDD" w14:textId="77777777" w:rsidR="003643F4" w:rsidRDefault="003643F4" w:rsidP="00335C41">
            <w:pPr>
              <w:ind w:right="180"/>
              <w:jc w:val="both"/>
              <w:rPr>
                <w:sz w:val="24"/>
                <w:szCs w:val="24"/>
              </w:rPr>
            </w:pPr>
          </w:p>
          <w:p w14:paraId="0009353F" w14:textId="77777777" w:rsidR="003643F4" w:rsidRDefault="00335C41" w:rsidP="00335C41">
            <w:pPr>
              <w:ind w:right="180"/>
              <w:jc w:val="both"/>
              <w:rPr>
                <w:sz w:val="24"/>
                <w:szCs w:val="24"/>
              </w:rPr>
            </w:pPr>
            <w:r w:rsidRPr="00D3203C">
              <w:rPr>
                <w:sz w:val="24"/>
                <w:szCs w:val="24"/>
              </w:rPr>
              <w:t>Signed</w:t>
            </w:r>
          </w:p>
          <w:p w14:paraId="12F66D0C" w14:textId="6F03CE2B" w:rsidR="00335C41" w:rsidRPr="00D3203C" w:rsidRDefault="00335C41" w:rsidP="00335C41">
            <w:pPr>
              <w:ind w:right="180"/>
              <w:jc w:val="both"/>
              <w:rPr>
                <w:sz w:val="24"/>
                <w:szCs w:val="24"/>
              </w:rPr>
            </w:pP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274E7206" w:rsidR="00335C41" w:rsidRPr="00D3203C" w:rsidRDefault="00335C41" w:rsidP="00335C41">
            <w:pPr>
              <w:ind w:right="180"/>
              <w:jc w:val="both"/>
              <w:rPr>
                <w:sz w:val="24"/>
                <w:szCs w:val="24"/>
              </w:rPr>
            </w:pPr>
            <w:r w:rsidRPr="00D3203C">
              <w:rPr>
                <w:sz w:val="24"/>
                <w:szCs w:val="24"/>
              </w:rPr>
              <w:lastRenderedPageBreak/>
              <w:t>Date</w:t>
            </w:r>
            <w:r w:rsidR="00F37F48">
              <w:rPr>
                <w:sz w:val="24"/>
                <w:szCs w:val="24"/>
              </w:rPr>
              <w:t>16/10/2023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1955B47" w14:textId="77777777" w:rsidR="00F37F48" w:rsidRDefault="00F37F48" w:rsidP="00FF7EBB">
      <w:pPr>
        <w:overflowPunct/>
        <w:autoSpaceDE/>
        <w:autoSpaceDN/>
        <w:adjustRightInd/>
        <w:jc w:val="both"/>
        <w:textAlignment w:val="auto"/>
        <w:rPr>
          <w:color w:val="auto"/>
          <w:sz w:val="24"/>
          <w:szCs w:val="24"/>
        </w:rPr>
      </w:pPr>
    </w:p>
    <w:p w14:paraId="711D34AB" w14:textId="77777777" w:rsidR="00F37F48" w:rsidRDefault="00F37F48" w:rsidP="00FF7EBB">
      <w:pPr>
        <w:overflowPunct/>
        <w:autoSpaceDE/>
        <w:autoSpaceDN/>
        <w:adjustRightInd/>
        <w:jc w:val="both"/>
        <w:textAlignment w:val="auto"/>
        <w:rPr>
          <w:color w:val="auto"/>
          <w:sz w:val="24"/>
          <w:szCs w:val="24"/>
        </w:rPr>
      </w:pPr>
    </w:p>
    <w:p w14:paraId="5B05E602" w14:textId="77777777" w:rsidR="00F37F48" w:rsidRDefault="00F37F48" w:rsidP="00FF7EBB">
      <w:pPr>
        <w:overflowPunct/>
        <w:autoSpaceDE/>
        <w:autoSpaceDN/>
        <w:adjustRightInd/>
        <w:jc w:val="both"/>
        <w:textAlignment w:val="auto"/>
        <w:rPr>
          <w:color w:val="auto"/>
          <w:sz w:val="24"/>
          <w:szCs w:val="24"/>
        </w:rPr>
      </w:pPr>
    </w:p>
    <w:p w14:paraId="4FBD87AF" w14:textId="77777777" w:rsidR="00F37F48" w:rsidRDefault="00F37F48" w:rsidP="00FF7EBB">
      <w:pPr>
        <w:overflowPunct/>
        <w:autoSpaceDE/>
        <w:autoSpaceDN/>
        <w:adjustRightInd/>
        <w:jc w:val="both"/>
        <w:textAlignment w:val="auto"/>
        <w:rPr>
          <w:color w:val="auto"/>
          <w:sz w:val="24"/>
          <w:szCs w:val="24"/>
        </w:rPr>
      </w:pPr>
    </w:p>
    <w:p w14:paraId="05670805" w14:textId="77777777" w:rsidR="00F37F48" w:rsidRDefault="00F37F48" w:rsidP="00FF7EBB">
      <w:pPr>
        <w:overflowPunct/>
        <w:autoSpaceDE/>
        <w:autoSpaceDN/>
        <w:adjustRightInd/>
        <w:jc w:val="both"/>
        <w:textAlignment w:val="auto"/>
        <w:rPr>
          <w:color w:val="auto"/>
          <w:sz w:val="24"/>
          <w:szCs w:val="24"/>
        </w:rPr>
      </w:pPr>
    </w:p>
    <w:p w14:paraId="37A01DFA" w14:textId="77777777" w:rsidR="00F37F48" w:rsidRDefault="00F37F48"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035B6E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F37F48">
        <w:rPr>
          <w:caps/>
          <w:sz w:val="24"/>
          <w:szCs w:val="24"/>
        </w:rPr>
        <w:t>Joanne baker</w:t>
      </w:r>
    </w:p>
    <w:p w14:paraId="498B175A" w14:textId="5FA94A9A" w:rsidR="00F37F48" w:rsidRDefault="00F37F48"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sz w:val="24"/>
          <w:szCs w:val="24"/>
        </w:rPr>
        <w:drawing>
          <wp:anchor distT="0" distB="0" distL="114300" distR="114300" simplePos="0" relativeHeight="251661312" behindDoc="0" locked="0" layoutInCell="1" allowOverlap="1" wp14:anchorId="7CB59CA5" wp14:editId="70B2AF93">
            <wp:simplePos x="0" y="0"/>
            <wp:positionH relativeFrom="column">
              <wp:posOffset>220294</wp:posOffset>
            </wp:positionH>
            <wp:positionV relativeFrom="paragraph">
              <wp:posOffset>377707</wp:posOffset>
            </wp:positionV>
            <wp:extent cx="873760" cy="431165"/>
            <wp:effectExtent l="0" t="0" r="2540" b="6985"/>
            <wp:wrapSquare wrapText="bothSides"/>
            <wp:docPr id="175385860" name="Picture 6" descr="A close-up of a handwritt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5860" name="Picture 6" descr="A close-up of a handwritten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73760" cy="431165"/>
                    </a:xfrm>
                    <a:prstGeom prst="rect">
                      <a:avLst/>
                    </a:prstGeom>
                  </pic:spPr>
                </pic:pic>
              </a:graphicData>
            </a:graphic>
            <wp14:sizeRelH relativeFrom="margin">
              <wp14:pctWidth>0</wp14:pctWidth>
            </wp14:sizeRelH>
            <wp14:sizeRelV relativeFrom="margin">
              <wp14:pctHeight>0</wp14:pctHeight>
            </wp14:sizeRelV>
          </wp:anchor>
        </w:drawing>
      </w:r>
      <w:r w:rsidR="004923DA" w:rsidRPr="008B28E7">
        <w:rPr>
          <w:caps/>
          <w:sz w:val="24"/>
          <w:szCs w:val="24"/>
        </w:rPr>
        <w:t>Signature of LINE MANAGER</w:t>
      </w:r>
      <w:r w:rsidR="009D59C2">
        <w:rPr>
          <w:sz w:val="24"/>
          <w:szCs w:val="24"/>
        </w:rPr>
        <w:t xml:space="preserve">:  </w:t>
      </w:r>
      <w:r w:rsidR="00BC5725">
        <w:rPr>
          <w:sz w:val="24"/>
          <w:szCs w:val="24"/>
        </w:rPr>
        <w:t>DATE:</w:t>
      </w:r>
      <w:r w:rsidR="004923DA" w:rsidRPr="008B28E7">
        <w:rPr>
          <w:sz w:val="24"/>
          <w:szCs w:val="24"/>
        </w:rPr>
        <w:t xml:space="preserve"> </w:t>
      </w:r>
      <w:r w:rsidR="009D59C2">
        <w:rPr>
          <w:sz w:val="24"/>
          <w:szCs w:val="24"/>
        </w:rPr>
        <w:t xml:space="preserve">    </w:t>
      </w:r>
      <w:r>
        <w:rPr>
          <w:sz w:val="24"/>
          <w:szCs w:val="24"/>
        </w:rPr>
        <w:t>16/10/2023</w:t>
      </w:r>
      <w:r w:rsidR="009D59C2">
        <w:rPr>
          <w:sz w:val="24"/>
          <w:szCs w:val="24"/>
        </w:rPr>
        <w:t xml:space="preserve">                                          </w:t>
      </w:r>
    </w:p>
    <w:p w14:paraId="4F0F4125" w14:textId="77777777" w:rsidR="00F37F48" w:rsidRDefault="00F37F48"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57B2A00A" w14:textId="17431431" w:rsidR="004923DA" w:rsidRPr="008B28E7" w:rsidRDefault="009D59C2"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6630EC42" w:rsidR="00986C0B" w:rsidRPr="00DA5682" w:rsidRDefault="008628CC">
            <w:pPr>
              <w:rPr>
                <w:sz w:val="24"/>
                <w:szCs w:val="24"/>
              </w:rPr>
            </w:pPr>
            <w:r>
              <w:rPr>
                <w:sz w:val="24"/>
                <w:szCs w:val="24"/>
              </w:rPr>
              <w:t>Angela Lewis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0026587D" w:rsidR="00986C0B" w:rsidRPr="00DA5682" w:rsidRDefault="00090F8F">
            <w:pPr>
              <w:rPr>
                <w:sz w:val="24"/>
                <w:szCs w:val="24"/>
              </w:rPr>
            </w:pPr>
            <w:r>
              <w:rPr>
                <w:sz w:val="24"/>
                <w:szCs w:val="24"/>
              </w:rPr>
              <w:t>Carmarthen Childcare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C6E345C" w:rsidR="00986C0B" w:rsidRPr="00DA5682" w:rsidRDefault="008628CC">
            <w:pPr>
              <w:rPr>
                <w:sz w:val="24"/>
                <w:szCs w:val="24"/>
              </w:rPr>
            </w:pPr>
            <w:r>
              <w:rPr>
                <w:sz w:val="24"/>
                <w:szCs w:val="24"/>
              </w:rPr>
              <w:t>Joanne Baker</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DB72C5A" w:rsidR="00986C0B" w:rsidRPr="00DA5682" w:rsidRDefault="008628CC">
            <w:pPr>
              <w:rPr>
                <w:sz w:val="24"/>
                <w:szCs w:val="24"/>
              </w:rPr>
            </w:pPr>
            <w:r>
              <w:rPr>
                <w:sz w:val="24"/>
                <w:szCs w:val="24"/>
              </w:rPr>
              <w:t>Joanne Baker</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562C382F" w14:textId="77777777" w:rsidR="00D2189A" w:rsidRDefault="00986C0B" w:rsidP="00986C0B">
      <w:pPr>
        <w:rPr>
          <w:sz w:val="24"/>
          <w:szCs w:val="24"/>
        </w:rPr>
      </w:pPr>
      <w:r w:rsidRPr="00DA5682">
        <w:rPr>
          <w:sz w:val="24"/>
          <w:szCs w:val="24"/>
        </w:rPr>
        <w:t>I understand and accept the terms and conditions of this learning agreement as stated above.</w:t>
      </w:r>
    </w:p>
    <w:p w14:paraId="7DD591B5" w14:textId="132ACD3C" w:rsidR="00D2189A" w:rsidRDefault="00D2189A" w:rsidP="00986C0B">
      <w:pPr>
        <w:rPr>
          <w:sz w:val="24"/>
          <w:szCs w:val="24"/>
        </w:rPr>
      </w:pPr>
      <w:r>
        <w:rPr>
          <w:noProof/>
          <w:sz w:val="24"/>
          <w:szCs w:val="24"/>
        </w:rPr>
        <w:drawing>
          <wp:anchor distT="0" distB="0" distL="114300" distR="114300" simplePos="0" relativeHeight="251663360" behindDoc="1" locked="0" layoutInCell="1" allowOverlap="1" wp14:anchorId="6F2785C5" wp14:editId="20436614">
            <wp:simplePos x="0" y="0"/>
            <wp:positionH relativeFrom="column">
              <wp:posOffset>778555</wp:posOffset>
            </wp:positionH>
            <wp:positionV relativeFrom="paragraph">
              <wp:posOffset>118616</wp:posOffset>
            </wp:positionV>
            <wp:extent cx="1362075" cy="542925"/>
            <wp:effectExtent l="0" t="0" r="9525" b="9525"/>
            <wp:wrapSquare wrapText="bothSides"/>
            <wp:docPr id="1353056809" name="Picture 9" descr="A black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056809" name="Picture 9" descr="A black lines on a white backgroun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362075" cy="542925"/>
                    </a:xfrm>
                    <a:prstGeom prst="rect">
                      <a:avLst/>
                    </a:prstGeom>
                  </pic:spPr>
                </pic:pic>
              </a:graphicData>
            </a:graphic>
          </wp:anchor>
        </w:drawing>
      </w:r>
    </w:p>
    <w:p w14:paraId="35B48005" w14:textId="412713AE" w:rsidR="00986C0B" w:rsidRPr="00DA5682" w:rsidRDefault="00986C0B" w:rsidP="00986C0B">
      <w:pPr>
        <w:rPr>
          <w:sz w:val="24"/>
          <w:szCs w:val="24"/>
        </w:rPr>
      </w:pPr>
      <w:r w:rsidRPr="00DA5682">
        <w:rPr>
          <w:sz w:val="24"/>
          <w:szCs w:val="24"/>
        </w:rPr>
        <w:t>Signe</w:t>
      </w:r>
      <w:r w:rsidR="00090F8F">
        <w:rPr>
          <w:sz w:val="24"/>
          <w:szCs w:val="24"/>
        </w:rPr>
        <w:t xml:space="preserve">d: </w:t>
      </w:r>
      <w:r w:rsidRPr="00DA5682">
        <w:rPr>
          <w:sz w:val="24"/>
          <w:szCs w:val="24"/>
        </w:rPr>
        <w:t xml:space="preserve">Print Name: </w:t>
      </w:r>
      <w:r w:rsidR="00D2189A">
        <w:rPr>
          <w:sz w:val="24"/>
          <w:szCs w:val="24"/>
        </w:rPr>
        <w:t xml:space="preserve">Angela Lewis   </w:t>
      </w:r>
      <w:r w:rsidR="00D2189A" w:rsidRPr="00DA5682">
        <w:rPr>
          <w:sz w:val="24"/>
          <w:szCs w:val="24"/>
        </w:rPr>
        <w:t xml:space="preserve"> </w:t>
      </w:r>
      <w:r w:rsidRPr="00DA5682">
        <w:rPr>
          <w:sz w:val="24"/>
          <w:szCs w:val="24"/>
        </w:rPr>
        <w:t>Date</w:t>
      </w:r>
      <w:r w:rsidR="00090F8F">
        <w:rPr>
          <w:sz w:val="24"/>
          <w:szCs w:val="24"/>
        </w:rPr>
        <w:t>: 04/10/2022</w:t>
      </w:r>
    </w:p>
    <w:p w14:paraId="68A01C33" w14:textId="77777777" w:rsidR="00986C0B" w:rsidRPr="00DA5682" w:rsidRDefault="00986C0B" w:rsidP="00986C0B">
      <w:pPr>
        <w:rPr>
          <w:sz w:val="24"/>
          <w:szCs w:val="24"/>
        </w:rPr>
      </w:pPr>
      <w:r w:rsidRPr="00DA5682">
        <w:rPr>
          <w:sz w:val="24"/>
          <w:szCs w:val="24"/>
        </w:rPr>
        <w:t>(Learner)</w:t>
      </w:r>
    </w:p>
    <w:p w14:paraId="6166CF4E" w14:textId="249D8BA5" w:rsidR="00986C0B" w:rsidRPr="00DA5682" w:rsidRDefault="00986C0B" w:rsidP="00986C0B">
      <w:pPr>
        <w:rPr>
          <w:sz w:val="24"/>
          <w:szCs w:val="24"/>
        </w:rPr>
      </w:pPr>
    </w:p>
    <w:p w14:paraId="4E511697" w14:textId="4B02F329" w:rsidR="002B1522" w:rsidRDefault="008A2E9F" w:rsidP="00986C0B">
      <w:pPr>
        <w:rPr>
          <w:sz w:val="24"/>
          <w:szCs w:val="24"/>
        </w:rPr>
      </w:pPr>
      <w:r>
        <w:rPr>
          <w:noProof/>
          <w:sz w:val="24"/>
          <w:szCs w:val="24"/>
        </w:rPr>
        <w:drawing>
          <wp:anchor distT="0" distB="0" distL="114300" distR="114300" simplePos="0" relativeHeight="251662336" behindDoc="0" locked="0" layoutInCell="1" allowOverlap="1" wp14:anchorId="5DF7D7BD" wp14:editId="733FC698">
            <wp:simplePos x="0" y="0"/>
            <wp:positionH relativeFrom="column">
              <wp:posOffset>696904</wp:posOffset>
            </wp:positionH>
            <wp:positionV relativeFrom="paragraph">
              <wp:posOffset>8255</wp:posOffset>
            </wp:positionV>
            <wp:extent cx="655320" cy="323215"/>
            <wp:effectExtent l="0" t="0" r="0" b="635"/>
            <wp:wrapSquare wrapText="bothSides"/>
            <wp:docPr id="1055342737" name="Picture 8" descr="A close-up of a handwritt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42737" name="Picture 8" descr="A close-up of a handwritten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5320" cy="323215"/>
                    </a:xfrm>
                    <a:prstGeom prst="rect">
                      <a:avLst/>
                    </a:prstGeom>
                  </pic:spPr>
                </pic:pic>
              </a:graphicData>
            </a:graphic>
          </wp:anchor>
        </w:drawing>
      </w:r>
      <w:r w:rsidR="00986C0B" w:rsidRPr="00DA5682">
        <w:rPr>
          <w:sz w:val="24"/>
          <w:szCs w:val="24"/>
        </w:rPr>
        <w:t>Signed:</w:t>
      </w:r>
      <w:r w:rsidR="00090F8F">
        <w:rPr>
          <w:sz w:val="24"/>
          <w:szCs w:val="24"/>
        </w:rPr>
        <w:t xml:space="preserve"> </w:t>
      </w:r>
    </w:p>
    <w:p w14:paraId="402BCA10" w14:textId="6A7D122B" w:rsidR="00986C0B" w:rsidRPr="00DA5682" w:rsidRDefault="002B1522" w:rsidP="00D2189A">
      <w:pPr>
        <w:ind w:left="720"/>
        <w:rPr>
          <w:sz w:val="24"/>
          <w:szCs w:val="24"/>
        </w:rPr>
      </w:pPr>
      <w:r>
        <w:rPr>
          <w:sz w:val="24"/>
          <w:szCs w:val="24"/>
        </w:rPr>
        <w:t xml:space="preserve"> </w:t>
      </w:r>
      <w:r w:rsidR="00D2189A">
        <w:rPr>
          <w:sz w:val="24"/>
          <w:szCs w:val="24"/>
        </w:rPr>
        <w:tab/>
        <w:t xml:space="preserve"> </w:t>
      </w:r>
      <w:r w:rsidRPr="002B1522">
        <w:rPr>
          <w:sz w:val="24"/>
          <w:szCs w:val="24"/>
        </w:rPr>
        <w:t xml:space="preserve"> </w:t>
      </w:r>
      <w:r w:rsidR="008A2E9F">
        <w:rPr>
          <w:sz w:val="24"/>
          <w:szCs w:val="24"/>
        </w:rPr>
        <w:t xml:space="preserve">   </w:t>
      </w:r>
      <w:r w:rsidR="00D2189A">
        <w:rPr>
          <w:sz w:val="24"/>
          <w:szCs w:val="24"/>
        </w:rPr>
        <w:t xml:space="preserve">  </w:t>
      </w:r>
      <w:r w:rsidR="008A2E9F">
        <w:rPr>
          <w:sz w:val="24"/>
          <w:szCs w:val="24"/>
        </w:rPr>
        <w:t xml:space="preserve">Print Name </w:t>
      </w:r>
      <w:r>
        <w:rPr>
          <w:sz w:val="24"/>
          <w:szCs w:val="24"/>
        </w:rPr>
        <w:t xml:space="preserve">Joanne Baker           </w:t>
      </w:r>
      <w:r w:rsidR="00986C0B" w:rsidRPr="00DA5682">
        <w:rPr>
          <w:sz w:val="24"/>
          <w:szCs w:val="24"/>
        </w:rPr>
        <w:t>Date</w:t>
      </w:r>
      <w:r w:rsidR="00090F8F">
        <w:rPr>
          <w:sz w:val="24"/>
          <w:szCs w:val="24"/>
        </w:rPr>
        <w:t>: 04/</w:t>
      </w:r>
      <w:r w:rsidR="00861135">
        <w:rPr>
          <w:sz w:val="24"/>
          <w:szCs w:val="24"/>
        </w:rPr>
        <w:t>10</w:t>
      </w:r>
      <w:r w:rsidR="00090F8F">
        <w:rPr>
          <w:sz w:val="24"/>
          <w:szCs w:val="24"/>
        </w:rPr>
        <w:t>/2022</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7E258" w14:textId="77777777" w:rsidR="00F365E6" w:rsidRDefault="00F365E6">
      <w:r>
        <w:separator/>
      </w:r>
    </w:p>
  </w:endnote>
  <w:endnote w:type="continuationSeparator" w:id="0">
    <w:p w14:paraId="09C81076" w14:textId="77777777" w:rsidR="00F365E6" w:rsidRDefault="00F36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5F020" w14:textId="77777777" w:rsidR="00F365E6" w:rsidRDefault="00F365E6">
      <w:r>
        <w:separator/>
      </w:r>
    </w:p>
  </w:footnote>
  <w:footnote w:type="continuationSeparator" w:id="0">
    <w:p w14:paraId="6ABD9F11" w14:textId="77777777" w:rsidR="00F365E6" w:rsidRDefault="00F36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5975"/>
    <w:rsid w:val="00074461"/>
    <w:rsid w:val="000766EC"/>
    <w:rsid w:val="00080E58"/>
    <w:rsid w:val="00083D99"/>
    <w:rsid w:val="00084DA6"/>
    <w:rsid w:val="00085699"/>
    <w:rsid w:val="00090160"/>
    <w:rsid w:val="00090F8F"/>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74C"/>
    <w:rsid w:val="001608C4"/>
    <w:rsid w:val="00164832"/>
    <w:rsid w:val="00171418"/>
    <w:rsid w:val="001772BF"/>
    <w:rsid w:val="001772DE"/>
    <w:rsid w:val="0019496C"/>
    <w:rsid w:val="001961CF"/>
    <w:rsid w:val="001A59BB"/>
    <w:rsid w:val="001A607E"/>
    <w:rsid w:val="001A6A51"/>
    <w:rsid w:val="001A79C4"/>
    <w:rsid w:val="001B246D"/>
    <w:rsid w:val="001B331A"/>
    <w:rsid w:val="001C0237"/>
    <w:rsid w:val="001C0E74"/>
    <w:rsid w:val="001C4DB8"/>
    <w:rsid w:val="001C50B8"/>
    <w:rsid w:val="001D229F"/>
    <w:rsid w:val="001E2EB6"/>
    <w:rsid w:val="001F4552"/>
    <w:rsid w:val="002019EB"/>
    <w:rsid w:val="00202FA3"/>
    <w:rsid w:val="00204B58"/>
    <w:rsid w:val="00204C43"/>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522"/>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68A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43F4"/>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4549"/>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2BCB"/>
    <w:rsid w:val="005D3F07"/>
    <w:rsid w:val="005D4A1E"/>
    <w:rsid w:val="005D4F72"/>
    <w:rsid w:val="005E13EA"/>
    <w:rsid w:val="005E17F1"/>
    <w:rsid w:val="005F64AA"/>
    <w:rsid w:val="005F7851"/>
    <w:rsid w:val="00606E27"/>
    <w:rsid w:val="006108C9"/>
    <w:rsid w:val="00614DF7"/>
    <w:rsid w:val="006179BB"/>
    <w:rsid w:val="0062158D"/>
    <w:rsid w:val="006223FD"/>
    <w:rsid w:val="00622D87"/>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3519"/>
    <w:rsid w:val="006D4A12"/>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5D7C"/>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6B1"/>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275"/>
    <w:rsid w:val="00846D84"/>
    <w:rsid w:val="00850233"/>
    <w:rsid w:val="0085230E"/>
    <w:rsid w:val="008550A1"/>
    <w:rsid w:val="00861038"/>
    <w:rsid w:val="00861135"/>
    <w:rsid w:val="008628CC"/>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2E9F"/>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76E3"/>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4B42"/>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28DB"/>
    <w:rsid w:val="00B6548F"/>
    <w:rsid w:val="00B71A32"/>
    <w:rsid w:val="00B7502A"/>
    <w:rsid w:val="00B77305"/>
    <w:rsid w:val="00B774BD"/>
    <w:rsid w:val="00B82CC2"/>
    <w:rsid w:val="00B84A89"/>
    <w:rsid w:val="00B91C42"/>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2306"/>
    <w:rsid w:val="00BD30B1"/>
    <w:rsid w:val="00BE0F7B"/>
    <w:rsid w:val="00BE10C2"/>
    <w:rsid w:val="00BF0D6C"/>
    <w:rsid w:val="00BF5CBA"/>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4BE6"/>
    <w:rsid w:val="00C555FC"/>
    <w:rsid w:val="00C55E9B"/>
    <w:rsid w:val="00C56D09"/>
    <w:rsid w:val="00C57D24"/>
    <w:rsid w:val="00C604D6"/>
    <w:rsid w:val="00C61C03"/>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17D"/>
    <w:rsid w:val="00CD0735"/>
    <w:rsid w:val="00CD45E3"/>
    <w:rsid w:val="00CD4771"/>
    <w:rsid w:val="00CD5089"/>
    <w:rsid w:val="00CD5D3F"/>
    <w:rsid w:val="00CD7E1F"/>
    <w:rsid w:val="00CE4BC4"/>
    <w:rsid w:val="00CE7DA2"/>
    <w:rsid w:val="00CF285C"/>
    <w:rsid w:val="00CF2F8A"/>
    <w:rsid w:val="00CF3DB3"/>
    <w:rsid w:val="00D0274B"/>
    <w:rsid w:val="00D0503D"/>
    <w:rsid w:val="00D052BC"/>
    <w:rsid w:val="00D07026"/>
    <w:rsid w:val="00D146AE"/>
    <w:rsid w:val="00D2189A"/>
    <w:rsid w:val="00D22C8F"/>
    <w:rsid w:val="00D27E8A"/>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09F4"/>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0C3A"/>
    <w:rsid w:val="00F32B82"/>
    <w:rsid w:val="00F34C86"/>
    <w:rsid w:val="00F365E6"/>
    <w:rsid w:val="00F37F48"/>
    <w:rsid w:val="00F402B3"/>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AA82324C-4C35-4312-9450-1ED52873E6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18</Pages>
  <Words>4190</Words>
  <Characters>27330</Characters>
  <Application>Microsoft Office Word</Application>
  <DocSecurity>0</DocSecurity>
  <Lines>227</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Angela L Lewis</cp:lastModifiedBy>
  <cp:revision>19</cp:revision>
  <cp:lastPrinted>2020-02-11T19:20:00Z</cp:lastPrinted>
  <dcterms:created xsi:type="dcterms:W3CDTF">2023-10-16T16:15:00Z</dcterms:created>
  <dcterms:modified xsi:type="dcterms:W3CDTF">2023-10-19T10:51:00Z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