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E5787A5" w14:textId="06F7C6C5" w:rsidR="00210E02" w:rsidRDefault="00804CA8" w:rsidP="00804CA8">
      <w:pPr>
        <w:pStyle w:val="Heading1"/>
      </w:pPr>
      <w:r>
        <w:t xml:space="preserve">Case Study: Consider the provided scenario of an older person who is experiencing social exclusion in later life. Critically discuss historical and contemporary psychological explanations of potential cognitive, </w:t>
      </w:r>
      <w:r w:rsidR="00292780">
        <w:t>emotional,</w:t>
      </w:r>
      <w:r>
        <w:t xml:space="preserve"> and social effects of this social exclusion on continuing development and how negative effects might be ameliorated. Scenario: Barbara</w:t>
      </w:r>
    </w:p>
    <w:p w14:paraId="4137D691" w14:textId="77777777" w:rsidR="00AA1AB8" w:rsidRDefault="00AA1AB8" w:rsidP="00804CA8">
      <w:pPr>
        <w:rPr>
          <w:b/>
          <w:bCs/>
        </w:rPr>
      </w:pPr>
    </w:p>
    <w:p w14:paraId="31A3F693" w14:textId="109BB9E9" w:rsidR="001C467C" w:rsidRPr="001C467C" w:rsidRDefault="001C467C" w:rsidP="00D11372">
      <w:pPr>
        <w:spacing w:line="480" w:lineRule="auto"/>
        <w:jc w:val="center"/>
        <w:rPr>
          <w:b/>
          <w:bCs/>
        </w:rPr>
      </w:pPr>
      <w:r w:rsidRPr="001C467C">
        <w:rPr>
          <w:b/>
          <w:bCs/>
        </w:rPr>
        <w:t>Introduction</w:t>
      </w:r>
    </w:p>
    <w:p w14:paraId="3F36A60B" w14:textId="64178DBF" w:rsidR="00B847F5" w:rsidRDefault="00A00CDD" w:rsidP="00D11372">
      <w:pPr>
        <w:spacing w:line="480" w:lineRule="auto"/>
        <w:ind w:firstLine="720"/>
      </w:pPr>
      <w:r w:rsidRPr="00A00CDD">
        <w:t xml:space="preserve">Social </w:t>
      </w:r>
      <w:r>
        <w:t xml:space="preserve">exclusion in later life </w:t>
      </w:r>
      <w:r w:rsidR="005139F5">
        <w:t>is</w:t>
      </w:r>
      <w:r w:rsidR="00333BFC">
        <w:t xml:space="preserve"> a poignant and complex reality</w:t>
      </w:r>
      <w:r w:rsidR="00FC57B8">
        <w:t xml:space="preserve">, </w:t>
      </w:r>
      <w:r w:rsidR="00DA3263" w:rsidRPr="00DA3263">
        <w:t>as individuals grapple with the profound implications of isolation, impacting their cognitive, emotional, and social well-being</w:t>
      </w:r>
      <w:r>
        <w:t xml:space="preserve">. </w:t>
      </w:r>
      <w:r w:rsidR="00726F04" w:rsidRPr="00726F04">
        <w:t>As people age, their social networks often undergo transformations due to factors such as retirement, loss of friends or family members, and changes in physical health. This gradual shift can lead to a sense of detachment from once-familiar social circles and community activities.</w:t>
      </w:r>
      <w:r w:rsidR="00B80E6B">
        <w:t xml:space="preserve"> </w:t>
      </w:r>
      <w:r w:rsidR="00124CC9" w:rsidRPr="00124CC9">
        <w:t>The older generation, characteri</w:t>
      </w:r>
      <w:r w:rsidR="002436A2">
        <w:t>s</w:t>
      </w:r>
      <w:r w:rsidR="00124CC9" w:rsidRPr="00124CC9">
        <w:t>ed by accumulated wisdom and a variety of life experiences, represents a crucial segment of society, encapsulating the intricate blend of history, cultural heritage, and evolving viewpoints.</w:t>
      </w:r>
      <w:r w:rsidR="00124CC9">
        <w:t xml:space="preserve"> </w:t>
      </w:r>
      <w:r w:rsidR="00B80E6B" w:rsidRPr="00B80E6B">
        <w:t xml:space="preserve">This group, having weathered life's challenges and witnessed societal transformations, plays a crucial role as </w:t>
      </w:r>
      <w:r w:rsidR="005E7D50">
        <w:t>carriers</w:t>
      </w:r>
      <w:r w:rsidR="00B80E6B" w:rsidRPr="00B80E6B">
        <w:t xml:space="preserve"> of traditions, invaluable knowledge, and contributors to the foundations of contemporary communities.</w:t>
      </w:r>
      <w:r w:rsidR="00115448">
        <w:t xml:space="preserve"> </w:t>
      </w:r>
      <w:r w:rsidR="00B847F5">
        <w:t>In the case of Barbara</w:t>
      </w:r>
      <w:r w:rsidR="00C150C9">
        <w:t xml:space="preserve"> (see appendix)</w:t>
      </w:r>
      <w:r w:rsidR="00B847F5">
        <w:t xml:space="preserve">, a seventy-six-year-old woman navigating the complexities of the later years, this </w:t>
      </w:r>
      <w:r w:rsidR="001652F7">
        <w:t>case study</w:t>
      </w:r>
      <w:r w:rsidR="00B847F5">
        <w:t xml:space="preserve"> delves into the profound challenges of social exclusion. Barbara's journey unfolds against the backdrop of personal loss, societal shifts, and the evolving dynamics of aging, </w:t>
      </w:r>
      <w:r w:rsidR="003F42C1" w:rsidRPr="003F42C1">
        <w:t>offering a captivating perspective to delve into the psychological, emotional, and social impacts of isolation during later life.</w:t>
      </w:r>
      <w:r w:rsidR="00B847F5">
        <w:t xml:space="preserve"> Scrutini</w:t>
      </w:r>
      <w:r w:rsidR="00225A3B">
        <w:t>s</w:t>
      </w:r>
      <w:r w:rsidR="00B847F5">
        <w:t xml:space="preserve">ing Barbara's experiences reveals the complexities inherent in the lives of many older individuals who grapple with diminishing social connections and a sense of estrangement from the communities they once knew. The aim of this </w:t>
      </w:r>
      <w:r w:rsidR="001F1D86">
        <w:t>case study</w:t>
      </w:r>
      <w:r w:rsidR="00B847F5">
        <w:t xml:space="preserve"> is to critically discuss the historical and contemporary psychological explanations of potential cognitive, emotional, and social effects of this social exclusion on continuing development and how negative effects might be ameliorated.</w:t>
      </w:r>
    </w:p>
    <w:p w14:paraId="5C1DDA86" w14:textId="7AAEE275" w:rsidR="001C467C" w:rsidRPr="009B37ED" w:rsidRDefault="001C467C" w:rsidP="00D11372">
      <w:pPr>
        <w:spacing w:line="480" w:lineRule="auto"/>
        <w:jc w:val="center"/>
        <w:rPr>
          <w:b/>
          <w:bCs/>
        </w:rPr>
      </w:pPr>
      <w:r w:rsidRPr="009B37ED">
        <w:rPr>
          <w:b/>
          <w:bCs/>
        </w:rPr>
        <w:lastRenderedPageBreak/>
        <w:t>Historical</w:t>
      </w:r>
      <w:r w:rsidR="009B37ED">
        <w:rPr>
          <w:b/>
          <w:bCs/>
        </w:rPr>
        <w:t xml:space="preserve"> </w:t>
      </w:r>
      <w:r w:rsidR="00810B83">
        <w:rPr>
          <w:b/>
          <w:bCs/>
        </w:rPr>
        <w:t>theories</w:t>
      </w:r>
      <w:r w:rsidR="009B37ED">
        <w:rPr>
          <w:b/>
          <w:bCs/>
        </w:rPr>
        <w:t xml:space="preserve"> on </w:t>
      </w:r>
      <w:r w:rsidR="00810B83">
        <w:rPr>
          <w:b/>
          <w:bCs/>
        </w:rPr>
        <w:t>social exclusion</w:t>
      </w:r>
    </w:p>
    <w:p w14:paraId="555DC308" w14:textId="723772F7" w:rsidR="001507F2" w:rsidRDefault="007773BA" w:rsidP="00D11372">
      <w:pPr>
        <w:spacing w:line="480" w:lineRule="auto"/>
        <w:ind w:firstLine="720"/>
      </w:pPr>
      <w:r w:rsidRPr="007773BA">
        <w:t>Historically</w:t>
      </w:r>
      <w:r>
        <w:t xml:space="preserve">, </w:t>
      </w:r>
      <w:r w:rsidR="00B02E12">
        <w:t xml:space="preserve">elderly people </w:t>
      </w:r>
      <w:r w:rsidR="004216C3" w:rsidRPr="004216C3">
        <w:t xml:space="preserve">have occupied a distinct and revered role within societies, often </w:t>
      </w:r>
      <w:r w:rsidR="00D43F64" w:rsidRPr="004216C3">
        <w:t>well-regarded</w:t>
      </w:r>
      <w:r w:rsidR="004216C3" w:rsidRPr="004216C3">
        <w:t xml:space="preserve"> for their accumulated wisdom, experiences, and contributions to community life</w:t>
      </w:r>
      <w:r w:rsidR="004216C3">
        <w:t xml:space="preserve">. </w:t>
      </w:r>
      <w:r w:rsidR="00644A67" w:rsidRPr="00644A67">
        <w:t>From a Freudian perspective, the experience of social exclusion in later life can be understood through the intricate interplay of unconscious processes and unresolved conflicts. Sigmund Freud's theories, which delve into the complexities of the human mind, suggest that an older person's response to social isolation may be influenced by latent desires, unresolved issues from earlier life stages, and coping mechanisms employed by the ego</w:t>
      </w:r>
      <w:r w:rsidR="00260C95">
        <w:t xml:space="preserve"> </w:t>
      </w:r>
      <w:sdt>
        <w:sdtPr>
          <w:id w:val="1411421636"/>
          <w:citation/>
        </w:sdtPr>
        <w:sdtContent>
          <w:r w:rsidR="00260C95">
            <w:fldChar w:fldCharType="begin"/>
          </w:r>
          <w:r w:rsidR="00260C95">
            <w:instrText xml:space="preserve"> CITATION Wes98 \l 2057 </w:instrText>
          </w:r>
          <w:r w:rsidR="00260C95">
            <w:fldChar w:fldCharType="separate"/>
          </w:r>
          <w:r w:rsidR="00624984">
            <w:rPr>
              <w:noProof/>
            </w:rPr>
            <w:t>(Westen, 1998)</w:t>
          </w:r>
          <w:r w:rsidR="00260C95">
            <w:fldChar w:fldCharType="end"/>
          </w:r>
        </w:sdtContent>
      </w:sdt>
      <w:r w:rsidR="00644A67" w:rsidRPr="00644A67">
        <w:t>. The id, ego, and superego dynamics could play a role in shaping how individuals navigate the emotional toll of exclusion, with defence mechanisms such as repression potentially impacting their ability to cope</w:t>
      </w:r>
      <w:r w:rsidR="00BE5C80">
        <w:t xml:space="preserve"> </w:t>
      </w:r>
      <w:sdt>
        <w:sdtPr>
          <w:id w:val="1417361740"/>
          <w:citation/>
        </w:sdtPr>
        <w:sdtContent>
          <w:r w:rsidR="00BE5C80">
            <w:fldChar w:fldCharType="begin"/>
          </w:r>
          <w:r w:rsidR="00864DE1">
            <w:instrText xml:space="preserve">CITATION Vai92 \t  \l 2057 </w:instrText>
          </w:r>
          <w:r w:rsidR="00BE5C80">
            <w:fldChar w:fldCharType="separate"/>
          </w:r>
          <w:r w:rsidR="00624984">
            <w:rPr>
              <w:noProof/>
            </w:rPr>
            <w:t>(Vaillant, 1992)</w:t>
          </w:r>
          <w:r w:rsidR="00BE5C80">
            <w:fldChar w:fldCharType="end"/>
          </w:r>
        </w:sdtContent>
      </w:sdt>
      <w:r w:rsidR="00644A67" w:rsidRPr="00644A67">
        <w:t>. Additionally, Freud's emphasis on the psychosexual stages of development implies that past unresolved conflicts may resurface, affecting an older person's response to loneliness and the changing dynamics of their social world</w:t>
      </w:r>
      <w:r w:rsidR="00B54949">
        <w:t xml:space="preserve"> </w:t>
      </w:r>
      <w:sdt>
        <w:sdtPr>
          <w:id w:val="-76518052"/>
          <w:citation/>
        </w:sdtPr>
        <w:sdtContent>
          <w:r w:rsidR="00B54949">
            <w:fldChar w:fldCharType="begin"/>
          </w:r>
          <w:r w:rsidR="00B54949">
            <w:instrText xml:space="preserve"> CITATION Fli73 \l 2057 </w:instrText>
          </w:r>
          <w:r w:rsidR="00B54949">
            <w:fldChar w:fldCharType="separate"/>
          </w:r>
          <w:r w:rsidR="00624984">
            <w:rPr>
              <w:noProof/>
            </w:rPr>
            <w:t>(Fliegel, 1973)</w:t>
          </w:r>
          <w:r w:rsidR="00B54949">
            <w:fldChar w:fldCharType="end"/>
          </w:r>
        </w:sdtContent>
      </w:sdt>
      <w:r w:rsidR="00644A67" w:rsidRPr="00644A67">
        <w:t>.</w:t>
      </w:r>
      <w:r w:rsidR="00B06FF2">
        <w:t xml:space="preserve"> </w:t>
      </w:r>
      <w:r w:rsidR="00B06FF2" w:rsidRPr="00B06FF2">
        <w:t xml:space="preserve">From a cognitive perspective, unresolved </w:t>
      </w:r>
      <w:r w:rsidR="00676614" w:rsidRPr="00B06FF2">
        <w:t>conflicts,</w:t>
      </w:r>
      <w:r w:rsidR="00B06FF2" w:rsidRPr="00B06FF2">
        <w:t xml:space="preserve"> and repressed desires from earlier life stages, as posited by Freud, may </w:t>
      </w:r>
      <w:r w:rsidR="002B1F82" w:rsidRPr="00B06FF2">
        <w:t>resurface,</w:t>
      </w:r>
      <w:r w:rsidR="00B06FF2" w:rsidRPr="00B06FF2">
        <w:t xml:space="preserve"> and contribute to cognitive distress or altered perceptions of social interactions</w:t>
      </w:r>
      <w:r w:rsidR="00A163A2">
        <w:t xml:space="preserve"> </w:t>
      </w:r>
      <w:sdt>
        <w:sdtPr>
          <w:id w:val="385617843"/>
          <w:citation/>
        </w:sdtPr>
        <w:sdtContent>
          <w:r w:rsidR="00A163A2">
            <w:fldChar w:fldCharType="begin"/>
          </w:r>
          <w:r w:rsidR="00A163A2">
            <w:instrText xml:space="preserve"> CITATION Bil99 \l 2057 </w:instrText>
          </w:r>
          <w:r w:rsidR="00A163A2">
            <w:fldChar w:fldCharType="separate"/>
          </w:r>
          <w:r w:rsidR="00624984">
            <w:rPr>
              <w:noProof/>
            </w:rPr>
            <w:t>(Billig, 1999)</w:t>
          </w:r>
          <w:r w:rsidR="00A163A2">
            <w:fldChar w:fldCharType="end"/>
          </w:r>
        </w:sdtContent>
      </w:sdt>
      <w:r w:rsidR="00B06FF2" w:rsidRPr="00B06FF2">
        <w:t xml:space="preserve">. Emotionally, the id, ego, and superego dynamics could influence an individual's emotional responses to social exclusion, manifesting in heightened anxiety, depressive tendencies, or the deployment of </w:t>
      </w:r>
      <w:r w:rsidR="00AE7AC6" w:rsidRPr="00B06FF2">
        <w:t>defence</w:t>
      </w:r>
      <w:r w:rsidR="00B06FF2" w:rsidRPr="00B06FF2">
        <w:t xml:space="preserve"> mechanisms as adaptive strategies</w:t>
      </w:r>
      <w:r w:rsidR="00CC380F">
        <w:t xml:space="preserve"> </w:t>
      </w:r>
      <w:sdt>
        <w:sdtPr>
          <w:id w:val="-1518917247"/>
          <w:citation/>
        </w:sdtPr>
        <w:sdtContent>
          <w:r w:rsidR="00CC380F">
            <w:fldChar w:fldCharType="begin"/>
          </w:r>
          <w:r w:rsidR="00864DE1">
            <w:instrText xml:space="preserve">CITATION Vai921 \t  \l 2057 </w:instrText>
          </w:r>
          <w:r w:rsidR="00CC380F">
            <w:fldChar w:fldCharType="separate"/>
          </w:r>
          <w:r w:rsidR="00624984">
            <w:rPr>
              <w:noProof/>
            </w:rPr>
            <w:t>(Vaillant, 1992)</w:t>
          </w:r>
          <w:r w:rsidR="00CC380F">
            <w:fldChar w:fldCharType="end"/>
          </w:r>
        </w:sdtContent>
      </w:sdt>
      <w:r w:rsidR="00B06FF2" w:rsidRPr="00B06FF2">
        <w:t>. Socially, Freudian concepts highlight how the unconscious mind shapes interpersonal relationships, potentially impacting the quality of connections and the ability to navigate social dynamics effectively</w:t>
      </w:r>
      <w:r w:rsidR="002D489D">
        <w:t xml:space="preserve"> </w:t>
      </w:r>
      <w:sdt>
        <w:sdtPr>
          <w:id w:val="-1041826491"/>
          <w:citation/>
        </w:sdtPr>
        <w:sdtContent>
          <w:r w:rsidR="002D489D">
            <w:fldChar w:fldCharType="begin"/>
          </w:r>
          <w:r w:rsidR="002D489D">
            <w:instrText xml:space="preserve"> CITATION DiF16 \l 2057 </w:instrText>
          </w:r>
          <w:r w:rsidR="002D489D">
            <w:fldChar w:fldCharType="separate"/>
          </w:r>
          <w:r w:rsidR="00624984">
            <w:rPr>
              <w:noProof/>
            </w:rPr>
            <w:t>(Di Francesco et al., 2016)</w:t>
          </w:r>
          <w:r w:rsidR="002D489D">
            <w:fldChar w:fldCharType="end"/>
          </w:r>
        </w:sdtContent>
      </w:sdt>
      <w:r w:rsidR="00B06FF2" w:rsidRPr="00B06FF2">
        <w:t>.</w:t>
      </w:r>
      <w:r w:rsidR="00321B52">
        <w:t xml:space="preserve"> </w:t>
      </w:r>
      <w:r w:rsidR="008B49FF" w:rsidRPr="008B49FF">
        <w:t xml:space="preserve">Erik Erikson's theories regarding social exclusion during later stages of life reveal the complex interaction between identity formation and interpersonal connections, providing insights into the ways individuals confront obstacles and sustain a feeling of inclusion as they grow older. </w:t>
      </w:r>
      <w:r w:rsidR="00E956F4">
        <w:t xml:space="preserve">His theory on psychosocial development </w:t>
      </w:r>
      <w:r w:rsidR="00E76030">
        <w:t xml:space="preserve">consisting of eight stages </w:t>
      </w:r>
      <w:r w:rsidR="004D453B">
        <w:t>throughout</w:t>
      </w:r>
      <w:r w:rsidR="00E76030">
        <w:t xml:space="preserve"> the life span</w:t>
      </w:r>
      <w:r w:rsidR="004D453B">
        <w:t xml:space="preserve">, </w:t>
      </w:r>
      <w:r w:rsidR="00E956F4" w:rsidRPr="00346D02">
        <w:t>addresses the importance of social relationships</w:t>
      </w:r>
      <w:r w:rsidR="00EB6CBE">
        <w:t xml:space="preserve"> </w:t>
      </w:r>
      <w:sdt>
        <w:sdtPr>
          <w:id w:val="1548867965"/>
          <w:citation/>
        </w:sdtPr>
        <w:sdtContent>
          <w:r w:rsidR="00595DCD">
            <w:fldChar w:fldCharType="begin"/>
          </w:r>
          <w:r w:rsidR="00595DCD">
            <w:instrText xml:space="preserve"> CITATION Gro201 \l 2057 </w:instrText>
          </w:r>
          <w:r w:rsidR="00595DCD">
            <w:fldChar w:fldCharType="separate"/>
          </w:r>
          <w:r w:rsidR="00624984">
            <w:rPr>
              <w:noProof/>
            </w:rPr>
            <w:t>(Gross, 2020)</w:t>
          </w:r>
          <w:r w:rsidR="00595DCD">
            <w:fldChar w:fldCharType="end"/>
          </w:r>
        </w:sdtContent>
      </w:sdt>
      <w:r w:rsidR="00E956F4">
        <w:t>. This theory suggests a</w:t>
      </w:r>
      <w:r w:rsidR="00E956F4" w:rsidRPr="00346D02">
        <w:t>dults are expected to contribute to society and establish meaningful connections with others</w:t>
      </w:r>
      <w:r w:rsidR="00363740">
        <w:t xml:space="preserve"> and s</w:t>
      </w:r>
      <w:r w:rsidR="00E956F4" w:rsidRPr="00346D02">
        <w:t xml:space="preserve">ocial exclusion may </w:t>
      </w:r>
      <w:r w:rsidR="00E956F4" w:rsidRPr="00346D02">
        <w:lastRenderedPageBreak/>
        <w:t>hinder individuals' ability to fulfil their social roles or find a sense of purpose, impacting their overall well-being</w:t>
      </w:r>
      <w:r w:rsidR="00F2366C">
        <w:t xml:space="preserve"> </w:t>
      </w:r>
      <w:sdt>
        <w:sdtPr>
          <w:id w:val="-293986682"/>
          <w:citation/>
        </w:sdtPr>
        <w:sdtContent>
          <w:r w:rsidR="00F2366C">
            <w:fldChar w:fldCharType="begin"/>
          </w:r>
          <w:r w:rsidR="00F2366C">
            <w:instrText xml:space="preserve"> CITATION Sti09 \l 2057 </w:instrText>
          </w:r>
          <w:r w:rsidR="00F2366C">
            <w:fldChar w:fldCharType="separate"/>
          </w:r>
          <w:r w:rsidR="00624984">
            <w:rPr>
              <w:noProof/>
            </w:rPr>
            <w:t>(Stillman et al., 2009)</w:t>
          </w:r>
          <w:r w:rsidR="00F2366C">
            <w:fldChar w:fldCharType="end"/>
          </w:r>
        </w:sdtContent>
      </w:sdt>
      <w:r w:rsidR="00E956F4" w:rsidRPr="00346D02">
        <w:t>.</w:t>
      </w:r>
      <w:r w:rsidR="009433D1">
        <w:t xml:space="preserve"> </w:t>
      </w:r>
      <w:r w:rsidR="00735A8A">
        <w:t>The</w:t>
      </w:r>
      <w:r w:rsidR="00B36DE8" w:rsidRPr="00B36DE8">
        <w:t xml:space="preserve"> final stage of psychosocial development</w:t>
      </w:r>
      <w:r w:rsidR="0054390E">
        <w:t>,</w:t>
      </w:r>
      <w:r w:rsidR="00B36DE8" w:rsidRPr="00B36DE8">
        <w:t xml:space="preserve"> called Integrity vs. Despair,</w:t>
      </w:r>
      <w:r w:rsidR="00857DE7" w:rsidRPr="00857DE7">
        <w:t xml:space="preserve"> prompts individuals to reflect on their life journey</w:t>
      </w:r>
      <w:r w:rsidR="00857DE7">
        <w:t xml:space="preserve"> </w:t>
      </w:r>
      <w:r w:rsidR="00FD456C">
        <w:t>with t</w:t>
      </w:r>
      <w:r w:rsidR="00857DE7" w:rsidRPr="00857DE7">
        <w:t>hose achieving integrity develop</w:t>
      </w:r>
      <w:r w:rsidR="005073F8">
        <w:t>ing</w:t>
      </w:r>
      <w:r w:rsidR="00857DE7" w:rsidRPr="00857DE7">
        <w:t xml:space="preserve"> a sense of wholeness, embracing their past with wisdom and acceptance</w:t>
      </w:r>
      <w:r w:rsidR="009179BB">
        <w:t xml:space="preserve"> </w:t>
      </w:r>
      <w:sdt>
        <w:sdtPr>
          <w:id w:val="2048793432"/>
          <w:citation/>
        </w:sdtPr>
        <w:sdtContent>
          <w:r w:rsidR="009179BB">
            <w:fldChar w:fldCharType="begin"/>
          </w:r>
          <w:r w:rsidR="009179BB">
            <w:instrText xml:space="preserve"> CITATION Pal22 \l 2057 </w:instrText>
          </w:r>
          <w:r w:rsidR="009179BB">
            <w:fldChar w:fldCharType="separate"/>
          </w:r>
          <w:r w:rsidR="00624984">
            <w:rPr>
              <w:noProof/>
            </w:rPr>
            <w:t>(Palmer, 2022)</w:t>
          </w:r>
          <w:r w:rsidR="009179BB">
            <w:fldChar w:fldCharType="end"/>
          </w:r>
        </w:sdtContent>
      </w:sdt>
      <w:r w:rsidR="00857DE7" w:rsidRPr="00857DE7">
        <w:t>. In contrast, those experiencing despair grapple with unresolved conflicts and may confront feelings of regret and emptiness</w:t>
      </w:r>
      <w:r w:rsidR="00C52735">
        <w:t xml:space="preserve"> </w:t>
      </w:r>
      <w:sdt>
        <w:sdtPr>
          <w:id w:val="1415132172"/>
          <w:citation/>
        </w:sdtPr>
        <w:sdtContent>
          <w:r w:rsidR="00C52735">
            <w:fldChar w:fldCharType="begin"/>
          </w:r>
          <w:r w:rsidR="00C52735">
            <w:instrText xml:space="preserve"> CITATION Sha07 \l 2057 </w:instrText>
          </w:r>
          <w:r w:rsidR="00C52735">
            <w:fldChar w:fldCharType="separate"/>
          </w:r>
          <w:r w:rsidR="00624984">
            <w:rPr>
              <w:noProof/>
            </w:rPr>
            <w:t>(Shabad, 2007)</w:t>
          </w:r>
          <w:r w:rsidR="00C52735">
            <w:fldChar w:fldCharType="end"/>
          </w:r>
        </w:sdtContent>
      </w:sdt>
      <w:r w:rsidR="00857DE7" w:rsidRPr="00857DE7">
        <w:t xml:space="preserve">. </w:t>
      </w:r>
      <w:r w:rsidR="00857DE7">
        <w:t xml:space="preserve">Finally, </w:t>
      </w:r>
      <w:r w:rsidR="00857DE7" w:rsidRPr="00857DE7">
        <w:t>Maslow's Hierarchy of Needs suggest that social belongingness is a fundamental human need</w:t>
      </w:r>
      <w:r w:rsidR="00C5243B">
        <w:t xml:space="preserve"> </w:t>
      </w:r>
      <w:sdt>
        <w:sdtPr>
          <w:id w:val="2025580363"/>
          <w:citation/>
        </w:sdtPr>
        <w:sdtContent>
          <w:r w:rsidR="00C5243B">
            <w:fldChar w:fldCharType="begin"/>
          </w:r>
          <w:r w:rsidR="00C5243B">
            <w:instrText xml:space="preserve"> CITATION Mas58 \l 2057 </w:instrText>
          </w:r>
          <w:r w:rsidR="00C5243B">
            <w:fldChar w:fldCharType="separate"/>
          </w:r>
          <w:r w:rsidR="00624984">
            <w:rPr>
              <w:noProof/>
            </w:rPr>
            <w:t>(Maslow, 1958)</w:t>
          </w:r>
          <w:r w:rsidR="00C5243B">
            <w:fldChar w:fldCharType="end"/>
          </w:r>
        </w:sdtContent>
      </w:sdt>
      <w:r w:rsidR="005B386A">
        <w:t>.</w:t>
      </w:r>
      <w:r w:rsidR="00487A1E" w:rsidRPr="00487A1E">
        <w:t xml:space="preserve"> For older individuals, while the fulfilment of basic physiological needs like health and shelter remains paramount, social exclusion can significantly influence their sense of belonging and self-esteem, potentially giving rise to feelings of isolation and loneliness</w:t>
      </w:r>
      <w:r w:rsidR="00900E5B">
        <w:t xml:space="preserve"> </w:t>
      </w:r>
      <w:sdt>
        <w:sdtPr>
          <w:id w:val="-309944443"/>
          <w:citation/>
        </w:sdtPr>
        <w:sdtContent>
          <w:r w:rsidR="00900E5B">
            <w:fldChar w:fldCharType="begin"/>
          </w:r>
          <w:r w:rsidR="00900E5B">
            <w:instrText xml:space="preserve"> CITATION Wes16 \l 2057 </w:instrText>
          </w:r>
          <w:r w:rsidR="00900E5B">
            <w:fldChar w:fldCharType="separate"/>
          </w:r>
          <w:r w:rsidR="00624984">
            <w:rPr>
              <w:noProof/>
            </w:rPr>
            <w:t>(Wesselmann et al., 2016)</w:t>
          </w:r>
          <w:r w:rsidR="00900E5B">
            <w:fldChar w:fldCharType="end"/>
          </w:r>
        </w:sdtContent>
      </w:sdt>
      <w:r w:rsidR="00487A1E" w:rsidRPr="00487A1E">
        <w:t>.</w:t>
      </w:r>
      <w:r w:rsidR="001507F2" w:rsidRPr="001507F2">
        <w:t xml:space="preserve"> As individuals progress in age, the focus shifts towards social needs, emphasi</w:t>
      </w:r>
      <w:r w:rsidR="00215D74">
        <w:t>s</w:t>
      </w:r>
      <w:r w:rsidR="001507F2" w:rsidRPr="001507F2">
        <w:t>ing the significance of companionship and community engagement</w:t>
      </w:r>
      <w:r w:rsidR="00D1601E">
        <w:t xml:space="preserve"> </w:t>
      </w:r>
      <w:sdt>
        <w:sdtPr>
          <w:id w:val="-1178732378"/>
          <w:citation/>
        </w:sdtPr>
        <w:sdtContent>
          <w:r w:rsidR="00D1601E">
            <w:fldChar w:fldCharType="begin"/>
          </w:r>
          <w:r w:rsidR="00D1601E">
            <w:instrText xml:space="preserve"> CITATION Pin01 \l 2057 </w:instrText>
          </w:r>
          <w:r w:rsidR="00D1601E">
            <w:fldChar w:fldCharType="separate"/>
          </w:r>
          <w:r w:rsidR="00624984">
            <w:rPr>
              <w:noProof/>
            </w:rPr>
            <w:t>(Pinquart &amp; Sorensen, 2001)</w:t>
          </w:r>
          <w:r w:rsidR="00D1601E">
            <w:fldChar w:fldCharType="end"/>
          </w:r>
        </w:sdtContent>
      </w:sdt>
      <w:r w:rsidR="001507F2" w:rsidRPr="001507F2">
        <w:t xml:space="preserve">. </w:t>
      </w:r>
    </w:p>
    <w:p w14:paraId="18B7AA45" w14:textId="62B54F2B" w:rsidR="00212DD3" w:rsidRPr="00810B83" w:rsidRDefault="00212DD3" w:rsidP="00D11372">
      <w:pPr>
        <w:spacing w:line="480" w:lineRule="auto"/>
        <w:jc w:val="center"/>
        <w:rPr>
          <w:b/>
          <w:bCs/>
        </w:rPr>
      </w:pPr>
      <w:r w:rsidRPr="00810B83">
        <w:rPr>
          <w:b/>
          <w:bCs/>
        </w:rPr>
        <w:t>Cognitive</w:t>
      </w:r>
      <w:r w:rsidR="00B02E12" w:rsidRPr="00810B83">
        <w:rPr>
          <w:b/>
          <w:bCs/>
        </w:rPr>
        <w:t xml:space="preserve"> effects</w:t>
      </w:r>
      <w:r w:rsidR="00FF59E5">
        <w:rPr>
          <w:b/>
          <w:bCs/>
        </w:rPr>
        <w:t xml:space="preserve"> of social exclusion</w:t>
      </w:r>
    </w:p>
    <w:p w14:paraId="610DD9A2" w14:textId="1808FE3E" w:rsidR="00212DD3" w:rsidRPr="00DF0801" w:rsidRDefault="00331047" w:rsidP="00D11372">
      <w:pPr>
        <w:spacing w:line="480" w:lineRule="auto"/>
        <w:ind w:firstLine="720"/>
      </w:pPr>
      <w:r w:rsidRPr="00331047">
        <w:t>Cognitive effects, encompassing changes in mental processes such as memory, attention, and problem-solving, play a pivotal role in shaping individuals' responses to various life experiences.</w:t>
      </w:r>
      <w:r w:rsidR="00556363">
        <w:t xml:space="preserve"> </w:t>
      </w:r>
      <w:r w:rsidR="00556363" w:rsidRPr="00556363">
        <w:t>Contemporary research on cognitive aging suggests that social engagement is crucial for maintaining cognitive function</w:t>
      </w:r>
      <w:r w:rsidR="00686D30">
        <w:t xml:space="preserve"> </w:t>
      </w:r>
      <w:sdt>
        <w:sdtPr>
          <w:id w:val="2052879327"/>
          <w:citation/>
        </w:sdtPr>
        <w:sdtContent>
          <w:r w:rsidR="00686D30">
            <w:fldChar w:fldCharType="begin"/>
          </w:r>
          <w:r w:rsidR="00686D30">
            <w:instrText xml:space="preserve"> CITATION Kru09 \l 2057 </w:instrText>
          </w:r>
          <w:r w:rsidR="00686D30">
            <w:fldChar w:fldCharType="separate"/>
          </w:r>
          <w:r w:rsidR="00624984">
            <w:rPr>
              <w:noProof/>
            </w:rPr>
            <w:t>(Krueger et al., 2009)</w:t>
          </w:r>
          <w:r w:rsidR="00686D30">
            <w:fldChar w:fldCharType="end"/>
          </w:r>
        </w:sdtContent>
      </w:sdt>
      <w:r w:rsidR="00556363" w:rsidRPr="00556363">
        <w:t xml:space="preserve">. </w:t>
      </w:r>
      <w:r w:rsidR="00FC6C84" w:rsidRPr="00FC6C84">
        <w:t xml:space="preserve">Social exclusion, particularly in the context of older adults like Barbara, can exert profound effects on cognitive health, potentially precipitating cognitive decline over time. Research </w:t>
      </w:r>
      <w:r w:rsidR="00084F3F">
        <w:t>suggests</w:t>
      </w:r>
      <w:r w:rsidR="00FC6C84" w:rsidRPr="00FC6C84">
        <w:t xml:space="preserve"> that social isolation and loneliness are associated with various negative health outcomes, including cognitive impairment and dementia</w:t>
      </w:r>
      <w:r w:rsidR="00F90E14">
        <w:t xml:space="preserve"> </w:t>
      </w:r>
      <w:sdt>
        <w:sdtPr>
          <w:id w:val="-1518540449"/>
          <w:citation/>
        </w:sdtPr>
        <w:sdtContent>
          <w:r w:rsidR="00F90E14">
            <w:fldChar w:fldCharType="begin"/>
          </w:r>
          <w:r w:rsidR="00F90E14">
            <w:instrText xml:space="preserve"> CITATION Lar19 \l 2057 </w:instrText>
          </w:r>
          <w:r w:rsidR="00F90E14">
            <w:fldChar w:fldCharType="separate"/>
          </w:r>
          <w:r w:rsidR="00624984">
            <w:rPr>
              <w:noProof/>
            </w:rPr>
            <w:t>(Lara et al., 2019)</w:t>
          </w:r>
          <w:r w:rsidR="00F90E14">
            <w:fldChar w:fldCharType="end"/>
          </w:r>
        </w:sdtContent>
      </w:sdt>
      <w:r w:rsidR="00FC6C84" w:rsidRPr="00FC6C84">
        <w:t>.</w:t>
      </w:r>
      <w:r w:rsidR="009B141C">
        <w:t xml:space="preserve"> Memory and cognitive functions are essential for daily living and maintaining independence as one grows older. Aging is often accompanied by changes in memory and cognitive processing, including declines in working memory, processing speed, and executive functions</w:t>
      </w:r>
      <w:r w:rsidR="005F5567">
        <w:t xml:space="preserve"> </w:t>
      </w:r>
      <w:sdt>
        <w:sdtPr>
          <w:id w:val="2030672691"/>
          <w:citation/>
        </w:sdtPr>
        <w:sdtContent>
          <w:r w:rsidR="005F5567">
            <w:fldChar w:fldCharType="begin"/>
          </w:r>
          <w:r w:rsidR="005F5567">
            <w:instrText xml:space="preserve"> CITATION Bra11 \l 2057 </w:instrText>
          </w:r>
          <w:r w:rsidR="005F5567">
            <w:fldChar w:fldCharType="separate"/>
          </w:r>
          <w:r w:rsidR="00624984">
            <w:rPr>
              <w:noProof/>
            </w:rPr>
            <w:t>(Braver &amp; West, 2011)</w:t>
          </w:r>
          <w:r w:rsidR="005F5567">
            <w:fldChar w:fldCharType="end"/>
          </w:r>
        </w:sdtContent>
      </w:sdt>
      <w:r w:rsidR="009B141C">
        <w:t>. Social exclusion can exacerbate these age-related cognitive changes</w:t>
      </w:r>
      <w:r w:rsidR="002D35BF">
        <w:t xml:space="preserve"> and w</w:t>
      </w:r>
      <w:r w:rsidR="009B141C">
        <w:t xml:space="preserve">hen older adults experience social isolation or loneliness, they may have fewer opportunities for cognitive stimulation </w:t>
      </w:r>
      <w:r w:rsidR="009B141C">
        <w:lastRenderedPageBreak/>
        <w:t>and engagement. Social interactions provide mental challenges that help maintain cognitive function and preserve neural pathways</w:t>
      </w:r>
      <w:r w:rsidR="002D35BF">
        <w:t xml:space="preserve"> and w</w:t>
      </w:r>
      <w:r w:rsidR="009B141C">
        <w:t>ithout regular social engagement, older adults may experience accelerated cognitive decline</w:t>
      </w:r>
      <w:r w:rsidR="00C36A6E">
        <w:t xml:space="preserve"> </w:t>
      </w:r>
      <w:sdt>
        <w:sdtPr>
          <w:id w:val="460854889"/>
          <w:citation/>
        </w:sdtPr>
        <w:sdtContent>
          <w:r w:rsidR="00C36A6E">
            <w:fldChar w:fldCharType="begin"/>
          </w:r>
          <w:r w:rsidR="00C36A6E">
            <w:instrText xml:space="preserve"> CITATION Bal15 \l 2057 </w:instrText>
          </w:r>
          <w:r w:rsidR="00C36A6E">
            <w:fldChar w:fldCharType="separate"/>
          </w:r>
          <w:r w:rsidR="00624984">
            <w:rPr>
              <w:noProof/>
            </w:rPr>
            <w:t>(Ballesteros et al., 2015)</w:t>
          </w:r>
          <w:r w:rsidR="00C36A6E">
            <w:fldChar w:fldCharType="end"/>
          </w:r>
        </w:sdtContent>
      </w:sdt>
      <w:r w:rsidR="009B141C">
        <w:t>. Chronic stress can impair memory and cognitive abilities over time, contributing to conditions like Alzheimer's disease and other forms of dementia</w:t>
      </w:r>
      <w:r w:rsidR="00836C19">
        <w:t xml:space="preserve"> </w:t>
      </w:r>
      <w:sdt>
        <w:sdtPr>
          <w:id w:val="586122208"/>
          <w:citation/>
        </w:sdtPr>
        <w:sdtContent>
          <w:r w:rsidR="00836C19">
            <w:fldChar w:fldCharType="begin"/>
          </w:r>
          <w:r w:rsidR="00836C19">
            <w:instrText xml:space="preserve"> CITATION Mac14 \l 2057 </w:instrText>
          </w:r>
          <w:r w:rsidR="00836C19">
            <w:fldChar w:fldCharType="separate"/>
          </w:r>
          <w:r w:rsidR="00624984">
            <w:rPr>
              <w:noProof/>
            </w:rPr>
            <w:t>(Machado, et al., 2014)</w:t>
          </w:r>
          <w:r w:rsidR="00836C19">
            <w:fldChar w:fldCharType="end"/>
          </w:r>
        </w:sdtContent>
      </w:sdt>
      <w:r w:rsidR="009B141C">
        <w:t xml:space="preserve">. </w:t>
      </w:r>
      <w:r w:rsidR="00FC6C84" w:rsidRPr="00FC6C84">
        <w:t>The loss of social connections and opportunities for cognitive engagement may exacerbate cognitive decline, further compromising Barbara's cognitive abilities.</w:t>
      </w:r>
      <w:r w:rsidR="001F5168">
        <w:t xml:space="preserve"> </w:t>
      </w:r>
      <w:r w:rsidR="00D47BC5" w:rsidRPr="00D47BC5">
        <w:t>Cognitive resilience, the ability to adapt and maintain optimal cognitive functioning despite adversities, is a critical aspect in the face of challenges such as social exclusion. Identifying and understanding protective factors becomes essential in fostering cognitive resilience among individuals, particularly older adults. Factors such as engaging in mentally stimulating activities, maintaining social connections, and pursuing a healthy lifestyle have been associated with cognitive well-being and resilience</w:t>
      </w:r>
      <w:r w:rsidR="00E01F54">
        <w:t xml:space="preserve"> </w:t>
      </w:r>
      <w:sdt>
        <w:sdtPr>
          <w:id w:val="-75355445"/>
          <w:citation/>
        </w:sdtPr>
        <w:sdtContent>
          <w:r w:rsidR="00E01F54">
            <w:fldChar w:fldCharType="begin"/>
          </w:r>
          <w:r w:rsidR="00E01F54">
            <w:instrText xml:space="preserve"> CITATION Moy10 \l 2057 </w:instrText>
          </w:r>
          <w:r w:rsidR="00E01F54">
            <w:fldChar w:fldCharType="separate"/>
          </w:r>
          <w:r w:rsidR="00624984">
            <w:rPr>
              <w:noProof/>
            </w:rPr>
            <w:t>(Moyle et al., 2010)</w:t>
          </w:r>
          <w:r w:rsidR="00E01F54">
            <w:fldChar w:fldCharType="end"/>
          </w:r>
        </w:sdtContent>
      </w:sdt>
      <w:r w:rsidR="00D47BC5" w:rsidRPr="00D47BC5">
        <w:t>. These protective elements act as buffers against the negative impacts of social exclusion, contributing to sustained cognitive function and overall mental resilience.</w:t>
      </w:r>
      <w:r w:rsidR="00A53174">
        <w:t xml:space="preserve"> </w:t>
      </w:r>
      <w:r w:rsidR="00A53174" w:rsidRPr="00A53174">
        <w:t>Barbara's reliance on passive activities like watching TV and limited social interactions might accelerate cognitive aging</w:t>
      </w:r>
      <w:r w:rsidR="00197D83">
        <w:t xml:space="preserve"> </w:t>
      </w:r>
      <w:sdt>
        <w:sdtPr>
          <w:id w:val="-1315716111"/>
          <w:citation/>
        </w:sdtPr>
        <w:sdtContent>
          <w:r w:rsidR="00197D83">
            <w:fldChar w:fldCharType="begin"/>
          </w:r>
          <w:r w:rsidR="00197D83">
            <w:instrText xml:space="preserve"> CITATION Öst10 \l 2057 </w:instrText>
          </w:r>
          <w:r w:rsidR="00197D83">
            <w:fldChar w:fldCharType="separate"/>
          </w:r>
          <w:r w:rsidR="00624984">
            <w:rPr>
              <w:noProof/>
            </w:rPr>
            <w:t>(Östlund, 2010)</w:t>
          </w:r>
          <w:r w:rsidR="00197D83">
            <w:fldChar w:fldCharType="end"/>
          </w:r>
        </w:sdtContent>
      </w:sdt>
      <w:r w:rsidR="00A53174" w:rsidRPr="00A53174">
        <w:t>.</w:t>
      </w:r>
      <w:r w:rsidR="001E6AAF">
        <w:t xml:space="preserve"> </w:t>
      </w:r>
      <w:r w:rsidR="007F637F">
        <w:t xml:space="preserve">The </w:t>
      </w:r>
      <w:r w:rsidR="0054781C" w:rsidRPr="00DF0801">
        <w:t xml:space="preserve">Social identity theory </w:t>
      </w:r>
      <w:r w:rsidR="00E81C6A">
        <w:t>suggests</w:t>
      </w:r>
      <w:r w:rsidR="0054781C" w:rsidRPr="00DF0801">
        <w:t xml:space="preserve"> how individuals derive a sense of self from their social group memberships. Social exclusion can threaten one's social identity, impacting self-esteem and contributing to cognitive effects</w:t>
      </w:r>
      <w:r w:rsidR="00A51613">
        <w:t xml:space="preserve"> </w:t>
      </w:r>
      <w:sdt>
        <w:sdtPr>
          <w:id w:val="-1179275737"/>
          <w:citation/>
        </w:sdtPr>
        <w:sdtContent>
          <w:r w:rsidR="00A51613">
            <w:fldChar w:fldCharType="begin"/>
          </w:r>
          <w:r w:rsidR="00A51613">
            <w:instrText xml:space="preserve"> CITATION Hog161 \l 2057 </w:instrText>
          </w:r>
          <w:r w:rsidR="00A51613">
            <w:fldChar w:fldCharType="separate"/>
          </w:r>
          <w:r w:rsidR="00624984">
            <w:rPr>
              <w:noProof/>
            </w:rPr>
            <w:t>(Hogg, 2016)</w:t>
          </w:r>
          <w:r w:rsidR="00A51613">
            <w:fldChar w:fldCharType="end"/>
          </w:r>
        </w:sdtContent>
      </w:sdt>
      <w:r w:rsidR="0054781C" w:rsidRPr="00DF0801">
        <w:t>.</w:t>
      </w:r>
      <w:r w:rsidR="00C203B7">
        <w:t xml:space="preserve"> </w:t>
      </w:r>
      <w:r w:rsidR="00794C33">
        <w:t xml:space="preserve">Studies suggest </w:t>
      </w:r>
      <w:r w:rsidR="00C0363C">
        <w:t>s</w:t>
      </w:r>
      <w:r w:rsidR="00C203B7" w:rsidRPr="00C203B7">
        <w:t>ocial inclusion fosters a sense of belongingness and acceptance within social groups, enhancing individuals' self-esteem and cognitive well-being</w:t>
      </w:r>
      <w:r w:rsidR="00D2267C">
        <w:t xml:space="preserve"> </w:t>
      </w:r>
      <w:sdt>
        <w:sdtPr>
          <w:id w:val="1976179828"/>
          <w:citation/>
        </w:sdtPr>
        <w:sdtContent>
          <w:r w:rsidR="00C0363C">
            <w:fldChar w:fldCharType="begin"/>
          </w:r>
          <w:r w:rsidR="00C0363C">
            <w:instrText xml:space="preserve"> CITATION Beg15 \l 2057 </w:instrText>
          </w:r>
          <w:r w:rsidR="00C0363C">
            <w:fldChar w:fldCharType="separate"/>
          </w:r>
          <w:r w:rsidR="00624984">
            <w:rPr>
              <w:noProof/>
            </w:rPr>
            <w:t>(Begen &amp; Turner-Cobb, 2015)</w:t>
          </w:r>
          <w:r w:rsidR="00C0363C">
            <w:fldChar w:fldCharType="end"/>
          </w:r>
        </w:sdtContent>
      </w:sdt>
      <w:r w:rsidR="00C203B7" w:rsidRPr="00C203B7">
        <w:t>. When individuals feel included in their social groups, they may experience cognitive benefits such as improved memory, attention, and problem-solving abilities</w:t>
      </w:r>
      <w:r w:rsidR="00C9119A">
        <w:t xml:space="preserve"> </w:t>
      </w:r>
      <w:sdt>
        <w:sdtPr>
          <w:id w:val="2132970739"/>
          <w:citation/>
        </w:sdtPr>
        <w:sdtContent>
          <w:r w:rsidR="00C9119A">
            <w:fldChar w:fldCharType="begin"/>
          </w:r>
          <w:r w:rsidR="00C9119A">
            <w:instrText xml:space="preserve"> CITATION Gre16 \l 2057 </w:instrText>
          </w:r>
          <w:r w:rsidR="00C9119A">
            <w:fldChar w:fldCharType="separate"/>
          </w:r>
          <w:r w:rsidR="00624984">
            <w:rPr>
              <w:noProof/>
            </w:rPr>
            <w:t>(Greenaway et al., 2016)</w:t>
          </w:r>
          <w:r w:rsidR="00C9119A">
            <w:fldChar w:fldCharType="end"/>
          </w:r>
        </w:sdtContent>
      </w:sdt>
      <w:r w:rsidR="00C203B7" w:rsidRPr="00C203B7">
        <w:t>. Positive social identities derived from inclusion can contribute to a sense of purpose and fulfilment, enhancing cognitive functioning and overall development</w:t>
      </w:r>
      <w:r w:rsidR="001E26BD">
        <w:t xml:space="preserve"> </w:t>
      </w:r>
      <w:sdt>
        <w:sdtPr>
          <w:id w:val="-1917548133"/>
          <w:citation/>
        </w:sdtPr>
        <w:sdtContent>
          <w:r w:rsidR="00463063">
            <w:fldChar w:fldCharType="begin"/>
          </w:r>
          <w:r w:rsidR="00463063">
            <w:instrText xml:space="preserve"> CITATION Gre16 \l 2057 </w:instrText>
          </w:r>
          <w:r w:rsidR="00463063">
            <w:fldChar w:fldCharType="separate"/>
          </w:r>
          <w:r w:rsidR="00624984">
            <w:rPr>
              <w:noProof/>
            </w:rPr>
            <w:t>(Greenaway et al., 2016)</w:t>
          </w:r>
          <w:r w:rsidR="00463063">
            <w:fldChar w:fldCharType="end"/>
          </w:r>
        </w:sdtContent>
      </w:sdt>
      <w:r w:rsidR="00C203B7" w:rsidRPr="00C203B7">
        <w:t>.</w:t>
      </w:r>
      <w:r w:rsidR="00C203B7">
        <w:t xml:space="preserve"> </w:t>
      </w:r>
      <w:r w:rsidR="00C203B7" w:rsidRPr="00C203B7">
        <w:t xml:space="preserve">However, social identity theory may not fully explain the cognitive effects of social inclusion on continuing development in certain contexts. While inclusion within a social group can enhance cognitive well-being for many individuals, it may also lead to conformity and groupthink, stifling cognitive diversity and critical </w:t>
      </w:r>
      <w:r w:rsidR="00C203B7" w:rsidRPr="00C203B7">
        <w:lastRenderedPageBreak/>
        <w:t>thinking</w:t>
      </w:r>
      <w:r w:rsidR="00685E3E">
        <w:t xml:space="preserve"> </w:t>
      </w:r>
      <w:sdt>
        <w:sdtPr>
          <w:id w:val="-1697003901"/>
          <w:citation/>
        </w:sdtPr>
        <w:sdtContent>
          <w:r w:rsidR="00685E3E">
            <w:fldChar w:fldCharType="begin"/>
          </w:r>
          <w:r w:rsidR="00685E3E">
            <w:instrText xml:space="preserve"> CITATION Ahl01 \l 2057 </w:instrText>
          </w:r>
          <w:r w:rsidR="00685E3E">
            <w:fldChar w:fldCharType="separate"/>
          </w:r>
          <w:r w:rsidR="00624984">
            <w:rPr>
              <w:noProof/>
            </w:rPr>
            <w:t>(Ahlfinger &amp; Esser, 2001)</w:t>
          </w:r>
          <w:r w:rsidR="00685E3E">
            <w:fldChar w:fldCharType="end"/>
          </w:r>
        </w:sdtContent>
      </w:sdt>
      <w:r w:rsidR="00C203B7" w:rsidRPr="00C203B7">
        <w:t>. Additionally, individuals may experience cognitive dissonance if their personal beliefs conflict with those of their ingroup, potentially leading to psychological distress and cognitive strain</w:t>
      </w:r>
      <w:r w:rsidR="00725C95">
        <w:t xml:space="preserve"> </w:t>
      </w:r>
      <w:sdt>
        <w:sdtPr>
          <w:id w:val="1809520052"/>
          <w:citation/>
        </w:sdtPr>
        <w:sdtContent>
          <w:r w:rsidR="00725C95">
            <w:fldChar w:fldCharType="begin"/>
          </w:r>
          <w:r w:rsidR="00725C95">
            <w:instrText xml:space="preserve"> CITATION Mat05 \l 2057 </w:instrText>
          </w:r>
          <w:r w:rsidR="00725C95">
            <w:fldChar w:fldCharType="separate"/>
          </w:r>
          <w:r w:rsidR="00624984">
            <w:rPr>
              <w:noProof/>
            </w:rPr>
            <w:t>(Matz &amp; Wood, 2005)</w:t>
          </w:r>
          <w:r w:rsidR="00725C95">
            <w:fldChar w:fldCharType="end"/>
          </w:r>
        </w:sdtContent>
      </w:sdt>
      <w:r w:rsidR="00C203B7" w:rsidRPr="00C203B7">
        <w:t>.</w:t>
      </w:r>
      <w:r w:rsidR="00D30112">
        <w:t xml:space="preserve"> </w:t>
      </w:r>
      <w:r w:rsidR="000915B9">
        <w:t>Barbara's cognitive effects of social exclusion manifest in increased feelings of loneliness, reduced cognitive stimulation, and a decline in daily cognitive activities due to limited social interactions and engagement.</w:t>
      </w:r>
    </w:p>
    <w:p w14:paraId="6B62F89C" w14:textId="1141F37D" w:rsidR="00212DD3" w:rsidRPr="00FF59E5" w:rsidRDefault="00212DD3" w:rsidP="00D11372">
      <w:pPr>
        <w:spacing w:line="480" w:lineRule="auto"/>
        <w:jc w:val="center"/>
        <w:rPr>
          <w:b/>
          <w:bCs/>
        </w:rPr>
      </w:pPr>
      <w:r w:rsidRPr="00FF59E5">
        <w:rPr>
          <w:b/>
          <w:bCs/>
        </w:rPr>
        <w:t>Emotional Effects</w:t>
      </w:r>
      <w:r w:rsidR="00FF59E5">
        <w:rPr>
          <w:b/>
          <w:bCs/>
        </w:rPr>
        <w:t xml:space="preserve"> of social exclusion</w:t>
      </w:r>
    </w:p>
    <w:p w14:paraId="0C9467D7" w14:textId="76B17B62" w:rsidR="00212DD3" w:rsidRPr="00212DD3" w:rsidRDefault="00390903" w:rsidP="00D11372">
      <w:pPr>
        <w:spacing w:line="480" w:lineRule="auto"/>
        <w:ind w:firstLine="720"/>
        <w:rPr>
          <w:highlight w:val="magenta"/>
        </w:rPr>
      </w:pPr>
      <w:r w:rsidRPr="00390903">
        <w:t>Social exclusion exerts profound emotional effects on continuing development, impacting individuals' overall well-being and psychological resilience. The experience of being ostraci</w:t>
      </w:r>
      <w:r w:rsidR="003C3CE0">
        <w:t>s</w:t>
      </w:r>
      <w:r w:rsidRPr="00390903">
        <w:t>ed or marginalized from social groups can evoke a range of negative emotions, including sadness, loneliness, and anxiety</w:t>
      </w:r>
      <w:r w:rsidR="00B94C60">
        <w:t xml:space="preserve"> </w:t>
      </w:r>
      <w:sdt>
        <w:sdtPr>
          <w:id w:val="1323856938"/>
          <w:citation/>
        </w:sdtPr>
        <w:sdtContent>
          <w:r w:rsidR="00B94C60">
            <w:fldChar w:fldCharType="begin"/>
          </w:r>
          <w:r w:rsidR="00B94C60">
            <w:instrText xml:space="preserve"> CITATION Wes16 \l 2057 </w:instrText>
          </w:r>
          <w:r w:rsidR="00B94C60">
            <w:fldChar w:fldCharType="separate"/>
          </w:r>
          <w:r w:rsidR="00624984">
            <w:rPr>
              <w:noProof/>
            </w:rPr>
            <w:t>(Wesselmann et al., 2016)</w:t>
          </w:r>
          <w:r w:rsidR="00B94C60">
            <w:fldChar w:fldCharType="end"/>
          </w:r>
        </w:sdtContent>
      </w:sdt>
      <w:r w:rsidRPr="00390903">
        <w:t>. Over time, repeated instances of social exclusion can erode self-esteem and contribute to feelings of worthlessness and inadequacy</w:t>
      </w:r>
      <w:r w:rsidR="00BB5337">
        <w:t xml:space="preserve"> </w:t>
      </w:r>
      <w:sdt>
        <w:sdtPr>
          <w:id w:val="818549249"/>
          <w:citation/>
        </w:sdtPr>
        <w:sdtContent>
          <w:r w:rsidR="00426FE4">
            <w:fldChar w:fldCharType="begin"/>
          </w:r>
          <w:r w:rsidR="00426FE4">
            <w:instrText xml:space="preserve"> CITATION Lea95 \l 2057 </w:instrText>
          </w:r>
          <w:r w:rsidR="00426FE4">
            <w:fldChar w:fldCharType="separate"/>
          </w:r>
          <w:r w:rsidR="00624984">
            <w:rPr>
              <w:noProof/>
            </w:rPr>
            <w:t>(Leary et al., 1995)</w:t>
          </w:r>
          <w:r w:rsidR="00426FE4">
            <w:fldChar w:fldCharType="end"/>
          </w:r>
        </w:sdtContent>
      </w:sdt>
      <w:r w:rsidRPr="00390903">
        <w:t>. Moreover, the emotional distress stemming from social exclusion may hinder individuals' ability to form new relationships and engage in meaningful social interactions, perpetuating a cycle of isolation and further emotional strain</w:t>
      </w:r>
      <w:r w:rsidR="00361F29">
        <w:t xml:space="preserve"> </w:t>
      </w:r>
      <w:sdt>
        <w:sdtPr>
          <w:id w:val="-1541506212"/>
          <w:citation/>
        </w:sdtPr>
        <w:sdtContent>
          <w:r w:rsidR="00361F29">
            <w:fldChar w:fldCharType="begin"/>
          </w:r>
          <w:r w:rsidR="00361F29">
            <w:instrText xml:space="preserve"> CITATION HuW24 \l 2057 </w:instrText>
          </w:r>
          <w:r w:rsidR="00361F29">
            <w:fldChar w:fldCharType="separate"/>
          </w:r>
          <w:r w:rsidR="00624984">
            <w:rPr>
              <w:noProof/>
            </w:rPr>
            <w:t>(Hu, 2024)</w:t>
          </w:r>
          <w:r w:rsidR="00361F29">
            <w:fldChar w:fldCharType="end"/>
          </w:r>
        </w:sdtContent>
      </w:sdt>
      <w:r>
        <w:t xml:space="preserve">. </w:t>
      </w:r>
      <w:r w:rsidR="004F7259" w:rsidRPr="004F7259">
        <w:t>Social exclusion exerts a profound and often detrimental impact on mental health and emotional well-being, especially among older individuals like Barbara</w:t>
      </w:r>
      <w:r w:rsidR="00F629F5">
        <w:t xml:space="preserve"> </w:t>
      </w:r>
      <w:sdt>
        <w:sdtPr>
          <w:id w:val="1370264951"/>
          <w:citation/>
        </w:sdtPr>
        <w:sdtContent>
          <w:r w:rsidR="00F629F5">
            <w:fldChar w:fldCharType="begin"/>
          </w:r>
          <w:r w:rsidR="00F629F5">
            <w:instrText xml:space="preserve"> CITATION Tay18 \l 2057 </w:instrText>
          </w:r>
          <w:r w:rsidR="00F629F5">
            <w:fldChar w:fldCharType="separate"/>
          </w:r>
          <w:r w:rsidR="00624984">
            <w:rPr>
              <w:noProof/>
            </w:rPr>
            <w:t>(Taylor et al., 2018)</w:t>
          </w:r>
          <w:r w:rsidR="00F629F5">
            <w:fldChar w:fldCharType="end"/>
          </w:r>
        </w:sdtContent>
      </w:sdt>
      <w:r w:rsidR="004F7259" w:rsidRPr="004F7259">
        <w:t>. As humans, we have an inherent need for social connection and belonging, which contribute significantly to our psychological and emotional stability</w:t>
      </w:r>
      <w:r w:rsidR="00EE4ADD">
        <w:t xml:space="preserve"> </w:t>
      </w:r>
      <w:sdt>
        <w:sdtPr>
          <w:id w:val="2083946124"/>
          <w:citation/>
        </w:sdtPr>
        <w:sdtContent>
          <w:r w:rsidR="00A478B2">
            <w:fldChar w:fldCharType="begin"/>
          </w:r>
          <w:r w:rsidR="005F5FC9">
            <w:instrText xml:space="preserve">CITATION Bau17 \t  \l 2057 </w:instrText>
          </w:r>
          <w:r w:rsidR="00A478B2">
            <w:fldChar w:fldCharType="separate"/>
          </w:r>
          <w:r w:rsidR="005F5FC9">
            <w:rPr>
              <w:noProof/>
            </w:rPr>
            <w:t>(Baumeister &amp; Leary, 2017)</w:t>
          </w:r>
          <w:r w:rsidR="00A478B2">
            <w:fldChar w:fldCharType="end"/>
          </w:r>
        </w:sdtContent>
      </w:sdt>
      <w:r w:rsidR="004F7259" w:rsidRPr="004F7259">
        <w:t>.</w:t>
      </w:r>
      <w:r w:rsidR="00592037">
        <w:t xml:space="preserve"> </w:t>
      </w:r>
      <w:r w:rsidR="00592037" w:rsidRPr="00592037">
        <w:t xml:space="preserve">Moreover, social exclusion may also increase the risk of physical health problems, as chronic stress and negative emotions can adversely affect immune function and overall </w:t>
      </w:r>
      <w:r w:rsidR="00592037" w:rsidRPr="00596862">
        <w:t>health</w:t>
      </w:r>
      <w:r w:rsidR="00026DD4">
        <w:t xml:space="preserve"> </w:t>
      </w:r>
      <w:sdt>
        <w:sdtPr>
          <w:id w:val="-1288033534"/>
          <w:citation/>
        </w:sdtPr>
        <w:sdtContent>
          <w:r w:rsidR="00026DD4">
            <w:fldChar w:fldCharType="begin"/>
          </w:r>
          <w:r w:rsidR="00026DD4">
            <w:instrText xml:space="preserve"> CITATION Xia18 \l 2057 </w:instrText>
          </w:r>
          <w:r w:rsidR="00026DD4">
            <w:fldChar w:fldCharType="separate"/>
          </w:r>
          <w:r w:rsidR="00624984">
            <w:rPr>
              <w:noProof/>
            </w:rPr>
            <w:t>(Xia &amp; Li, 2018)</w:t>
          </w:r>
          <w:r w:rsidR="00026DD4">
            <w:fldChar w:fldCharType="end"/>
          </w:r>
        </w:sdtContent>
      </w:sdt>
      <w:r w:rsidR="00596862" w:rsidRPr="00596862">
        <w:t xml:space="preserve">. </w:t>
      </w:r>
      <w:r w:rsidR="00522141">
        <w:t>S</w:t>
      </w:r>
      <w:r w:rsidR="00E03B4D" w:rsidRPr="00E03B4D">
        <w:t>ocial exclusion can increase the risk of developing mental health conditions such as depression and anxiety, which are prevalent among older adults</w:t>
      </w:r>
      <w:r w:rsidR="007755C1">
        <w:t xml:space="preserve"> </w:t>
      </w:r>
      <w:sdt>
        <w:sdtPr>
          <w:id w:val="-1488625001"/>
          <w:citation/>
        </w:sdtPr>
        <w:sdtContent>
          <w:r w:rsidR="007755C1">
            <w:fldChar w:fldCharType="begin"/>
          </w:r>
          <w:r w:rsidR="007755C1">
            <w:instrText xml:space="preserve"> CITATION Bye10 \l 2057 </w:instrText>
          </w:r>
          <w:r w:rsidR="007755C1">
            <w:fldChar w:fldCharType="separate"/>
          </w:r>
          <w:r w:rsidR="00624984">
            <w:rPr>
              <w:noProof/>
            </w:rPr>
            <w:t>(Byers et al., 2010)</w:t>
          </w:r>
          <w:r w:rsidR="007755C1">
            <w:fldChar w:fldCharType="end"/>
          </w:r>
        </w:sdtContent>
      </w:sdt>
      <w:r w:rsidR="00E03B4D" w:rsidRPr="00E03B4D">
        <w:t>.</w:t>
      </w:r>
      <w:r w:rsidR="00E03B4D" w:rsidRPr="00E03B4D">
        <w:t xml:space="preserve"> </w:t>
      </w:r>
      <w:r w:rsidR="00596862" w:rsidRPr="00596862">
        <w:t xml:space="preserve">Barbara's withdrawal from </w:t>
      </w:r>
      <w:r w:rsidR="00CF5478" w:rsidRPr="00596862">
        <w:t>activities,</w:t>
      </w:r>
      <w:r w:rsidR="00596862" w:rsidRPr="00596862">
        <w:t xml:space="preserve"> she once enjoyed may exacerbate these emotional effects.</w:t>
      </w:r>
      <w:r w:rsidR="00166879">
        <w:t xml:space="preserve"> </w:t>
      </w:r>
      <w:r w:rsidR="000F402A" w:rsidRPr="00166879">
        <w:t>Socioemotional Selectivity Theory (SST)</w:t>
      </w:r>
      <w:r w:rsidR="00166879" w:rsidRPr="00166879">
        <w:t xml:space="preserve"> suggests that as individuals age, they become increasingly selective in their social interactions, prioriti</w:t>
      </w:r>
      <w:r w:rsidR="00BC10EA">
        <w:t>s</w:t>
      </w:r>
      <w:r w:rsidR="00166879" w:rsidRPr="00166879">
        <w:t>ing emotionally meaningful relationships over quantity</w:t>
      </w:r>
      <w:r w:rsidR="00C737A3">
        <w:t xml:space="preserve"> </w:t>
      </w:r>
      <w:sdt>
        <w:sdtPr>
          <w:id w:val="1505559031"/>
          <w:citation/>
        </w:sdtPr>
        <w:sdtContent>
          <w:r w:rsidR="00C737A3">
            <w:fldChar w:fldCharType="begin"/>
          </w:r>
          <w:r w:rsidR="00C737A3">
            <w:instrText xml:space="preserve"> CITATION Löc04 \l 2057 </w:instrText>
          </w:r>
          <w:r w:rsidR="00C737A3">
            <w:fldChar w:fldCharType="separate"/>
          </w:r>
          <w:r w:rsidR="00624984">
            <w:rPr>
              <w:noProof/>
            </w:rPr>
            <w:t>(Löckenhoff &amp; Carstensen, 2004)</w:t>
          </w:r>
          <w:r w:rsidR="00C737A3">
            <w:fldChar w:fldCharType="end"/>
          </w:r>
        </w:sdtContent>
      </w:sdt>
      <w:r w:rsidR="00166879" w:rsidRPr="00166879">
        <w:t>.</w:t>
      </w:r>
      <w:r w:rsidR="00BC10EA">
        <w:t xml:space="preserve"> </w:t>
      </w:r>
      <w:r w:rsidR="00FE7ED4" w:rsidRPr="00FE7ED4">
        <w:t xml:space="preserve">Social inclusion allows individuals to cultivate and maintain close, </w:t>
      </w:r>
      <w:r w:rsidR="00FE7ED4" w:rsidRPr="00FE7ED4">
        <w:lastRenderedPageBreak/>
        <w:t>emotionally fulfilling relationships, which aligns with the core tenets of SST. When individuals feel included in their social networks, they are more likely to engage in activities and interactions that promote positive emotions, such as joy, contentment, and a sense of belonging</w:t>
      </w:r>
      <w:r w:rsidR="00CB009F">
        <w:t xml:space="preserve"> </w:t>
      </w:r>
      <w:sdt>
        <w:sdtPr>
          <w:id w:val="1415361310"/>
          <w:citation/>
        </w:sdtPr>
        <w:sdtContent>
          <w:r w:rsidR="00CB009F">
            <w:fldChar w:fldCharType="begin"/>
          </w:r>
          <w:r w:rsidR="00CB009F">
            <w:instrText xml:space="preserve"> CITATION Fre13 \l 2057 </w:instrText>
          </w:r>
          <w:r w:rsidR="00CB009F">
            <w:fldChar w:fldCharType="separate"/>
          </w:r>
          <w:r w:rsidR="00624984">
            <w:rPr>
              <w:noProof/>
            </w:rPr>
            <w:t>(Fredrickson, 2013)</w:t>
          </w:r>
          <w:r w:rsidR="00CB009F">
            <w:fldChar w:fldCharType="end"/>
          </w:r>
        </w:sdtContent>
      </w:sdt>
      <w:r w:rsidR="00FE7ED4" w:rsidRPr="00FE7ED4">
        <w:t xml:space="preserve">. </w:t>
      </w:r>
      <w:r w:rsidR="005C4D09">
        <w:t>Research suggests</w:t>
      </w:r>
      <w:r w:rsidR="005C4D09" w:rsidRPr="005C4D09">
        <w:t xml:space="preserve"> that positive emotions, supportive social connections, and physical health are interconnected in a mutually reinforcing cycle, creating an upward spiral of well-being</w:t>
      </w:r>
      <w:r w:rsidR="005F0938">
        <w:t xml:space="preserve"> </w:t>
      </w:r>
      <w:sdt>
        <w:sdtPr>
          <w:id w:val="115801793"/>
          <w:citation/>
        </w:sdtPr>
        <w:sdtContent>
          <w:r w:rsidR="00CB5FB8">
            <w:fldChar w:fldCharType="begin"/>
          </w:r>
          <w:r w:rsidR="00CB5FB8">
            <w:instrText xml:space="preserve"> CITATION Kok13 \l 2057 </w:instrText>
          </w:r>
          <w:r w:rsidR="00CB5FB8">
            <w:fldChar w:fldCharType="separate"/>
          </w:r>
          <w:r w:rsidR="00624984">
            <w:rPr>
              <w:noProof/>
            </w:rPr>
            <w:t>(Kok et al., 2013)</w:t>
          </w:r>
          <w:r w:rsidR="00CB5FB8">
            <w:fldChar w:fldCharType="end"/>
          </w:r>
        </w:sdtContent>
      </w:sdt>
      <w:r w:rsidR="005C4D09" w:rsidRPr="005C4D09">
        <w:t>. This suggests that when individuals experience positive emotions, such as joy or gratitude, they are more likely to engage in meaningful social interactions and maintain good physical health.</w:t>
      </w:r>
      <w:r w:rsidR="005C4D09" w:rsidRPr="005C4D09">
        <w:t xml:space="preserve"> </w:t>
      </w:r>
      <w:r w:rsidR="00FE7ED4" w:rsidRPr="00FE7ED4">
        <w:t>However, SST may not fully explain the emotional effects of social inclusion on continuing development in all circumstances. While the theory highlights the importance of emotionally meaningful relationships, it may overlook the significance of diverse social networks and the potential benefits of interactions with a broader range of individuals</w:t>
      </w:r>
      <w:r w:rsidR="00DB716C">
        <w:t xml:space="preserve"> </w:t>
      </w:r>
      <w:sdt>
        <w:sdtPr>
          <w:id w:val="-1973203706"/>
          <w:citation/>
        </w:sdtPr>
        <w:sdtContent>
          <w:r w:rsidR="003F3333">
            <w:fldChar w:fldCharType="begin"/>
          </w:r>
          <w:r w:rsidR="003F3333">
            <w:instrText xml:space="preserve"> CITATION Fun13 \l 2057 </w:instrText>
          </w:r>
          <w:r w:rsidR="003F3333">
            <w:fldChar w:fldCharType="separate"/>
          </w:r>
          <w:r w:rsidR="00624984">
            <w:rPr>
              <w:noProof/>
            </w:rPr>
            <w:t>(Fung, 2013)</w:t>
          </w:r>
          <w:r w:rsidR="003F3333">
            <w:fldChar w:fldCharType="end"/>
          </w:r>
        </w:sdtContent>
      </w:sdt>
      <w:r w:rsidR="00FE7ED4" w:rsidRPr="00FE7ED4">
        <w:t>. In some cases, individuals may derive emotional fulfilment from social inclusion beyond their closest relationships, such as through participation in community activities or engagement with acquaintances. Barbara's loss of close relationships and limited social interactions may lead to a decline in emotional well-being</w:t>
      </w:r>
      <w:r w:rsidR="00A55FCF">
        <w:t xml:space="preserve"> which may put her more at risk </w:t>
      </w:r>
      <w:r w:rsidR="001F381E">
        <w:t xml:space="preserve">for mortality </w:t>
      </w:r>
      <w:sdt>
        <w:sdtPr>
          <w:id w:val="1304432169"/>
          <w:citation/>
        </w:sdtPr>
        <w:sdtContent>
          <w:r w:rsidR="001F381E">
            <w:fldChar w:fldCharType="begin"/>
          </w:r>
          <w:r w:rsidR="001F381E">
            <w:instrText xml:space="preserve"> CITATION Hol15 \l 2057 </w:instrText>
          </w:r>
          <w:r w:rsidR="001F381E">
            <w:fldChar w:fldCharType="separate"/>
          </w:r>
          <w:r w:rsidR="00624984">
            <w:rPr>
              <w:noProof/>
            </w:rPr>
            <w:t>(Holt-Lunstad et al., 2015)</w:t>
          </w:r>
          <w:r w:rsidR="001F381E">
            <w:fldChar w:fldCharType="end"/>
          </w:r>
        </w:sdtContent>
      </w:sdt>
      <w:r w:rsidR="00FE7ED4" w:rsidRPr="00FE7ED4">
        <w:t>.</w:t>
      </w:r>
      <w:r w:rsidR="00FC6DAD">
        <w:t xml:space="preserve"> </w:t>
      </w:r>
      <w:r w:rsidR="00C20F6B" w:rsidRPr="00C20F6B">
        <w:t>Barbara's emotional effects of social exclusion may extend beyond feelings of loneliness and sadness to encompass a pervasive sense of isolation and disconnection from her community.</w:t>
      </w:r>
    </w:p>
    <w:p w14:paraId="3460547C" w14:textId="370F5148" w:rsidR="00212DD3" w:rsidRPr="00FF59E5" w:rsidRDefault="00212DD3" w:rsidP="00D11372">
      <w:pPr>
        <w:spacing w:line="480" w:lineRule="auto"/>
        <w:jc w:val="center"/>
        <w:rPr>
          <w:b/>
          <w:bCs/>
        </w:rPr>
      </w:pPr>
      <w:r w:rsidRPr="00FF59E5">
        <w:rPr>
          <w:b/>
          <w:bCs/>
        </w:rPr>
        <w:t>Social Effects</w:t>
      </w:r>
      <w:r w:rsidR="00FF59E5">
        <w:rPr>
          <w:b/>
          <w:bCs/>
        </w:rPr>
        <w:t xml:space="preserve"> of social exclusion</w:t>
      </w:r>
    </w:p>
    <w:p w14:paraId="536416C0" w14:textId="100535A8" w:rsidR="003C081D" w:rsidRPr="006B6D86" w:rsidRDefault="0067497C" w:rsidP="00D11372">
      <w:pPr>
        <w:spacing w:line="480" w:lineRule="auto"/>
        <w:ind w:firstLine="720"/>
      </w:pPr>
      <w:r w:rsidRPr="0067497C">
        <w:t>Social exclusion exerts profound effects on continuing development, influencing various aspects of individuals' social lives and interactions. Firstly, social exclusion can lead to a diminished sense of belonging and connectedness within social networks, as individuals may feel marginali</w:t>
      </w:r>
      <w:r w:rsidR="00431192">
        <w:t>s</w:t>
      </w:r>
      <w:r w:rsidRPr="0067497C">
        <w:t>ed or ostraci</w:t>
      </w:r>
      <w:r w:rsidR="00431192">
        <w:t>s</w:t>
      </w:r>
      <w:r w:rsidRPr="0067497C">
        <w:t>ed from their communities</w:t>
      </w:r>
      <w:r w:rsidR="00E27E9B">
        <w:t xml:space="preserve"> </w:t>
      </w:r>
      <w:sdt>
        <w:sdtPr>
          <w:id w:val="-1360507642"/>
          <w:citation/>
        </w:sdtPr>
        <w:sdtContent>
          <w:r w:rsidR="00E27E9B">
            <w:fldChar w:fldCharType="begin"/>
          </w:r>
          <w:r w:rsidR="00E27E9B">
            <w:instrText xml:space="preserve">CITATION Bau171 \t  \l 2057 </w:instrText>
          </w:r>
          <w:r w:rsidR="00E27E9B">
            <w:fldChar w:fldCharType="separate"/>
          </w:r>
          <w:r w:rsidR="00624984">
            <w:rPr>
              <w:noProof/>
            </w:rPr>
            <w:t>(Baumeister &amp; Leary, 2017)</w:t>
          </w:r>
          <w:r w:rsidR="00E27E9B">
            <w:fldChar w:fldCharType="end"/>
          </w:r>
        </w:sdtContent>
      </w:sdt>
      <w:r w:rsidRPr="0067497C">
        <w:t>. This isolation can erode existing relationships and hinder the formation of new ones, exacerbating feelings of loneliness and social withdrawal</w:t>
      </w:r>
      <w:r w:rsidR="002921EC">
        <w:t xml:space="preserve"> </w:t>
      </w:r>
      <w:sdt>
        <w:sdtPr>
          <w:id w:val="-1748489639"/>
          <w:citation/>
        </w:sdtPr>
        <w:sdtContent>
          <w:r w:rsidR="002921EC">
            <w:fldChar w:fldCharType="begin"/>
          </w:r>
          <w:r w:rsidR="002921EC">
            <w:instrText xml:space="preserve"> CITATION Haw10 \l 2057 </w:instrText>
          </w:r>
          <w:r w:rsidR="002921EC">
            <w:fldChar w:fldCharType="separate"/>
          </w:r>
          <w:r w:rsidR="00624984">
            <w:rPr>
              <w:noProof/>
            </w:rPr>
            <w:t>(Hawkley &amp; Cacioppo, 2010)</w:t>
          </w:r>
          <w:r w:rsidR="002921EC">
            <w:fldChar w:fldCharType="end"/>
          </w:r>
        </w:sdtContent>
      </w:sdt>
      <w:r w:rsidRPr="0067497C">
        <w:t xml:space="preserve">. </w:t>
      </w:r>
      <w:r w:rsidR="00DB0AF7" w:rsidRPr="00067D64">
        <w:t xml:space="preserve">This strain may manifest in increased conflict or distance within relationships, further exacerbating feelings of isolation. </w:t>
      </w:r>
      <w:r w:rsidR="003610A4" w:rsidRPr="00067D64">
        <w:t>Equally</w:t>
      </w:r>
      <w:r w:rsidR="00DB0AF7" w:rsidRPr="00067D64">
        <w:t xml:space="preserve">, social exclusion can also </w:t>
      </w:r>
      <w:r w:rsidR="00DB0AF7" w:rsidRPr="00067D64">
        <w:lastRenderedPageBreak/>
        <w:t>prompt individuals to seek out new sources of social support and companionship, leading to the formation of new relationships or the strengthening of existing ones</w:t>
      </w:r>
      <w:r w:rsidR="00512DE3">
        <w:t xml:space="preserve"> </w:t>
      </w:r>
      <w:sdt>
        <w:sdtPr>
          <w:id w:val="-1462264978"/>
          <w:citation/>
        </w:sdtPr>
        <w:sdtContent>
          <w:r w:rsidR="00512DE3">
            <w:fldChar w:fldCharType="begin"/>
          </w:r>
          <w:r w:rsidR="00512DE3">
            <w:instrText xml:space="preserve"> CITATION Yao15 \l 2057 </w:instrText>
          </w:r>
          <w:r w:rsidR="00512DE3">
            <w:fldChar w:fldCharType="separate"/>
          </w:r>
          <w:r w:rsidR="00624984">
            <w:rPr>
              <w:noProof/>
            </w:rPr>
            <w:t>(Yao et al., 2015)</w:t>
          </w:r>
          <w:r w:rsidR="00512DE3">
            <w:fldChar w:fldCharType="end"/>
          </w:r>
        </w:sdtContent>
      </w:sdt>
      <w:r w:rsidR="00DB0AF7" w:rsidRPr="00067D64">
        <w:t>.</w:t>
      </w:r>
      <w:r w:rsidR="00DB0AF7">
        <w:t xml:space="preserve"> </w:t>
      </w:r>
      <w:r w:rsidRPr="0067497C">
        <w:t>Moreover, social exclusion may impact individuals' participation in social activities and community engagement, leading to a reduction in opportunities for social interaction and meaningful connections. Over time, prolonged social exclusion can contribute to a decline in social skills and confidence, further perpetuating the cycle of isolation and exclusion</w:t>
      </w:r>
      <w:r w:rsidR="00391A4C">
        <w:t xml:space="preserve"> </w:t>
      </w:r>
      <w:sdt>
        <w:sdtPr>
          <w:id w:val="-1999726211"/>
          <w:citation/>
        </w:sdtPr>
        <w:sdtContent>
          <w:r w:rsidR="00391A4C">
            <w:fldChar w:fldCharType="begin"/>
          </w:r>
          <w:r w:rsidR="00391A4C">
            <w:instrText xml:space="preserve"> CITATION Pic04 \l 2057 </w:instrText>
          </w:r>
          <w:r w:rsidR="00391A4C">
            <w:fldChar w:fldCharType="separate"/>
          </w:r>
          <w:r w:rsidR="00624984">
            <w:rPr>
              <w:noProof/>
            </w:rPr>
            <w:t>(Pickett et al., 2004)</w:t>
          </w:r>
          <w:r w:rsidR="00391A4C">
            <w:fldChar w:fldCharType="end"/>
          </w:r>
        </w:sdtContent>
      </w:sdt>
      <w:r w:rsidRPr="0067497C">
        <w:t>. Ultimately, the social effects of social exclusion can impede individuals' ability to thrive within their social environments, hindering their overall development and well-being</w:t>
      </w:r>
      <w:r w:rsidR="000B3B16">
        <w:t xml:space="preserve"> </w:t>
      </w:r>
      <w:sdt>
        <w:sdtPr>
          <w:id w:val="-592864738"/>
          <w:citation/>
        </w:sdtPr>
        <w:sdtContent>
          <w:r w:rsidR="006368EE">
            <w:fldChar w:fldCharType="begin"/>
          </w:r>
          <w:r w:rsidR="006368EE">
            <w:instrText xml:space="preserve"> CITATION Haw10 \l 2057 </w:instrText>
          </w:r>
          <w:r w:rsidR="006368EE">
            <w:fldChar w:fldCharType="separate"/>
          </w:r>
          <w:r w:rsidR="00624984">
            <w:rPr>
              <w:noProof/>
            </w:rPr>
            <w:t>(Hawkley &amp; Cacioppo, 2010)</w:t>
          </w:r>
          <w:r w:rsidR="006368EE">
            <w:fldChar w:fldCharType="end"/>
          </w:r>
        </w:sdtContent>
      </w:sdt>
      <w:r w:rsidRPr="0067497C">
        <w:t>.</w:t>
      </w:r>
      <w:r w:rsidR="00067D64">
        <w:t xml:space="preserve"> </w:t>
      </w:r>
      <w:r w:rsidR="00292577" w:rsidRPr="00292577">
        <w:t xml:space="preserve">Additionally, social exclusion can </w:t>
      </w:r>
      <w:r w:rsidR="00292577" w:rsidRPr="003C081D">
        <w:t>impede individuals' sense of belonging and inclusion within society, leading to feelings of loneliness and disconnection</w:t>
      </w:r>
      <w:r w:rsidR="00AC037C">
        <w:t xml:space="preserve"> </w:t>
      </w:r>
      <w:sdt>
        <w:sdtPr>
          <w:id w:val="1135143200"/>
          <w:citation/>
        </w:sdtPr>
        <w:sdtContent>
          <w:r w:rsidR="00AC037C">
            <w:fldChar w:fldCharType="begin"/>
          </w:r>
          <w:r w:rsidR="00AC037C">
            <w:instrText xml:space="preserve"> CITATION Wil07 \l 2057 </w:instrText>
          </w:r>
          <w:r w:rsidR="00AC037C">
            <w:fldChar w:fldCharType="separate"/>
          </w:r>
          <w:r w:rsidR="00624984">
            <w:rPr>
              <w:noProof/>
            </w:rPr>
            <w:t>(Williams, 2007)</w:t>
          </w:r>
          <w:r w:rsidR="00AC037C">
            <w:fldChar w:fldCharType="end"/>
          </w:r>
        </w:sdtContent>
      </w:sdt>
      <w:r w:rsidR="00292577" w:rsidRPr="003C081D">
        <w:t>. Barbara's experiences of loneliness and reduced social engagement may have implications for her</w:t>
      </w:r>
      <w:r w:rsidR="003F539E">
        <w:t xml:space="preserve"> current and future social connections</w:t>
      </w:r>
      <w:r w:rsidR="00292577" w:rsidRPr="003C081D">
        <w:t>.</w:t>
      </w:r>
      <w:r w:rsidR="003C081D" w:rsidRPr="003C081D">
        <w:t xml:space="preserve"> Social exclusion can result in a diminished social network, impacting Barbara's sense of identity and belonging. Reduced social interactions may lead to a lack of support and understanding, further isolating her from the community.</w:t>
      </w:r>
      <w:r w:rsidR="007B1061">
        <w:t xml:space="preserve"> </w:t>
      </w:r>
      <w:r w:rsidR="000A02F2" w:rsidRPr="007B1061">
        <w:t>Attachment theory</w:t>
      </w:r>
      <w:r w:rsidR="007B1061" w:rsidRPr="007B1061">
        <w:t xml:space="preserve"> suggests that early experiences with </w:t>
      </w:r>
      <w:r w:rsidR="00287000" w:rsidRPr="007B1061">
        <w:t>caregiver’s</w:t>
      </w:r>
      <w:r w:rsidR="007B1061" w:rsidRPr="007B1061">
        <w:t xml:space="preserve"> shape individuals' attachment styles, influencing their relationships and social interactions throughout life</w:t>
      </w:r>
      <w:r w:rsidR="002F19D9">
        <w:t xml:space="preserve"> </w:t>
      </w:r>
      <w:sdt>
        <w:sdtPr>
          <w:id w:val="-842866275"/>
          <w:citation/>
        </w:sdtPr>
        <w:sdtContent>
          <w:r w:rsidR="002F19D9">
            <w:fldChar w:fldCharType="begin"/>
          </w:r>
          <w:r w:rsidR="002F19D9">
            <w:instrText xml:space="preserve"> CITATION Bow69 \l 2057 </w:instrText>
          </w:r>
          <w:r w:rsidR="002F19D9">
            <w:fldChar w:fldCharType="separate"/>
          </w:r>
          <w:r w:rsidR="00624984">
            <w:rPr>
              <w:noProof/>
            </w:rPr>
            <w:t>(Bowlby, 1969)</w:t>
          </w:r>
          <w:r w:rsidR="002F19D9">
            <w:fldChar w:fldCharType="end"/>
          </w:r>
        </w:sdtContent>
      </w:sdt>
      <w:r w:rsidR="007B1061" w:rsidRPr="007B1061">
        <w:t>.</w:t>
      </w:r>
      <w:r w:rsidR="00386115">
        <w:t xml:space="preserve"> </w:t>
      </w:r>
      <w:r w:rsidR="008F7125">
        <w:t>This theory suggests</w:t>
      </w:r>
      <w:r w:rsidR="00386115" w:rsidRPr="00386115">
        <w:t xml:space="preserve"> the importance of secure relationships in fostering emotional well-being and social development. Social inclusion provides opportunities for individuals to form and maintain secure attachments, promoting feelings of security and trust in relationships</w:t>
      </w:r>
      <w:r w:rsidR="00BF37A5">
        <w:t xml:space="preserve"> </w:t>
      </w:r>
      <w:sdt>
        <w:sdtPr>
          <w:id w:val="928394991"/>
          <w:citation/>
        </w:sdtPr>
        <w:sdtContent>
          <w:r w:rsidR="00BF37A5">
            <w:fldChar w:fldCharType="begin"/>
          </w:r>
          <w:r w:rsidR="00BF37A5">
            <w:instrText xml:space="preserve"> CITATION Pic04 \l 2057 </w:instrText>
          </w:r>
          <w:r w:rsidR="00BF37A5">
            <w:fldChar w:fldCharType="separate"/>
          </w:r>
          <w:r w:rsidR="00624984">
            <w:rPr>
              <w:noProof/>
            </w:rPr>
            <w:t>(Pickett et al., 2004)</w:t>
          </w:r>
          <w:r w:rsidR="00BF37A5">
            <w:fldChar w:fldCharType="end"/>
          </w:r>
        </w:sdtContent>
      </w:sdt>
      <w:r w:rsidR="00386115" w:rsidRPr="00386115">
        <w:t>. As individuals feel accepted and valued within their social networks, they are more likely to develop healthy attachment patterns characteri</w:t>
      </w:r>
      <w:r w:rsidR="00287000">
        <w:t>s</w:t>
      </w:r>
      <w:r w:rsidR="00386115" w:rsidRPr="00386115">
        <w:t>ed by mutual support and empathy</w:t>
      </w:r>
      <w:r w:rsidR="007E1454">
        <w:t xml:space="preserve"> </w:t>
      </w:r>
      <w:sdt>
        <w:sdtPr>
          <w:id w:val="-207185825"/>
          <w:citation/>
        </w:sdtPr>
        <w:sdtContent>
          <w:r w:rsidR="007E1454">
            <w:fldChar w:fldCharType="begin"/>
          </w:r>
          <w:r w:rsidR="007E1454">
            <w:instrText xml:space="preserve"> CITATION Mik10 \l 2057 </w:instrText>
          </w:r>
          <w:r w:rsidR="007E1454">
            <w:fldChar w:fldCharType="separate"/>
          </w:r>
          <w:r w:rsidR="00624984">
            <w:rPr>
              <w:noProof/>
            </w:rPr>
            <w:t>(Mikulincer &amp; Shaver, 2010)</w:t>
          </w:r>
          <w:r w:rsidR="007E1454">
            <w:fldChar w:fldCharType="end"/>
          </w:r>
        </w:sdtContent>
      </w:sdt>
      <w:r w:rsidR="00386115" w:rsidRPr="00386115">
        <w:t>. These secure attachments contribute to positive social interactions, emotional resilience, and overall well-being, facilitating continued development across the lifespan</w:t>
      </w:r>
      <w:r w:rsidR="000E56CE">
        <w:t xml:space="preserve"> </w:t>
      </w:r>
      <w:sdt>
        <w:sdtPr>
          <w:id w:val="827781285"/>
          <w:citation/>
        </w:sdtPr>
        <w:sdtContent>
          <w:r w:rsidR="000E56CE">
            <w:fldChar w:fldCharType="begin"/>
          </w:r>
          <w:r w:rsidR="000E56CE">
            <w:instrText xml:space="preserve"> CITATION Sro09 \l 2057 </w:instrText>
          </w:r>
          <w:r w:rsidR="000E56CE">
            <w:fldChar w:fldCharType="separate"/>
          </w:r>
          <w:r w:rsidR="00624984">
            <w:rPr>
              <w:noProof/>
            </w:rPr>
            <w:t>(Sroufe et al., 2009)</w:t>
          </w:r>
          <w:r w:rsidR="000E56CE">
            <w:fldChar w:fldCharType="end"/>
          </w:r>
        </w:sdtContent>
      </w:sdt>
      <w:r w:rsidR="00386115" w:rsidRPr="00386115">
        <w:t>.</w:t>
      </w:r>
      <w:r w:rsidR="00386115">
        <w:t xml:space="preserve"> </w:t>
      </w:r>
      <w:r w:rsidR="000A02F2" w:rsidRPr="000A02F2">
        <w:t>However, attachment theory may not fully explain the social effects of social inclusion in all contexts. While secure attachments are essential for healthy development, individuals' experiences with social inclusion can vary widely based on factors such as cultural norms, personality traits, and life circumstances</w:t>
      </w:r>
      <w:r w:rsidR="00B119EB">
        <w:t xml:space="preserve"> </w:t>
      </w:r>
      <w:sdt>
        <w:sdtPr>
          <w:id w:val="699517521"/>
          <w:citation/>
        </w:sdtPr>
        <w:sdtContent>
          <w:r w:rsidR="00B119EB">
            <w:fldChar w:fldCharType="begin"/>
          </w:r>
          <w:r w:rsidR="00B119EB">
            <w:instrText xml:space="preserve"> CITATION Mar141 \l 2057 </w:instrText>
          </w:r>
          <w:r w:rsidR="00B119EB">
            <w:fldChar w:fldCharType="separate"/>
          </w:r>
          <w:r w:rsidR="00624984">
            <w:rPr>
              <w:noProof/>
            </w:rPr>
            <w:t>(Markus &amp; Kitayama, 2014)</w:t>
          </w:r>
          <w:r w:rsidR="00B119EB">
            <w:fldChar w:fldCharType="end"/>
          </w:r>
        </w:sdtContent>
      </w:sdt>
      <w:r w:rsidR="000A02F2" w:rsidRPr="000A02F2">
        <w:t>. Additionally, attachment theory focuses primarily on early experiences with caregivers and may not fully account for the role of peer relationships and social dynamics in shaping individuals' social development. In some cases, individuals may experience social inclusion without necessarily forming secure attachments, or they may develop secure attachments outside of their immediate social networks</w:t>
      </w:r>
      <w:r w:rsidR="00950B17">
        <w:t xml:space="preserve"> </w:t>
      </w:r>
      <w:sdt>
        <w:sdtPr>
          <w:id w:val="-1280019536"/>
          <w:citation/>
        </w:sdtPr>
        <w:sdtContent>
          <w:r w:rsidR="00950B17">
            <w:fldChar w:fldCharType="begin"/>
          </w:r>
          <w:r w:rsidR="00950B17">
            <w:instrText xml:space="preserve"> CITATION Cas99 \l 2057 </w:instrText>
          </w:r>
          <w:r w:rsidR="00950B17">
            <w:fldChar w:fldCharType="separate"/>
          </w:r>
          <w:r w:rsidR="00624984">
            <w:rPr>
              <w:noProof/>
            </w:rPr>
            <w:t>(Cassidy &amp; Shaver, 1999)</w:t>
          </w:r>
          <w:r w:rsidR="00950B17">
            <w:fldChar w:fldCharType="end"/>
          </w:r>
        </w:sdtContent>
      </w:sdt>
      <w:r w:rsidR="000A02F2" w:rsidRPr="000A02F2">
        <w:t>.</w:t>
      </w:r>
      <w:r w:rsidR="00990B16">
        <w:t xml:space="preserve"> </w:t>
      </w:r>
      <w:r w:rsidR="00523D14">
        <w:t>Barbara's social exclusion has resulted in decreased social interactions, limited opportunities for engagement with others, and a growing sense of isolation within her community.</w:t>
      </w:r>
    </w:p>
    <w:p w14:paraId="015C42E3" w14:textId="54815639" w:rsidR="00212DD3" w:rsidRPr="00FF59E5" w:rsidRDefault="00212DD3" w:rsidP="00D11372">
      <w:pPr>
        <w:spacing w:line="480" w:lineRule="auto"/>
        <w:jc w:val="center"/>
        <w:rPr>
          <w:b/>
          <w:bCs/>
        </w:rPr>
      </w:pPr>
      <w:r w:rsidRPr="00FF59E5">
        <w:rPr>
          <w:b/>
          <w:bCs/>
        </w:rPr>
        <w:t>Ameliorating Negative Effects of Social Exclusion</w:t>
      </w:r>
    </w:p>
    <w:p w14:paraId="446990FE" w14:textId="59284882" w:rsidR="00212DD3" w:rsidRPr="00212DD3" w:rsidRDefault="00A86169" w:rsidP="00D11372">
      <w:pPr>
        <w:spacing w:line="480" w:lineRule="auto"/>
        <w:ind w:firstLine="720"/>
        <w:rPr>
          <w:highlight w:val="magenta"/>
        </w:rPr>
      </w:pPr>
      <w:r w:rsidRPr="00A86169">
        <w:t>Ameliorating the negative effects of social exclusion requires multifaceted interventions that address both individual and systemic factors. At the individual level, providing social support networks and fostering meaningful connections can help mitigate feelings of loneliness and isolation. This can involve facilitating opportunities for social engagement, such as group activities or peer support programs, to promote a sense of belonging and inclusion</w:t>
      </w:r>
      <w:r w:rsidR="009D2E82">
        <w:t xml:space="preserve"> </w:t>
      </w:r>
      <w:sdt>
        <w:sdtPr>
          <w:id w:val="2052716671"/>
          <w:citation/>
        </w:sdtPr>
        <w:sdtContent>
          <w:r w:rsidR="00D337B2">
            <w:fldChar w:fldCharType="begin"/>
          </w:r>
          <w:r w:rsidR="00D337B2">
            <w:instrText xml:space="preserve"> CITATION Haw10 \l 2057 </w:instrText>
          </w:r>
          <w:r w:rsidR="00D337B2">
            <w:fldChar w:fldCharType="separate"/>
          </w:r>
          <w:r w:rsidR="00624984">
            <w:rPr>
              <w:noProof/>
            </w:rPr>
            <w:t>(Hawkley &amp; Cacioppo, 2010)</w:t>
          </w:r>
          <w:r w:rsidR="00D337B2">
            <w:fldChar w:fldCharType="end"/>
          </w:r>
        </w:sdtContent>
      </w:sdt>
      <w:r w:rsidRPr="00A86169">
        <w:t>. Additionally, offering cognitive-</w:t>
      </w:r>
      <w:r w:rsidR="00387F21" w:rsidRPr="00A86169">
        <w:t>behavioural</w:t>
      </w:r>
      <w:r w:rsidRPr="00A86169">
        <w:t xml:space="preserve"> therapy or </w:t>
      </w:r>
      <w:r w:rsidR="00387F21" w:rsidRPr="00A86169">
        <w:t>counselling</w:t>
      </w:r>
      <w:r w:rsidRPr="00A86169">
        <w:t xml:space="preserve"> can help individuals develop coping strategies and resilience in the face of social exclusion</w:t>
      </w:r>
      <w:r w:rsidR="00A12F73">
        <w:t xml:space="preserve"> </w:t>
      </w:r>
      <w:sdt>
        <w:sdtPr>
          <w:id w:val="1868717776"/>
          <w:citation/>
        </w:sdtPr>
        <w:sdtContent>
          <w:r w:rsidR="00A12F73">
            <w:fldChar w:fldCharType="begin"/>
          </w:r>
          <w:r w:rsidR="00A12F73">
            <w:instrText xml:space="preserve"> CITATION Nee17 \l 2057 </w:instrText>
          </w:r>
          <w:r w:rsidR="00A12F73">
            <w:fldChar w:fldCharType="separate"/>
          </w:r>
          <w:r w:rsidR="00624984">
            <w:rPr>
              <w:noProof/>
            </w:rPr>
            <w:t>(Neenan, 2017)</w:t>
          </w:r>
          <w:r w:rsidR="00A12F73">
            <w:fldChar w:fldCharType="end"/>
          </w:r>
        </w:sdtContent>
      </w:sdt>
      <w:r w:rsidRPr="00A86169">
        <w:t>. At the systemic level, creating inclusive environments and promoting diversity and acceptance can help prevent social exclusion from occurring in the first place. This includes implementing anti-bullying policies in schools, promoting workplace diversity and inclusion initiatives, and advocating for policies that reduce socioeconomic disparities and promote social equity.</w:t>
      </w:r>
      <w:r w:rsidR="00EE75DC">
        <w:t xml:space="preserve"> </w:t>
      </w:r>
      <w:r w:rsidR="00EE75DC" w:rsidRPr="00EE75DC">
        <w:t>To ameliorate the negative effects of social exclusion in older individuals like Barbara, tailored interventions are crucial. Firstly, establishing community programs specifically designed for older adults, such as social clubs or volunteer opportunities, can foster a sense of belonging and provide avenues for social engagement</w:t>
      </w:r>
      <w:r w:rsidR="00DD6EC0">
        <w:t xml:space="preserve"> </w:t>
      </w:r>
      <w:sdt>
        <w:sdtPr>
          <w:id w:val="1334102746"/>
          <w:citation/>
        </w:sdtPr>
        <w:sdtContent>
          <w:r w:rsidR="00C8366E">
            <w:fldChar w:fldCharType="begin"/>
          </w:r>
          <w:r w:rsidR="00C8366E">
            <w:instrText xml:space="preserve"> CITATION Cho11 \l 2057 </w:instrText>
          </w:r>
          <w:r w:rsidR="00C8366E">
            <w:fldChar w:fldCharType="separate"/>
          </w:r>
          <w:r w:rsidR="00624984">
            <w:rPr>
              <w:noProof/>
            </w:rPr>
            <w:t>(Choi &amp; Kim, 2011)</w:t>
          </w:r>
          <w:r w:rsidR="00C8366E">
            <w:fldChar w:fldCharType="end"/>
          </w:r>
        </w:sdtContent>
      </w:sdt>
      <w:r w:rsidR="00EE75DC" w:rsidRPr="00EE75DC">
        <w:t>. Additionally, facilitating intergenerational activities that bridge the gap between older and younger generations can combat feelings of isolation and promote meaningful connections</w:t>
      </w:r>
      <w:r w:rsidR="00DD6EC0">
        <w:t xml:space="preserve"> </w:t>
      </w:r>
      <w:sdt>
        <w:sdtPr>
          <w:id w:val="134233794"/>
          <w:citation/>
        </w:sdtPr>
        <w:sdtContent>
          <w:r w:rsidR="00DD6EC0">
            <w:fldChar w:fldCharType="begin"/>
          </w:r>
          <w:r w:rsidR="00DD6EC0">
            <w:instrText xml:space="preserve"> CITATION Fri04 \l 2057 </w:instrText>
          </w:r>
          <w:r w:rsidR="00DD6EC0">
            <w:fldChar w:fldCharType="separate"/>
          </w:r>
          <w:r w:rsidR="00624984">
            <w:rPr>
              <w:noProof/>
            </w:rPr>
            <w:t>(Frick et al., 2004)</w:t>
          </w:r>
          <w:r w:rsidR="00DD6EC0">
            <w:fldChar w:fldCharType="end"/>
          </w:r>
        </w:sdtContent>
      </w:sdt>
      <w:r w:rsidR="00EE75DC" w:rsidRPr="00EE75DC">
        <w:t>. Individuali</w:t>
      </w:r>
      <w:r w:rsidR="00EE75DC">
        <w:t>s</w:t>
      </w:r>
      <w:r w:rsidR="00EE75DC" w:rsidRPr="00EE75DC">
        <w:t xml:space="preserve">ed support, such as counselling or therapy, can help older </w:t>
      </w:r>
      <w:r w:rsidR="00EE75DC" w:rsidRPr="00EE75DC">
        <w:lastRenderedPageBreak/>
        <w:t>individuals like Barbara cope with the emotional toll of social exclusion and develop resilience. Furthermore, promoting age-friendly environments and inclusive policies in communities can create spaces that embrace older adults and facilitate their participation in social life.</w:t>
      </w:r>
      <w:r w:rsidR="00A96A6A">
        <w:t xml:space="preserve"> </w:t>
      </w:r>
    </w:p>
    <w:p w14:paraId="20EC39AA" w14:textId="2355A17F" w:rsidR="00212DD3" w:rsidRPr="00CF0B19" w:rsidRDefault="00212DD3" w:rsidP="00D11372">
      <w:pPr>
        <w:spacing w:line="480" w:lineRule="auto"/>
        <w:jc w:val="center"/>
        <w:rPr>
          <w:b/>
          <w:bCs/>
        </w:rPr>
      </w:pPr>
      <w:r w:rsidRPr="00CF0B19">
        <w:rPr>
          <w:b/>
          <w:bCs/>
        </w:rPr>
        <w:t>Conclusion</w:t>
      </w:r>
    </w:p>
    <w:p w14:paraId="724EA3F9" w14:textId="6BBA07FB" w:rsidR="00212DD3" w:rsidRDefault="00AD1A77" w:rsidP="00D11372">
      <w:pPr>
        <w:spacing w:line="480" w:lineRule="auto"/>
        <w:ind w:firstLine="720"/>
        <w:rPr>
          <w:highlight w:val="magenta"/>
        </w:rPr>
      </w:pPr>
      <w:r w:rsidRPr="00AD1A77">
        <w:t>In conclusion, social exclusion in later life presents multifaceted challenges that profoundly affect individuals like Barbara, impacting their cognitive, emotional, and social well-being. As people age, changes in social networks and life circumstances can contribute to feelings of isolation and detachment from once-familiar communities. Psychological theories such as attachment theory, Erikson's psychosocial stages, and Maslow's Hierarchy of Needs offer valuable insights into the complexities of social exclusion and its effects on continuing development. Additionally, contemporary research highlights the detrimental impact of social exclusion on cognitive function, emotional well-being, and social integration, underscoring the need for comprehensive interventions to address these challenges. By fostering social support networks, promoting inclusive environments, and providing individuali</w:t>
      </w:r>
      <w:r w:rsidR="000A1F5B">
        <w:t>s</w:t>
      </w:r>
      <w:r w:rsidRPr="00AD1A77">
        <w:t>ed support, it is possible to mitigate the negative effects of social exclusion and enhance the overall well-being of older individuals like Barbara. These efforts are essential for creating communities that embrace diversity, promote social connectedness, and support the continued development of individuals across the lifespan.</w:t>
      </w:r>
      <w:r w:rsidR="00212DD3">
        <w:rPr>
          <w:highlight w:val="magenta"/>
        </w:rPr>
        <w:br w:type="page"/>
      </w:r>
    </w:p>
    <w:sdt>
      <w:sdtPr>
        <w:rPr>
          <w:rFonts w:asciiTheme="minorHAnsi" w:eastAsiaTheme="minorHAnsi" w:hAnsiTheme="minorHAnsi" w:cstheme="minorBidi"/>
          <w:color w:val="auto"/>
          <w:sz w:val="22"/>
          <w:szCs w:val="22"/>
        </w:rPr>
        <w:id w:val="1131521383"/>
        <w:docPartObj>
          <w:docPartGallery w:val="Bibliographies"/>
          <w:docPartUnique/>
        </w:docPartObj>
      </w:sdtPr>
      <w:sdtContent>
        <w:p w14:paraId="4FDBCECB" w14:textId="466166FE" w:rsidR="00212DD3" w:rsidRDefault="00212DD3">
          <w:pPr>
            <w:pStyle w:val="Heading1"/>
          </w:pPr>
          <w:r>
            <w:t>References</w:t>
          </w:r>
        </w:p>
        <w:sdt>
          <w:sdtPr>
            <w:id w:val="-573587230"/>
            <w:bibliography/>
          </w:sdtPr>
          <w:sdtContent>
            <w:p w14:paraId="4C4C2B07" w14:textId="77777777" w:rsidR="00624984" w:rsidRDefault="00212DD3" w:rsidP="00624984">
              <w:pPr>
                <w:pStyle w:val="Bibliography"/>
                <w:ind w:left="720" w:hanging="720"/>
                <w:rPr>
                  <w:noProof/>
                  <w:sz w:val="24"/>
                  <w:szCs w:val="24"/>
                </w:rPr>
              </w:pPr>
              <w:r>
                <w:fldChar w:fldCharType="begin"/>
              </w:r>
              <w:r>
                <w:instrText xml:space="preserve"> BIBLIOGRAPHY </w:instrText>
              </w:r>
              <w:r>
                <w:fldChar w:fldCharType="separate"/>
              </w:r>
              <w:r w:rsidR="00624984">
                <w:rPr>
                  <w:noProof/>
                </w:rPr>
                <w:t xml:space="preserve">Ahlfinger, N. R., &amp; Esser, J. K. (2001). Testing the groupthink model: Effects of promotional leadership and conformity predisposition. </w:t>
              </w:r>
              <w:r w:rsidR="00624984">
                <w:rPr>
                  <w:i/>
                  <w:iCs/>
                  <w:noProof/>
                </w:rPr>
                <w:t>Social Behavior and Personality: an international journal, 29</w:t>
              </w:r>
              <w:r w:rsidR="00624984">
                <w:rPr>
                  <w:noProof/>
                </w:rPr>
                <w:t>(1), 31-41. https://doi.org/https://doi.org/10.2224/sbp.2001.29.1.31</w:t>
              </w:r>
            </w:p>
            <w:p w14:paraId="211B9305" w14:textId="77777777" w:rsidR="00624984" w:rsidRDefault="00624984" w:rsidP="00624984">
              <w:pPr>
                <w:pStyle w:val="Bibliography"/>
                <w:ind w:left="720" w:hanging="720"/>
                <w:rPr>
                  <w:noProof/>
                </w:rPr>
              </w:pPr>
              <w:r>
                <w:rPr>
                  <w:noProof/>
                </w:rPr>
                <w:t xml:space="preserve">Ballesteros, S., Kraft, E., Santana, S., &amp; Tziraki, C. (2015). Maintaining older brain functionality: a targeted review. </w:t>
              </w:r>
              <w:r>
                <w:rPr>
                  <w:i/>
                  <w:iCs/>
                  <w:noProof/>
                </w:rPr>
                <w:t>Neuroscience &amp; Biobehavioral Reviews, 55</w:t>
              </w:r>
              <w:r>
                <w:rPr>
                  <w:noProof/>
                </w:rPr>
                <w:t>, 453-477. https://doi.org/https://doi.org/10.1016/j.neubiorev.2015.06.008</w:t>
              </w:r>
            </w:p>
            <w:p w14:paraId="39E3FABD" w14:textId="77777777" w:rsidR="00624984" w:rsidRDefault="00624984" w:rsidP="00624984">
              <w:pPr>
                <w:pStyle w:val="Bibliography"/>
                <w:ind w:left="720" w:hanging="720"/>
                <w:rPr>
                  <w:noProof/>
                </w:rPr>
              </w:pPr>
              <w:r>
                <w:rPr>
                  <w:noProof/>
                </w:rPr>
                <w:t xml:space="preserve">Baumeister, R. F., &amp; Leary, M. R. (2017). </w:t>
              </w:r>
              <w:r>
                <w:rPr>
                  <w:i/>
                  <w:iCs/>
                  <w:noProof/>
                </w:rPr>
                <w:t>The need to belong: Desire for interpersonal attachments as a fundamental human motivation.</w:t>
              </w:r>
              <w:r>
                <w:rPr>
                  <w:noProof/>
                </w:rPr>
                <w:t xml:space="preserve"> Routledge.</w:t>
              </w:r>
            </w:p>
            <w:p w14:paraId="7A16E8EB" w14:textId="77777777" w:rsidR="00624984" w:rsidRDefault="00624984" w:rsidP="00624984">
              <w:pPr>
                <w:pStyle w:val="Bibliography"/>
                <w:ind w:left="720" w:hanging="720"/>
                <w:rPr>
                  <w:noProof/>
                </w:rPr>
              </w:pPr>
              <w:r>
                <w:rPr>
                  <w:noProof/>
                </w:rPr>
                <w:t xml:space="preserve">Baumeister, R. F., &amp; Leary, M. R. (2017). The need to belong: Desire for interpersonal attachments as a fundamental human motivation. In </w:t>
              </w:r>
              <w:r>
                <w:rPr>
                  <w:i/>
                  <w:iCs/>
                  <w:noProof/>
                </w:rPr>
                <w:t>Interpersonl development</w:t>
              </w:r>
              <w:r>
                <w:rPr>
                  <w:noProof/>
                </w:rPr>
                <w:t xml:space="preserve"> (pp. 57-89). Routledge.</w:t>
              </w:r>
            </w:p>
            <w:p w14:paraId="5BF26B6B" w14:textId="77777777" w:rsidR="00624984" w:rsidRDefault="00624984" w:rsidP="00624984">
              <w:pPr>
                <w:pStyle w:val="Bibliography"/>
                <w:ind w:left="720" w:hanging="720"/>
                <w:rPr>
                  <w:noProof/>
                </w:rPr>
              </w:pPr>
              <w:r>
                <w:rPr>
                  <w:noProof/>
                </w:rPr>
                <w:t xml:space="preserve">Begen, F. M., &amp; Turner-Cobb, J. M. (2015). Benefits of belonging: Experimental manipulation of social inclusion to enhance psychological and physiological health parameters. </w:t>
              </w:r>
              <w:r>
                <w:rPr>
                  <w:i/>
                  <w:iCs/>
                  <w:noProof/>
                </w:rPr>
                <w:t>Psychology &amp; health, 30</w:t>
              </w:r>
              <w:r>
                <w:rPr>
                  <w:noProof/>
                </w:rPr>
                <w:t>(5), 568-582. https://doi.org/https://doi.org/10.1080/08870446.2014.991734</w:t>
              </w:r>
            </w:p>
            <w:p w14:paraId="7E0FBF02" w14:textId="77777777" w:rsidR="00624984" w:rsidRDefault="00624984" w:rsidP="00624984">
              <w:pPr>
                <w:pStyle w:val="Bibliography"/>
                <w:ind w:left="720" w:hanging="720"/>
                <w:rPr>
                  <w:noProof/>
                </w:rPr>
              </w:pPr>
              <w:r>
                <w:rPr>
                  <w:noProof/>
                </w:rPr>
                <w:t xml:space="preserve">Billig, M. (1999). </w:t>
              </w:r>
              <w:r>
                <w:rPr>
                  <w:i/>
                  <w:iCs/>
                  <w:noProof/>
                </w:rPr>
                <w:t>Freudian repression: Conversation creating the unconscious.</w:t>
              </w:r>
              <w:r>
                <w:rPr>
                  <w:noProof/>
                </w:rPr>
                <w:t xml:space="preserve"> Cambridge University Press.</w:t>
              </w:r>
            </w:p>
            <w:p w14:paraId="3D1FB972" w14:textId="77777777" w:rsidR="00624984" w:rsidRDefault="00624984" w:rsidP="00624984">
              <w:pPr>
                <w:pStyle w:val="Bibliography"/>
                <w:ind w:left="720" w:hanging="720"/>
                <w:rPr>
                  <w:noProof/>
                </w:rPr>
              </w:pPr>
              <w:r>
                <w:rPr>
                  <w:noProof/>
                </w:rPr>
                <w:t xml:space="preserve">Bowlby, J. (1969). </w:t>
              </w:r>
              <w:r>
                <w:rPr>
                  <w:i/>
                  <w:iCs/>
                  <w:noProof/>
                </w:rPr>
                <w:t>Attachment and loss.</w:t>
              </w:r>
              <w:r>
                <w:rPr>
                  <w:noProof/>
                </w:rPr>
                <w:t xml:space="preserve"> Random House.</w:t>
              </w:r>
            </w:p>
            <w:p w14:paraId="051A1EDD" w14:textId="77777777" w:rsidR="00624984" w:rsidRDefault="00624984" w:rsidP="00624984">
              <w:pPr>
                <w:pStyle w:val="Bibliography"/>
                <w:ind w:left="720" w:hanging="720"/>
                <w:rPr>
                  <w:noProof/>
                </w:rPr>
              </w:pPr>
              <w:r>
                <w:rPr>
                  <w:noProof/>
                </w:rPr>
                <w:t xml:space="preserve">Braver, T. S., &amp; West, R. (2011). Working memory, executive control, and aging. In </w:t>
              </w:r>
              <w:r>
                <w:rPr>
                  <w:i/>
                  <w:iCs/>
                  <w:noProof/>
                </w:rPr>
                <w:t>The handbook of aging and cognition</w:t>
              </w:r>
              <w:r>
                <w:rPr>
                  <w:noProof/>
                </w:rPr>
                <w:t xml:space="preserve"> (pp. 319-380). Psychology Press.</w:t>
              </w:r>
            </w:p>
            <w:p w14:paraId="561EAC98" w14:textId="77777777" w:rsidR="00624984" w:rsidRDefault="00624984" w:rsidP="00624984">
              <w:pPr>
                <w:pStyle w:val="Bibliography"/>
                <w:ind w:left="720" w:hanging="720"/>
                <w:rPr>
                  <w:noProof/>
                </w:rPr>
              </w:pPr>
              <w:r>
                <w:rPr>
                  <w:noProof/>
                </w:rPr>
                <w:t xml:space="preserve">Byers, A. L., Yaffe, K., Covinsky, K. E., Friedman, M. B., &amp; Bruce, M. L. (2010). High occurrence of mood and anxiety disorders among older adults: The National Comorbidity Survey Replication. </w:t>
              </w:r>
              <w:r>
                <w:rPr>
                  <w:i/>
                  <w:iCs/>
                  <w:noProof/>
                </w:rPr>
                <w:t>Archives of general psychiatry, 67</w:t>
              </w:r>
              <w:r>
                <w:rPr>
                  <w:noProof/>
                </w:rPr>
                <w:t>(5), 489-496. https://doi.org/10.1001/archgenpsychiatry.2010.35</w:t>
              </w:r>
            </w:p>
            <w:p w14:paraId="71D038C7" w14:textId="77777777" w:rsidR="00624984" w:rsidRDefault="00624984" w:rsidP="00624984">
              <w:pPr>
                <w:pStyle w:val="Bibliography"/>
                <w:ind w:left="720" w:hanging="720"/>
                <w:rPr>
                  <w:noProof/>
                </w:rPr>
              </w:pPr>
              <w:r>
                <w:rPr>
                  <w:noProof/>
                </w:rPr>
                <w:t xml:space="preserve">Cassidy, J., &amp; Shaver, P. R. (1999). </w:t>
              </w:r>
              <w:r>
                <w:rPr>
                  <w:i/>
                  <w:iCs/>
                  <w:noProof/>
                </w:rPr>
                <w:t>Handbook of attachment: Theory, research, and clinical applications.</w:t>
              </w:r>
              <w:r>
                <w:rPr>
                  <w:noProof/>
                </w:rPr>
                <w:t xml:space="preserve"> Rough Guides.</w:t>
              </w:r>
            </w:p>
            <w:p w14:paraId="5C1F2A45" w14:textId="77777777" w:rsidR="00624984" w:rsidRDefault="00624984" w:rsidP="00624984">
              <w:pPr>
                <w:pStyle w:val="Bibliography"/>
                <w:ind w:left="720" w:hanging="720"/>
                <w:rPr>
                  <w:noProof/>
                </w:rPr>
              </w:pPr>
              <w:r>
                <w:rPr>
                  <w:noProof/>
                </w:rPr>
                <w:t xml:space="preserve">Choi, N. G., &amp; Kim, J. (2011). The effect of time volunteering and charitable donations in later life on psychological wellbeing. </w:t>
              </w:r>
              <w:r>
                <w:rPr>
                  <w:i/>
                  <w:iCs/>
                  <w:noProof/>
                </w:rPr>
                <w:t>Ageing &amp; Society, 31</w:t>
              </w:r>
              <w:r>
                <w:rPr>
                  <w:noProof/>
                </w:rPr>
                <w:t>(4), 590-610. https://doi.org/https://doi.org/10.1017/S0144686X10001224</w:t>
              </w:r>
            </w:p>
            <w:p w14:paraId="32A57C33" w14:textId="77777777" w:rsidR="00624984" w:rsidRDefault="00624984" w:rsidP="00624984">
              <w:pPr>
                <w:pStyle w:val="Bibliography"/>
                <w:ind w:left="720" w:hanging="720"/>
                <w:rPr>
                  <w:noProof/>
                </w:rPr>
              </w:pPr>
              <w:r>
                <w:rPr>
                  <w:noProof/>
                </w:rPr>
                <w:t xml:space="preserve">Di Francesco, M., Marraffa, M., &amp; Marraffa, A. (2016). The Unconscious Mind. In P. Macmillan, </w:t>
              </w:r>
              <w:r>
                <w:rPr>
                  <w:i/>
                  <w:iCs/>
                  <w:noProof/>
                </w:rPr>
                <w:t>The Self and its Defenses</w:t>
              </w:r>
              <w:r>
                <w:rPr>
                  <w:noProof/>
                </w:rPr>
                <w:t xml:space="preserve"> (pp. 9-54). https://doi.org/https://doi.org/10.1057/978-1-137-57385-8_2</w:t>
              </w:r>
            </w:p>
            <w:p w14:paraId="119A6FEB" w14:textId="77777777" w:rsidR="00624984" w:rsidRDefault="00624984" w:rsidP="00624984">
              <w:pPr>
                <w:pStyle w:val="Bibliography"/>
                <w:ind w:left="720" w:hanging="720"/>
                <w:rPr>
                  <w:noProof/>
                </w:rPr>
              </w:pPr>
              <w:r>
                <w:rPr>
                  <w:noProof/>
                </w:rPr>
                <w:t xml:space="preserve">Fliegel, Z. O. (1973). Feminine psychosexual development in Freudian theory: A historical reconstruction. </w:t>
              </w:r>
              <w:r>
                <w:rPr>
                  <w:i/>
                  <w:iCs/>
                  <w:noProof/>
                </w:rPr>
                <w:t>The Psychoanalytic Quarterly, 42</w:t>
              </w:r>
              <w:r>
                <w:rPr>
                  <w:noProof/>
                </w:rPr>
                <w:t>(3), 385-408. https://doi.org/https://doi.org/10.1080/21674086.1973.11926640</w:t>
              </w:r>
            </w:p>
            <w:p w14:paraId="6CC45778" w14:textId="77777777" w:rsidR="00624984" w:rsidRDefault="00624984" w:rsidP="00624984">
              <w:pPr>
                <w:pStyle w:val="Bibliography"/>
                <w:ind w:left="720" w:hanging="720"/>
                <w:rPr>
                  <w:noProof/>
                </w:rPr>
              </w:pPr>
              <w:r>
                <w:rPr>
                  <w:noProof/>
                </w:rPr>
                <w:t xml:space="preserve">Fredrickson, B. L. (2013). Positive emotions broaden and build. In </w:t>
              </w:r>
              <w:r>
                <w:rPr>
                  <w:i/>
                  <w:iCs/>
                  <w:noProof/>
                </w:rPr>
                <w:t>Advances in experimental social psychology</w:t>
              </w:r>
              <w:r>
                <w:rPr>
                  <w:noProof/>
                </w:rPr>
                <w:t xml:space="preserve"> (pp. 1-53). Academic Press.</w:t>
              </w:r>
            </w:p>
            <w:p w14:paraId="435C9346" w14:textId="77777777" w:rsidR="00624984" w:rsidRDefault="00624984" w:rsidP="00624984">
              <w:pPr>
                <w:pStyle w:val="Bibliography"/>
                <w:ind w:left="720" w:hanging="720"/>
                <w:rPr>
                  <w:noProof/>
                </w:rPr>
              </w:pPr>
              <w:r>
                <w:rPr>
                  <w:noProof/>
                </w:rPr>
                <w:t xml:space="preserve">Frick, K. D., Carlson, M. C., Glass, T. A., McGill, S., Rebok, G. W., Simpson, C., &amp; Fried, L. P. (2004). Modeled cost-effectiveness of the Experience Corps Baltimore based on a pilot randomized trial. </w:t>
              </w:r>
              <w:r>
                <w:rPr>
                  <w:i/>
                  <w:iCs/>
                  <w:noProof/>
                </w:rPr>
                <w:t>Journal of Urban Health, 81</w:t>
              </w:r>
              <w:r>
                <w:rPr>
                  <w:noProof/>
                </w:rPr>
                <w:t>, 106-117. https://doi.org/https://doi.org/10.1093/jurban/jth097</w:t>
              </w:r>
            </w:p>
            <w:p w14:paraId="518AC7DC" w14:textId="77777777" w:rsidR="00624984" w:rsidRDefault="00624984" w:rsidP="00624984">
              <w:pPr>
                <w:pStyle w:val="Bibliography"/>
                <w:ind w:left="720" w:hanging="720"/>
                <w:rPr>
                  <w:noProof/>
                </w:rPr>
              </w:pPr>
              <w:r>
                <w:rPr>
                  <w:noProof/>
                </w:rPr>
                <w:lastRenderedPageBreak/>
                <w:t xml:space="preserve">Fung, H. H. (2013). Aging in culture. </w:t>
              </w:r>
              <w:r>
                <w:rPr>
                  <w:i/>
                  <w:iCs/>
                  <w:noProof/>
                </w:rPr>
                <w:t>The Gerontologist, 53</w:t>
              </w:r>
              <w:r>
                <w:rPr>
                  <w:noProof/>
                </w:rPr>
                <w:t>(3), 369-377. https://doi.org/https://doi.org/10.1093/geront/gnt024</w:t>
              </w:r>
            </w:p>
            <w:p w14:paraId="54221E2F" w14:textId="77777777" w:rsidR="00624984" w:rsidRDefault="00624984" w:rsidP="00624984">
              <w:pPr>
                <w:pStyle w:val="Bibliography"/>
                <w:ind w:left="720" w:hanging="720"/>
                <w:rPr>
                  <w:noProof/>
                </w:rPr>
              </w:pPr>
              <w:r>
                <w:rPr>
                  <w:noProof/>
                </w:rPr>
                <w:t xml:space="preserve">Greenaway, K. H., Cruwys, T., Haslam, S. A., &amp; Jetten, J. (2016). Social identities promote well‐being because they satisfy global psychological needs. </w:t>
              </w:r>
              <w:r>
                <w:rPr>
                  <w:i/>
                  <w:iCs/>
                  <w:noProof/>
                </w:rPr>
                <w:t>European Journal of Social Psycholog, 46</w:t>
              </w:r>
              <w:r>
                <w:rPr>
                  <w:noProof/>
                </w:rPr>
                <w:t>(3), 294-307. https://doi.org/https://doi.org/10.1002/ejsp.2169</w:t>
              </w:r>
            </w:p>
            <w:p w14:paraId="3BECD40E" w14:textId="77777777" w:rsidR="00624984" w:rsidRDefault="00624984" w:rsidP="00624984">
              <w:pPr>
                <w:pStyle w:val="Bibliography"/>
                <w:ind w:left="720" w:hanging="720"/>
                <w:rPr>
                  <w:noProof/>
                </w:rPr>
              </w:pPr>
              <w:r>
                <w:rPr>
                  <w:noProof/>
                </w:rPr>
                <w:t xml:space="preserve">Gross, Y. (2020). Erikson's stages of psychosocial development. </w:t>
              </w:r>
              <w:r>
                <w:rPr>
                  <w:i/>
                  <w:iCs/>
                  <w:noProof/>
                </w:rPr>
                <w:t>he Wiley Encyclopedia of Personality and Individual Differences: Models and Theories</w:t>
              </w:r>
              <w:r>
                <w:rPr>
                  <w:noProof/>
                </w:rPr>
                <w:t>, 179-184. https://doi.org/https://doi.org/10.1002/9781118970843.ch31</w:t>
              </w:r>
            </w:p>
            <w:p w14:paraId="078FF4E8" w14:textId="77777777" w:rsidR="00624984" w:rsidRDefault="00624984" w:rsidP="00624984">
              <w:pPr>
                <w:pStyle w:val="Bibliography"/>
                <w:ind w:left="720" w:hanging="720"/>
                <w:rPr>
                  <w:noProof/>
                </w:rPr>
              </w:pPr>
              <w:r>
                <w:rPr>
                  <w:noProof/>
                </w:rPr>
                <w:t xml:space="preserve">Hawkley, L. C., &amp; Cacioppo, J. T. (2010). Loneliness matters: A theoretical and empirical review of consequences and mechanisms. </w:t>
              </w:r>
              <w:r>
                <w:rPr>
                  <w:i/>
                  <w:iCs/>
                  <w:noProof/>
                </w:rPr>
                <w:t>Annals of behavioral medicine, 40</w:t>
              </w:r>
              <w:r>
                <w:rPr>
                  <w:noProof/>
                </w:rPr>
                <w:t>(2), 218-227. https://doi.org/https://doi.org/10.1007/s12160-010-9210-8</w:t>
              </w:r>
            </w:p>
            <w:p w14:paraId="38B31743" w14:textId="77777777" w:rsidR="00624984" w:rsidRDefault="00624984" w:rsidP="00624984">
              <w:pPr>
                <w:pStyle w:val="Bibliography"/>
                <w:ind w:left="720" w:hanging="720"/>
                <w:rPr>
                  <w:noProof/>
                </w:rPr>
              </w:pPr>
              <w:r>
                <w:rPr>
                  <w:noProof/>
                </w:rPr>
                <w:t xml:space="preserve">Hogg, M. A. (2016). </w:t>
              </w:r>
              <w:r>
                <w:rPr>
                  <w:i/>
                  <w:iCs/>
                  <w:noProof/>
                </w:rPr>
                <w:t>Social identity theory.</w:t>
              </w:r>
              <w:r>
                <w:rPr>
                  <w:noProof/>
                </w:rPr>
                <w:t xml:space="preserve"> Springer International Publishing.</w:t>
              </w:r>
            </w:p>
            <w:p w14:paraId="49903AE8" w14:textId="77777777" w:rsidR="00624984" w:rsidRDefault="00624984" w:rsidP="00624984">
              <w:pPr>
                <w:pStyle w:val="Bibliography"/>
                <w:ind w:left="720" w:hanging="720"/>
                <w:rPr>
                  <w:noProof/>
                </w:rPr>
              </w:pPr>
              <w:r>
                <w:rPr>
                  <w:noProof/>
                </w:rPr>
                <w:t xml:space="preserve">Holt-Lunstad, J., Smith, T. B., Baker, M., Harris, T., &amp; Stephenson, D. (2015). Loneliness and social isolation as risk factors for mortality: a meta-analytic review. </w:t>
              </w:r>
              <w:r>
                <w:rPr>
                  <w:i/>
                  <w:iCs/>
                  <w:noProof/>
                </w:rPr>
                <w:t>Perspectives on psychological science, 10</w:t>
              </w:r>
              <w:r>
                <w:rPr>
                  <w:noProof/>
                </w:rPr>
                <w:t>(2), 227-237. https://doi.org/https://doi.org/10.1177/1745691614568352</w:t>
              </w:r>
            </w:p>
            <w:p w14:paraId="3D30C0C1" w14:textId="77777777" w:rsidR="00624984" w:rsidRDefault="00624984" w:rsidP="00624984">
              <w:pPr>
                <w:pStyle w:val="Bibliography"/>
                <w:ind w:left="720" w:hanging="720"/>
                <w:rPr>
                  <w:noProof/>
                </w:rPr>
              </w:pPr>
              <w:r>
                <w:rPr>
                  <w:noProof/>
                </w:rPr>
                <w:t xml:space="preserve">Hu, W. (2024). Social Withdrawal: A Systematic Review of the Influencing Mechanism, Forming Reason and Discussing the Affected Groups. </w:t>
              </w:r>
              <w:r>
                <w:rPr>
                  <w:i/>
                  <w:iCs/>
                  <w:noProof/>
                </w:rPr>
                <w:t>Journal of Education, Humanities and Social Sciences, 26</w:t>
              </w:r>
              <w:r>
                <w:rPr>
                  <w:noProof/>
                </w:rPr>
                <w:t>, 645-654. https://doi.org/https://doi.org/10.54097/8yby8004</w:t>
              </w:r>
            </w:p>
            <w:p w14:paraId="125F8A3A" w14:textId="77777777" w:rsidR="00624984" w:rsidRDefault="00624984" w:rsidP="00624984">
              <w:pPr>
                <w:pStyle w:val="Bibliography"/>
                <w:ind w:left="720" w:hanging="720"/>
                <w:rPr>
                  <w:noProof/>
                </w:rPr>
              </w:pPr>
              <w:r>
                <w:rPr>
                  <w:noProof/>
                </w:rPr>
                <w:t xml:space="preserve">Kok, B. E., Coffey, K. A., Cohn, M. A., Catalino, L. I., Vacharkulksemsuk, T., Algoe, S. B., &amp; Fredrickson, B. L. (2013). How positive emotions build physical health: Perceived positive social connections account for the upward spiral between positive emotions and vagal tone. </w:t>
              </w:r>
              <w:r>
                <w:rPr>
                  <w:i/>
                  <w:iCs/>
                  <w:noProof/>
                </w:rPr>
                <w:t>Psychological science, 24</w:t>
              </w:r>
              <w:r>
                <w:rPr>
                  <w:noProof/>
                </w:rPr>
                <w:t>(7), 1123-1132. https://doi.org/https://doi.org/10.1177/0956797612470827</w:t>
              </w:r>
            </w:p>
            <w:p w14:paraId="76468BF0" w14:textId="77777777" w:rsidR="00624984" w:rsidRDefault="00624984" w:rsidP="00624984">
              <w:pPr>
                <w:pStyle w:val="Bibliography"/>
                <w:ind w:left="720" w:hanging="720"/>
                <w:rPr>
                  <w:noProof/>
                </w:rPr>
              </w:pPr>
              <w:r>
                <w:rPr>
                  <w:noProof/>
                </w:rPr>
                <w:t xml:space="preserve">Krueger, K. R., Wilson, R. S., Kamenetsky, J. M., Barnes, L. L., Bienias, J. L., &amp; Bennett, D. A. (2009). Social engagement and cognitive function in old age. </w:t>
              </w:r>
              <w:r>
                <w:rPr>
                  <w:i/>
                  <w:iCs/>
                  <w:noProof/>
                </w:rPr>
                <w:t>Experimental aging research, 35</w:t>
              </w:r>
              <w:r>
                <w:rPr>
                  <w:noProof/>
                </w:rPr>
                <w:t>(1), 45-60. https://doi.org/https://doi.org/10.1080/03610730802545028</w:t>
              </w:r>
            </w:p>
            <w:p w14:paraId="0B737139" w14:textId="77777777" w:rsidR="00624984" w:rsidRDefault="00624984" w:rsidP="00624984">
              <w:pPr>
                <w:pStyle w:val="Bibliography"/>
                <w:ind w:left="720" w:hanging="720"/>
                <w:rPr>
                  <w:noProof/>
                </w:rPr>
              </w:pPr>
              <w:r>
                <w:rPr>
                  <w:noProof/>
                </w:rPr>
                <w:t xml:space="preserve">Lara, E., Caballero, F. F., Rico‐Uribe, L. A., Olaya, B., Haro, J. M., Ayuso‐Mateos, J. L., &amp; Miret, M. (2019). Are loneliness and social isolation associated with cognitive decline? </w:t>
              </w:r>
              <w:r>
                <w:rPr>
                  <w:i/>
                  <w:iCs/>
                  <w:noProof/>
                </w:rPr>
                <w:t>International journal of geriatric psychiatry, 34</w:t>
              </w:r>
              <w:r>
                <w:rPr>
                  <w:noProof/>
                </w:rPr>
                <w:t>(11), 1613-1622. https://doi.org/https://doi.org/10.1002/gps.5174</w:t>
              </w:r>
            </w:p>
            <w:p w14:paraId="66CB5512" w14:textId="77777777" w:rsidR="00624984" w:rsidRDefault="00624984" w:rsidP="00624984">
              <w:pPr>
                <w:pStyle w:val="Bibliography"/>
                <w:ind w:left="720" w:hanging="720"/>
                <w:rPr>
                  <w:noProof/>
                </w:rPr>
              </w:pPr>
              <w:r>
                <w:rPr>
                  <w:noProof/>
                </w:rPr>
                <w:t xml:space="preserve">Leary, M. R., Tambor, E. S., Terdal, S. K., &amp; Downs, D. L. (1995). Self-esteem as an interpersonal monitor: The sociometer hypothesis. </w:t>
              </w:r>
              <w:r>
                <w:rPr>
                  <w:i/>
                  <w:iCs/>
                  <w:noProof/>
                </w:rPr>
                <w:t>Journal of personality and social psychology, 68</w:t>
              </w:r>
              <w:r>
                <w:rPr>
                  <w:noProof/>
                </w:rPr>
                <w:t>(3), 518. https://doi.org/https://doi.org/10.1037/0022-3514.68.3.518</w:t>
              </w:r>
            </w:p>
            <w:p w14:paraId="218B8AAD" w14:textId="77777777" w:rsidR="00624984" w:rsidRDefault="00624984" w:rsidP="00624984">
              <w:pPr>
                <w:pStyle w:val="Bibliography"/>
                <w:ind w:left="720" w:hanging="720"/>
                <w:rPr>
                  <w:noProof/>
                </w:rPr>
              </w:pPr>
              <w:r>
                <w:rPr>
                  <w:noProof/>
                </w:rPr>
                <w:t xml:space="preserve">Löckenhoff, C. E., &amp; Carstensen, L. L. (2004). Socioemotional selectivity theory, aging, and health: The increasingly delicate balance between regulating emotions and making tough choices. </w:t>
              </w:r>
              <w:r>
                <w:rPr>
                  <w:i/>
                  <w:iCs/>
                  <w:noProof/>
                </w:rPr>
                <w:t>Journal of personality, 72</w:t>
              </w:r>
              <w:r>
                <w:rPr>
                  <w:noProof/>
                </w:rPr>
                <w:t>(6), 1395-1424. https://doi.org/https://doi.org/10.1111/j.1467-6494.2004.00301.x</w:t>
              </w:r>
            </w:p>
            <w:p w14:paraId="0153E159" w14:textId="77777777" w:rsidR="00624984" w:rsidRDefault="00624984" w:rsidP="00624984">
              <w:pPr>
                <w:pStyle w:val="Bibliography"/>
                <w:ind w:left="720" w:hanging="720"/>
                <w:rPr>
                  <w:noProof/>
                </w:rPr>
              </w:pPr>
              <w:r>
                <w:rPr>
                  <w:noProof/>
                </w:rPr>
                <w:t xml:space="preserve">Machado,, A., Herrera, A. J., de Pablos, R. M., Espinosa-Oliva, A. M., Sarmiento, M., Ayala, A., &amp; Cano, J. (2014). Chronic stress as a risk factor for Alzheimer’s disease. </w:t>
              </w:r>
              <w:r>
                <w:rPr>
                  <w:i/>
                  <w:iCs/>
                  <w:noProof/>
                </w:rPr>
                <w:t>Reviews in the Neurosciences, 25</w:t>
              </w:r>
              <w:r>
                <w:rPr>
                  <w:noProof/>
                </w:rPr>
                <w:t>(6), 785-804. https://doi.org/https://doi.org/10.1515/revneuro-2014-0035</w:t>
              </w:r>
            </w:p>
            <w:p w14:paraId="09F8C649" w14:textId="77777777" w:rsidR="00624984" w:rsidRDefault="00624984" w:rsidP="00624984">
              <w:pPr>
                <w:pStyle w:val="Bibliography"/>
                <w:ind w:left="720" w:hanging="720"/>
                <w:rPr>
                  <w:noProof/>
                </w:rPr>
              </w:pPr>
              <w:r>
                <w:rPr>
                  <w:noProof/>
                </w:rPr>
                <w:lastRenderedPageBreak/>
                <w:t xml:space="preserve">Markus, H. R., &amp; Kitayama, S. (2014). Culture and the self: Implications for cognition, emotion, and motivation. In </w:t>
              </w:r>
              <w:r>
                <w:rPr>
                  <w:i/>
                  <w:iCs/>
                  <w:noProof/>
                </w:rPr>
                <w:t>College student development and academic life</w:t>
              </w:r>
              <w:r>
                <w:rPr>
                  <w:noProof/>
                </w:rPr>
                <w:t xml:space="preserve"> (pp. 264-293). Routledge.</w:t>
              </w:r>
            </w:p>
            <w:p w14:paraId="27DBA5C8" w14:textId="77777777" w:rsidR="00624984" w:rsidRDefault="00624984" w:rsidP="00624984">
              <w:pPr>
                <w:pStyle w:val="Bibliography"/>
                <w:ind w:left="720" w:hanging="720"/>
                <w:rPr>
                  <w:noProof/>
                </w:rPr>
              </w:pPr>
              <w:r>
                <w:rPr>
                  <w:noProof/>
                </w:rPr>
                <w:t xml:space="preserve">Maslow, A. H. (1958). </w:t>
              </w:r>
              <w:r>
                <w:rPr>
                  <w:i/>
                  <w:iCs/>
                  <w:noProof/>
                </w:rPr>
                <w:t>A Dynamic Theory of Human Motivation.</w:t>
              </w:r>
              <w:r>
                <w:rPr>
                  <w:noProof/>
                </w:rPr>
                <w:t xml:space="preserve"> Howard Allen Publishers. https://doi.org/https://doi.org/10.1037/11305-004</w:t>
              </w:r>
            </w:p>
            <w:p w14:paraId="30739EAB" w14:textId="77777777" w:rsidR="00624984" w:rsidRDefault="00624984" w:rsidP="00624984">
              <w:pPr>
                <w:pStyle w:val="Bibliography"/>
                <w:ind w:left="720" w:hanging="720"/>
                <w:rPr>
                  <w:noProof/>
                </w:rPr>
              </w:pPr>
              <w:r>
                <w:rPr>
                  <w:noProof/>
                </w:rPr>
                <w:t xml:space="preserve">Matz, D. C., &amp; Wood, W. (2005). Cognitive dissonance in groups: the consequences of disagreement. </w:t>
              </w:r>
              <w:r>
                <w:rPr>
                  <w:i/>
                  <w:iCs/>
                  <w:noProof/>
                </w:rPr>
                <w:t>Journal of personality and social psychology, 88</w:t>
              </w:r>
              <w:r>
                <w:rPr>
                  <w:noProof/>
                </w:rPr>
                <w:t>(1), 22. https://doi.org/https://doi.org/10.1037/0022-3514.88.1.22</w:t>
              </w:r>
            </w:p>
            <w:p w14:paraId="5E9AE05F" w14:textId="77777777" w:rsidR="00624984" w:rsidRDefault="00624984" w:rsidP="00624984">
              <w:pPr>
                <w:pStyle w:val="Bibliography"/>
                <w:ind w:left="720" w:hanging="720"/>
                <w:rPr>
                  <w:noProof/>
                </w:rPr>
              </w:pPr>
              <w:r>
                <w:rPr>
                  <w:noProof/>
                </w:rPr>
                <w:t xml:space="preserve">Mikulincer, M., &amp; Shaver, P. R. (2010). </w:t>
              </w:r>
              <w:r>
                <w:rPr>
                  <w:i/>
                  <w:iCs/>
                  <w:noProof/>
                </w:rPr>
                <w:t>Attachment in adulthood.</w:t>
              </w:r>
              <w:r>
                <w:rPr>
                  <w:noProof/>
                </w:rPr>
                <w:t xml:space="preserve"> Guilford Publications.</w:t>
              </w:r>
            </w:p>
            <w:p w14:paraId="769E8153" w14:textId="77777777" w:rsidR="00624984" w:rsidRDefault="00624984" w:rsidP="00624984">
              <w:pPr>
                <w:pStyle w:val="Bibliography"/>
                <w:ind w:left="720" w:hanging="720"/>
                <w:rPr>
                  <w:noProof/>
                </w:rPr>
              </w:pPr>
              <w:r>
                <w:rPr>
                  <w:noProof/>
                </w:rPr>
                <w:t xml:space="preserve">Moyle, W., Clarke, C., Gracia, N., Reed, J., Cook, G., Klein, B., &amp; Richardson, E. (2010). Older people maintaining mental health well‐being through resilience: an appreciative inquiry study in four countries. </w:t>
              </w:r>
              <w:r>
                <w:rPr>
                  <w:i/>
                  <w:iCs/>
                  <w:noProof/>
                </w:rPr>
                <w:t>Journal of Nursing and Healthcare of Chronic Illness, 2</w:t>
              </w:r>
              <w:r>
                <w:rPr>
                  <w:noProof/>
                </w:rPr>
                <w:t>(2), 113-121. https://doi.org/https://doi.org/10.1111/j.1752-9824.2010.01050.x</w:t>
              </w:r>
            </w:p>
            <w:p w14:paraId="39D44962" w14:textId="77777777" w:rsidR="00624984" w:rsidRDefault="00624984" w:rsidP="00624984">
              <w:pPr>
                <w:pStyle w:val="Bibliography"/>
                <w:ind w:left="720" w:hanging="720"/>
                <w:rPr>
                  <w:noProof/>
                </w:rPr>
              </w:pPr>
              <w:r>
                <w:rPr>
                  <w:noProof/>
                </w:rPr>
                <w:t xml:space="preserve">Neenan, M. (2017). </w:t>
              </w:r>
              <w:r>
                <w:rPr>
                  <w:i/>
                  <w:iCs/>
                  <w:noProof/>
                </w:rPr>
                <w:t>Developing resilience: A cognitive-behavioural approach.</w:t>
              </w:r>
              <w:r>
                <w:rPr>
                  <w:noProof/>
                </w:rPr>
                <w:t xml:space="preserve"> Routledge.</w:t>
              </w:r>
            </w:p>
            <w:p w14:paraId="201014BD" w14:textId="77777777" w:rsidR="00624984" w:rsidRDefault="00624984" w:rsidP="00624984">
              <w:pPr>
                <w:pStyle w:val="Bibliography"/>
                <w:ind w:left="720" w:hanging="720"/>
                <w:rPr>
                  <w:noProof/>
                </w:rPr>
              </w:pPr>
              <w:r>
                <w:rPr>
                  <w:noProof/>
                </w:rPr>
                <w:t xml:space="preserve">Östlund, B. (2010). Watching television in later life: a deeper understanding of TV viewing in the homes of old people and in geriatric care contexts. </w:t>
              </w:r>
              <w:r>
                <w:rPr>
                  <w:i/>
                  <w:iCs/>
                  <w:noProof/>
                </w:rPr>
                <w:t>Scandinavian journal of caring sciences, 24</w:t>
              </w:r>
              <w:r>
                <w:rPr>
                  <w:noProof/>
                </w:rPr>
                <w:t>(2), 233-243. https://doi.org/https://doi.org/10.1111/j.1471-6712.2009.00711.x</w:t>
              </w:r>
            </w:p>
            <w:p w14:paraId="23F84BDC" w14:textId="77777777" w:rsidR="00624984" w:rsidRDefault="00624984" w:rsidP="00624984">
              <w:pPr>
                <w:pStyle w:val="Bibliography"/>
                <w:ind w:left="720" w:hanging="720"/>
                <w:rPr>
                  <w:noProof/>
                </w:rPr>
              </w:pPr>
              <w:r>
                <w:rPr>
                  <w:noProof/>
                </w:rPr>
                <w:t xml:space="preserve">Palmer, P. J. (2022). </w:t>
              </w:r>
              <w:r>
                <w:rPr>
                  <w:i/>
                  <w:iCs/>
                  <w:noProof/>
                </w:rPr>
                <w:t>A hidden wholeness: The journey toward an undivided life.</w:t>
              </w:r>
              <w:r>
                <w:rPr>
                  <w:noProof/>
                </w:rPr>
                <w:t xml:space="preserve"> John Wiley &amp; sons.</w:t>
              </w:r>
            </w:p>
            <w:p w14:paraId="07830F6A" w14:textId="77777777" w:rsidR="00624984" w:rsidRDefault="00624984" w:rsidP="00624984">
              <w:pPr>
                <w:pStyle w:val="Bibliography"/>
                <w:ind w:left="720" w:hanging="720"/>
                <w:rPr>
                  <w:noProof/>
                </w:rPr>
              </w:pPr>
              <w:r>
                <w:rPr>
                  <w:noProof/>
                </w:rPr>
                <w:t xml:space="preserve">Pickett, C. L., Gardner, W. L., &amp; Knowles, M. (2004). Getting a cue: The need to belong and enhanced sensitivity to social cues. </w:t>
              </w:r>
              <w:r>
                <w:rPr>
                  <w:i/>
                  <w:iCs/>
                  <w:noProof/>
                </w:rPr>
                <w:t>Personality and social psychology bulletin, 30</w:t>
              </w:r>
              <w:r>
                <w:rPr>
                  <w:noProof/>
                </w:rPr>
                <w:t>(9), 1095-1107. https://doi.org/https://doi.org/10.1177/0146167203262085</w:t>
              </w:r>
            </w:p>
            <w:p w14:paraId="49F31CD7" w14:textId="77777777" w:rsidR="00624984" w:rsidRDefault="00624984" w:rsidP="00624984">
              <w:pPr>
                <w:pStyle w:val="Bibliography"/>
                <w:ind w:left="720" w:hanging="720"/>
                <w:rPr>
                  <w:noProof/>
                </w:rPr>
              </w:pPr>
              <w:r>
                <w:rPr>
                  <w:noProof/>
                </w:rPr>
                <w:t xml:space="preserve">Pinquart, M., &amp; Sorensen, S. (2001). Influences on loneliness in older adults: A meta-analysis. </w:t>
              </w:r>
              <w:r>
                <w:rPr>
                  <w:i/>
                  <w:iCs/>
                  <w:noProof/>
                </w:rPr>
                <w:t>Basic and applied social psychology, 23</w:t>
              </w:r>
              <w:r>
                <w:rPr>
                  <w:noProof/>
                </w:rPr>
                <w:t>(4), 245-266. https://doi.org/https://doi.org/10.1207/S15324834BASP2304_2</w:t>
              </w:r>
            </w:p>
            <w:p w14:paraId="0EA63AF3" w14:textId="77777777" w:rsidR="00624984" w:rsidRDefault="00624984" w:rsidP="00624984">
              <w:pPr>
                <w:pStyle w:val="Bibliography"/>
                <w:ind w:left="720" w:hanging="720"/>
                <w:rPr>
                  <w:noProof/>
                </w:rPr>
              </w:pPr>
              <w:r>
                <w:rPr>
                  <w:noProof/>
                </w:rPr>
                <w:t xml:space="preserve">Shabad, P. C. (2007). </w:t>
              </w:r>
              <w:r>
                <w:rPr>
                  <w:i/>
                  <w:iCs/>
                  <w:noProof/>
                </w:rPr>
                <w:t>Despair and the return of hope: Echoes of mourning in psychotherapy.</w:t>
              </w:r>
              <w:r>
                <w:rPr>
                  <w:noProof/>
                </w:rPr>
                <w:t xml:space="preserve"> Jason Aronson.</w:t>
              </w:r>
            </w:p>
            <w:p w14:paraId="1A3043C3" w14:textId="77777777" w:rsidR="00624984" w:rsidRDefault="00624984" w:rsidP="00624984">
              <w:pPr>
                <w:pStyle w:val="Bibliography"/>
                <w:ind w:left="720" w:hanging="720"/>
                <w:rPr>
                  <w:noProof/>
                </w:rPr>
              </w:pPr>
              <w:r>
                <w:rPr>
                  <w:noProof/>
                </w:rPr>
                <w:t xml:space="preserve">Sroufe, L. A., Egeland, B., Carlson, E. A., &amp; Collins, W. A. (2009). </w:t>
              </w:r>
              <w:r>
                <w:rPr>
                  <w:i/>
                  <w:iCs/>
                  <w:noProof/>
                </w:rPr>
                <w:t>The development of the person.</w:t>
              </w:r>
              <w:r>
                <w:rPr>
                  <w:noProof/>
                </w:rPr>
                <w:t xml:space="preserve"> Guilford Press.</w:t>
              </w:r>
            </w:p>
            <w:p w14:paraId="48A44E41" w14:textId="77777777" w:rsidR="00624984" w:rsidRDefault="00624984" w:rsidP="00624984">
              <w:pPr>
                <w:pStyle w:val="Bibliography"/>
                <w:ind w:left="720" w:hanging="720"/>
                <w:rPr>
                  <w:noProof/>
                </w:rPr>
              </w:pPr>
              <w:r>
                <w:rPr>
                  <w:noProof/>
                </w:rPr>
                <w:t xml:space="preserve">Stillman, T. F., Baumeister, R. F., Lambert, N. M., Crescioni, A. W., DeWall, C. N., &amp; Fincham, F. D. (2009). Alone and without purpose: Life loses meaning following social exclusion. </w:t>
              </w:r>
              <w:r>
                <w:rPr>
                  <w:i/>
                  <w:iCs/>
                  <w:noProof/>
                </w:rPr>
                <w:t>Journal of experimental social psychology, 45</w:t>
              </w:r>
              <w:r>
                <w:rPr>
                  <w:noProof/>
                </w:rPr>
                <w:t>(4), 686-694. https://doi.org/https://doi.org/10.1016/j.jesp.2009.03.007</w:t>
              </w:r>
            </w:p>
            <w:p w14:paraId="625AF937" w14:textId="77777777" w:rsidR="00624984" w:rsidRDefault="00624984" w:rsidP="00624984">
              <w:pPr>
                <w:pStyle w:val="Bibliography"/>
                <w:ind w:left="720" w:hanging="720"/>
                <w:rPr>
                  <w:noProof/>
                </w:rPr>
              </w:pPr>
              <w:r>
                <w:rPr>
                  <w:noProof/>
                </w:rPr>
                <w:t xml:space="preserve">Taylor, H. O., Taylor, R. J., Nguyen, A. W., &amp; Chatters, L. (2018). Social isolation, depression, and psychological distress among older adults. </w:t>
              </w:r>
              <w:r>
                <w:rPr>
                  <w:i/>
                  <w:iCs/>
                  <w:noProof/>
                </w:rPr>
                <w:t>Journal of aging and health, 30</w:t>
              </w:r>
              <w:r>
                <w:rPr>
                  <w:noProof/>
                </w:rPr>
                <w:t>(2), 229-246. https://doi.org/https://doi.org/10.1177/0898264316673511</w:t>
              </w:r>
            </w:p>
            <w:p w14:paraId="57179882" w14:textId="77777777" w:rsidR="00624984" w:rsidRDefault="00624984" w:rsidP="00624984">
              <w:pPr>
                <w:pStyle w:val="Bibliography"/>
                <w:ind w:left="720" w:hanging="720"/>
                <w:rPr>
                  <w:noProof/>
                </w:rPr>
              </w:pPr>
              <w:r>
                <w:rPr>
                  <w:noProof/>
                </w:rPr>
                <w:t xml:space="preserve">Vaillant, G. E. (1992). </w:t>
              </w:r>
              <w:r>
                <w:rPr>
                  <w:i/>
                  <w:iCs/>
                  <w:noProof/>
                </w:rPr>
                <w:t>Ego mechanisms of defense: a guide for clinicans and researchers.</w:t>
              </w:r>
              <w:r>
                <w:rPr>
                  <w:noProof/>
                </w:rPr>
                <w:t xml:space="preserve"> American Psychiatric Pub.</w:t>
              </w:r>
            </w:p>
            <w:p w14:paraId="3F4291C9" w14:textId="77777777" w:rsidR="00624984" w:rsidRDefault="00624984" w:rsidP="00624984">
              <w:pPr>
                <w:pStyle w:val="Bibliography"/>
                <w:ind w:left="720" w:hanging="720"/>
                <w:rPr>
                  <w:noProof/>
                </w:rPr>
              </w:pPr>
              <w:r>
                <w:rPr>
                  <w:noProof/>
                </w:rPr>
                <w:t xml:space="preserve">Vaillant, G. E. (1992). </w:t>
              </w:r>
              <w:r>
                <w:rPr>
                  <w:i/>
                  <w:iCs/>
                  <w:noProof/>
                </w:rPr>
                <w:t>Ego mechanisms of defense: a guide for clinicans and researchers.</w:t>
              </w:r>
              <w:r>
                <w:rPr>
                  <w:noProof/>
                </w:rPr>
                <w:t xml:space="preserve"> American Psychiatric Pub.</w:t>
              </w:r>
            </w:p>
            <w:p w14:paraId="77DFAEB2" w14:textId="77777777" w:rsidR="00624984" w:rsidRDefault="00624984" w:rsidP="00624984">
              <w:pPr>
                <w:pStyle w:val="Bibliography"/>
                <w:ind w:left="720" w:hanging="720"/>
                <w:rPr>
                  <w:noProof/>
                </w:rPr>
              </w:pPr>
              <w:r>
                <w:rPr>
                  <w:noProof/>
                </w:rPr>
                <w:lastRenderedPageBreak/>
                <w:t xml:space="preserve">Wesselmann, E. D., Grzybowski, M. R., Steakley-Freeman, D. M., DeSouza, E. R., Nezlek, J. B., &amp; Williams, K. D. (2016). Social exclusion in everyday life. </w:t>
              </w:r>
              <w:r>
                <w:rPr>
                  <w:i/>
                  <w:iCs/>
                  <w:noProof/>
                </w:rPr>
                <w:t>Social exclusion: Psychological approaches to understanding and reducing its impact</w:t>
              </w:r>
              <w:r>
                <w:rPr>
                  <w:noProof/>
                </w:rPr>
                <w:t>, 3-23. https://doi.org/https://doi.org/10.1007/978-3-319-33033-4_1</w:t>
              </w:r>
            </w:p>
            <w:p w14:paraId="5B3DEB55" w14:textId="77777777" w:rsidR="00624984" w:rsidRDefault="00624984" w:rsidP="00624984">
              <w:pPr>
                <w:pStyle w:val="Bibliography"/>
                <w:ind w:left="720" w:hanging="720"/>
                <w:rPr>
                  <w:noProof/>
                </w:rPr>
              </w:pPr>
              <w:r>
                <w:rPr>
                  <w:noProof/>
                </w:rPr>
                <w:t xml:space="preserve">Westen, D. (1998). The scientific legacy of Sigmund Freud: Toward a psychodynamically informed psychological science. </w:t>
              </w:r>
              <w:r>
                <w:rPr>
                  <w:i/>
                  <w:iCs/>
                  <w:noProof/>
                </w:rPr>
                <w:t>Psychological bulletin, 124</w:t>
              </w:r>
              <w:r>
                <w:rPr>
                  <w:noProof/>
                </w:rPr>
                <w:t>(3), 333. https://doi.org/https://doi.org/10.1037/0033-2909.124.3.333</w:t>
              </w:r>
            </w:p>
            <w:p w14:paraId="717A01B4" w14:textId="77777777" w:rsidR="00624984" w:rsidRDefault="00624984" w:rsidP="00624984">
              <w:pPr>
                <w:pStyle w:val="Bibliography"/>
                <w:ind w:left="720" w:hanging="720"/>
                <w:rPr>
                  <w:noProof/>
                </w:rPr>
              </w:pPr>
              <w:r>
                <w:rPr>
                  <w:noProof/>
                </w:rPr>
                <w:t xml:space="preserve">Williams, K. D. (2007). Ostracism. </w:t>
              </w:r>
              <w:r>
                <w:rPr>
                  <w:i/>
                  <w:iCs/>
                  <w:noProof/>
                </w:rPr>
                <w:t>Annual review of psychology, 58</w:t>
              </w:r>
              <w:r>
                <w:rPr>
                  <w:noProof/>
                </w:rPr>
                <w:t>, 425-452. https://doi.org/https://doi.org/10.1146/annurev.psych.58.110405.085641</w:t>
              </w:r>
            </w:p>
            <w:p w14:paraId="70A050D2" w14:textId="77777777" w:rsidR="00624984" w:rsidRDefault="00624984" w:rsidP="00624984">
              <w:pPr>
                <w:pStyle w:val="Bibliography"/>
                <w:ind w:left="720" w:hanging="720"/>
                <w:rPr>
                  <w:noProof/>
                </w:rPr>
              </w:pPr>
              <w:r>
                <w:rPr>
                  <w:noProof/>
                </w:rPr>
                <w:t xml:space="preserve">Xia, N., &amp; Li, H. (2018). Loneliness, social isolation, and cardiovascular health. </w:t>
              </w:r>
              <w:r>
                <w:rPr>
                  <w:i/>
                  <w:iCs/>
                  <w:noProof/>
                </w:rPr>
                <w:t>Antioxidants &amp; redox signaling, 28</w:t>
              </w:r>
              <w:r>
                <w:rPr>
                  <w:noProof/>
                </w:rPr>
                <w:t>(9), 837-851. https://doi.org/https://doi.org/10.1089/ars.2017.7312</w:t>
              </w:r>
            </w:p>
            <w:p w14:paraId="514980FF" w14:textId="77777777" w:rsidR="00624984" w:rsidRDefault="00624984" w:rsidP="00624984">
              <w:pPr>
                <w:pStyle w:val="Bibliography"/>
                <w:ind w:left="720" w:hanging="720"/>
                <w:rPr>
                  <w:noProof/>
                </w:rPr>
              </w:pPr>
              <w:r>
                <w:rPr>
                  <w:noProof/>
                </w:rPr>
                <w:t xml:space="preserve">Yao, T., Zheng, Q., &amp; Fan, X. (2015). The impact of online social support on patients’ quality of life and the moderating role of social exclusion. </w:t>
              </w:r>
              <w:r>
                <w:rPr>
                  <w:i/>
                  <w:iCs/>
                  <w:noProof/>
                </w:rPr>
                <w:t>Journal of Service Research, 18</w:t>
              </w:r>
              <w:r>
                <w:rPr>
                  <w:noProof/>
                </w:rPr>
                <w:t>(3), 369-383. https://doi.org/https://doi.org/10.1177/1094670515583271</w:t>
              </w:r>
            </w:p>
            <w:p w14:paraId="3E991A89" w14:textId="3002478C" w:rsidR="00212DD3" w:rsidRDefault="00212DD3" w:rsidP="00624984">
              <w:r>
                <w:rPr>
                  <w:b/>
                  <w:bCs/>
                  <w:noProof/>
                </w:rPr>
                <w:fldChar w:fldCharType="end"/>
              </w:r>
            </w:p>
          </w:sdtContent>
        </w:sdt>
      </w:sdtContent>
    </w:sdt>
    <w:p w14:paraId="429698E9" w14:textId="5A3C8F0F" w:rsidR="00212DD3" w:rsidRDefault="00212DD3">
      <w:r>
        <w:br w:type="page"/>
      </w:r>
    </w:p>
    <w:p w14:paraId="60490B9D" w14:textId="73AA96FC" w:rsidR="00CC68DC" w:rsidRDefault="00212DD3" w:rsidP="00212DD3">
      <w:pPr>
        <w:pStyle w:val="Heading2"/>
      </w:pPr>
      <w:r>
        <w:lastRenderedPageBreak/>
        <w:t>Appendix</w:t>
      </w:r>
    </w:p>
    <w:p w14:paraId="7456F767" w14:textId="77777777" w:rsidR="00212DD3" w:rsidRPr="00212DD3" w:rsidRDefault="00212DD3" w:rsidP="00212DD3">
      <w:pPr>
        <w:rPr>
          <w:b/>
          <w:bCs/>
        </w:rPr>
      </w:pPr>
      <w:r w:rsidRPr="00212DD3">
        <w:rPr>
          <w:b/>
          <w:bCs/>
        </w:rPr>
        <w:t xml:space="preserve">SCENARIO: BARBARA </w:t>
      </w:r>
    </w:p>
    <w:p w14:paraId="475E2108" w14:textId="77777777" w:rsidR="00212DD3" w:rsidRPr="00212DD3" w:rsidRDefault="00212DD3" w:rsidP="00212DD3">
      <w:r w:rsidRPr="00212DD3">
        <w:t xml:space="preserve">Barbara is seventy-six years old and has lived alone in her own home in a village since her husband died four years ago. She has one son, who now lives with his wife and three children 310 miles away from Barbara. A usually outgoing woman with a positive outlook on life, until her retirement, eleven years ago, she worked as a teacher in her local primary school, knowing many families in the area and often stopping to chat with them. Since then, these schoolchildren have grown to adulthood and </w:t>
      </w:r>
      <w:proofErr w:type="gramStart"/>
      <w:r w:rsidRPr="00212DD3">
        <w:t>a number of</w:t>
      </w:r>
      <w:proofErr w:type="gramEnd"/>
      <w:r w:rsidRPr="00212DD3">
        <w:t xml:space="preserve"> new families have moved into the area. Barbara and her husband had been regular attenders at a ballroom dancing club once a week and had also enjoyed coach trips around the UK and Europe, with an increase in trips since their retirement. Barbara had never needed to learn to drive, as her husband drove their car. Since her bereavement, Barbara has stopped her dancing activities, as they reminded her of her loss. Although she has the financial means to afford holidays, Barbara no longer takes coach trips, as she has no-one to travel with. Most of her close friends are of a similar age and are either unable or unwilling to travel far from the local area. Barbara does meet with a couple of older close friends, but these visits are becoming less frequent; her friends have children and grandchildren living locally and they spend much of their time with those family members. Recently, Barbara has relied more on her television and radio for company, along with occasional phone calls from her son and grandchildren. She does not like to phone her son too often, as he is frequently busy with work, so she has begun waiting for him to phone her. Sometimes a few weeks can go by with no call from him. With few reasons to leave the house, other than brief shopping trips and medical and dental appointments, Barbara spends time tending to her garden and reading, but she has noticed that she increasingly feels tired and cold in the afternoons, often needing a nap. She now routinely goes to bed by nine o’clock in the evening, as she feels warmer in bed. Barbara misses the community feel of the village when she knew almost everyone and felt seen by people, who would ask how she was. She now feels lonely and left out of village life.</w:t>
      </w:r>
    </w:p>
    <w:p w14:paraId="51C16185" w14:textId="77777777" w:rsidR="00212DD3" w:rsidRPr="00212DD3" w:rsidRDefault="00212DD3" w:rsidP="00212DD3"/>
    <w:sectPr w:rsidR="00212DD3" w:rsidRPr="00212DD3">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2A69006"/>
    <w:rsid w:val="0000217F"/>
    <w:rsid w:val="00005F4A"/>
    <w:rsid w:val="00026DD4"/>
    <w:rsid w:val="00067BAB"/>
    <w:rsid w:val="00067D64"/>
    <w:rsid w:val="00073D51"/>
    <w:rsid w:val="00084F3F"/>
    <w:rsid w:val="00091155"/>
    <w:rsid w:val="000915B9"/>
    <w:rsid w:val="000A02F2"/>
    <w:rsid w:val="000A1F5B"/>
    <w:rsid w:val="000A6F78"/>
    <w:rsid w:val="000A75EC"/>
    <w:rsid w:val="000B3B16"/>
    <w:rsid w:val="000E56CE"/>
    <w:rsid w:val="000F402A"/>
    <w:rsid w:val="00115448"/>
    <w:rsid w:val="00124CC9"/>
    <w:rsid w:val="00146F4A"/>
    <w:rsid w:val="001507F2"/>
    <w:rsid w:val="00162AAA"/>
    <w:rsid w:val="001652F7"/>
    <w:rsid w:val="00166879"/>
    <w:rsid w:val="00192610"/>
    <w:rsid w:val="00197D83"/>
    <w:rsid w:val="001B2DE3"/>
    <w:rsid w:val="001C467C"/>
    <w:rsid w:val="001E26BD"/>
    <w:rsid w:val="001E655A"/>
    <w:rsid w:val="001E6AAF"/>
    <w:rsid w:val="001F1D86"/>
    <w:rsid w:val="001F381E"/>
    <w:rsid w:val="001F5168"/>
    <w:rsid w:val="00210E02"/>
    <w:rsid w:val="00212DD3"/>
    <w:rsid w:val="00215D74"/>
    <w:rsid w:val="00220D0F"/>
    <w:rsid w:val="00225A3B"/>
    <w:rsid w:val="00240A64"/>
    <w:rsid w:val="002436A2"/>
    <w:rsid w:val="00246FFC"/>
    <w:rsid w:val="00257D68"/>
    <w:rsid w:val="00260C95"/>
    <w:rsid w:val="00263CE8"/>
    <w:rsid w:val="0027557F"/>
    <w:rsid w:val="00281003"/>
    <w:rsid w:val="00287000"/>
    <w:rsid w:val="002921EC"/>
    <w:rsid w:val="00292577"/>
    <w:rsid w:val="00292780"/>
    <w:rsid w:val="002B1F82"/>
    <w:rsid w:val="002D35BF"/>
    <w:rsid w:val="002D489D"/>
    <w:rsid w:val="002D7C03"/>
    <w:rsid w:val="002E3B35"/>
    <w:rsid w:val="002F19D9"/>
    <w:rsid w:val="00321B52"/>
    <w:rsid w:val="00331047"/>
    <w:rsid w:val="00333BFC"/>
    <w:rsid w:val="00346D02"/>
    <w:rsid w:val="00347A48"/>
    <w:rsid w:val="0036092E"/>
    <w:rsid w:val="003610A4"/>
    <w:rsid w:val="00361F29"/>
    <w:rsid w:val="00363740"/>
    <w:rsid w:val="00380D01"/>
    <w:rsid w:val="00386115"/>
    <w:rsid w:val="00387F21"/>
    <w:rsid w:val="00390903"/>
    <w:rsid w:val="00391A4C"/>
    <w:rsid w:val="003973B3"/>
    <w:rsid w:val="003C081D"/>
    <w:rsid w:val="003C3CE0"/>
    <w:rsid w:val="003F3333"/>
    <w:rsid w:val="003F42C1"/>
    <w:rsid w:val="003F539E"/>
    <w:rsid w:val="004216C3"/>
    <w:rsid w:val="00426FE4"/>
    <w:rsid w:val="00431192"/>
    <w:rsid w:val="00447358"/>
    <w:rsid w:val="00463063"/>
    <w:rsid w:val="00485108"/>
    <w:rsid w:val="00487A1E"/>
    <w:rsid w:val="0049469A"/>
    <w:rsid w:val="004C7E35"/>
    <w:rsid w:val="004D453B"/>
    <w:rsid w:val="004E3F5D"/>
    <w:rsid w:val="004F7259"/>
    <w:rsid w:val="005073F8"/>
    <w:rsid w:val="00512DE3"/>
    <w:rsid w:val="005139F5"/>
    <w:rsid w:val="00514B77"/>
    <w:rsid w:val="00522141"/>
    <w:rsid w:val="00523D14"/>
    <w:rsid w:val="005435D4"/>
    <w:rsid w:val="0054390E"/>
    <w:rsid w:val="00544A95"/>
    <w:rsid w:val="0054781C"/>
    <w:rsid w:val="00556363"/>
    <w:rsid w:val="005777F8"/>
    <w:rsid w:val="00592037"/>
    <w:rsid w:val="00595DCD"/>
    <w:rsid w:val="00596862"/>
    <w:rsid w:val="005B386A"/>
    <w:rsid w:val="005B5CB9"/>
    <w:rsid w:val="005C4D09"/>
    <w:rsid w:val="005D5619"/>
    <w:rsid w:val="005D5BCC"/>
    <w:rsid w:val="005E7D50"/>
    <w:rsid w:val="005F0938"/>
    <w:rsid w:val="005F0E85"/>
    <w:rsid w:val="005F2B17"/>
    <w:rsid w:val="005F2C0C"/>
    <w:rsid w:val="005F5567"/>
    <w:rsid w:val="005F5FC9"/>
    <w:rsid w:val="006077E9"/>
    <w:rsid w:val="006203DF"/>
    <w:rsid w:val="0062358B"/>
    <w:rsid w:val="00624984"/>
    <w:rsid w:val="00625F7B"/>
    <w:rsid w:val="006368EE"/>
    <w:rsid w:val="00644A67"/>
    <w:rsid w:val="0067497C"/>
    <w:rsid w:val="00676614"/>
    <w:rsid w:val="00685E3E"/>
    <w:rsid w:val="00686D30"/>
    <w:rsid w:val="006B6D86"/>
    <w:rsid w:val="006C2A94"/>
    <w:rsid w:val="00700C52"/>
    <w:rsid w:val="00700F65"/>
    <w:rsid w:val="007026E8"/>
    <w:rsid w:val="00725C95"/>
    <w:rsid w:val="00726F04"/>
    <w:rsid w:val="00735A8A"/>
    <w:rsid w:val="00767BFB"/>
    <w:rsid w:val="007755C1"/>
    <w:rsid w:val="007773BA"/>
    <w:rsid w:val="00794C33"/>
    <w:rsid w:val="00794D0B"/>
    <w:rsid w:val="007B1061"/>
    <w:rsid w:val="007E1454"/>
    <w:rsid w:val="007F0273"/>
    <w:rsid w:val="007F1CDD"/>
    <w:rsid w:val="007F637F"/>
    <w:rsid w:val="00804CA8"/>
    <w:rsid w:val="00806991"/>
    <w:rsid w:val="00810B83"/>
    <w:rsid w:val="00836C19"/>
    <w:rsid w:val="00857DE7"/>
    <w:rsid w:val="00860AD1"/>
    <w:rsid w:val="0086103F"/>
    <w:rsid w:val="0086229C"/>
    <w:rsid w:val="00864DE1"/>
    <w:rsid w:val="00895AB7"/>
    <w:rsid w:val="008B49FF"/>
    <w:rsid w:val="008E5164"/>
    <w:rsid w:val="008F2E8B"/>
    <w:rsid w:val="008F7125"/>
    <w:rsid w:val="00900E5B"/>
    <w:rsid w:val="009179BB"/>
    <w:rsid w:val="009433D1"/>
    <w:rsid w:val="00944AB1"/>
    <w:rsid w:val="00950B17"/>
    <w:rsid w:val="009569DA"/>
    <w:rsid w:val="0096268F"/>
    <w:rsid w:val="009656A4"/>
    <w:rsid w:val="00973973"/>
    <w:rsid w:val="00984AB6"/>
    <w:rsid w:val="00990B16"/>
    <w:rsid w:val="009B141C"/>
    <w:rsid w:val="009B37ED"/>
    <w:rsid w:val="009C1B99"/>
    <w:rsid w:val="009D2E82"/>
    <w:rsid w:val="009E0F29"/>
    <w:rsid w:val="009F41A3"/>
    <w:rsid w:val="009F6E4B"/>
    <w:rsid w:val="00A00CDD"/>
    <w:rsid w:val="00A04398"/>
    <w:rsid w:val="00A12F73"/>
    <w:rsid w:val="00A163A2"/>
    <w:rsid w:val="00A300CD"/>
    <w:rsid w:val="00A478B2"/>
    <w:rsid w:val="00A50C9C"/>
    <w:rsid w:val="00A51613"/>
    <w:rsid w:val="00A53174"/>
    <w:rsid w:val="00A53639"/>
    <w:rsid w:val="00A55FCF"/>
    <w:rsid w:val="00A67BBA"/>
    <w:rsid w:val="00A86169"/>
    <w:rsid w:val="00A96A6A"/>
    <w:rsid w:val="00AA1AB8"/>
    <w:rsid w:val="00AC037C"/>
    <w:rsid w:val="00AC50F4"/>
    <w:rsid w:val="00AD1A77"/>
    <w:rsid w:val="00AE7AC6"/>
    <w:rsid w:val="00AF0BEF"/>
    <w:rsid w:val="00AF3D00"/>
    <w:rsid w:val="00B02E12"/>
    <w:rsid w:val="00B0547E"/>
    <w:rsid w:val="00B06FF2"/>
    <w:rsid w:val="00B119EB"/>
    <w:rsid w:val="00B22A7A"/>
    <w:rsid w:val="00B36DE8"/>
    <w:rsid w:val="00B54949"/>
    <w:rsid w:val="00B552A4"/>
    <w:rsid w:val="00B56F41"/>
    <w:rsid w:val="00B60B6B"/>
    <w:rsid w:val="00B70315"/>
    <w:rsid w:val="00B80E6B"/>
    <w:rsid w:val="00B847F5"/>
    <w:rsid w:val="00B93B93"/>
    <w:rsid w:val="00B94C60"/>
    <w:rsid w:val="00BB5337"/>
    <w:rsid w:val="00BB539D"/>
    <w:rsid w:val="00BB7763"/>
    <w:rsid w:val="00BC10EA"/>
    <w:rsid w:val="00BD0E61"/>
    <w:rsid w:val="00BD5EC6"/>
    <w:rsid w:val="00BE33D7"/>
    <w:rsid w:val="00BE5C80"/>
    <w:rsid w:val="00BF37A5"/>
    <w:rsid w:val="00C0363C"/>
    <w:rsid w:val="00C150C9"/>
    <w:rsid w:val="00C203B7"/>
    <w:rsid w:val="00C20F6B"/>
    <w:rsid w:val="00C36A6E"/>
    <w:rsid w:val="00C4592D"/>
    <w:rsid w:val="00C466A4"/>
    <w:rsid w:val="00C51168"/>
    <w:rsid w:val="00C5243B"/>
    <w:rsid w:val="00C52735"/>
    <w:rsid w:val="00C54807"/>
    <w:rsid w:val="00C65D4A"/>
    <w:rsid w:val="00C737A3"/>
    <w:rsid w:val="00C82683"/>
    <w:rsid w:val="00C8306C"/>
    <w:rsid w:val="00C8366E"/>
    <w:rsid w:val="00C86888"/>
    <w:rsid w:val="00C876E2"/>
    <w:rsid w:val="00C9119A"/>
    <w:rsid w:val="00CA36AA"/>
    <w:rsid w:val="00CA4A8D"/>
    <w:rsid w:val="00CB009F"/>
    <w:rsid w:val="00CB59B6"/>
    <w:rsid w:val="00CB5FB8"/>
    <w:rsid w:val="00CC05F5"/>
    <w:rsid w:val="00CC380F"/>
    <w:rsid w:val="00CC68DC"/>
    <w:rsid w:val="00CF0B19"/>
    <w:rsid w:val="00CF1F4C"/>
    <w:rsid w:val="00CF5478"/>
    <w:rsid w:val="00D11372"/>
    <w:rsid w:val="00D1601E"/>
    <w:rsid w:val="00D2267C"/>
    <w:rsid w:val="00D30112"/>
    <w:rsid w:val="00D337B2"/>
    <w:rsid w:val="00D43F64"/>
    <w:rsid w:val="00D46352"/>
    <w:rsid w:val="00D47BC5"/>
    <w:rsid w:val="00D52BB9"/>
    <w:rsid w:val="00D543A0"/>
    <w:rsid w:val="00D944BD"/>
    <w:rsid w:val="00DA27B3"/>
    <w:rsid w:val="00DA3263"/>
    <w:rsid w:val="00DA6E1A"/>
    <w:rsid w:val="00DB0AF7"/>
    <w:rsid w:val="00DB716C"/>
    <w:rsid w:val="00DD6EC0"/>
    <w:rsid w:val="00DF0801"/>
    <w:rsid w:val="00E01F54"/>
    <w:rsid w:val="00E02F6E"/>
    <w:rsid w:val="00E03B4D"/>
    <w:rsid w:val="00E064EA"/>
    <w:rsid w:val="00E27E9B"/>
    <w:rsid w:val="00E43542"/>
    <w:rsid w:val="00E56AB6"/>
    <w:rsid w:val="00E572D6"/>
    <w:rsid w:val="00E64325"/>
    <w:rsid w:val="00E76030"/>
    <w:rsid w:val="00E81C6A"/>
    <w:rsid w:val="00E93F27"/>
    <w:rsid w:val="00E956F4"/>
    <w:rsid w:val="00E965D1"/>
    <w:rsid w:val="00EB6CBE"/>
    <w:rsid w:val="00EC4830"/>
    <w:rsid w:val="00ED25FA"/>
    <w:rsid w:val="00ED6B53"/>
    <w:rsid w:val="00EE4ADD"/>
    <w:rsid w:val="00EE75DC"/>
    <w:rsid w:val="00EF5FAE"/>
    <w:rsid w:val="00F147EC"/>
    <w:rsid w:val="00F2366C"/>
    <w:rsid w:val="00F239C7"/>
    <w:rsid w:val="00F2457E"/>
    <w:rsid w:val="00F41B07"/>
    <w:rsid w:val="00F629F5"/>
    <w:rsid w:val="00F90E14"/>
    <w:rsid w:val="00FB456A"/>
    <w:rsid w:val="00FC57B8"/>
    <w:rsid w:val="00FC6C84"/>
    <w:rsid w:val="00FC6DAD"/>
    <w:rsid w:val="00FD456C"/>
    <w:rsid w:val="00FE7ED4"/>
    <w:rsid w:val="00FF1678"/>
    <w:rsid w:val="00FF59E5"/>
    <w:rsid w:val="62A690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A69006"/>
  <w15:chartTrackingRefBased/>
  <w15:docId w15:val="{E9152D1A-F3CF-455F-A5E5-7E7F5ADBDA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7ED4"/>
  </w:style>
  <w:style w:type="paragraph" w:styleId="Heading1">
    <w:name w:val="heading 1"/>
    <w:basedOn w:val="Normal"/>
    <w:next w:val="Normal"/>
    <w:link w:val="Heading1Char"/>
    <w:uiPriority w:val="9"/>
    <w:qFormat/>
    <w:rsid w:val="00804CA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12DD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04CA8"/>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212DD3"/>
    <w:rPr>
      <w:rFonts w:asciiTheme="majorHAnsi" w:eastAsiaTheme="majorEastAsia" w:hAnsiTheme="majorHAnsi" w:cstheme="majorBidi"/>
      <w:color w:val="2F5496" w:themeColor="accent1" w:themeShade="BF"/>
      <w:sz w:val="26"/>
      <w:szCs w:val="26"/>
    </w:rPr>
  </w:style>
  <w:style w:type="paragraph" w:styleId="Bibliography">
    <w:name w:val="Bibliography"/>
    <w:basedOn w:val="Normal"/>
    <w:next w:val="Normal"/>
    <w:uiPriority w:val="37"/>
    <w:unhideWhenUsed/>
    <w:rsid w:val="00CB59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7032570">
      <w:bodyDiv w:val="1"/>
      <w:marLeft w:val="0"/>
      <w:marRight w:val="0"/>
      <w:marTop w:val="0"/>
      <w:marBottom w:val="0"/>
      <w:divBdr>
        <w:top w:val="none" w:sz="0" w:space="0" w:color="auto"/>
        <w:left w:val="none" w:sz="0" w:space="0" w:color="auto"/>
        <w:bottom w:val="none" w:sz="0" w:space="0" w:color="auto"/>
        <w:right w:val="none" w:sz="0" w:space="0" w:color="auto"/>
      </w:divBdr>
    </w:div>
    <w:div w:id="29189715">
      <w:bodyDiv w:val="1"/>
      <w:marLeft w:val="0"/>
      <w:marRight w:val="0"/>
      <w:marTop w:val="0"/>
      <w:marBottom w:val="0"/>
      <w:divBdr>
        <w:top w:val="none" w:sz="0" w:space="0" w:color="auto"/>
        <w:left w:val="none" w:sz="0" w:space="0" w:color="auto"/>
        <w:bottom w:val="none" w:sz="0" w:space="0" w:color="auto"/>
        <w:right w:val="none" w:sz="0" w:space="0" w:color="auto"/>
      </w:divBdr>
    </w:div>
    <w:div w:id="38406174">
      <w:bodyDiv w:val="1"/>
      <w:marLeft w:val="0"/>
      <w:marRight w:val="0"/>
      <w:marTop w:val="0"/>
      <w:marBottom w:val="0"/>
      <w:divBdr>
        <w:top w:val="none" w:sz="0" w:space="0" w:color="auto"/>
        <w:left w:val="none" w:sz="0" w:space="0" w:color="auto"/>
        <w:bottom w:val="none" w:sz="0" w:space="0" w:color="auto"/>
        <w:right w:val="none" w:sz="0" w:space="0" w:color="auto"/>
      </w:divBdr>
    </w:div>
    <w:div w:id="54939711">
      <w:bodyDiv w:val="1"/>
      <w:marLeft w:val="0"/>
      <w:marRight w:val="0"/>
      <w:marTop w:val="0"/>
      <w:marBottom w:val="0"/>
      <w:divBdr>
        <w:top w:val="none" w:sz="0" w:space="0" w:color="auto"/>
        <w:left w:val="none" w:sz="0" w:space="0" w:color="auto"/>
        <w:bottom w:val="none" w:sz="0" w:space="0" w:color="auto"/>
        <w:right w:val="none" w:sz="0" w:space="0" w:color="auto"/>
      </w:divBdr>
    </w:div>
    <w:div w:id="65222605">
      <w:bodyDiv w:val="1"/>
      <w:marLeft w:val="0"/>
      <w:marRight w:val="0"/>
      <w:marTop w:val="0"/>
      <w:marBottom w:val="0"/>
      <w:divBdr>
        <w:top w:val="none" w:sz="0" w:space="0" w:color="auto"/>
        <w:left w:val="none" w:sz="0" w:space="0" w:color="auto"/>
        <w:bottom w:val="none" w:sz="0" w:space="0" w:color="auto"/>
        <w:right w:val="none" w:sz="0" w:space="0" w:color="auto"/>
      </w:divBdr>
    </w:div>
    <w:div w:id="65997339">
      <w:bodyDiv w:val="1"/>
      <w:marLeft w:val="0"/>
      <w:marRight w:val="0"/>
      <w:marTop w:val="0"/>
      <w:marBottom w:val="0"/>
      <w:divBdr>
        <w:top w:val="none" w:sz="0" w:space="0" w:color="auto"/>
        <w:left w:val="none" w:sz="0" w:space="0" w:color="auto"/>
        <w:bottom w:val="none" w:sz="0" w:space="0" w:color="auto"/>
        <w:right w:val="none" w:sz="0" w:space="0" w:color="auto"/>
      </w:divBdr>
    </w:div>
    <w:div w:id="69081267">
      <w:bodyDiv w:val="1"/>
      <w:marLeft w:val="0"/>
      <w:marRight w:val="0"/>
      <w:marTop w:val="0"/>
      <w:marBottom w:val="0"/>
      <w:divBdr>
        <w:top w:val="none" w:sz="0" w:space="0" w:color="auto"/>
        <w:left w:val="none" w:sz="0" w:space="0" w:color="auto"/>
        <w:bottom w:val="none" w:sz="0" w:space="0" w:color="auto"/>
        <w:right w:val="none" w:sz="0" w:space="0" w:color="auto"/>
      </w:divBdr>
    </w:div>
    <w:div w:id="79060106">
      <w:bodyDiv w:val="1"/>
      <w:marLeft w:val="0"/>
      <w:marRight w:val="0"/>
      <w:marTop w:val="0"/>
      <w:marBottom w:val="0"/>
      <w:divBdr>
        <w:top w:val="none" w:sz="0" w:space="0" w:color="auto"/>
        <w:left w:val="none" w:sz="0" w:space="0" w:color="auto"/>
        <w:bottom w:val="none" w:sz="0" w:space="0" w:color="auto"/>
        <w:right w:val="none" w:sz="0" w:space="0" w:color="auto"/>
      </w:divBdr>
    </w:div>
    <w:div w:id="109279021">
      <w:bodyDiv w:val="1"/>
      <w:marLeft w:val="0"/>
      <w:marRight w:val="0"/>
      <w:marTop w:val="0"/>
      <w:marBottom w:val="0"/>
      <w:divBdr>
        <w:top w:val="none" w:sz="0" w:space="0" w:color="auto"/>
        <w:left w:val="none" w:sz="0" w:space="0" w:color="auto"/>
        <w:bottom w:val="none" w:sz="0" w:space="0" w:color="auto"/>
        <w:right w:val="none" w:sz="0" w:space="0" w:color="auto"/>
      </w:divBdr>
    </w:div>
    <w:div w:id="121463043">
      <w:bodyDiv w:val="1"/>
      <w:marLeft w:val="0"/>
      <w:marRight w:val="0"/>
      <w:marTop w:val="0"/>
      <w:marBottom w:val="0"/>
      <w:divBdr>
        <w:top w:val="none" w:sz="0" w:space="0" w:color="auto"/>
        <w:left w:val="none" w:sz="0" w:space="0" w:color="auto"/>
        <w:bottom w:val="none" w:sz="0" w:space="0" w:color="auto"/>
        <w:right w:val="none" w:sz="0" w:space="0" w:color="auto"/>
      </w:divBdr>
    </w:div>
    <w:div w:id="156269439">
      <w:bodyDiv w:val="1"/>
      <w:marLeft w:val="0"/>
      <w:marRight w:val="0"/>
      <w:marTop w:val="0"/>
      <w:marBottom w:val="0"/>
      <w:divBdr>
        <w:top w:val="none" w:sz="0" w:space="0" w:color="auto"/>
        <w:left w:val="none" w:sz="0" w:space="0" w:color="auto"/>
        <w:bottom w:val="none" w:sz="0" w:space="0" w:color="auto"/>
        <w:right w:val="none" w:sz="0" w:space="0" w:color="auto"/>
      </w:divBdr>
    </w:div>
    <w:div w:id="187178744">
      <w:bodyDiv w:val="1"/>
      <w:marLeft w:val="0"/>
      <w:marRight w:val="0"/>
      <w:marTop w:val="0"/>
      <w:marBottom w:val="0"/>
      <w:divBdr>
        <w:top w:val="none" w:sz="0" w:space="0" w:color="auto"/>
        <w:left w:val="none" w:sz="0" w:space="0" w:color="auto"/>
        <w:bottom w:val="none" w:sz="0" w:space="0" w:color="auto"/>
        <w:right w:val="none" w:sz="0" w:space="0" w:color="auto"/>
      </w:divBdr>
    </w:div>
    <w:div w:id="190460709">
      <w:bodyDiv w:val="1"/>
      <w:marLeft w:val="0"/>
      <w:marRight w:val="0"/>
      <w:marTop w:val="0"/>
      <w:marBottom w:val="0"/>
      <w:divBdr>
        <w:top w:val="none" w:sz="0" w:space="0" w:color="auto"/>
        <w:left w:val="none" w:sz="0" w:space="0" w:color="auto"/>
        <w:bottom w:val="none" w:sz="0" w:space="0" w:color="auto"/>
        <w:right w:val="none" w:sz="0" w:space="0" w:color="auto"/>
      </w:divBdr>
    </w:div>
    <w:div w:id="195967961">
      <w:bodyDiv w:val="1"/>
      <w:marLeft w:val="0"/>
      <w:marRight w:val="0"/>
      <w:marTop w:val="0"/>
      <w:marBottom w:val="0"/>
      <w:divBdr>
        <w:top w:val="none" w:sz="0" w:space="0" w:color="auto"/>
        <w:left w:val="none" w:sz="0" w:space="0" w:color="auto"/>
        <w:bottom w:val="none" w:sz="0" w:space="0" w:color="auto"/>
        <w:right w:val="none" w:sz="0" w:space="0" w:color="auto"/>
      </w:divBdr>
    </w:div>
    <w:div w:id="236743090">
      <w:bodyDiv w:val="1"/>
      <w:marLeft w:val="0"/>
      <w:marRight w:val="0"/>
      <w:marTop w:val="0"/>
      <w:marBottom w:val="0"/>
      <w:divBdr>
        <w:top w:val="none" w:sz="0" w:space="0" w:color="auto"/>
        <w:left w:val="none" w:sz="0" w:space="0" w:color="auto"/>
        <w:bottom w:val="none" w:sz="0" w:space="0" w:color="auto"/>
        <w:right w:val="none" w:sz="0" w:space="0" w:color="auto"/>
      </w:divBdr>
    </w:div>
    <w:div w:id="239756075">
      <w:bodyDiv w:val="1"/>
      <w:marLeft w:val="0"/>
      <w:marRight w:val="0"/>
      <w:marTop w:val="0"/>
      <w:marBottom w:val="0"/>
      <w:divBdr>
        <w:top w:val="none" w:sz="0" w:space="0" w:color="auto"/>
        <w:left w:val="none" w:sz="0" w:space="0" w:color="auto"/>
        <w:bottom w:val="none" w:sz="0" w:space="0" w:color="auto"/>
        <w:right w:val="none" w:sz="0" w:space="0" w:color="auto"/>
      </w:divBdr>
    </w:div>
    <w:div w:id="265574940">
      <w:bodyDiv w:val="1"/>
      <w:marLeft w:val="0"/>
      <w:marRight w:val="0"/>
      <w:marTop w:val="0"/>
      <w:marBottom w:val="0"/>
      <w:divBdr>
        <w:top w:val="none" w:sz="0" w:space="0" w:color="auto"/>
        <w:left w:val="none" w:sz="0" w:space="0" w:color="auto"/>
        <w:bottom w:val="none" w:sz="0" w:space="0" w:color="auto"/>
        <w:right w:val="none" w:sz="0" w:space="0" w:color="auto"/>
      </w:divBdr>
    </w:div>
    <w:div w:id="268009384">
      <w:bodyDiv w:val="1"/>
      <w:marLeft w:val="0"/>
      <w:marRight w:val="0"/>
      <w:marTop w:val="0"/>
      <w:marBottom w:val="0"/>
      <w:divBdr>
        <w:top w:val="none" w:sz="0" w:space="0" w:color="auto"/>
        <w:left w:val="none" w:sz="0" w:space="0" w:color="auto"/>
        <w:bottom w:val="none" w:sz="0" w:space="0" w:color="auto"/>
        <w:right w:val="none" w:sz="0" w:space="0" w:color="auto"/>
      </w:divBdr>
    </w:div>
    <w:div w:id="284242719">
      <w:bodyDiv w:val="1"/>
      <w:marLeft w:val="0"/>
      <w:marRight w:val="0"/>
      <w:marTop w:val="0"/>
      <w:marBottom w:val="0"/>
      <w:divBdr>
        <w:top w:val="none" w:sz="0" w:space="0" w:color="auto"/>
        <w:left w:val="none" w:sz="0" w:space="0" w:color="auto"/>
        <w:bottom w:val="none" w:sz="0" w:space="0" w:color="auto"/>
        <w:right w:val="none" w:sz="0" w:space="0" w:color="auto"/>
      </w:divBdr>
    </w:div>
    <w:div w:id="294140991">
      <w:bodyDiv w:val="1"/>
      <w:marLeft w:val="0"/>
      <w:marRight w:val="0"/>
      <w:marTop w:val="0"/>
      <w:marBottom w:val="0"/>
      <w:divBdr>
        <w:top w:val="none" w:sz="0" w:space="0" w:color="auto"/>
        <w:left w:val="none" w:sz="0" w:space="0" w:color="auto"/>
        <w:bottom w:val="none" w:sz="0" w:space="0" w:color="auto"/>
        <w:right w:val="none" w:sz="0" w:space="0" w:color="auto"/>
      </w:divBdr>
    </w:div>
    <w:div w:id="302736355">
      <w:bodyDiv w:val="1"/>
      <w:marLeft w:val="0"/>
      <w:marRight w:val="0"/>
      <w:marTop w:val="0"/>
      <w:marBottom w:val="0"/>
      <w:divBdr>
        <w:top w:val="none" w:sz="0" w:space="0" w:color="auto"/>
        <w:left w:val="none" w:sz="0" w:space="0" w:color="auto"/>
        <w:bottom w:val="none" w:sz="0" w:space="0" w:color="auto"/>
        <w:right w:val="none" w:sz="0" w:space="0" w:color="auto"/>
      </w:divBdr>
    </w:div>
    <w:div w:id="352807035">
      <w:bodyDiv w:val="1"/>
      <w:marLeft w:val="0"/>
      <w:marRight w:val="0"/>
      <w:marTop w:val="0"/>
      <w:marBottom w:val="0"/>
      <w:divBdr>
        <w:top w:val="none" w:sz="0" w:space="0" w:color="auto"/>
        <w:left w:val="none" w:sz="0" w:space="0" w:color="auto"/>
        <w:bottom w:val="none" w:sz="0" w:space="0" w:color="auto"/>
        <w:right w:val="none" w:sz="0" w:space="0" w:color="auto"/>
      </w:divBdr>
    </w:div>
    <w:div w:id="361562440">
      <w:bodyDiv w:val="1"/>
      <w:marLeft w:val="0"/>
      <w:marRight w:val="0"/>
      <w:marTop w:val="0"/>
      <w:marBottom w:val="0"/>
      <w:divBdr>
        <w:top w:val="none" w:sz="0" w:space="0" w:color="auto"/>
        <w:left w:val="none" w:sz="0" w:space="0" w:color="auto"/>
        <w:bottom w:val="none" w:sz="0" w:space="0" w:color="auto"/>
        <w:right w:val="none" w:sz="0" w:space="0" w:color="auto"/>
      </w:divBdr>
    </w:div>
    <w:div w:id="363212996">
      <w:bodyDiv w:val="1"/>
      <w:marLeft w:val="0"/>
      <w:marRight w:val="0"/>
      <w:marTop w:val="0"/>
      <w:marBottom w:val="0"/>
      <w:divBdr>
        <w:top w:val="none" w:sz="0" w:space="0" w:color="auto"/>
        <w:left w:val="none" w:sz="0" w:space="0" w:color="auto"/>
        <w:bottom w:val="none" w:sz="0" w:space="0" w:color="auto"/>
        <w:right w:val="none" w:sz="0" w:space="0" w:color="auto"/>
      </w:divBdr>
    </w:div>
    <w:div w:id="402530288">
      <w:bodyDiv w:val="1"/>
      <w:marLeft w:val="0"/>
      <w:marRight w:val="0"/>
      <w:marTop w:val="0"/>
      <w:marBottom w:val="0"/>
      <w:divBdr>
        <w:top w:val="none" w:sz="0" w:space="0" w:color="auto"/>
        <w:left w:val="none" w:sz="0" w:space="0" w:color="auto"/>
        <w:bottom w:val="none" w:sz="0" w:space="0" w:color="auto"/>
        <w:right w:val="none" w:sz="0" w:space="0" w:color="auto"/>
      </w:divBdr>
    </w:div>
    <w:div w:id="407967340">
      <w:bodyDiv w:val="1"/>
      <w:marLeft w:val="0"/>
      <w:marRight w:val="0"/>
      <w:marTop w:val="0"/>
      <w:marBottom w:val="0"/>
      <w:divBdr>
        <w:top w:val="none" w:sz="0" w:space="0" w:color="auto"/>
        <w:left w:val="none" w:sz="0" w:space="0" w:color="auto"/>
        <w:bottom w:val="none" w:sz="0" w:space="0" w:color="auto"/>
        <w:right w:val="none" w:sz="0" w:space="0" w:color="auto"/>
      </w:divBdr>
    </w:div>
    <w:div w:id="431626322">
      <w:bodyDiv w:val="1"/>
      <w:marLeft w:val="0"/>
      <w:marRight w:val="0"/>
      <w:marTop w:val="0"/>
      <w:marBottom w:val="0"/>
      <w:divBdr>
        <w:top w:val="none" w:sz="0" w:space="0" w:color="auto"/>
        <w:left w:val="none" w:sz="0" w:space="0" w:color="auto"/>
        <w:bottom w:val="none" w:sz="0" w:space="0" w:color="auto"/>
        <w:right w:val="none" w:sz="0" w:space="0" w:color="auto"/>
      </w:divBdr>
    </w:div>
    <w:div w:id="453518826">
      <w:bodyDiv w:val="1"/>
      <w:marLeft w:val="0"/>
      <w:marRight w:val="0"/>
      <w:marTop w:val="0"/>
      <w:marBottom w:val="0"/>
      <w:divBdr>
        <w:top w:val="none" w:sz="0" w:space="0" w:color="auto"/>
        <w:left w:val="none" w:sz="0" w:space="0" w:color="auto"/>
        <w:bottom w:val="none" w:sz="0" w:space="0" w:color="auto"/>
        <w:right w:val="none" w:sz="0" w:space="0" w:color="auto"/>
      </w:divBdr>
    </w:div>
    <w:div w:id="486896618">
      <w:bodyDiv w:val="1"/>
      <w:marLeft w:val="0"/>
      <w:marRight w:val="0"/>
      <w:marTop w:val="0"/>
      <w:marBottom w:val="0"/>
      <w:divBdr>
        <w:top w:val="none" w:sz="0" w:space="0" w:color="auto"/>
        <w:left w:val="none" w:sz="0" w:space="0" w:color="auto"/>
        <w:bottom w:val="none" w:sz="0" w:space="0" w:color="auto"/>
        <w:right w:val="none" w:sz="0" w:space="0" w:color="auto"/>
      </w:divBdr>
    </w:div>
    <w:div w:id="487985510">
      <w:bodyDiv w:val="1"/>
      <w:marLeft w:val="0"/>
      <w:marRight w:val="0"/>
      <w:marTop w:val="0"/>
      <w:marBottom w:val="0"/>
      <w:divBdr>
        <w:top w:val="none" w:sz="0" w:space="0" w:color="auto"/>
        <w:left w:val="none" w:sz="0" w:space="0" w:color="auto"/>
        <w:bottom w:val="none" w:sz="0" w:space="0" w:color="auto"/>
        <w:right w:val="none" w:sz="0" w:space="0" w:color="auto"/>
      </w:divBdr>
    </w:div>
    <w:div w:id="502624654">
      <w:bodyDiv w:val="1"/>
      <w:marLeft w:val="0"/>
      <w:marRight w:val="0"/>
      <w:marTop w:val="0"/>
      <w:marBottom w:val="0"/>
      <w:divBdr>
        <w:top w:val="none" w:sz="0" w:space="0" w:color="auto"/>
        <w:left w:val="none" w:sz="0" w:space="0" w:color="auto"/>
        <w:bottom w:val="none" w:sz="0" w:space="0" w:color="auto"/>
        <w:right w:val="none" w:sz="0" w:space="0" w:color="auto"/>
      </w:divBdr>
    </w:div>
    <w:div w:id="523135446">
      <w:bodyDiv w:val="1"/>
      <w:marLeft w:val="0"/>
      <w:marRight w:val="0"/>
      <w:marTop w:val="0"/>
      <w:marBottom w:val="0"/>
      <w:divBdr>
        <w:top w:val="none" w:sz="0" w:space="0" w:color="auto"/>
        <w:left w:val="none" w:sz="0" w:space="0" w:color="auto"/>
        <w:bottom w:val="none" w:sz="0" w:space="0" w:color="auto"/>
        <w:right w:val="none" w:sz="0" w:space="0" w:color="auto"/>
      </w:divBdr>
    </w:div>
    <w:div w:id="539587510">
      <w:bodyDiv w:val="1"/>
      <w:marLeft w:val="0"/>
      <w:marRight w:val="0"/>
      <w:marTop w:val="0"/>
      <w:marBottom w:val="0"/>
      <w:divBdr>
        <w:top w:val="none" w:sz="0" w:space="0" w:color="auto"/>
        <w:left w:val="none" w:sz="0" w:space="0" w:color="auto"/>
        <w:bottom w:val="none" w:sz="0" w:space="0" w:color="auto"/>
        <w:right w:val="none" w:sz="0" w:space="0" w:color="auto"/>
      </w:divBdr>
    </w:div>
    <w:div w:id="552928820">
      <w:bodyDiv w:val="1"/>
      <w:marLeft w:val="0"/>
      <w:marRight w:val="0"/>
      <w:marTop w:val="0"/>
      <w:marBottom w:val="0"/>
      <w:divBdr>
        <w:top w:val="none" w:sz="0" w:space="0" w:color="auto"/>
        <w:left w:val="none" w:sz="0" w:space="0" w:color="auto"/>
        <w:bottom w:val="none" w:sz="0" w:space="0" w:color="auto"/>
        <w:right w:val="none" w:sz="0" w:space="0" w:color="auto"/>
      </w:divBdr>
    </w:div>
    <w:div w:id="588386957">
      <w:bodyDiv w:val="1"/>
      <w:marLeft w:val="0"/>
      <w:marRight w:val="0"/>
      <w:marTop w:val="0"/>
      <w:marBottom w:val="0"/>
      <w:divBdr>
        <w:top w:val="none" w:sz="0" w:space="0" w:color="auto"/>
        <w:left w:val="none" w:sz="0" w:space="0" w:color="auto"/>
        <w:bottom w:val="none" w:sz="0" w:space="0" w:color="auto"/>
        <w:right w:val="none" w:sz="0" w:space="0" w:color="auto"/>
      </w:divBdr>
    </w:div>
    <w:div w:id="592786679">
      <w:bodyDiv w:val="1"/>
      <w:marLeft w:val="0"/>
      <w:marRight w:val="0"/>
      <w:marTop w:val="0"/>
      <w:marBottom w:val="0"/>
      <w:divBdr>
        <w:top w:val="none" w:sz="0" w:space="0" w:color="auto"/>
        <w:left w:val="none" w:sz="0" w:space="0" w:color="auto"/>
        <w:bottom w:val="none" w:sz="0" w:space="0" w:color="auto"/>
        <w:right w:val="none" w:sz="0" w:space="0" w:color="auto"/>
      </w:divBdr>
    </w:div>
    <w:div w:id="596642199">
      <w:bodyDiv w:val="1"/>
      <w:marLeft w:val="0"/>
      <w:marRight w:val="0"/>
      <w:marTop w:val="0"/>
      <w:marBottom w:val="0"/>
      <w:divBdr>
        <w:top w:val="none" w:sz="0" w:space="0" w:color="auto"/>
        <w:left w:val="none" w:sz="0" w:space="0" w:color="auto"/>
        <w:bottom w:val="none" w:sz="0" w:space="0" w:color="auto"/>
        <w:right w:val="none" w:sz="0" w:space="0" w:color="auto"/>
      </w:divBdr>
    </w:div>
    <w:div w:id="621959654">
      <w:bodyDiv w:val="1"/>
      <w:marLeft w:val="0"/>
      <w:marRight w:val="0"/>
      <w:marTop w:val="0"/>
      <w:marBottom w:val="0"/>
      <w:divBdr>
        <w:top w:val="none" w:sz="0" w:space="0" w:color="auto"/>
        <w:left w:val="none" w:sz="0" w:space="0" w:color="auto"/>
        <w:bottom w:val="none" w:sz="0" w:space="0" w:color="auto"/>
        <w:right w:val="none" w:sz="0" w:space="0" w:color="auto"/>
      </w:divBdr>
    </w:div>
    <w:div w:id="668019800">
      <w:bodyDiv w:val="1"/>
      <w:marLeft w:val="0"/>
      <w:marRight w:val="0"/>
      <w:marTop w:val="0"/>
      <w:marBottom w:val="0"/>
      <w:divBdr>
        <w:top w:val="none" w:sz="0" w:space="0" w:color="auto"/>
        <w:left w:val="none" w:sz="0" w:space="0" w:color="auto"/>
        <w:bottom w:val="none" w:sz="0" w:space="0" w:color="auto"/>
        <w:right w:val="none" w:sz="0" w:space="0" w:color="auto"/>
      </w:divBdr>
    </w:div>
    <w:div w:id="708724605">
      <w:bodyDiv w:val="1"/>
      <w:marLeft w:val="0"/>
      <w:marRight w:val="0"/>
      <w:marTop w:val="0"/>
      <w:marBottom w:val="0"/>
      <w:divBdr>
        <w:top w:val="none" w:sz="0" w:space="0" w:color="auto"/>
        <w:left w:val="none" w:sz="0" w:space="0" w:color="auto"/>
        <w:bottom w:val="none" w:sz="0" w:space="0" w:color="auto"/>
        <w:right w:val="none" w:sz="0" w:space="0" w:color="auto"/>
      </w:divBdr>
    </w:div>
    <w:div w:id="724183589">
      <w:bodyDiv w:val="1"/>
      <w:marLeft w:val="0"/>
      <w:marRight w:val="0"/>
      <w:marTop w:val="0"/>
      <w:marBottom w:val="0"/>
      <w:divBdr>
        <w:top w:val="none" w:sz="0" w:space="0" w:color="auto"/>
        <w:left w:val="none" w:sz="0" w:space="0" w:color="auto"/>
        <w:bottom w:val="none" w:sz="0" w:space="0" w:color="auto"/>
        <w:right w:val="none" w:sz="0" w:space="0" w:color="auto"/>
      </w:divBdr>
    </w:div>
    <w:div w:id="729887248">
      <w:bodyDiv w:val="1"/>
      <w:marLeft w:val="0"/>
      <w:marRight w:val="0"/>
      <w:marTop w:val="0"/>
      <w:marBottom w:val="0"/>
      <w:divBdr>
        <w:top w:val="none" w:sz="0" w:space="0" w:color="auto"/>
        <w:left w:val="none" w:sz="0" w:space="0" w:color="auto"/>
        <w:bottom w:val="none" w:sz="0" w:space="0" w:color="auto"/>
        <w:right w:val="none" w:sz="0" w:space="0" w:color="auto"/>
      </w:divBdr>
    </w:div>
    <w:div w:id="746877604">
      <w:bodyDiv w:val="1"/>
      <w:marLeft w:val="0"/>
      <w:marRight w:val="0"/>
      <w:marTop w:val="0"/>
      <w:marBottom w:val="0"/>
      <w:divBdr>
        <w:top w:val="none" w:sz="0" w:space="0" w:color="auto"/>
        <w:left w:val="none" w:sz="0" w:space="0" w:color="auto"/>
        <w:bottom w:val="none" w:sz="0" w:space="0" w:color="auto"/>
        <w:right w:val="none" w:sz="0" w:space="0" w:color="auto"/>
      </w:divBdr>
    </w:div>
    <w:div w:id="764807709">
      <w:bodyDiv w:val="1"/>
      <w:marLeft w:val="0"/>
      <w:marRight w:val="0"/>
      <w:marTop w:val="0"/>
      <w:marBottom w:val="0"/>
      <w:divBdr>
        <w:top w:val="none" w:sz="0" w:space="0" w:color="auto"/>
        <w:left w:val="none" w:sz="0" w:space="0" w:color="auto"/>
        <w:bottom w:val="none" w:sz="0" w:space="0" w:color="auto"/>
        <w:right w:val="none" w:sz="0" w:space="0" w:color="auto"/>
      </w:divBdr>
    </w:div>
    <w:div w:id="769204290">
      <w:bodyDiv w:val="1"/>
      <w:marLeft w:val="0"/>
      <w:marRight w:val="0"/>
      <w:marTop w:val="0"/>
      <w:marBottom w:val="0"/>
      <w:divBdr>
        <w:top w:val="none" w:sz="0" w:space="0" w:color="auto"/>
        <w:left w:val="none" w:sz="0" w:space="0" w:color="auto"/>
        <w:bottom w:val="none" w:sz="0" w:space="0" w:color="auto"/>
        <w:right w:val="none" w:sz="0" w:space="0" w:color="auto"/>
      </w:divBdr>
    </w:div>
    <w:div w:id="772016366">
      <w:bodyDiv w:val="1"/>
      <w:marLeft w:val="0"/>
      <w:marRight w:val="0"/>
      <w:marTop w:val="0"/>
      <w:marBottom w:val="0"/>
      <w:divBdr>
        <w:top w:val="none" w:sz="0" w:space="0" w:color="auto"/>
        <w:left w:val="none" w:sz="0" w:space="0" w:color="auto"/>
        <w:bottom w:val="none" w:sz="0" w:space="0" w:color="auto"/>
        <w:right w:val="none" w:sz="0" w:space="0" w:color="auto"/>
      </w:divBdr>
    </w:div>
    <w:div w:id="782264560">
      <w:bodyDiv w:val="1"/>
      <w:marLeft w:val="0"/>
      <w:marRight w:val="0"/>
      <w:marTop w:val="0"/>
      <w:marBottom w:val="0"/>
      <w:divBdr>
        <w:top w:val="none" w:sz="0" w:space="0" w:color="auto"/>
        <w:left w:val="none" w:sz="0" w:space="0" w:color="auto"/>
        <w:bottom w:val="none" w:sz="0" w:space="0" w:color="auto"/>
        <w:right w:val="none" w:sz="0" w:space="0" w:color="auto"/>
      </w:divBdr>
    </w:div>
    <w:div w:id="796066912">
      <w:bodyDiv w:val="1"/>
      <w:marLeft w:val="0"/>
      <w:marRight w:val="0"/>
      <w:marTop w:val="0"/>
      <w:marBottom w:val="0"/>
      <w:divBdr>
        <w:top w:val="none" w:sz="0" w:space="0" w:color="auto"/>
        <w:left w:val="none" w:sz="0" w:space="0" w:color="auto"/>
        <w:bottom w:val="none" w:sz="0" w:space="0" w:color="auto"/>
        <w:right w:val="none" w:sz="0" w:space="0" w:color="auto"/>
      </w:divBdr>
    </w:div>
    <w:div w:id="829250985">
      <w:bodyDiv w:val="1"/>
      <w:marLeft w:val="0"/>
      <w:marRight w:val="0"/>
      <w:marTop w:val="0"/>
      <w:marBottom w:val="0"/>
      <w:divBdr>
        <w:top w:val="none" w:sz="0" w:space="0" w:color="auto"/>
        <w:left w:val="none" w:sz="0" w:space="0" w:color="auto"/>
        <w:bottom w:val="none" w:sz="0" w:space="0" w:color="auto"/>
        <w:right w:val="none" w:sz="0" w:space="0" w:color="auto"/>
      </w:divBdr>
    </w:div>
    <w:div w:id="834229892">
      <w:bodyDiv w:val="1"/>
      <w:marLeft w:val="0"/>
      <w:marRight w:val="0"/>
      <w:marTop w:val="0"/>
      <w:marBottom w:val="0"/>
      <w:divBdr>
        <w:top w:val="none" w:sz="0" w:space="0" w:color="auto"/>
        <w:left w:val="none" w:sz="0" w:space="0" w:color="auto"/>
        <w:bottom w:val="none" w:sz="0" w:space="0" w:color="auto"/>
        <w:right w:val="none" w:sz="0" w:space="0" w:color="auto"/>
      </w:divBdr>
    </w:div>
    <w:div w:id="839589331">
      <w:bodyDiv w:val="1"/>
      <w:marLeft w:val="0"/>
      <w:marRight w:val="0"/>
      <w:marTop w:val="0"/>
      <w:marBottom w:val="0"/>
      <w:divBdr>
        <w:top w:val="none" w:sz="0" w:space="0" w:color="auto"/>
        <w:left w:val="none" w:sz="0" w:space="0" w:color="auto"/>
        <w:bottom w:val="none" w:sz="0" w:space="0" w:color="auto"/>
        <w:right w:val="none" w:sz="0" w:space="0" w:color="auto"/>
      </w:divBdr>
    </w:div>
    <w:div w:id="841776037">
      <w:bodyDiv w:val="1"/>
      <w:marLeft w:val="0"/>
      <w:marRight w:val="0"/>
      <w:marTop w:val="0"/>
      <w:marBottom w:val="0"/>
      <w:divBdr>
        <w:top w:val="none" w:sz="0" w:space="0" w:color="auto"/>
        <w:left w:val="none" w:sz="0" w:space="0" w:color="auto"/>
        <w:bottom w:val="none" w:sz="0" w:space="0" w:color="auto"/>
        <w:right w:val="none" w:sz="0" w:space="0" w:color="auto"/>
      </w:divBdr>
    </w:div>
    <w:div w:id="847675387">
      <w:bodyDiv w:val="1"/>
      <w:marLeft w:val="0"/>
      <w:marRight w:val="0"/>
      <w:marTop w:val="0"/>
      <w:marBottom w:val="0"/>
      <w:divBdr>
        <w:top w:val="none" w:sz="0" w:space="0" w:color="auto"/>
        <w:left w:val="none" w:sz="0" w:space="0" w:color="auto"/>
        <w:bottom w:val="none" w:sz="0" w:space="0" w:color="auto"/>
        <w:right w:val="none" w:sz="0" w:space="0" w:color="auto"/>
      </w:divBdr>
    </w:div>
    <w:div w:id="850291717">
      <w:bodyDiv w:val="1"/>
      <w:marLeft w:val="0"/>
      <w:marRight w:val="0"/>
      <w:marTop w:val="0"/>
      <w:marBottom w:val="0"/>
      <w:divBdr>
        <w:top w:val="none" w:sz="0" w:space="0" w:color="auto"/>
        <w:left w:val="none" w:sz="0" w:space="0" w:color="auto"/>
        <w:bottom w:val="none" w:sz="0" w:space="0" w:color="auto"/>
        <w:right w:val="none" w:sz="0" w:space="0" w:color="auto"/>
      </w:divBdr>
    </w:div>
    <w:div w:id="853148946">
      <w:bodyDiv w:val="1"/>
      <w:marLeft w:val="0"/>
      <w:marRight w:val="0"/>
      <w:marTop w:val="0"/>
      <w:marBottom w:val="0"/>
      <w:divBdr>
        <w:top w:val="none" w:sz="0" w:space="0" w:color="auto"/>
        <w:left w:val="none" w:sz="0" w:space="0" w:color="auto"/>
        <w:bottom w:val="none" w:sz="0" w:space="0" w:color="auto"/>
        <w:right w:val="none" w:sz="0" w:space="0" w:color="auto"/>
      </w:divBdr>
    </w:div>
    <w:div w:id="884489371">
      <w:bodyDiv w:val="1"/>
      <w:marLeft w:val="0"/>
      <w:marRight w:val="0"/>
      <w:marTop w:val="0"/>
      <w:marBottom w:val="0"/>
      <w:divBdr>
        <w:top w:val="none" w:sz="0" w:space="0" w:color="auto"/>
        <w:left w:val="none" w:sz="0" w:space="0" w:color="auto"/>
        <w:bottom w:val="none" w:sz="0" w:space="0" w:color="auto"/>
        <w:right w:val="none" w:sz="0" w:space="0" w:color="auto"/>
      </w:divBdr>
    </w:div>
    <w:div w:id="903951821">
      <w:bodyDiv w:val="1"/>
      <w:marLeft w:val="0"/>
      <w:marRight w:val="0"/>
      <w:marTop w:val="0"/>
      <w:marBottom w:val="0"/>
      <w:divBdr>
        <w:top w:val="none" w:sz="0" w:space="0" w:color="auto"/>
        <w:left w:val="none" w:sz="0" w:space="0" w:color="auto"/>
        <w:bottom w:val="none" w:sz="0" w:space="0" w:color="auto"/>
        <w:right w:val="none" w:sz="0" w:space="0" w:color="auto"/>
      </w:divBdr>
    </w:div>
    <w:div w:id="915938447">
      <w:bodyDiv w:val="1"/>
      <w:marLeft w:val="0"/>
      <w:marRight w:val="0"/>
      <w:marTop w:val="0"/>
      <w:marBottom w:val="0"/>
      <w:divBdr>
        <w:top w:val="none" w:sz="0" w:space="0" w:color="auto"/>
        <w:left w:val="none" w:sz="0" w:space="0" w:color="auto"/>
        <w:bottom w:val="none" w:sz="0" w:space="0" w:color="auto"/>
        <w:right w:val="none" w:sz="0" w:space="0" w:color="auto"/>
      </w:divBdr>
    </w:div>
    <w:div w:id="934939565">
      <w:bodyDiv w:val="1"/>
      <w:marLeft w:val="0"/>
      <w:marRight w:val="0"/>
      <w:marTop w:val="0"/>
      <w:marBottom w:val="0"/>
      <w:divBdr>
        <w:top w:val="none" w:sz="0" w:space="0" w:color="auto"/>
        <w:left w:val="none" w:sz="0" w:space="0" w:color="auto"/>
        <w:bottom w:val="none" w:sz="0" w:space="0" w:color="auto"/>
        <w:right w:val="none" w:sz="0" w:space="0" w:color="auto"/>
      </w:divBdr>
    </w:div>
    <w:div w:id="936327053">
      <w:bodyDiv w:val="1"/>
      <w:marLeft w:val="0"/>
      <w:marRight w:val="0"/>
      <w:marTop w:val="0"/>
      <w:marBottom w:val="0"/>
      <w:divBdr>
        <w:top w:val="none" w:sz="0" w:space="0" w:color="auto"/>
        <w:left w:val="none" w:sz="0" w:space="0" w:color="auto"/>
        <w:bottom w:val="none" w:sz="0" w:space="0" w:color="auto"/>
        <w:right w:val="none" w:sz="0" w:space="0" w:color="auto"/>
      </w:divBdr>
    </w:div>
    <w:div w:id="975720603">
      <w:bodyDiv w:val="1"/>
      <w:marLeft w:val="0"/>
      <w:marRight w:val="0"/>
      <w:marTop w:val="0"/>
      <w:marBottom w:val="0"/>
      <w:divBdr>
        <w:top w:val="none" w:sz="0" w:space="0" w:color="auto"/>
        <w:left w:val="none" w:sz="0" w:space="0" w:color="auto"/>
        <w:bottom w:val="none" w:sz="0" w:space="0" w:color="auto"/>
        <w:right w:val="none" w:sz="0" w:space="0" w:color="auto"/>
      </w:divBdr>
    </w:div>
    <w:div w:id="984621750">
      <w:bodyDiv w:val="1"/>
      <w:marLeft w:val="0"/>
      <w:marRight w:val="0"/>
      <w:marTop w:val="0"/>
      <w:marBottom w:val="0"/>
      <w:divBdr>
        <w:top w:val="none" w:sz="0" w:space="0" w:color="auto"/>
        <w:left w:val="none" w:sz="0" w:space="0" w:color="auto"/>
        <w:bottom w:val="none" w:sz="0" w:space="0" w:color="auto"/>
        <w:right w:val="none" w:sz="0" w:space="0" w:color="auto"/>
      </w:divBdr>
    </w:div>
    <w:div w:id="985934081">
      <w:bodyDiv w:val="1"/>
      <w:marLeft w:val="0"/>
      <w:marRight w:val="0"/>
      <w:marTop w:val="0"/>
      <w:marBottom w:val="0"/>
      <w:divBdr>
        <w:top w:val="none" w:sz="0" w:space="0" w:color="auto"/>
        <w:left w:val="none" w:sz="0" w:space="0" w:color="auto"/>
        <w:bottom w:val="none" w:sz="0" w:space="0" w:color="auto"/>
        <w:right w:val="none" w:sz="0" w:space="0" w:color="auto"/>
      </w:divBdr>
    </w:div>
    <w:div w:id="992488894">
      <w:bodyDiv w:val="1"/>
      <w:marLeft w:val="0"/>
      <w:marRight w:val="0"/>
      <w:marTop w:val="0"/>
      <w:marBottom w:val="0"/>
      <w:divBdr>
        <w:top w:val="none" w:sz="0" w:space="0" w:color="auto"/>
        <w:left w:val="none" w:sz="0" w:space="0" w:color="auto"/>
        <w:bottom w:val="none" w:sz="0" w:space="0" w:color="auto"/>
        <w:right w:val="none" w:sz="0" w:space="0" w:color="auto"/>
      </w:divBdr>
    </w:div>
    <w:div w:id="1002968476">
      <w:bodyDiv w:val="1"/>
      <w:marLeft w:val="0"/>
      <w:marRight w:val="0"/>
      <w:marTop w:val="0"/>
      <w:marBottom w:val="0"/>
      <w:divBdr>
        <w:top w:val="none" w:sz="0" w:space="0" w:color="auto"/>
        <w:left w:val="none" w:sz="0" w:space="0" w:color="auto"/>
        <w:bottom w:val="none" w:sz="0" w:space="0" w:color="auto"/>
        <w:right w:val="none" w:sz="0" w:space="0" w:color="auto"/>
      </w:divBdr>
    </w:div>
    <w:div w:id="1024986430">
      <w:bodyDiv w:val="1"/>
      <w:marLeft w:val="0"/>
      <w:marRight w:val="0"/>
      <w:marTop w:val="0"/>
      <w:marBottom w:val="0"/>
      <w:divBdr>
        <w:top w:val="none" w:sz="0" w:space="0" w:color="auto"/>
        <w:left w:val="none" w:sz="0" w:space="0" w:color="auto"/>
        <w:bottom w:val="none" w:sz="0" w:space="0" w:color="auto"/>
        <w:right w:val="none" w:sz="0" w:space="0" w:color="auto"/>
      </w:divBdr>
    </w:div>
    <w:div w:id="1039428085">
      <w:bodyDiv w:val="1"/>
      <w:marLeft w:val="0"/>
      <w:marRight w:val="0"/>
      <w:marTop w:val="0"/>
      <w:marBottom w:val="0"/>
      <w:divBdr>
        <w:top w:val="none" w:sz="0" w:space="0" w:color="auto"/>
        <w:left w:val="none" w:sz="0" w:space="0" w:color="auto"/>
        <w:bottom w:val="none" w:sz="0" w:space="0" w:color="auto"/>
        <w:right w:val="none" w:sz="0" w:space="0" w:color="auto"/>
      </w:divBdr>
    </w:div>
    <w:div w:id="1066412039">
      <w:bodyDiv w:val="1"/>
      <w:marLeft w:val="0"/>
      <w:marRight w:val="0"/>
      <w:marTop w:val="0"/>
      <w:marBottom w:val="0"/>
      <w:divBdr>
        <w:top w:val="none" w:sz="0" w:space="0" w:color="auto"/>
        <w:left w:val="none" w:sz="0" w:space="0" w:color="auto"/>
        <w:bottom w:val="none" w:sz="0" w:space="0" w:color="auto"/>
        <w:right w:val="none" w:sz="0" w:space="0" w:color="auto"/>
      </w:divBdr>
    </w:div>
    <w:div w:id="1068303876">
      <w:bodyDiv w:val="1"/>
      <w:marLeft w:val="0"/>
      <w:marRight w:val="0"/>
      <w:marTop w:val="0"/>
      <w:marBottom w:val="0"/>
      <w:divBdr>
        <w:top w:val="none" w:sz="0" w:space="0" w:color="auto"/>
        <w:left w:val="none" w:sz="0" w:space="0" w:color="auto"/>
        <w:bottom w:val="none" w:sz="0" w:space="0" w:color="auto"/>
        <w:right w:val="none" w:sz="0" w:space="0" w:color="auto"/>
      </w:divBdr>
    </w:div>
    <w:div w:id="1069234677">
      <w:bodyDiv w:val="1"/>
      <w:marLeft w:val="0"/>
      <w:marRight w:val="0"/>
      <w:marTop w:val="0"/>
      <w:marBottom w:val="0"/>
      <w:divBdr>
        <w:top w:val="none" w:sz="0" w:space="0" w:color="auto"/>
        <w:left w:val="none" w:sz="0" w:space="0" w:color="auto"/>
        <w:bottom w:val="none" w:sz="0" w:space="0" w:color="auto"/>
        <w:right w:val="none" w:sz="0" w:space="0" w:color="auto"/>
      </w:divBdr>
    </w:div>
    <w:div w:id="1079520908">
      <w:bodyDiv w:val="1"/>
      <w:marLeft w:val="0"/>
      <w:marRight w:val="0"/>
      <w:marTop w:val="0"/>
      <w:marBottom w:val="0"/>
      <w:divBdr>
        <w:top w:val="none" w:sz="0" w:space="0" w:color="auto"/>
        <w:left w:val="none" w:sz="0" w:space="0" w:color="auto"/>
        <w:bottom w:val="none" w:sz="0" w:space="0" w:color="auto"/>
        <w:right w:val="none" w:sz="0" w:space="0" w:color="auto"/>
      </w:divBdr>
    </w:div>
    <w:div w:id="1091856865">
      <w:bodyDiv w:val="1"/>
      <w:marLeft w:val="0"/>
      <w:marRight w:val="0"/>
      <w:marTop w:val="0"/>
      <w:marBottom w:val="0"/>
      <w:divBdr>
        <w:top w:val="none" w:sz="0" w:space="0" w:color="auto"/>
        <w:left w:val="none" w:sz="0" w:space="0" w:color="auto"/>
        <w:bottom w:val="none" w:sz="0" w:space="0" w:color="auto"/>
        <w:right w:val="none" w:sz="0" w:space="0" w:color="auto"/>
      </w:divBdr>
    </w:div>
    <w:div w:id="1107969449">
      <w:bodyDiv w:val="1"/>
      <w:marLeft w:val="0"/>
      <w:marRight w:val="0"/>
      <w:marTop w:val="0"/>
      <w:marBottom w:val="0"/>
      <w:divBdr>
        <w:top w:val="none" w:sz="0" w:space="0" w:color="auto"/>
        <w:left w:val="none" w:sz="0" w:space="0" w:color="auto"/>
        <w:bottom w:val="none" w:sz="0" w:space="0" w:color="auto"/>
        <w:right w:val="none" w:sz="0" w:space="0" w:color="auto"/>
      </w:divBdr>
    </w:div>
    <w:div w:id="1111782993">
      <w:bodyDiv w:val="1"/>
      <w:marLeft w:val="0"/>
      <w:marRight w:val="0"/>
      <w:marTop w:val="0"/>
      <w:marBottom w:val="0"/>
      <w:divBdr>
        <w:top w:val="none" w:sz="0" w:space="0" w:color="auto"/>
        <w:left w:val="none" w:sz="0" w:space="0" w:color="auto"/>
        <w:bottom w:val="none" w:sz="0" w:space="0" w:color="auto"/>
        <w:right w:val="none" w:sz="0" w:space="0" w:color="auto"/>
      </w:divBdr>
    </w:div>
    <w:div w:id="1119027229">
      <w:bodyDiv w:val="1"/>
      <w:marLeft w:val="0"/>
      <w:marRight w:val="0"/>
      <w:marTop w:val="0"/>
      <w:marBottom w:val="0"/>
      <w:divBdr>
        <w:top w:val="none" w:sz="0" w:space="0" w:color="auto"/>
        <w:left w:val="none" w:sz="0" w:space="0" w:color="auto"/>
        <w:bottom w:val="none" w:sz="0" w:space="0" w:color="auto"/>
        <w:right w:val="none" w:sz="0" w:space="0" w:color="auto"/>
      </w:divBdr>
    </w:div>
    <w:div w:id="1128551196">
      <w:bodyDiv w:val="1"/>
      <w:marLeft w:val="0"/>
      <w:marRight w:val="0"/>
      <w:marTop w:val="0"/>
      <w:marBottom w:val="0"/>
      <w:divBdr>
        <w:top w:val="none" w:sz="0" w:space="0" w:color="auto"/>
        <w:left w:val="none" w:sz="0" w:space="0" w:color="auto"/>
        <w:bottom w:val="none" w:sz="0" w:space="0" w:color="auto"/>
        <w:right w:val="none" w:sz="0" w:space="0" w:color="auto"/>
      </w:divBdr>
    </w:div>
    <w:div w:id="1133402089">
      <w:bodyDiv w:val="1"/>
      <w:marLeft w:val="0"/>
      <w:marRight w:val="0"/>
      <w:marTop w:val="0"/>
      <w:marBottom w:val="0"/>
      <w:divBdr>
        <w:top w:val="none" w:sz="0" w:space="0" w:color="auto"/>
        <w:left w:val="none" w:sz="0" w:space="0" w:color="auto"/>
        <w:bottom w:val="none" w:sz="0" w:space="0" w:color="auto"/>
        <w:right w:val="none" w:sz="0" w:space="0" w:color="auto"/>
      </w:divBdr>
    </w:div>
    <w:div w:id="1156268048">
      <w:bodyDiv w:val="1"/>
      <w:marLeft w:val="0"/>
      <w:marRight w:val="0"/>
      <w:marTop w:val="0"/>
      <w:marBottom w:val="0"/>
      <w:divBdr>
        <w:top w:val="none" w:sz="0" w:space="0" w:color="auto"/>
        <w:left w:val="none" w:sz="0" w:space="0" w:color="auto"/>
        <w:bottom w:val="none" w:sz="0" w:space="0" w:color="auto"/>
        <w:right w:val="none" w:sz="0" w:space="0" w:color="auto"/>
      </w:divBdr>
    </w:div>
    <w:div w:id="1169324358">
      <w:bodyDiv w:val="1"/>
      <w:marLeft w:val="0"/>
      <w:marRight w:val="0"/>
      <w:marTop w:val="0"/>
      <w:marBottom w:val="0"/>
      <w:divBdr>
        <w:top w:val="none" w:sz="0" w:space="0" w:color="auto"/>
        <w:left w:val="none" w:sz="0" w:space="0" w:color="auto"/>
        <w:bottom w:val="none" w:sz="0" w:space="0" w:color="auto"/>
        <w:right w:val="none" w:sz="0" w:space="0" w:color="auto"/>
      </w:divBdr>
    </w:div>
    <w:div w:id="1169564532">
      <w:bodyDiv w:val="1"/>
      <w:marLeft w:val="0"/>
      <w:marRight w:val="0"/>
      <w:marTop w:val="0"/>
      <w:marBottom w:val="0"/>
      <w:divBdr>
        <w:top w:val="none" w:sz="0" w:space="0" w:color="auto"/>
        <w:left w:val="none" w:sz="0" w:space="0" w:color="auto"/>
        <w:bottom w:val="none" w:sz="0" w:space="0" w:color="auto"/>
        <w:right w:val="none" w:sz="0" w:space="0" w:color="auto"/>
      </w:divBdr>
    </w:div>
    <w:div w:id="1178419847">
      <w:bodyDiv w:val="1"/>
      <w:marLeft w:val="0"/>
      <w:marRight w:val="0"/>
      <w:marTop w:val="0"/>
      <w:marBottom w:val="0"/>
      <w:divBdr>
        <w:top w:val="none" w:sz="0" w:space="0" w:color="auto"/>
        <w:left w:val="none" w:sz="0" w:space="0" w:color="auto"/>
        <w:bottom w:val="none" w:sz="0" w:space="0" w:color="auto"/>
        <w:right w:val="none" w:sz="0" w:space="0" w:color="auto"/>
      </w:divBdr>
    </w:div>
    <w:div w:id="1198081535">
      <w:bodyDiv w:val="1"/>
      <w:marLeft w:val="0"/>
      <w:marRight w:val="0"/>
      <w:marTop w:val="0"/>
      <w:marBottom w:val="0"/>
      <w:divBdr>
        <w:top w:val="none" w:sz="0" w:space="0" w:color="auto"/>
        <w:left w:val="none" w:sz="0" w:space="0" w:color="auto"/>
        <w:bottom w:val="none" w:sz="0" w:space="0" w:color="auto"/>
        <w:right w:val="none" w:sz="0" w:space="0" w:color="auto"/>
      </w:divBdr>
    </w:div>
    <w:div w:id="1199123133">
      <w:bodyDiv w:val="1"/>
      <w:marLeft w:val="0"/>
      <w:marRight w:val="0"/>
      <w:marTop w:val="0"/>
      <w:marBottom w:val="0"/>
      <w:divBdr>
        <w:top w:val="none" w:sz="0" w:space="0" w:color="auto"/>
        <w:left w:val="none" w:sz="0" w:space="0" w:color="auto"/>
        <w:bottom w:val="none" w:sz="0" w:space="0" w:color="auto"/>
        <w:right w:val="none" w:sz="0" w:space="0" w:color="auto"/>
      </w:divBdr>
    </w:div>
    <w:div w:id="1203833714">
      <w:bodyDiv w:val="1"/>
      <w:marLeft w:val="0"/>
      <w:marRight w:val="0"/>
      <w:marTop w:val="0"/>
      <w:marBottom w:val="0"/>
      <w:divBdr>
        <w:top w:val="none" w:sz="0" w:space="0" w:color="auto"/>
        <w:left w:val="none" w:sz="0" w:space="0" w:color="auto"/>
        <w:bottom w:val="none" w:sz="0" w:space="0" w:color="auto"/>
        <w:right w:val="none" w:sz="0" w:space="0" w:color="auto"/>
      </w:divBdr>
    </w:div>
    <w:div w:id="1225987138">
      <w:bodyDiv w:val="1"/>
      <w:marLeft w:val="0"/>
      <w:marRight w:val="0"/>
      <w:marTop w:val="0"/>
      <w:marBottom w:val="0"/>
      <w:divBdr>
        <w:top w:val="none" w:sz="0" w:space="0" w:color="auto"/>
        <w:left w:val="none" w:sz="0" w:space="0" w:color="auto"/>
        <w:bottom w:val="none" w:sz="0" w:space="0" w:color="auto"/>
        <w:right w:val="none" w:sz="0" w:space="0" w:color="auto"/>
      </w:divBdr>
    </w:div>
    <w:div w:id="1278373934">
      <w:bodyDiv w:val="1"/>
      <w:marLeft w:val="0"/>
      <w:marRight w:val="0"/>
      <w:marTop w:val="0"/>
      <w:marBottom w:val="0"/>
      <w:divBdr>
        <w:top w:val="none" w:sz="0" w:space="0" w:color="auto"/>
        <w:left w:val="none" w:sz="0" w:space="0" w:color="auto"/>
        <w:bottom w:val="none" w:sz="0" w:space="0" w:color="auto"/>
        <w:right w:val="none" w:sz="0" w:space="0" w:color="auto"/>
      </w:divBdr>
    </w:div>
    <w:div w:id="1318922201">
      <w:bodyDiv w:val="1"/>
      <w:marLeft w:val="0"/>
      <w:marRight w:val="0"/>
      <w:marTop w:val="0"/>
      <w:marBottom w:val="0"/>
      <w:divBdr>
        <w:top w:val="none" w:sz="0" w:space="0" w:color="auto"/>
        <w:left w:val="none" w:sz="0" w:space="0" w:color="auto"/>
        <w:bottom w:val="none" w:sz="0" w:space="0" w:color="auto"/>
        <w:right w:val="none" w:sz="0" w:space="0" w:color="auto"/>
      </w:divBdr>
    </w:div>
    <w:div w:id="1332686076">
      <w:bodyDiv w:val="1"/>
      <w:marLeft w:val="0"/>
      <w:marRight w:val="0"/>
      <w:marTop w:val="0"/>
      <w:marBottom w:val="0"/>
      <w:divBdr>
        <w:top w:val="none" w:sz="0" w:space="0" w:color="auto"/>
        <w:left w:val="none" w:sz="0" w:space="0" w:color="auto"/>
        <w:bottom w:val="none" w:sz="0" w:space="0" w:color="auto"/>
        <w:right w:val="none" w:sz="0" w:space="0" w:color="auto"/>
      </w:divBdr>
    </w:div>
    <w:div w:id="1354841981">
      <w:bodyDiv w:val="1"/>
      <w:marLeft w:val="0"/>
      <w:marRight w:val="0"/>
      <w:marTop w:val="0"/>
      <w:marBottom w:val="0"/>
      <w:divBdr>
        <w:top w:val="none" w:sz="0" w:space="0" w:color="auto"/>
        <w:left w:val="none" w:sz="0" w:space="0" w:color="auto"/>
        <w:bottom w:val="none" w:sz="0" w:space="0" w:color="auto"/>
        <w:right w:val="none" w:sz="0" w:space="0" w:color="auto"/>
      </w:divBdr>
    </w:div>
    <w:div w:id="1385837251">
      <w:bodyDiv w:val="1"/>
      <w:marLeft w:val="0"/>
      <w:marRight w:val="0"/>
      <w:marTop w:val="0"/>
      <w:marBottom w:val="0"/>
      <w:divBdr>
        <w:top w:val="none" w:sz="0" w:space="0" w:color="auto"/>
        <w:left w:val="none" w:sz="0" w:space="0" w:color="auto"/>
        <w:bottom w:val="none" w:sz="0" w:space="0" w:color="auto"/>
        <w:right w:val="none" w:sz="0" w:space="0" w:color="auto"/>
      </w:divBdr>
    </w:div>
    <w:div w:id="1427115178">
      <w:bodyDiv w:val="1"/>
      <w:marLeft w:val="0"/>
      <w:marRight w:val="0"/>
      <w:marTop w:val="0"/>
      <w:marBottom w:val="0"/>
      <w:divBdr>
        <w:top w:val="none" w:sz="0" w:space="0" w:color="auto"/>
        <w:left w:val="none" w:sz="0" w:space="0" w:color="auto"/>
        <w:bottom w:val="none" w:sz="0" w:space="0" w:color="auto"/>
        <w:right w:val="none" w:sz="0" w:space="0" w:color="auto"/>
      </w:divBdr>
    </w:div>
    <w:div w:id="1456102050">
      <w:bodyDiv w:val="1"/>
      <w:marLeft w:val="0"/>
      <w:marRight w:val="0"/>
      <w:marTop w:val="0"/>
      <w:marBottom w:val="0"/>
      <w:divBdr>
        <w:top w:val="none" w:sz="0" w:space="0" w:color="auto"/>
        <w:left w:val="none" w:sz="0" w:space="0" w:color="auto"/>
        <w:bottom w:val="none" w:sz="0" w:space="0" w:color="auto"/>
        <w:right w:val="none" w:sz="0" w:space="0" w:color="auto"/>
      </w:divBdr>
    </w:div>
    <w:div w:id="1461656121">
      <w:bodyDiv w:val="1"/>
      <w:marLeft w:val="0"/>
      <w:marRight w:val="0"/>
      <w:marTop w:val="0"/>
      <w:marBottom w:val="0"/>
      <w:divBdr>
        <w:top w:val="none" w:sz="0" w:space="0" w:color="auto"/>
        <w:left w:val="none" w:sz="0" w:space="0" w:color="auto"/>
        <w:bottom w:val="none" w:sz="0" w:space="0" w:color="auto"/>
        <w:right w:val="none" w:sz="0" w:space="0" w:color="auto"/>
      </w:divBdr>
    </w:div>
    <w:div w:id="1464228287">
      <w:bodyDiv w:val="1"/>
      <w:marLeft w:val="0"/>
      <w:marRight w:val="0"/>
      <w:marTop w:val="0"/>
      <w:marBottom w:val="0"/>
      <w:divBdr>
        <w:top w:val="none" w:sz="0" w:space="0" w:color="auto"/>
        <w:left w:val="none" w:sz="0" w:space="0" w:color="auto"/>
        <w:bottom w:val="none" w:sz="0" w:space="0" w:color="auto"/>
        <w:right w:val="none" w:sz="0" w:space="0" w:color="auto"/>
      </w:divBdr>
    </w:div>
    <w:div w:id="1491361137">
      <w:bodyDiv w:val="1"/>
      <w:marLeft w:val="0"/>
      <w:marRight w:val="0"/>
      <w:marTop w:val="0"/>
      <w:marBottom w:val="0"/>
      <w:divBdr>
        <w:top w:val="none" w:sz="0" w:space="0" w:color="auto"/>
        <w:left w:val="none" w:sz="0" w:space="0" w:color="auto"/>
        <w:bottom w:val="none" w:sz="0" w:space="0" w:color="auto"/>
        <w:right w:val="none" w:sz="0" w:space="0" w:color="auto"/>
      </w:divBdr>
    </w:div>
    <w:div w:id="1503885577">
      <w:bodyDiv w:val="1"/>
      <w:marLeft w:val="0"/>
      <w:marRight w:val="0"/>
      <w:marTop w:val="0"/>
      <w:marBottom w:val="0"/>
      <w:divBdr>
        <w:top w:val="none" w:sz="0" w:space="0" w:color="auto"/>
        <w:left w:val="none" w:sz="0" w:space="0" w:color="auto"/>
        <w:bottom w:val="none" w:sz="0" w:space="0" w:color="auto"/>
        <w:right w:val="none" w:sz="0" w:space="0" w:color="auto"/>
      </w:divBdr>
    </w:div>
    <w:div w:id="1506283222">
      <w:bodyDiv w:val="1"/>
      <w:marLeft w:val="0"/>
      <w:marRight w:val="0"/>
      <w:marTop w:val="0"/>
      <w:marBottom w:val="0"/>
      <w:divBdr>
        <w:top w:val="none" w:sz="0" w:space="0" w:color="auto"/>
        <w:left w:val="none" w:sz="0" w:space="0" w:color="auto"/>
        <w:bottom w:val="none" w:sz="0" w:space="0" w:color="auto"/>
        <w:right w:val="none" w:sz="0" w:space="0" w:color="auto"/>
      </w:divBdr>
    </w:div>
    <w:div w:id="1509172282">
      <w:bodyDiv w:val="1"/>
      <w:marLeft w:val="0"/>
      <w:marRight w:val="0"/>
      <w:marTop w:val="0"/>
      <w:marBottom w:val="0"/>
      <w:divBdr>
        <w:top w:val="none" w:sz="0" w:space="0" w:color="auto"/>
        <w:left w:val="none" w:sz="0" w:space="0" w:color="auto"/>
        <w:bottom w:val="none" w:sz="0" w:space="0" w:color="auto"/>
        <w:right w:val="none" w:sz="0" w:space="0" w:color="auto"/>
      </w:divBdr>
    </w:div>
    <w:div w:id="1537624001">
      <w:bodyDiv w:val="1"/>
      <w:marLeft w:val="0"/>
      <w:marRight w:val="0"/>
      <w:marTop w:val="0"/>
      <w:marBottom w:val="0"/>
      <w:divBdr>
        <w:top w:val="none" w:sz="0" w:space="0" w:color="auto"/>
        <w:left w:val="none" w:sz="0" w:space="0" w:color="auto"/>
        <w:bottom w:val="none" w:sz="0" w:space="0" w:color="auto"/>
        <w:right w:val="none" w:sz="0" w:space="0" w:color="auto"/>
      </w:divBdr>
    </w:div>
    <w:div w:id="1557159356">
      <w:bodyDiv w:val="1"/>
      <w:marLeft w:val="0"/>
      <w:marRight w:val="0"/>
      <w:marTop w:val="0"/>
      <w:marBottom w:val="0"/>
      <w:divBdr>
        <w:top w:val="none" w:sz="0" w:space="0" w:color="auto"/>
        <w:left w:val="none" w:sz="0" w:space="0" w:color="auto"/>
        <w:bottom w:val="none" w:sz="0" w:space="0" w:color="auto"/>
        <w:right w:val="none" w:sz="0" w:space="0" w:color="auto"/>
      </w:divBdr>
    </w:div>
    <w:div w:id="1558128029">
      <w:bodyDiv w:val="1"/>
      <w:marLeft w:val="0"/>
      <w:marRight w:val="0"/>
      <w:marTop w:val="0"/>
      <w:marBottom w:val="0"/>
      <w:divBdr>
        <w:top w:val="none" w:sz="0" w:space="0" w:color="auto"/>
        <w:left w:val="none" w:sz="0" w:space="0" w:color="auto"/>
        <w:bottom w:val="none" w:sz="0" w:space="0" w:color="auto"/>
        <w:right w:val="none" w:sz="0" w:space="0" w:color="auto"/>
      </w:divBdr>
    </w:div>
    <w:div w:id="1587306875">
      <w:bodyDiv w:val="1"/>
      <w:marLeft w:val="0"/>
      <w:marRight w:val="0"/>
      <w:marTop w:val="0"/>
      <w:marBottom w:val="0"/>
      <w:divBdr>
        <w:top w:val="none" w:sz="0" w:space="0" w:color="auto"/>
        <w:left w:val="none" w:sz="0" w:space="0" w:color="auto"/>
        <w:bottom w:val="none" w:sz="0" w:space="0" w:color="auto"/>
        <w:right w:val="none" w:sz="0" w:space="0" w:color="auto"/>
      </w:divBdr>
    </w:div>
    <w:div w:id="1626890421">
      <w:bodyDiv w:val="1"/>
      <w:marLeft w:val="0"/>
      <w:marRight w:val="0"/>
      <w:marTop w:val="0"/>
      <w:marBottom w:val="0"/>
      <w:divBdr>
        <w:top w:val="none" w:sz="0" w:space="0" w:color="auto"/>
        <w:left w:val="none" w:sz="0" w:space="0" w:color="auto"/>
        <w:bottom w:val="none" w:sz="0" w:space="0" w:color="auto"/>
        <w:right w:val="none" w:sz="0" w:space="0" w:color="auto"/>
      </w:divBdr>
    </w:div>
    <w:div w:id="1630670674">
      <w:bodyDiv w:val="1"/>
      <w:marLeft w:val="0"/>
      <w:marRight w:val="0"/>
      <w:marTop w:val="0"/>
      <w:marBottom w:val="0"/>
      <w:divBdr>
        <w:top w:val="none" w:sz="0" w:space="0" w:color="auto"/>
        <w:left w:val="none" w:sz="0" w:space="0" w:color="auto"/>
        <w:bottom w:val="none" w:sz="0" w:space="0" w:color="auto"/>
        <w:right w:val="none" w:sz="0" w:space="0" w:color="auto"/>
      </w:divBdr>
    </w:div>
    <w:div w:id="1643384942">
      <w:bodyDiv w:val="1"/>
      <w:marLeft w:val="0"/>
      <w:marRight w:val="0"/>
      <w:marTop w:val="0"/>
      <w:marBottom w:val="0"/>
      <w:divBdr>
        <w:top w:val="none" w:sz="0" w:space="0" w:color="auto"/>
        <w:left w:val="none" w:sz="0" w:space="0" w:color="auto"/>
        <w:bottom w:val="none" w:sz="0" w:space="0" w:color="auto"/>
        <w:right w:val="none" w:sz="0" w:space="0" w:color="auto"/>
      </w:divBdr>
    </w:div>
    <w:div w:id="1643660015">
      <w:bodyDiv w:val="1"/>
      <w:marLeft w:val="0"/>
      <w:marRight w:val="0"/>
      <w:marTop w:val="0"/>
      <w:marBottom w:val="0"/>
      <w:divBdr>
        <w:top w:val="none" w:sz="0" w:space="0" w:color="auto"/>
        <w:left w:val="none" w:sz="0" w:space="0" w:color="auto"/>
        <w:bottom w:val="none" w:sz="0" w:space="0" w:color="auto"/>
        <w:right w:val="none" w:sz="0" w:space="0" w:color="auto"/>
      </w:divBdr>
    </w:div>
    <w:div w:id="1690525807">
      <w:bodyDiv w:val="1"/>
      <w:marLeft w:val="0"/>
      <w:marRight w:val="0"/>
      <w:marTop w:val="0"/>
      <w:marBottom w:val="0"/>
      <w:divBdr>
        <w:top w:val="none" w:sz="0" w:space="0" w:color="auto"/>
        <w:left w:val="none" w:sz="0" w:space="0" w:color="auto"/>
        <w:bottom w:val="none" w:sz="0" w:space="0" w:color="auto"/>
        <w:right w:val="none" w:sz="0" w:space="0" w:color="auto"/>
      </w:divBdr>
    </w:div>
    <w:div w:id="1732996354">
      <w:bodyDiv w:val="1"/>
      <w:marLeft w:val="0"/>
      <w:marRight w:val="0"/>
      <w:marTop w:val="0"/>
      <w:marBottom w:val="0"/>
      <w:divBdr>
        <w:top w:val="none" w:sz="0" w:space="0" w:color="auto"/>
        <w:left w:val="none" w:sz="0" w:space="0" w:color="auto"/>
        <w:bottom w:val="none" w:sz="0" w:space="0" w:color="auto"/>
        <w:right w:val="none" w:sz="0" w:space="0" w:color="auto"/>
      </w:divBdr>
    </w:div>
    <w:div w:id="1756634954">
      <w:bodyDiv w:val="1"/>
      <w:marLeft w:val="0"/>
      <w:marRight w:val="0"/>
      <w:marTop w:val="0"/>
      <w:marBottom w:val="0"/>
      <w:divBdr>
        <w:top w:val="none" w:sz="0" w:space="0" w:color="auto"/>
        <w:left w:val="none" w:sz="0" w:space="0" w:color="auto"/>
        <w:bottom w:val="none" w:sz="0" w:space="0" w:color="auto"/>
        <w:right w:val="none" w:sz="0" w:space="0" w:color="auto"/>
      </w:divBdr>
    </w:div>
    <w:div w:id="1810973040">
      <w:bodyDiv w:val="1"/>
      <w:marLeft w:val="0"/>
      <w:marRight w:val="0"/>
      <w:marTop w:val="0"/>
      <w:marBottom w:val="0"/>
      <w:divBdr>
        <w:top w:val="none" w:sz="0" w:space="0" w:color="auto"/>
        <w:left w:val="none" w:sz="0" w:space="0" w:color="auto"/>
        <w:bottom w:val="none" w:sz="0" w:space="0" w:color="auto"/>
        <w:right w:val="none" w:sz="0" w:space="0" w:color="auto"/>
      </w:divBdr>
    </w:div>
    <w:div w:id="1818258724">
      <w:bodyDiv w:val="1"/>
      <w:marLeft w:val="0"/>
      <w:marRight w:val="0"/>
      <w:marTop w:val="0"/>
      <w:marBottom w:val="0"/>
      <w:divBdr>
        <w:top w:val="none" w:sz="0" w:space="0" w:color="auto"/>
        <w:left w:val="none" w:sz="0" w:space="0" w:color="auto"/>
        <w:bottom w:val="none" w:sz="0" w:space="0" w:color="auto"/>
        <w:right w:val="none" w:sz="0" w:space="0" w:color="auto"/>
      </w:divBdr>
    </w:div>
    <w:div w:id="1829635815">
      <w:bodyDiv w:val="1"/>
      <w:marLeft w:val="0"/>
      <w:marRight w:val="0"/>
      <w:marTop w:val="0"/>
      <w:marBottom w:val="0"/>
      <w:divBdr>
        <w:top w:val="none" w:sz="0" w:space="0" w:color="auto"/>
        <w:left w:val="none" w:sz="0" w:space="0" w:color="auto"/>
        <w:bottom w:val="none" w:sz="0" w:space="0" w:color="auto"/>
        <w:right w:val="none" w:sz="0" w:space="0" w:color="auto"/>
      </w:divBdr>
    </w:div>
    <w:div w:id="1852185566">
      <w:bodyDiv w:val="1"/>
      <w:marLeft w:val="0"/>
      <w:marRight w:val="0"/>
      <w:marTop w:val="0"/>
      <w:marBottom w:val="0"/>
      <w:divBdr>
        <w:top w:val="none" w:sz="0" w:space="0" w:color="auto"/>
        <w:left w:val="none" w:sz="0" w:space="0" w:color="auto"/>
        <w:bottom w:val="none" w:sz="0" w:space="0" w:color="auto"/>
        <w:right w:val="none" w:sz="0" w:space="0" w:color="auto"/>
      </w:divBdr>
    </w:div>
    <w:div w:id="1902133597">
      <w:bodyDiv w:val="1"/>
      <w:marLeft w:val="0"/>
      <w:marRight w:val="0"/>
      <w:marTop w:val="0"/>
      <w:marBottom w:val="0"/>
      <w:divBdr>
        <w:top w:val="none" w:sz="0" w:space="0" w:color="auto"/>
        <w:left w:val="none" w:sz="0" w:space="0" w:color="auto"/>
        <w:bottom w:val="none" w:sz="0" w:space="0" w:color="auto"/>
        <w:right w:val="none" w:sz="0" w:space="0" w:color="auto"/>
      </w:divBdr>
    </w:div>
    <w:div w:id="1906912234">
      <w:bodyDiv w:val="1"/>
      <w:marLeft w:val="0"/>
      <w:marRight w:val="0"/>
      <w:marTop w:val="0"/>
      <w:marBottom w:val="0"/>
      <w:divBdr>
        <w:top w:val="none" w:sz="0" w:space="0" w:color="auto"/>
        <w:left w:val="none" w:sz="0" w:space="0" w:color="auto"/>
        <w:bottom w:val="none" w:sz="0" w:space="0" w:color="auto"/>
        <w:right w:val="none" w:sz="0" w:space="0" w:color="auto"/>
      </w:divBdr>
    </w:div>
    <w:div w:id="1912696610">
      <w:bodyDiv w:val="1"/>
      <w:marLeft w:val="0"/>
      <w:marRight w:val="0"/>
      <w:marTop w:val="0"/>
      <w:marBottom w:val="0"/>
      <w:divBdr>
        <w:top w:val="none" w:sz="0" w:space="0" w:color="auto"/>
        <w:left w:val="none" w:sz="0" w:space="0" w:color="auto"/>
        <w:bottom w:val="none" w:sz="0" w:space="0" w:color="auto"/>
        <w:right w:val="none" w:sz="0" w:space="0" w:color="auto"/>
      </w:divBdr>
    </w:div>
    <w:div w:id="1913198594">
      <w:bodyDiv w:val="1"/>
      <w:marLeft w:val="0"/>
      <w:marRight w:val="0"/>
      <w:marTop w:val="0"/>
      <w:marBottom w:val="0"/>
      <w:divBdr>
        <w:top w:val="none" w:sz="0" w:space="0" w:color="auto"/>
        <w:left w:val="none" w:sz="0" w:space="0" w:color="auto"/>
        <w:bottom w:val="none" w:sz="0" w:space="0" w:color="auto"/>
        <w:right w:val="none" w:sz="0" w:space="0" w:color="auto"/>
      </w:divBdr>
    </w:div>
    <w:div w:id="1916011820">
      <w:bodyDiv w:val="1"/>
      <w:marLeft w:val="0"/>
      <w:marRight w:val="0"/>
      <w:marTop w:val="0"/>
      <w:marBottom w:val="0"/>
      <w:divBdr>
        <w:top w:val="none" w:sz="0" w:space="0" w:color="auto"/>
        <w:left w:val="none" w:sz="0" w:space="0" w:color="auto"/>
        <w:bottom w:val="none" w:sz="0" w:space="0" w:color="auto"/>
        <w:right w:val="none" w:sz="0" w:space="0" w:color="auto"/>
      </w:divBdr>
    </w:div>
    <w:div w:id="1921602614">
      <w:bodyDiv w:val="1"/>
      <w:marLeft w:val="0"/>
      <w:marRight w:val="0"/>
      <w:marTop w:val="0"/>
      <w:marBottom w:val="0"/>
      <w:divBdr>
        <w:top w:val="none" w:sz="0" w:space="0" w:color="auto"/>
        <w:left w:val="none" w:sz="0" w:space="0" w:color="auto"/>
        <w:bottom w:val="none" w:sz="0" w:space="0" w:color="auto"/>
        <w:right w:val="none" w:sz="0" w:space="0" w:color="auto"/>
      </w:divBdr>
    </w:div>
    <w:div w:id="1926573058">
      <w:bodyDiv w:val="1"/>
      <w:marLeft w:val="0"/>
      <w:marRight w:val="0"/>
      <w:marTop w:val="0"/>
      <w:marBottom w:val="0"/>
      <w:divBdr>
        <w:top w:val="none" w:sz="0" w:space="0" w:color="auto"/>
        <w:left w:val="none" w:sz="0" w:space="0" w:color="auto"/>
        <w:bottom w:val="none" w:sz="0" w:space="0" w:color="auto"/>
        <w:right w:val="none" w:sz="0" w:space="0" w:color="auto"/>
      </w:divBdr>
    </w:div>
    <w:div w:id="1934047115">
      <w:bodyDiv w:val="1"/>
      <w:marLeft w:val="0"/>
      <w:marRight w:val="0"/>
      <w:marTop w:val="0"/>
      <w:marBottom w:val="0"/>
      <w:divBdr>
        <w:top w:val="none" w:sz="0" w:space="0" w:color="auto"/>
        <w:left w:val="none" w:sz="0" w:space="0" w:color="auto"/>
        <w:bottom w:val="none" w:sz="0" w:space="0" w:color="auto"/>
        <w:right w:val="none" w:sz="0" w:space="0" w:color="auto"/>
      </w:divBdr>
    </w:div>
    <w:div w:id="1936091348">
      <w:bodyDiv w:val="1"/>
      <w:marLeft w:val="0"/>
      <w:marRight w:val="0"/>
      <w:marTop w:val="0"/>
      <w:marBottom w:val="0"/>
      <w:divBdr>
        <w:top w:val="none" w:sz="0" w:space="0" w:color="auto"/>
        <w:left w:val="none" w:sz="0" w:space="0" w:color="auto"/>
        <w:bottom w:val="none" w:sz="0" w:space="0" w:color="auto"/>
        <w:right w:val="none" w:sz="0" w:space="0" w:color="auto"/>
      </w:divBdr>
    </w:div>
    <w:div w:id="1946883131">
      <w:bodyDiv w:val="1"/>
      <w:marLeft w:val="0"/>
      <w:marRight w:val="0"/>
      <w:marTop w:val="0"/>
      <w:marBottom w:val="0"/>
      <w:divBdr>
        <w:top w:val="none" w:sz="0" w:space="0" w:color="auto"/>
        <w:left w:val="none" w:sz="0" w:space="0" w:color="auto"/>
        <w:bottom w:val="none" w:sz="0" w:space="0" w:color="auto"/>
        <w:right w:val="none" w:sz="0" w:space="0" w:color="auto"/>
      </w:divBdr>
    </w:div>
    <w:div w:id="1951352507">
      <w:bodyDiv w:val="1"/>
      <w:marLeft w:val="0"/>
      <w:marRight w:val="0"/>
      <w:marTop w:val="0"/>
      <w:marBottom w:val="0"/>
      <w:divBdr>
        <w:top w:val="none" w:sz="0" w:space="0" w:color="auto"/>
        <w:left w:val="none" w:sz="0" w:space="0" w:color="auto"/>
        <w:bottom w:val="none" w:sz="0" w:space="0" w:color="auto"/>
        <w:right w:val="none" w:sz="0" w:space="0" w:color="auto"/>
      </w:divBdr>
    </w:div>
    <w:div w:id="1958442208">
      <w:bodyDiv w:val="1"/>
      <w:marLeft w:val="0"/>
      <w:marRight w:val="0"/>
      <w:marTop w:val="0"/>
      <w:marBottom w:val="0"/>
      <w:divBdr>
        <w:top w:val="none" w:sz="0" w:space="0" w:color="auto"/>
        <w:left w:val="none" w:sz="0" w:space="0" w:color="auto"/>
        <w:bottom w:val="none" w:sz="0" w:space="0" w:color="auto"/>
        <w:right w:val="none" w:sz="0" w:space="0" w:color="auto"/>
      </w:divBdr>
    </w:div>
    <w:div w:id="1980259195">
      <w:bodyDiv w:val="1"/>
      <w:marLeft w:val="0"/>
      <w:marRight w:val="0"/>
      <w:marTop w:val="0"/>
      <w:marBottom w:val="0"/>
      <w:divBdr>
        <w:top w:val="none" w:sz="0" w:space="0" w:color="auto"/>
        <w:left w:val="none" w:sz="0" w:space="0" w:color="auto"/>
        <w:bottom w:val="none" w:sz="0" w:space="0" w:color="auto"/>
        <w:right w:val="none" w:sz="0" w:space="0" w:color="auto"/>
      </w:divBdr>
    </w:div>
    <w:div w:id="2025787932">
      <w:bodyDiv w:val="1"/>
      <w:marLeft w:val="0"/>
      <w:marRight w:val="0"/>
      <w:marTop w:val="0"/>
      <w:marBottom w:val="0"/>
      <w:divBdr>
        <w:top w:val="none" w:sz="0" w:space="0" w:color="auto"/>
        <w:left w:val="none" w:sz="0" w:space="0" w:color="auto"/>
        <w:bottom w:val="none" w:sz="0" w:space="0" w:color="auto"/>
        <w:right w:val="none" w:sz="0" w:space="0" w:color="auto"/>
      </w:divBdr>
    </w:div>
    <w:div w:id="2032224154">
      <w:bodyDiv w:val="1"/>
      <w:marLeft w:val="0"/>
      <w:marRight w:val="0"/>
      <w:marTop w:val="0"/>
      <w:marBottom w:val="0"/>
      <w:divBdr>
        <w:top w:val="none" w:sz="0" w:space="0" w:color="auto"/>
        <w:left w:val="none" w:sz="0" w:space="0" w:color="auto"/>
        <w:bottom w:val="none" w:sz="0" w:space="0" w:color="auto"/>
        <w:right w:val="none" w:sz="0" w:space="0" w:color="auto"/>
      </w:divBdr>
    </w:div>
    <w:div w:id="2074619707">
      <w:bodyDiv w:val="1"/>
      <w:marLeft w:val="0"/>
      <w:marRight w:val="0"/>
      <w:marTop w:val="0"/>
      <w:marBottom w:val="0"/>
      <w:divBdr>
        <w:top w:val="none" w:sz="0" w:space="0" w:color="auto"/>
        <w:left w:val="none" w:sz="0" w:space="0" w:color="auto"/>
        <w:bottom w:val="none" w:sz="0" w:space="0" w:color="auto"/>
        <w:right w:val="none" w:sz="0" w:space="0" w:color="auto"/>
      </w:divBdr>
    </w:div>
    <w:div w:id="2075202403">
      <w:bodyDiv w:val="1"/>
      <w:marLeft w:val="0"/>
      <w:marRight w:val="0"/>
      <w:marTop w:val="0"/>
      <w:marBottom w:val="0"/>
      <w:divBdr>
        <w:top w:val="none" w:sz="0" w:space="0" w:color="auto"/>
        <w:left w:val="none" w:sz="0" w:space="0" w:color="auto"/>
        <w:bottom w:val="none" w:sz="0" w:space="0" w:color="auto"/>
        <w:right w:val="none" w:sz="0" w:space="0" w:color="auto"/>
      </w:divBdr>
    </w:div>
    <w:div w:id="2094279638">
      <w:bodyDiv w:val="1"/>
      <w:marLeft w:val="0"/>
      <w:marRight w:val="0"/>
      <w:marTop w:val="0"/>
      <w:marBottom w:val="0"/>
      <w:divBdr>
        <w:top w:val="none" w:sz="0" w:space="0" w:color="auto"/>
        <w:left w:val="none" w:sz="0" w:space="0" w:color="auto"/>
        <w:bottom w:val="none" w:sz="0" w:space="0" w:color="auto"/>
        <w:right w:val="none" w:sz="0" w:space="0" w:color="auto"/>
      </w:divBdr>
    </w:div>
    <w:div w:id="2095128617">
      <w:bodyDiv w:val="1"/>
      <w:marLeft w:val="0"/>
      <w:marRight w:val="0"/>
      <w:marTop w:val="0"/>
      <w:marBottom w:val="0"/>
      <w:divBdr>
        <w:top w:val="none" w:sz="0" w:space="0" w:color="auto"/>
        <w:left w:val="none" w:sz="0" w:space="0" w:color="auto"/>
        <w:bottom w:val="none" w:sz="0" w:space="0" w:color="auto"/>
        <w:right w:val="none" w:sz="0" w:space="0" w:color="auto"/>
      </w:divBdr>
    </w:div>
    <w:div w:id="21048338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eventhEdition.xsl" StyleName="APA7" Version="7">
  <b:Source>
    <b:Tag>Wes98</b:Tag>
    <b:SourceType>JournalArticle</b:SourceType>
    <b:Guid>{3ADA2AC9-0C75-43FC-83FB-57D20D90E653}</b:Guid>
    <b:Author>
      <b:Author>
        <b:NameList>
          <b:Person>
            <b:Last>Westen</b:Last>
            <b:First>D</b:First>
          </b:Person>
        </b:NameList>
      </b:Author>
    </b:Author>
    <b:Title>The scientific legacy of Sigmund Freud: Toward a psychodynamically informed psychological science</b:Title>
    <b:JournalName>Psychological bulletin</b:JournalName>
    <b:Year>1998</b:Year>
    <b:Pages>333</b:Pages>
    <b:Volume>124</b:Volume>
    <b:Issue>3</b:Issue>
    <b:DOI>https://doi.org/10.1037/0033-2909.124.3.333</b:DOI>
    <b:RefOrder>1</b:RefOrder>
  </b:Source>
  <b:Source>
    <b:Tag>Vai92</b:Tag>
    <b:SourceType>Book</b:SourceType>
    <b:Guid>{A0B21F30-2A90-4DE0-B81F-0AF540D6FB23}</b:Guid>
    <b:Author>
      <b:Author>
        <b:NameList>
          <b:Person>
            <b:Last>Vaillant</b:Last>
            <b:First>G.</b:First>
            <b:Middle>E</b:Middle>
          </b:Person>
        </b:NameList>
      </b:Author>
    </b:Author>
    <b:Title>Ego mechanisms of defense: a guide for clinicans and researchers</b:Title>
    <b:Year>1992</b:Year>
    <b:Publisher>American Psychiatric Pub</b:Publisher>
    <b:RefOrder>2</b:RefOrder>
  </b:Source>
  <b:Source>
    <b:Tag>Fli73</b:Tag>
    <b:SourceType>JournalArticle</b:SourceType>
    <b:Guid>{6DA13B93-394E-4561-B3AC-DD24C8B455F9}</b:Guid>
    <b:Author>
      <b:Author>
        <b:NameList>
          <b:Person>
            <b:Last>Fliegel</b:Last>
            <b:First>Z.</b:First>
            <b:Middle>O</b:Middle>
          </b:Person>
        </b:NameList>
      </b:Author>
    </b:Author>
    <b:Title>Feminine psychosexual development in Freudian theory: A historical reconstruction</b:Title>
    <b:Year>1973</b:Year>
    <b:DOI>https://doi.org/10.1080/21674086.1973.11926640</b:DOI>
    <b:JournalName>The Psychoanalytic Quarterly</b:JournalName>
    <b:Pages>385-408</b:Pages>
    <b:Volume>42</b:Volume>
    <b:Issue>3</b:Issue>
    <b:RefOrder>3</b:RefOrder>
  </b:Source>
  <b:Source>
    <b:Tag>Bil99</b:Tag>
    <b:SourceType>Book</b:SourceType>
    <b:Guid>{58949635-0A08-4523-95EB-B32CD707A7FF}</b:Guid>
    <b:Author>
      <b:Author>
        <b:NameList>
          <b:Person>
            <b:Last>Billig</b:Last>
            <b:First>M</b:First>
          </b:Person>
        </b:NameList>
      </b:Author>
    </b:Author>
    <b:Title>Freudian repression: Conversation creating the unconscious</b:Title>
    <b:Year>1999</b:Year>
    <b:Publisher>Cambridge University Press</b:Publisher>
    <b:RefOrder>4</b:RefOrder>
  </b:Source>
  <b:Source>
    <b:Tag>Vai921</b:Tag>
    <b:SourceType>Book</b:SourceType>
    <b:Guid>{7BA40061-D24B-4A86-BCE4-AB71CECD0DF1}</b:Guid>
    <b:Author>
      <b:Author>
        <b:NameList>
          <b:Person>
            <b:Last>Vaillant</b:Last>
            <b:First>G.</b:First>
            <b:Middle>E</b:Middle>
          </b:Person>
        </b:NameList>
      </b:Author>
    </b:Author>
    <b:Title>Ego mechanisms of defense: a guide for clinicans and researchers</b:Title>
    <b:Year>1992</b:Year>
    <b:Publisher>American Psychiatric Pub</b:Publisher>
    <b:RefOrder>5</b:RefOrder>
  </b:Source>
  <b:Source>
    <b:Tag>DiF16</b:Tag>
    <b:SourceType>BookSection</b:SourceType>
    <b:Guid>{20B6A8B3-0DD1-4103-9F34-B3D5EEB254AC}</b:Guid>
    <b:Title>The Unconscious Mind</b:Title>
    <b:Year>2016</b:Year>
    <b:DOI>https://doi.org/10.1057/978-1-137-57385-8_2</b:DOI>
    <b:Pages>9-54</b:Pages>
    <b:Author>
      <b:Author>
        <b:NameList>
          <b:Person>
            <b:Last>Di Francesco</b:Last>
            <b:First>M</b:First>
          </b:Person>
          <b:Person>
            <b:Last>Marraffa</b:Last>
            <b:First>M</b:First>
          </b:Person>
          <b:Person>
            <b:Last> Marraffa</b:Last>
            <b:First>A</b:First>
          </b:Person>
        </b:NameList>
      </b:Author>
      <b:BookAuthor>
        <b:NameList>
          <b:Person>
            <b:Last>Macmillan</b:Last>
            <b:First>Palgrave</b:First>
          </b:Person>
        </b:NameList>
      </b:BookAuthor>
    </b:Author>
    <b:BookTitle>The Self and its Defenses</b:BookTitle>
    <b:RefOrder>6</b:RefOrder>
  </b:Source>
  <b:Source>
    <b:Tag>Gro201</b:Tag>
    <b:SourceType>JournalArticle</b:SourceType>
    <b:Guid>{3A25FAFE-2F16-4CDD-A5C3-5137C9DCFE6A}</b:Guid>
    <b:Title>Erikson's stages of psychosocial development</b:Title>
    <b:Year>2020</b:Year>
    <b:Pages>179-184</b:Pages>
    <b:Author>
      <b:Author>
        <b:NameList>
          <b:Person>
            <b:Last>Gross</b:Last>
            <b:First>Y</b:First>
          </b:Person>
        </b:NameList>
      </b:Author>
    </b:Author>
    <b:JournalName>he Wiley Encyclopedia of Personality and Individual Differences: Models and Theories</b:JournalName>
    <b:DOI>https://doi.org/10.1002/9781118970843.ch31</b:DOI>
    <b:RefOrder>7</b:RefOrder>
  </b:Source>
  <b:Source>
    <b:Tag>Sti09</b:Tag>
    <b:SourceType>JournalArticle</b:SourceType>
    <b:Guid>{B2A91F06-D4DC-4E6A-8EC5-60D1A399B5A3}</b:Guid>
    <b:Title>Alone and without purpose: Life loses meaning following social exclusion</b:Title>
    <b:JournalName>Journal of experimental social psychology</b:JournalName>
    <b:Year>2009</b:Year>
    <b:Pages>686-694</b:Pages>
    <b:Volume>45</b:Volume>
    <b:Issue>4</b:Issue>
    <b:DOI>https://doi.org/10.1016/j.jesp.2009.03.007</b:DOI>
    <b:Author>
      <b:Author>
        <b:NameList>
          <b:Person>
            <b:Last>Stillman</b:Last>
            <b:Middle>F</b:Middle>
            <b:First>T</b:First>
          </b:Person>
          <b:Person>
            <b:Last>Baumeister</b:Last>
            <b:Middle>F</b:Middle>
            <b:First>R</b:First>
          </b:Person>
          <b:Person>
            <b:Last>Lambert</b:Last>
            <b:Middle>M</b:Middle>
            <b:First>N</b:First>
          </b:Person>
          <b:Person>
            <b:Last>Crescioni</b:Last>
            <b:Middle>W</b:Middle>
            <b:First>A</b:First>
          </b:Person>
          <b:Person>
            <b:Last>DeWall</b:Last>
            <b:Middle>N</b:Middle>
            <b:First>C</b:First>
          </b:Person>
          <b:Person>
            <b:Last>Fincham</b:Last>
            <b:Middle>D</b:Middle>
            <b:First>F</b:First>
          </b:Person>
        </b:NameList>
      </b:Author>
    </b:Author>
    <b:RefOrder>8</b:RefOrder>
  </b:Source>
  <b:Source>
    <b:Tag>Pal22</b:Tag>
    <b:SourceType>Book</b:SourceType>
    <b:Guid>{AEEB9255-6B0D-4C5F-8C5E-98DDF1036E4A}</b:Guid>
    <b:Title>A hidden wholeness: The journey toward an undivided life</b:Title>
    <b:Year>2022</b:Year>
    <b:Author>
      <b:Author>
        <b:NameList>
          <b:Person>
            <b:Last>Palmer</b:Last>
            <b:First>P.</b:First>
            <b:Middle>J</b:Middle>
          </b:Person>
        </b:NameList>
      </b:Author>
    </b:Author>
    <b:Publisher>John Wiley &amp; sons</b:Publisher>
    <b:RefOrder>9</b:RefOrder>
  </b:Source>
  <b:Source>
    <b:Tag>Sha07</b:Tag>
    <b:SourceType>Book</b:SourceType>
    <b:Guid>{BEBFCBD8-3215-4289-97DB-090809B1F10E}</b:Guid>
    <b:Author>
      <b:Author>
        <b:NameList>
          <b:Person>
            <b:Last>Shabad</b:Last>
            <b:First>P.</b:First>
            <b:Middle>C</b:Middle>
          </b:Person>
        </b:NameList>
      </b:Author>
    </b:Author>
    <b:Title>Despair and the return of hope: Echoes of mourning in psychotherapy</b:Title>
    <b:Year>2007</b:Year>
    <b:Publisher>Jason Aronson</b:Publisher>
    <b:RefOrder>10</b:RefOrder>
  </b:Source>
  <b:Source>
    <b:Tag>Mas58</b:Tag>
    <b:SourceType>Book</b:SourceType>
    <b:Guid>{9B48C403-5713-440F-8D7B-9D58713EBA19}</b:Guid>
    <b:Author>
      <b:Author>
        <b:NameList>
          <b:Person>
            <b:Last>Maslow</b:Last>
            <b:First>A.</b:First>
            <b:Middle>H</b:Middle>
          </b:Person>
        </b:NameList>
      </b:Author>
    </b:Author>
    <b:Title>A Dynamic Theory of Human Motivation</b:Title>
    <b:Year>1958</b:Year>
    <b:Publisher>Howard Allen Publishers</b:Publisher>
    <b:DOI>https://doi.org/10.1037/11305-004</b:DOI>
    <b:RefOrder>11</b:RefOrder>
  </b:Source>
  <b:Source>
    <b:Tag>Wes16</b:Tag>
    <b:SourceType>JournalArticle</b:SourceType>
    <b:Guid>{1808158B-C4D2-4D00-A5E8-12CC5C0316B6}</b:Guid>
    <b:Title>Social exclusion in everyday life</b:Title>
    <b:Year>2016</b:Year>
    <b:DOI>https://doi.org/10.1007/978-3-319-33033-4_1</b:DOI>
    <b:JournalName>Social exclusion: Psychological approaches to understanding and reducing its impact</b:JournalName>
    <b:Pages>3-23</b:Pages>
    <b:Author>
      <b:Author>
        <b:NameList>
          <b:Person>
            <b:Last>Wesselmann</b:Last>
            <b:Middle>D</b:Middle>
            <b:First>E</b:First>
          </b:Person>
          <b:Person>
            <b:Last>Grzybowski</b:Last>
            <b:Middle>R</b:Middle>
            <b:First>M</b:First>
          </b:Person>
          <b:Person>
            <b:Last>Steakley-Freeman</b:Last>
            <b:Middle>M</b:Middle>
            <b:First>D</b:First>
          </b:Person>
          <b:Person>
            <b:Last>DeSouza</b:Last>
            <b:Middle>R</b:Middle>
            <b:First>E</b:First>
          </b:Person>
          <b:Person>
            <b:Last>Nezlek</b:Last>
            <b:Middle>B</b:Middle>
            <b:First>J</b:First>
          </b:Person>
          <b:Person>
            <b:Last>Williams</b:Last>
            <b:Middle>D</b:Middle>
            <b:First>K</b:First>
          </b:Person>
        </b:NameList>
      </b:Author>
    </b:Author>
    <b:RefOrder>12</b:RefOrder>
  </b:Source>
  <b:Source>
    <b:Tag>Pin01</b:Tag>
    <b:SourceType>JournalArticle</b:SourceType>
    <b:Guid>{92F6BFFC-9040-4D0E-8DF2-936D6D2892ED}</b:Guid>
    <b:Title>Influences on loneliness in older adults: A meta-analysis</b:Title>
    <b:JournalName>Basic and applied social psychology</b:JournalName>
    <b:Year>2001</b:Year>
    <b:Pages>245-266</b:Pages>
    <b:Volume>23</b:Volume>
    <b:Issue>4</b:Issue>
    <b:DOI>https://doi.org/10.1207/S15324834BASP2304_2</b:DOI>
    <b:Author>
      <b:Author>
        <b:NameList>
          <b:Person>
            <b:Last>Pinquart</b:Last>
            <b:First>M</b:First>
          </b:Person>
          <b:Person>
            <b:Last>Sorensen</b:Last>
            <b:First>S</b:First>
          </b:Person>
        </b:NameList>
      </b:Author>
    </b:Author>
    <b:RefOrder>13</b:RefOrder>
  </b:Source>
  <b:Source>
    <b:Tag>Kru09</b:Tag>
    <b:SourceType>JournalArticle</b:SourceType>
    <b:Guid>{078488E4-E177-461E-AF05-65D368013CC7}</b:Guid>
    <b:Title>Social engagement and cognitive function in old age</b:Title>
    <b:JournalName>Experimental aging research</b:JournalName>
    <b:Year>2009</b:Year>
    <b:Pages>45-60</b:Pages>
    <b:Volume>35</b:Volume>
    <b:Issue>1</b:Issue>
    <b:DOI>https://doi.org/10.1080/03610730802545028</b:DOI>
    <b:Author>
      <b:Author>
        <b:NameList>
          <b:Person>
            <b:Last>Krueger</b:Last>
            <b:Middle>R</b:Middle>
            <b:First>K</b:First>
          </b:Person>
          <b:Person>
            <b:Last>Wilson</b:Last>
            <b:Middle>S</b:Middle>
            <b:First>R</b:First>
          </b:Person>
          <b:Person>
            <b:Last>Kamenetsky</b:Last>
            <b:Middle>M</b:Middle>
            <b:First>J</b:First>
          </b:Person>
          <b:Person>
            <b:Last>Barnes</b:Last>
            <b:Middle>L</b:Middle>
            <b:First>L</b:First>
          </b:Person>
          <b:Person>
            <b:Last>Bienias</b:Last>
            <b:Middle>L</b:Middle>
            <b:First>J</b:First>
          </b:Person>
          <b:Person>
            <b:Last>Bennett</b:Last>
            <b:Middle>A</b:Middle>
            <b:First>D</b:First>
          </b:Person>
        </b:NameList>
      </b:Author>
    </b:Author>
    <b:RefOrder>14</b:RefOrder>
  </b:Source>
  <b:Source>
    <b:Tag>Lar19</b:Tag>
    <b:SourceType>JournalArticle</b:SourceType>
    <b:Guid>{AAC90282-DBAB-4454-AFD6-5E274454EE79}</b:Guid>
    <b:Title>Are loneliness and social isolation associated with cognitive decline?</b:Title>
    <b:JournalName>International journal of geriatric psychiatry</b:JournalName>
    <b:Year>2019</b:Year>
    <b:Pages>1613-1622</b:Pages>
    <b:Volume>34</b:Volume>
    <b:Issue>11</b:Issue>
    <b:DOI>https://doi.org/10.1002/gps.5174</b:DOI>
    <b:Author>
      <b:Author>
        <b:NameList>
          <b:Person>
            <b:Last>Lara</b:Last>
            <b:First>E</b:First>
          </b:Person>
          <b:Person>
            <b:Last>Caballero</b:Last>
            <b:Middle>F</b:Middle>
            <b:First>F</b:First>
          </b:Person>
          <b:Person>
            <b:Last>Rico‐Uribe</b:Last>
            <b:Middle>A</b:Middle>
            <b:First>L</b:First>
          </b:Person>
          <b:Person>
            <b:Last>Olaya</b:Last>
            <b:First>B</b:First>
          </b:Person>
          <b:Person>
            <b:Last>Haro</b:Last>
            <b:Middle>M</b:Middle>
            <b:First>J</b:First>
          </b:Person>
          <b:Person>
            <b:Last>Ayuso‐Mateos</b:Last>
            <b:Middle>L</b:Middle>
            <b:First>J</b:First>
          </b:Person>
          <b:Person>
            <b:Last>Miret</b:Last>
            <b:First>M</b:First>
          </b:Person>
        </b:NameList>
      </b:Author>
    </b:Author>
    <b:RefOrder>15</b:RefOrder>
  </b:Source>
  <b:Source>
    <b:Tag>Bra11</b:Tag>
    <b:SourceType>BookSection</b:SourceType>
    <b:Guid>{CE392A4C-9DA9-4A2A-B72C-7DB7E0216FAF}</b:Guid>
    <b:Title>Working memory, executive control, and aging</b:Title>
    <b:Year>2011</b:Year>
    <b:Pages>319-380</b:Pages>
    <b:Author>
      <b:Author>
        <b:NameList>
          <b:Person>
            <b:Last>Braver</b:Last>
            <b:Middle>S</b:Middle>
            <b:First>T</b:First>
          </b:Person>
          <b:Person>
            <b:Last>West</b:Last>
            <b:First>R</b:First>
          </b:Person>
        </b:NameList>
      </b:Author>
    </b:Author>
    <b:BookTitle>The handbook of aging and cognition</b:BookTitle>
    <b:Publisher>Psychology Press</b:Publisher>
    <b:RefOrder>16</b:RefOrder>
  </b:Source>
  <b:Source>
    <b:Tag>Bal15</b:Tag>
    <b:SourceType>JournalArticle</b:SourceType>
    <b:Guid>{40A8D481-4DBD-47F3-A6D1-6AC2A4F6EC7E}</b:Guid>
    <b:Title>Maintaining older brain functionality: a targeted review</b:Title>
    <b:Year>2015</b:Year>
    <b:Pages>453-477</b:Pages>
    <b:JournalName>Neuroscience &amp; Biobehavioral Reviews</b:JournalName>
    <b:Volume>55</b:Volume>
    <b:DOI>https://doi.org/10.1016/j.neubiorev.2015.06.008</b:DOI>
    <b:Author>
      <b:Author>
        <b:NameList>
          <b:Person>
            <b:Last>Ballesteros</b:Last>
            <b:First>S</b:First>
          </b:Person>
          <b:Person>
            <b:Last>Kraft</b:Last>
            <b:First>E</b:First>
          </b:Person>
          <b:Person>
            <b:Last>Santana</b:Last>
            <b:First>S</b:First>
          </b:Person>
          <b:Person>
            <b:Last>Tziraki</b:Last>
            <b:First>C</b:First>
          </b:Person>
        </b:NameList>
      </b:Author>
    </b:Author>
    <b:RefOrder>17</b:RefOrder>
  </b:Source>
  <b:Source>
    <b:Tag>Mac14</b:Tag>
    <b:SourceType>JournalArticle</b:SourceType>
    <b:Guid>{CB53E2AB-182F-4E73-8C31-3F4BEDD57C3E}</b:Guid>
    <b:Title>Chronic stress as a risk factor for Alzheimer’s disease</b:Title>
    <b:JournalName>Reviews in the Neurosciences</b:JournalName>
    <b:Year>2014</b:Year>
    <b:Pages>785-804</b:Pages>
    <b:Volume>25</b:Volume>
    <b:Issue>6</b:Issue>
    <b:DOI>https://doi.org/10.1515/revneuro-2014-0035</b:DOI>
    <b:Author>
      <b:Author>
        <b:NameList>
          <b:Person>
            <b:Last>Machado,</b:Last>
            <b:First>A</b:First>
          </b:Person>
          <b:Person>
            <b:Last>Herrera</b:Last>
            <b:Middle>J</b:Middle>
            <b:First>A</b:First>
          </b:Person>
          <b:Person>
            <b:Last>de Pablos</b:Last>
            <b:Middle>M</b:Middle>
            <b:First>R</b:First>
          </b:Person>
          <b:Person>
            <b:Last>Espinosa-Oliva</b:Last>
            <b:Middle>M</b:Middle>
            <b:First>A</b:First>
          </b:Person>
          <b:Person>
            <b:Last>Sarmiento</b:Last>
            <b:First>M</b:First>
          </b:Person>
          <b:Person>
            <b:Last>Ayala</b:Last>
            <b:First>A</b:First>
          </b:Person>
          <b:Person>
            <b:Last>Cano</b:Last>
            <b:First>J</b:First>
          </b:Person>
        </b:NameList>
      </b:Author>
    </b:Author>
    <b:RefOrder>18</b:RefOrder>
  </b:Source>
  <b:Source>
    <b:Tag>Moy10</b:Tag>
    <b:SourceType>JournalArticle</b:SourceType>
    <b:Guid>{A7EF6386-3933-419C-99FE-A6AF31D4E0DC}</b:Guid>
    <b:Title>Older people maintaining mental health well‐being through resilience: an appreciative inquiry study in four countries</b:Title>
    <b:JournalName>Journal of Nursing and Healthcare of Chronic Illness</b:JournalName>
    <b:Year>2010</b:Year>
    <b:Pages>113-121</b:Pages>
    <b:Volume>2</b:Volume>
    <b:Issue>2</b:Issue>
    <b:DOI>https://doi.org/10.1111/j.1752-9824.2010.01050.x</b:DOI>
    <b:Author>
      <b:Author>
        <b:NameList>
          <b:Person>
            <b:Last>Moyle</b:Last>
            <b:First>W</b:First>
          </b:Person>
          <b:Person>
            <b:Last>Clarke</b:Last>
            <b:First>C</b:First>
          </b:Person>
          <b:Person>
            <b:Last>Gracia</b:Last>
            <b:First>N</b:First>
          </b:Person>
          <b:Person>
            <b:Last>Reed</b:Last>
            <b:First>J</b:First>
          </b:Person>
          <b:Person>
            <b:Last>Cook</b:Last>
            <b:First>G</b:First>
          </b:Person>
          <b:Person>
            <b:Last>Klein</b:Last>
            <b:First>B</b:First>
          </b:Person>
          <b:Person>
            <b:Last>Richardson</b:Last>
            <b:First>E</b:First>
          </b:Person>
        </b:NameList>
      </b:Author>
    </b:Author>
    <b:RefOrder>19</b:RefOrder>
  </b:Source>
  <b:Source>
    <b:Tag>Hog161</b:Tag>
    <b:SourceType>Book</b:SourceType>
    <b:Guid>{5890A26A-E4AC-43D5-8E32-A58B0BA3EA78}</b:Guid>
    <b:Author>
      <b:Author>
        <b:NameList>
          <b:Person>
            <b:Last>Hogg</b:Last>
            <b:First>M.</b:First>
            <b:Middle>A</b:Middle>
          </b:Person>
        </b:NameList>
      </b:Author>
    </b:Author>
    <b:Title>Social identity theory</b:Title>
    <b:Year>2016</b:Year>
    <b:Pages>3-17</b:Pages>
    <b:Publisher>Springer International Publishing</b:Publisher>
    <b:RefOrder>21</b:RefOrder>
  </b:Source>
  <b:Source>
    <b:Tag>Öst10</b:Tag>
    <b:SourceType>JournalArticle</b:SourceType>
    <b:Guid>{DC362927-89D7-4E7B-80AA-2AFA05A6DC99}</b:Guid>
    <b:Title>Watching television in later life: a deeper understanding of TV viewing in the homes of old people and in geriatric care contexts</b:Title>
    <b:Year>2010</b:Year>
    <b:DOI>https://doi.org/10.1111/j.1471-6712.2009.00711.x</b:DOI>
    <b:Author>
      <b:Author>
        <b:NameList>
          <b:Person>
            <b:Last>Östlund</b:Last>
            <b:First>B</b:First>
          </b:Person>
        </b:NameList>
      </b:Author>
    </b:Author>
    <b:JournalName>Scandinavian journal of caring sciences</b:JournalName>
    <b:Pages>233-243</b:Pages>
    <b:Volume>24</b:Volume>
    <b:Issue>2</b:Issue>
    <b:RefOrder>20</b:RefOrder>
  </b:Source>
  <b:Source>
    <b:Tag>Beg15</b:Tag>
    <b:SourceType>JournalArticle</b:SourceType>
    <b:Guid>{1E96352E-887B-4EDD-9468-493E8AD05B9D}</b:Guid>
    <b:Title>Benefits of belonging: Experimental manipulation of social inclusion to enhance psychological and physiological health parameters</b:Title>
    <b:JournalName>Psychology &amp; health</b:JournalName>
    <b:Year>2015</b:Year>
    <b:Pages>568-582</b:Pages>
    <b:Volume>30</b:Volume>
    <b:Issue>5</b:Issue>
    <b:DOI>https://doi.org/10.1080/08870446.2014.991734</b:DOI>
    <b:Author>
      <b:Author>
        <b:NameList>
          <b:Person>
            <b:Last>Begen</b:Last>
            <b:Middle>M</b:Middle>
            <b:First>F</b:First>
          </b:Person>
          <b:Person>
            <b:Last>Turner-Cobb</b:Last>
            <b:Middle>M</b:Middle>
            <b:First>J</b:First>
          </b:Person>
        </b:NameList>
      </b:Author>
    </b:Author>
    <b:RefOrder>22</b:RefOrder>
  </b:Source>
  <b:Source>
    <b:Tag>Gre16</b:Tag>
    <b:SourceType>JournalArticle</b:SourceType>
    <b:Guid>{ECD46C5F-4AF6-4299-9F55-2FD9FB3810A0}</b:Guid>
    <b:Title>Social identities promote well‐being because they satisfy global psychological needs</b:Title>
    <b:JournalName>European Journal of Social Psycholog</b:JournalName>
    <b:Year>2016</b:Year>
    <b:Pages>294-307</b:Pages>
    <b:Volume>46</b:Volume>
    <b:Issue>3</b:Issue>
    <b:DOI>https://doi.org/10.1002/ejsp.2169</b:DOI>
    <b:Author>
      <b:Author>
        <b:NameList>
          <b:Person>
            <b:Last>Greenaway</b:Last>
            <b:Middle>H</b:Middle>
            <b:First>K</b:First>
          </b:Person>
          <b:Person>
            <b:Last>Cruwys</b:Last>
            <b:First>T</b:First>
          </b:Person>
          <b:Person>
            <b:Last>Haslam</b:Last>
            <b:Middle>A</b:Middle>
            <b:First>S</b:First>
          </b:Person>
          <b:Person>
            <b:Last>Jetten</b:Last>
            <b:First>J</b:First>
          </b:Person>
        </b:NameList>
      </b:Author>
    </b:Author>
    <b:RefOrder>23</b:RefOrder>
  </b:Source>
  <b:Source>
    <b:Tag>Ahl01</b:Tag>
    <b:SourceType>JournalArticle</b:SourceType>
    <b:Guid>{DE00B969-8D67-4974-8F7A-C7524C181A12}</b:Guid>
    <b:Title>Testing the groupthink model: Effects of promotional leadership and conformity predisposition</b:Title>
    <b:JournalName>Social Behavior and Personality: an international journal</b:JournalName>
    <b:Year>2001</b:Year>
    <b:Pages>31-41</b:Pages>
    <b:Volume>29</b:Volume>
    <b:Issue>1</b:Issue>
    <b:DOI>https://doi.org/10.2224/sbp.2001.29.1.31</b:DOI>
    <b:Author>
      <b:Author>
        <b:NameList>
          <b:Person>
            <b:Last>Ahlfinger</b:Last>
            <b:Middle>R</b:Middle>
            <b:First>N</b:First>
          </b:Person>
          <b:Person>
            <b:Last>Esser</b:Last>
            <b:Middle>K</b:Middle>
            <b:First>J</b:First>
          </b:Person>
        </b:NameList>
      </b:Author>
    </b:Author>
    <b:RefOrder>24</b:RefOrder>
  </b:Source>
  <b:Source>
    <b:Tag>Mat05</b:Tag>
    <b:SourceType>JournalArticle</b:SourceType>
    <b:Guid>{A2A42D9A-746C-4109-8178-760B5A2FCDFC}</b:Guid>
    <b:Title>Cognitive dissonance in groups: the consequences of disagreement</b:Title>
    <b:JournalName>Journal of personality and social psychology</b:JournalName>
    <b:Year>2005</b:Year>
    <b:Pages>22</b:Pages>
    <b:Volume>88</b:Volume>
    <b:Issue>1</b:Issue>
    <b:DOI>https://doi.org/10.1037/0022-3514.88.1.22</b:DOI>
    <b:Author>
      <b:Author>
        <b:NameList>
          <b:Person>
            <b:Last>Matz</b:Last>
            <b:Middle>C</b:Middle>
            <b:First>D</b:First>
          </b:Person>
          <b:Person>
            <b:Last>Wood</b:Last>
            <b:First>W</b:First>
          </b:Person>
        </b:NameList>
      </b:Author>
    </b:Author>
    <b:RefOrder>25</b:RefOrder>
  </b:Source>
  <b:Source>
    <b:Tag>Lea95</b:Tag>
    <b:SourceType>JournalArticle</b:SourceType>
    <b:Guid>{E52FECAC-FF14-41D3-8350-60B4E0FD5C0B}</b:Guid>
    <b:Title>Self-esteem as an interpersonal monitor: The sociometer hypothesis</b:Title>
    <b:JournalName>Journal of personality and social psychology</b:JournalName>
    <b:Year>1995</b:Year>
    <b:Pages>518</b:Pages>
    <b:Volume>68</b:Volume>
    <b:Issue>3</b:Issue>
    <b:DOI>https://doi.org/10.1037/0022-3514.68.3.518</b:DOI>
    <b:Author>
      <b:Author>
        <b:NameList>
          <b:Person>
            <b:Last>Leary</b:Last>
            <b:Middle>R</b:Middle>
            <b:First>M</b:First>
          </b:Person>
          <b:Person>
            <b:Last>Tambor</b:Last>
            <b:Middle>S</b:Middle>
            <b:First>E</b:First>
          </b:Person>
          <b:Person>
            <b:Last>Terdal</b:Last>
            <b:Middle>K</b:Middle>
            <b:First>S</b:First>
          </b:Person>
          <b:Person>
            <b:Last>Downs</b:Last>
            <b:Middle>L</b:Middle>
            <b:First>D</b:First>
          </b:Person>
        </b:NameList>
      </b:Author>
    </b:Author>
    <b:RefOrder>26</b:RefOrder>
  </b:Source>
  <b:Source>
    <b:Tag>HuW24</b:Tag>
    <b:SourceType>JournalArticle</b:SourceType>
    <b:Guid>{C2A3244E-FD04-4BA8-B4D5-25871FA7F590}</b:Guid>
    <b:Author>
      <b:Author>
        <b:NameList>
          <b:Person>
            <b:Last>Hu</b:Last>
            <b:First>W</b:First>
          </b:Person>
        </b:NameList>
      </b:Author>
    </b:Author>
    <b:Title>Social Withdrawal: A Systematic Review of the Influencing Mechanism, Forming Reason and Discussing the Affected Groups</b:Title>
    <b:JournalName>Journal of Education, Humanities and Social Sciences</b:JournalName>
    <b:Year>2024</b:Year>
    <b:Pages>645-654</b:Pages>
    <b:Volume>26</b:Volume>
    <b:DOI>https://doi.org/10.54097/8yby8004</b:DOI>
    <b:RefOrder>27</b:RefOrder>
  </b:Source>
  <b:Source>
    <b:Tag>Tay18</b:Tag>
    <b:SourceType>JournalArticle</b:SourceType>
    <b:Guid>{2BF65FC1-443B-4CC7-9E07-883AAEC59DE4}</b:Guid>
    <b:Title>Social isolation, depression, and psychological distress among older adults</b:Title>
    <b:JournalName>Journal of aging and health</b:JournalName>
    <b:Year>2018</b:Year>
    <b:Pages>229-246</b:Pages>
    <b:Volume>30</b:Volume>
    <b:Issue>2</b:Issue>
    <b:DOI>https://doi.org/10.1177/0898264316673511</b:DOI>
    <b:Author>
      <b:Author>
        <b:NameList>
          <b:Person>
            <b:Last>Taylor</b:Last>
            <b:Middle>O</b:Middle>
            <b:First>H</b:First>
          </b:Person>
          <b:Person>
            <b:Last>Taylor</b:Last>
            <b:Middle>J</b:Middle>
            <b:First>R</b:First>
          </b:Person>
          <b:Person>
            <b:Last>Nguyen</b:Last>
            <b:Middle>W</b:Middle>
            <b:First>A</b:First>
          </b:Person>
          <b:Person>
            <b:Last>Chatters</b:Last>
            <b:First>L</b:First>
          </b:Person>
        </b:NameList>
      </b:Author>
    </b:Author>
    <b:RefOrder>28</b:RefOrder>
  </b:Source>
  <b:Source>
    <b:Tag>Bau17</b:Tag>
    <b:SourceType>Book</b:SourceType>
    <b:Guid>{19D1E6FC-9697-4ED5-98DA-C5912E1CD66F}</b:Guid>
    <b:Title>The need to belong: Desire for interpersonal attachments as a fundamental human motivation</b:Title>
    <b:JournalName>Interpersonal development</b:JournalName>
    <b:Year>2017</b:Year>
    <b:Author>
      <b:Author>
        <b:NameList>
          <b:Person>
            <b:Last>Baumeister</b:Last>
            <b:Middle>F</b:Middle>
            <b:First>R</b:First>
          </b:Person>
          <b:Person>
            <b:Last>Leary</b:Last>
            <b:Middle>R</b:Middle>
            <b:First>M</b:First>
          </b:Person>
        </b:NameList>
      </b:Author>
    </b:Author>
    <b:Pages>57-89</b:Pages>
    <b:Publisher>Routledge</b:Publisher>
    <b:RefOrder>29</b:RefOrder>
  </b:Source>
  <b:Source>
    <b:Tag>Bye10</b:Tag>
    <b:SourceType>JournalArticle</b:SourceType>
    <b:Guid>{FBAB6D06-1878-4177-82A2-439C7B92C0D4}</b:Guid>
    <b:Title>High occurrence of mood and anxiety disorders among older adults: The National Comorbidity Survey Replication</b:Title>
    <b:Year>2010</b:Year>
    <b:DOI>10.1001/archgenpsychiatry.2010.35</b:DOI>
    <b:JournalName>Archives of general psychiatry</b:JournalName>
    <b:Pages>489-496</b:Pages>
    <b:Volume>67</b:Volume>
    <b:Issue>5</b:Issue>
    <b:Author>
      <b:Author>
        <b:NameList>
          <b:Person>
            <b:Last>Byers</b:Last>
            <b:Middle>L</b:Middle>
            <b:First>A</b:First>
          </b:Person>
          <b:Person>
            <b:Last>Yaffe</b:Last>
            <b:First>K</b:First>
          </b:Person>
          <b:Person>
            <b:Last>Covinsky</b:Last>
            <b:Middle>E</b:Middle>
            <b:First>K</b:First>
          </b:Person>
          <b:Person>
            <b:Last>Friedman</b:Last>
            <b:Middle>B</b:Middle>
            <b:First>M</b:First>
          </b:Person>
          <b:Person>
            <b:Last>Bruce</b:Last>
            <b:Middle>L</b:Middle>
            <b:First>M</b:First>
          </b:Person>
        </b:NameList>
      </b:Author>
    </b:Author>
    <b:RefOrder>31</b:RefOrder>
  </b:Source>
  <b:Source>
    <b:Tag>Löc04</b:Tag>
    <b:SourceType>JournalArticle</b:SourceType>
    <b:Guid>{A83DA3F9-EFAE-4C39-A30A-F09E8BE78E87}</b:Guid>
    <b:Title>Socioemotional selectivity theory, aging, and health: The increasingly delicate balance between regulating emotions and making tough choices</b:Title>
    <b:JournalName>Journal of personality</b:JournalName>
    <b:Year>2004</b:Year>
    <b:Pages>1395-1424</b:Pages>
    <b:Volume>72</b:Volume>
    <b:Issue>6</b:Issue>
    <b:DOI>https://doi.org/10.1111/j.1467-6494.2004.00301.x</b:DOI>
    <b:Author>
      <b:Author>
        <b:NameList>
          <b:Person>
            <b:Last>Löckenhoff</b:Last>
            <b:Middle>E</b:Middle>
            <b:First>C</b:First>
          </b:Person>
          <b:Person>
            <b:Last>Carstensen</b:Last>
            <b:Middle>L</b:Middle>
            <b:First>L</b:First>
          </b:Person>
        </b:NameList>
      </b:Author>
    </b:Author>
    <b:RefOrder>32</b:RefOrder>
  </b:Source>
  <b:Source>
    <b:Tag>Fre13</b:Tag>
    <b:SourceType>BookSection</b:SourceType>
    <b:Guid>{8FC70929-5CA7-4BF9-83F8-6D8ABC6C7578}</b:Guid>
    <b:Title>Positive emotions broaden and build</b:Title>
    <b:Year>2013</b:Year>
    <b:Pages>1-53</b:Pages>
    <b:Author>
      <b:Author>
        <b:NameList>
          <b:Person>
            <b:Last>Fredrickson</b:Last>
            <b:First>B.</b:First>
            <b:Middle>L</b:Middle>
          </b:Person>
        </b:NameList>
      </b:Author>
    </b:Author>
    <b:BookTitle>Advances in experimental social psychology</b:BookTitle>
    <b:Publisher>Academic Press</b:Publisher>
    <b:RefOrder>33</b:RefOrder>
  </b:Source>
  <b:Source>
    <b:Tag>Kok13</b:Tag>
    <b:SourceType>JournalArticle</b:SourceType>
    <b:Guid>{56F0B8C2-CA3D-468A-A7D3-1BEE57227F99}</b:Guid>
    <b:Title>How positive emotions build physical health: Perceived positive social connections account for the upward spiral between positive emotions and vagal tone</b:Title>
    <b:Year>2013</b:Year>
    <b:Pages>1123-1132</b:Pages>
    <b:JournalName>Psychological science</b:JournalName>
    <b:Volume>24</b:Volume>
    <b:Issue>7</b:Issue>
    <b:DOI>https://doi.org/10.1177/0956797612470827</b:DOI>
    <b:Author>
      <b:Author>
        <b:NameList>
          <b:Person>
            <b:Last>Kok</b:Last>
            <b:Middle>E</b:Middle>
            <b:First>B</b:First>
          </b:Person>
          <b:Person>
            <b:Last>Coffey</b:Last>
            <b:Middle>A</b:Middle>
            <b:First>K</b:First>
          </b:Person>
          <b:Person>
            <b:Last>Cohn</b:Last>
            <b:Middle>A</b:Middle>
            <b:First>M</b:First>
          </b:Person>
          <b:Person>
            <b:Last>Catalino</b:Last>
            <b:Middle>I</b:Middle>
            <b:First>L</b:First>
          </b:Person>
          <b:Person>
            <b:Last>Vacharkulksemsuk</b:Last>
            <b:First>T</b:First>
          </b:Person>
          <b:Person>
            <b:Last>Algoe</b:Last>
            <b:Middle>B</b:Middle>
            <b:First>S</b:First>
          </b:Person>
          <b:Person>
            <b:Last>Fredrickson</b:Last>
            <b:Middle>L</b:Middle>
            <b:First>B</b:First>
          </b:Person>
        </b:NameList>
      </b:Author>
    </b:Author>
    <b:RefOrder>34</b:RefOrder>
  </b:Source>
  <b:Source>
    <b:Tag>Xia18</b:Tag>
    <b:SourceType>JournalArticle</b:SourceType>
    <b:Guid>{0A4BB7C9-4F72-4C7A-90DB-B03B8FC8DA76}</b:Guid>
    <b:Title>Loneliness, social isolation, and cardiovascular health</b:Title>
    <b:JournalName>Antioxidants &amp; redox signaling</b:JournalName>
    <b:Year>2018</b:Year>
    <b:Pages>837-851</b:Pages>
    <b:Volume>28</b:Volume>
    <b:Issue>9</b:Issue>
    <b:DOI>https://doi.org/10.1089/ars.2017.7312</b:DOI>
    <b:Author>
      <b:Author>
        <b:NameList>
          <b:Person>
            <b:Last>Xia</b:Last>
            <b:First>N</b:First>
          </b:Person>
          <b:Person>
            <b:Last>Li</b:Last>
            <b:First>H</b:First>
          </b:Person>
        </b:NameList>
      </b:Author>
    </b:Author>
    <b:RefOrder>30</b:RefOrder>
  </b:Source>
  <b:Source>
    <b:Tag>Fun13</b:Tag>
    <b:SourceType>JournalArticle</b:SourceType>
    <b:Guid>{9060448F-278C-47B3-A3CF-4534B2E05550}</b:Guid>
    <b:Author>
      <b:Author>
        <b:NameList>
          <b:Person>
            <b:Last>Fung</b:Last>
            <b:First>H.</b:First>
            <b:Middle>H</b:Middle>
          </b:Person>
        </b:NameList>
      </b:Author>
    </b:Author>
    <b:Title>Aging in culture</b:Title>
    <b:JournalName>The Gerontologist</b:JournalName>
    <b:Year>2013</b:Year>
    <b:Pages>369-377</b:Pages>
    <b:Volume>53</b:Volume>
    <b:Issue>3</b:Issue>
    <b:DOI>https://doi.org/10.1093/geront/gnt024</b:DOI>
    <b:RefOrder>35</b:RefOrder>
  </b:Source>
  <b:Source>
    <b:Tag>Bau171</b:Tag>
    <b:SourceType>BookSection</b:SourceType>
    <b:Guid>{5F2443A7-04C8-4B8E-BC59-5BC631D6139F}</b:Guid>
    <b:Title>The need to belong: Desire for interpersonal attachments as a fundamental human motivation</b:Title>
    <b:JournalName>Interpersonal development</b:JournalName>
    <b:Year>2017</b:Year>
    <b:Pages>57-89</b:Pages>
    <b:Author>
      <b:Author>
        <b:NameList>
          <b:Person>
            <b:Last>Baumeister</b:Last>
            <b:Middle>F</b:Middle>
            <b:First>R</b:First>
          </b:Person>
          <b:Person>
            <b:Last>Leary</b:Last>
            <b:Middle>R</b:Middle>
            <b:First>M</b:First>
          </b:Person>
        </b:NameList>
      </b:Author>
    </b:Author>
    <b:BookTitle>Interpersonl development</b:BookTitle>
    <b:Publisher>Routledge</b:Publisher>
    <b:RefOrder>37</b:RefOrder>
  </b:Source>
  <b:Source>
    <b:Tag>Haw10</b:Tag>
    <b:SourceType>JournalArticle</b:SourceType>
    <b:Guid>{2045CA7F-49D1-4A3E-94E5-15E248C325F6}</b:Guid>
    <b:Title>Loneliness matters: A theoretical and empirical review of consequences and mechanisms</b:Title>
    <b:Year>2010</b:Year>
    <b:Pages>218-227</b:Pages>
    <b:Author>
      <b:Author>
        <b:NameList>
          <b:Person>
            <b:Last>Hawkley</b:Last>
            <b:Middle>C</b:Middle>
            <b:First>L</b:First>
          </b:Person>
          <b:Person>
            <b:Last>Cacioppo</b:Last>
            <b:Middle>T</b:Middle>
            <b:First>J</b:First>
          </b:Person>
        </b:NameList>
      </b:Author>
    </b:Author>
    <b:JournalName>Annals of behavioral medicine</b:JournalName>
    <b:Volume>40</b:Volume>
    <b:Issue>2</b:Issue>
    <b:DOI>https://doi.org/10.1007/s12160-010-9210-8</b:DOI>
    <b:RefOrder>38</b:RefOrder>
  </b:Source>
  <b:Source>
    <b:Tag>Yao15</b:Tag>
    <b:SourceType>JournalArticle</b:SourceType>
    <b:Guid>{DEF5F7D4-ED7A-400A-82DC-3A43B80898AC}</b:Guid>
    <b:Title>The impact of online social support on patients’ quality of life and the moderating role of social exclusion</b:Title>
    <b:JournalName>Journal of Service Research</b:JournalName>
    <b:Year>2015</b:Year>
    <b:Pages>369-383</b:Pages>
    <b:Volume>18</b:Volume>
    <b:Issue>3</b:Issue>
    <b:DOI>https://doi.org/10.1177/1094670515583271</b:DOI>
    <b:Author>
      <b:Author>
        <b:NameList>
          <b:Person>
            <b:Last>Yao</b:Last>
            <b:First>T</b:First>
          </b:Person>
          <b:Person>
            <b:Last>Zheng</b:Last>
            <b:First>Q</b:First>
          </b:Person>
          <b:Person>
            <b:Last>Fan</b:Last>
            <b:First>X</b:First>
          </b:Person>
        </b:NameList>
      </b:Author>
    </b:Author>
    <b:RefOrder>39</b:RefOrder>
  </b:Source>
  <b:Source>
    <b:Tag>Hol15</b:Tag>
    <b:SourceType>JournalArticle</b:SourceType>
    <b:Guid>{6F3CD51E-BD17-4F7B-B0E7-9FBDC7821E70}</b:Guid>
    <b:Title>Loneliness and social isolation as risk factors for mortality: a meta-analytic review</b:Title>
    <b:JournalName>Perspectives on psychological science</b:JournalName>
    <b:Year>2015</b:Year>
    <b:Pages>227-237</b:Pages>
    <b:Volume>10</b:Volume>
    <b:Issue>2</b:Issue>
    <b:DOI>https://doi.org/10.1177/1745691614568352</b:DOI>
    <b:Author>
      <b:Author>
        <b:NameList>
          <b:Person>
            <b:Last>Holt-Lunstad</b:Last>
            <b:First>J</b:First>
          </b:Person>
          <b:Person>
            <b:Last>Smith</b:Last>
            <b:Middle>B</b:Middle>
            <b:First>T</b:First>
          </b:Person>
          <b:Person>
            <b:Last>Baker</b:Last>
            <b:First>M</b:First>
          </b:Person>
          <b:Person>
            <b:Last>Harris</b:Last>
            <b:First>T</b:First>
          </b:Person>
          <b:Person>
            <b:Last>Stephenson</b:Last>
            <b:First>D</b:First>
          </b:Person>
        </b:NameList>
      </b:Author>
    </b:Author>
    <b:RefOrder>36</b:RefOrder>
  </b:Source>
  <b:Source>
    <b:Tag>Pic04</b:Tag>
    <b:SourceType>JournalArticle</b:SourceType>
    <b:Guid>{E0A80100-72D6-465B-9158-4602EA77FBC4}</b:Guid>
    <b:Title>Getting a cue: The need to belong and enhanced sensitivity to social cues</b:Title>
    <b:JournalName>Personality and social psychology bulletin</b:JournalName>
    <b:Year>2004</b:Year>
    <b:Pages>1095-1107</b:Pages>
    <b:Volume>30</b:Volume>
    <b:Issue>9</b:Issue>
    <b:DOI>https://doi.org/10.1177/0146167203262085</b:DOI>
    <b:Author>
      <b:Author>
        <b:NameList>
          <b:Person>
            <b:Last>Pickett</b:Last>
            <b:Middle>L</b:Middle>
            <b:First>C</b:First>
          </b:Person>
          <b:Person>
            <b:Last>Gardner</b:Last>
            <b:Middle>L</b:Middle>
            <b:First>W</b:First>
          </b:Person>
          <b:Person>
            <b:Last>Knowles</b:Last>
            <b:First>M</b:First>
          </b:Person>
        </b:NameList>
      </b:Author>
    </b:Author>
    <b:RefOrder>40</b:RefOrder>
  </b:Source>
  <b:Source>
    <b:Tag>Wil07</b:Tag>
    <b:SourceType>JournalArticle</b:SourceType>
    <b:Guid>{71D64519-5683-40D0-832E-C2FBD557EA6B}</b:Guid>
    <b:Author>
      <b:Author>
        <b:NameList>
          <b:Person>
            <b:Last>Williams</b:Last>
            <b:First>K.</b:First>
            <b:Middle>D</b:Middle>
          </b:Person>
        </b:NameList>
      </b:Author>
    </b:Author>
    <b:Title>Ostracism</b:Title>
    <b:JournalName>Annual review of psychology</b:JournalName>
    <b:Year>2007</b:Year>
    <b:Pages>425-452</b:Pages>
    <b:Volume>58</b:Volume>
    <b:DOI>https://doi.org/10.1146/annurev.psych.58.110405.085641</b:DOI>
    <b:RefOrder>41</b:RefOrder>
  </b:Source>
  <b:Source>
    <b:Tag>Bow69</b:Tag>
    <b:SourceType>Book</b:SourceType>
    <b:Guid>{F807CFAA-9FBE-4044-82C5-D9EF563FBCC9}</b:Guid>
    <b:Author>
      <b:Author>
        <b:NameList>
          <b:Person>
            <b:Last>Bowlby</b:Last>
            <b:First>J</b:First>
          </b:Person>
        </b:NameList>
      </b:Author>
    </b:Author>
    <b:Title>Attachment and loss</b:Title>
    <b:Year>1969</b:Year>
    <b:Publisher>Random House</b:Publisher>
    <b:RefOrder>42</b:RefOrder>
  </b:Source>
  <b:Source>
    <b:Tag>Mik10</b:Tag>
    <b:SourceType>Book</b:SourceType>
    <b:Guid>{97A540BB-E698-41D8-B867-36D53826453D}</b:Guid>
    <b:Title>Attachment in adulthood</b:Title>
    <b:Year>2010</b:Year>
    <b:Publisher>Guilford Publications</b:Publisher>
    <b:Author>
      <b:Author>
        <b:NameList>
          <b:Person>
            <b:Last>Mikulincer</b:Last>
            <b:First>M</b:First>
          </b:Person>
          <b:Person>
            <b:Last>Shaver</b:Last>
            <b:Middle>R</b:Middle>
            <b:First>P</b:First>
          </b:Person>
        </b:NameList>
      </b:Author>
    </b:Author>
    <b:RefOrder>43</b:RefOrder>
  </b:Source>
  <b:Source>
    <b:Tag>Sro09</b:Tag>
    <b:SourceType>Book</b:SourceType>
    <b:Guid>{356F972F-0416-44FB-A415-32B617E7DDA5}</b:Guid>
    <b:Title>The development of the person</b:Title>
    <b:Year>2009</b:Year>
    <b:Publisher>Guilford Press</b:Publisher>
    <b:Author>
      <b:Author>
        <b:NameList>
          <b:Person>
            <b:Last>Sroufe</b:Last>
            <b:Middle>A</b:Middle>
            <b:First>L</b:First>
          </b:Person>
          <b:Person>
            <b:Last>Egeland</b:Last>
            <b:First>B</b:First>
          </b:Person>
          <b:Person>
            <b:Last>Carlson</b:Last>
            <b:Middle>A</b:Middle>
            <b:First>E</b:First>
          </b:Person>
          <b:Person>
            <b:Last>Collins</b:Last>
            <b:Middle>A</b:Middle>
            <b:First>W</b:First>
          </b:Person>
        </b:NameList>
      </b:Author>
    </b:Author>
    <b:RefOrder>44</b:RefOrder>
  </b:Source>
  <b:Source>
    <b:Tag>Mar141</b:Tag>
    <b:SourceType>BookSection</b:SourceType>
    <b:Guid>{A3D2C322-B785-42F7-8463-5F899B9C321C}</b:Guid>
    <b:Title>Culture and the self: Implications for cognition, emotion, and motivation</b:Title>
    <b:Year>2014</b:Year>
    <b:Publisher>Routledge</b:Publisher>
    <b:BookTitle>College student development and academic life</b:BookTitle>
    <b:Pages>264-293</b:Pages>
    <b:Author>
      <b:Author>
        <b:NameList>
          <b:Person>
            <b:Last>Markus</b:Last>
            <b:Middle>R</b:Middle>
            <b:First>H</b:First>
          </b:Person>
          <b:Person>
            <b:Last>Kitayama</b:Last>
            <b:First>S</b:First>
          </b:Person>
        </b:NameList>
      </b:Author>
    </b:Author>
    <b:RefOrder>45</b:RefOrder>
  </b:Source>
  <b:Source>
    <b:Tag>Cas99</b:Tag>
    <b:SourceType>Book</b:SourceType>
    <b:Guid>{3FAA4505-847A-4F23-A739-BA68D8908373}</b:Guid>
    <b:Title>Handbook of attachment: Theory, research, and clinical applications</b:Title>
    <b:Year>1999</b:Year>
    <b:Publisher>Rough Guides</b:Publisher>
    <b:Author>
      <b:Author>
        <b:NameList>
          <b:Person>
            <b:Last>Cassidy</b:Last>
            <b:First>J</b:First>
          </b:Person>
          <b:Person>
            <b:Last>Shaver</b:Last>
            <b:Middle>R</b:Middle>
            <b:First>P</b:First>
          </b:Person>
        </b:NameList>
      </b:Author>
    </b:Author>
    <b:RefOrder>46</b:RefOrder>
  </b:Source>
  <b:Source>
    <b:Tag>Nee17</b:Tag>
    <b:SourceType>Book</b:SourceType>
    <b:Guid>{67499958-34D6-4880-A1E1-04415D5680EA}</b:Guid>
    <b:Author>
      <b:Author>
        <b:NameList>
          <b:Person>
            <b:Last>Neenan</b:Last>
            <b:First>M</b:First>
          </b:Person>
        </b:NameList>
      </b:Author>
    </b:Author>
    <b:Title>Developing resilience: A cognitive-behavioural approach</b:Title>
    <b:Year>2017</b:Year>
    <b:Publisher>Routledge</b:Publisher>
    <b:RefOrder>47</b:RefOrder>
  </b:Source>
  <b:Source>
    <b:Tag>Fri04</b:Tag>
    <b:SourceType>JournalArticle</b:SourceType>
    <b:Guid>{31D958F3-C5F3-40CB-92AC-C7CE5382994F}</b:Guid>
    <b:Title>Modeled cost-effectiveness of the Experience Corps Baltimore based on a pilot randomized trial</b:Title>
    <b:Year>2004</b:Year>
    <b:DOI>https://doi.org/10.1093/jurban/jth097</b:DOI>
    <b:JournalName>Journal of Urban Health</b:JournalName>
    <b:Pages>106-117</b:Pages>
    <b:Volume>81</b:Volume>
    <b:Author>
      <b:Author>
        <b:NameList>
          <b:Person>
            <b:Last>Frick</b:Last>
            <b:Middle>D</b:Middle>
            <b:First>K</b:First>
          </b:Person>
          <b:Person>
            <b:Last>Carlson</b:Last>
            <b:Middle>C</b:Middle>
            <b:First>M</b:First>
          </b:Person>
          <b:Person>
            <b:Last>Glass</b:Last>
            <b:Middle>A</b:Middle>
            <b:First>T</b:First>
          </b:Person>
          <b:Person>
            <b:Last>McGill</b:Last>
            <b:First>S</b:First>
          </b:Person>
          <b:Person>
            <b:Last>Rebok</b:Last>
            <b:Middle>W</b:Middle>
            <b:First>G</b:First>
          </b:Person>
          <b:Person>
            <b:Last>Simpson</b:Last>
            <b:First>C</b:First>
          </b:Person>
          <b:Person>
            <b:Last>Fried</b:Last>
            <b:Middle>P</b:Middle>
            <b:First>L</b:First>
          </b:Person>
        </b:NameList>
      </b:Author>
    </b:Author>
    <b:RefOrder>49</b:RefOrder>
  </b:Source>
  <b:Source>
    <b:Tag>Cho11</b:Tag>
    <b:SourceType>JournalArticle</b:SourceType>
    <b:Guid>{7DC8933D-CC19-4DF4-82AB-D141408209CD}</b:Guid>
    <b:Title>The effect of time volunteering and charitable donations in later life on psychological wellbeing</b:Title>
    <b:JournalName>Ageing &amp; Society</b:JournalName>
    <b:Year>2011</b:Year>
    <b:Pages>590-610</b:Pages>
    <b:Volume>31</b:Volume>
    <b:Issue>4</b:Issue>
    <b:DOI>https://doi.org/10.1017/S0144686X10001224</b:DOI>
    <b:Author>
      <b:Author>
        <b:NameList>
          <b:Person>
            <b:Last>Choi</b:Last>
            <b:Middle>G</b:Middle>
            <b:First>N</b:First>
          </b:Person>
          <b:Person>
            <b:Last>Kim</b:Last>
            <b:First>J</b:First>
          </b:Person>
        </b:NameList>
      </b:Author>
    </b:Author>
    <b:RefOrder>48</b:RefOrder>
  </b:Source>
</b:Sources>
</file>

<file path=customXml/itemProps1.xml><?xml version="1.0" encoding="utf-8"?>
<ds:datastoreItem xmlns:ds="http://schemas.openxmlformats.org/officeDocument/2006/customXml" ds:itemID="{8443A066-8F75-4DC5-8091-05286BD1B2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11435</TotalTime>
  <Pages>14</Pages>
  <Words>5173</Words>
  <Characters>29491</Characters>
  <Application>Microsoft Office Word</Application>
  <DocSecurity>0</DocSecurity>
  <Lines>245</Lines>
  <Paragraphs>69</Paragraphs>
  <ScaleCrop>false</ScaleCrop>
  <Company/>
  <LinksUpToDate>false</LinksUpToDate>
  <CharactersWithSpaces>34595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Reia Sigrist (2219662)</dc:creator>
  <cp:keywords/>
  <dc:description/>
  <cp:lastModifiedBy>Reia Sigrist (2219662)</cp:lastModifiedBy>
  <cp:revision>334</cp:revision>
  <dcterms:created xsi:type="dcterms:W3CDTF">2024-01-18T10:33:00Z</dcterms:created>
  <dcterms:modified xsi:type="dcterms:W3CDTF">2024-04-09T15:10:00Z</dcterms:modified>
</cp:coreProperties>
</file>