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20C019" w14:textId="77777777" w:rsidR="000D44CB" w:rsidRPr="00D4030C" w:rsidRDefault="000D44CB" w:rsidP="000D44CB">
      <w:pPr>
        <w:spacing w:after="0" w:line="240" w:lineRule="auto"/>
        <w:rPr>
          <w:rFonts w:ascii="Times New Roman" w:eastAsia="Times New Roman" w:hAnsi="Times New Roman" w:cs="Times New Roman"/>
          <w:b/>
          <w:sz w:val="40"/>
          <w:szCs w:val="20"/>
          <w:lang w:eastAsia="en-GB"/>
        </w:rPr>
      </w:pPr>
      <w:r w:rsidRPr="00D4030C">
        <w:rPr>
          <w:rFonts w:ascii="Times New Roman" w:eastAsia="Times New Roman" w:hAnsi="Times New Roman" w:cs="Times New Roman"/>
          <w:b/>
          <w:sz w:val="40"/>
          <w:szCs w:val="20"/>
          <w:lang w:eastAsia="en-GB"/>
        </w:rPr>
        <w:t>School of Sport, Health &amp; Outdoor Education</w:t>
      </w:r>
    </w:p>
    <w:p w14:paraId="6A7649C9" w14:textId="77777777" w:rsidR="000D44CB" w:rsidRPr="00D4030C" w:rsidRDefault="000D44CB" w:rsidP="000D44CB">
      <w:pPr>
        <w:spacing w:after="0" w:line="240" w:lineRule="auto"/>
        <w:jc w:val="center"/>
        <w:rPr>
          <w:rFonts w:ascii="Times New Roman" w:eastAsia="Times New Roman" w:hAnsi="Times New Roman" w:cs="Times New Roman"/>
          <w:b/>
          <w:sz w:val="16"/>
          <w:szCs w:val="16"/>
          <w:lang w:eastAsia="en-GB"/>
        </w:rPr>
      </w:pPr>
    </w:p>
    <w:p w14:paraId="56F98187" w14:textId="77777777" w:rsidR="000D44CB" w:rsidRPr="00D4030C" w:rsidRDefault="000D44CB" w:rsidP="000D44CB">
      <w:pPr>
        <w:spacing w:after="0" w:line="240" w:lineRule="auto"/>
        <w:jc w:val="center"/>
        <w:rPr>
          <w:rFonts w:ascii="Times New Roman" w:eastAsia="Times New Roman" w:hAnsi="Times New Roman" w:cs="Times New Roman"/>
          <w:b/>
          <w:sz w:val="32"/>
          <w:szCs w:val="32"/>
          <w:lang w:eastAsia="en-GB"/>
        </w:rPr>
      </w:pPr>
      <w:r w:rsidRPr="00D4030C">
        <w:rPr>
          <w:rFonts w:ascii="Times New Roman" w:eastAsia="Times New Roman" w:hAnsi="Times New Roman" w:cs="Times New Roman"/>
          <w:b/>
          <w:sz w:val="32"/>
          <w:szCs w:val="32"/>
          <w:lang w:eastAsia="en-GB"/>
        </w:rPr>
        <w:t>Assessment Criteria</w:t>
      </w:r>
    </w:p>
    <w:p w14:paraId="3CEB0C42" w14:textId="77777777" w:rsidR="000D44CB" w:rsidRPr="00D4030C" w:rsidRDefault="000D44CB" w:rsidP="000D44CB">
      <w:pPr>
        <w:spacing w:after="0" w:line="240" w:lineRule="auto"/>
        <w:jc w:val="center"/>
        <w:rPr>
          <w:rFonts w:ascii="Times New Roman" w:eastAsia="Times New Roman" w:hAnsi="Times New Roman" w:cs="Times New Roman"/>
          <w:b/>
          <w:sz w:val="16"/>
          <w:szCs w:val="16"/>
          <w:lang w:eastAsia="en-GB"/>
        </w:rPr>
      </w:pPr>
    </w:p>
    <w:p w14:paraId="20420F41" w14:textId="6B154937" w:rsidR="000D44CB" w:rsidRPr="00D4030C" w:rsidRDefault="000D44CB" w:rsidP="000D44CB">
      <w:pPr>
        <w:spacing w:after="0" w:line="240" w:lineRule="auto"/>
        <w:rPr>
          <w:rFonts w:ascii="Times New Roman" w:eastAsia="Times New Roman" w:hAnsi="Times New Roman" w:cs="Times New Roman"/>
          <w:sz w:val="32"/>
          <w:szCs w:val="20"/>
          <w:lang w:eastAsia="en-GB"/>
        </w:rPr>
      </w:pPr>
      <w:r w:rsidRPr="00D4030C">
        <w:rPr>
          <w:rFonts w:ascii="Times New Roman" w:eastAsia="Times New Roman" w:hAnsi="Times New Roman" w:cs="Times New Roman"/>
          <w:sz w:val="24"/>
          <w:szCs w:val="20"/>
          <w:lang w:eastAsia="en-GB"/>
        </w:rPr>
        <w:tab/>
        <w:t xml:space="preserve">   Student No./Name:</w:t>
      </w:r>
      <w:r w:rsidRPr="00D4030C">
        <w:rPr>
          <w:rFonts w:ascii="Times New Roman" w:eastAsia="Times New Roman" w:hAnsi="Times New Roman" w:cs="Times New Roman"/>
          <w:sz w:val="24"/>
          <w:szCs w:val="20"/>
          <w:lang w:eastAsia="en-GB"/>
        </w:rPr>
        <w:tab/>
      </w:r>
      <w:r w:rsidR="00AE3E19">
        <w:rPr>
          <w:rFonts w:ascii="Times New Roman" w:eastAsia="Times New Roman" w:hAnsi="Times New Roman" w:cs="Times New Roman"/>
          <w:sz w:val="24"/>
          <w:szCs w:val="20"/>
          <w:lang w:eastAsia="en-GB"/>
        </w:rPr>
        <w:t>Kate Jones</w:t>
      </w:r>
      <w:bookmarkStart w:id="0" w:name="_GoBack"/>
      <w:bookmarkEnd w:id="0"/>
    </w:p>
    <w:p w14:paraId="214FEAD6" w14:textId="77777777" w:rsidR="000D44CB" w:rsidRPr="00D4030C" w:rsidRDefault="000D44CB" w:rsidP="000D44CB">
      <w:pPr>
        <w:spacing w:after="0" w:line="240" w:lineRule="auto"/>
        <w:rPr>
          <w:rFonts w:ascii="Times New Roman" w:eastAsia="Times New Roman" w:hAnsi="Times New Roman" w:cs="Times New Roman"/>
          <w:sz w:val="16"/>
          <w:szCs w:val="16"/>
          <w:lang w:eastAsia="en-GB"/>
        </w:rPr>
      </w:pPr>
    </w:p>
    <w:p w14:paraId="11F0CC64" w14:textId="77777777" w:rsidR="000D44CB" w:rsidRPr="00D4030C" w:rsidRDefault="000D44CB" w:rsidP="000D44CB">
      <w:pPr>
        <w:spacing w:after="0" w:line="240" w:lineRule="auto"/>
        <w:rPr>
          <w:rFonts w:ascii="Times New Roman" w:eastAsia="Times New Roman" w:hAnsi="Times New Roman" w:cs="Times New Roman"/>
          <w:sz w:val="32"/>
          <w:szCs w:val="32"/>
          <w:lang w:eastAsia="en-GB"/>
        </w:rPr>
      </w:pPr>
      <w:r w:rsidRPr="00D4030C">
        <w:rPr>
          <w:rFonts w:ascii="Times New Roman" w:eastAsia="Times New Roman" w:hAnsi="Times New Roman" w:cs="Times New Roman"/>
          <w:sz w:val="24"/>
          <w:szCs w:val="20"/>
          <w:lang w:eastAsia="en-GB"/>
        </w:rPr>
        <w:t xml:space="preserve">                                Module:</w:t>
      </w:r>
      <w:r w:rsidRPr="00D4030C">
        <w:rPr>
          <w:rFonts w:ascii="Times New Roman" w:eastAsia="Times New Roman" w:hAnsi="Times New Roman" w:cs="Times New Roman"/>
          <w:sz w:val="24"/>
          <w:szCs w:val="20"/>
          <w:lang w:eastAsia="en-GB"/>
        </w:rPr>
        <w:tab/>
      </w:r>
      <w:r w:rsidRPr="00D4030C">
        <w:rPr>
          <w:rFonts w:ascii="Times New Roman" w:eastAsia="Times New Roman" w:hAnsi="Times New Roman" w:cs="Times New Roman"/>
          <w:sz w:val="32"/>
          <w:szCs w:val="32"/>
          <w:lang w:eastAsia="en-GB"/>
        </w:rPr>
        <w:t>Health and Social Inclusion</w:t>
      </w:r>
    </w:p>
    <w:p w14:paraId="5DDDD817" w14:textId="77777777" w:rsidR="000D44CB" w:rsidRPr="00D4030C" w:rsidRDefault="000D44CB" w:rsidP="000D44CB">
      <w:pPr>
        <w:spacing w:after="0" w:line="240" w:lineRule="auto"/>
        <w:ind w:left="2160"/>
        <w:rPr>
          <w:rFonts w:ascii="Times New Roman" w:eastAsia="Times New Roman" w:hAnsi="Times New Roman" w:cs="Times New Roman"/>
          <w:sz w:val="32"/>
          <w:szCs w:val="32"/>
          <w:lang w:eastAsia="en-GB"/>
        </w:rPr>
      </w:pPr>
      <w:r w:rsidRPr="00D4030C">
        <w:rPr>
          <w:rFonts w:ascii="Times New Roman" w:eastAsia="Times New Roman" w:hAnsi="Times New Roman" w:cs="Times New Roman"/>
          <w:sz w:val="24"/>
          <w:szCs w:val="24"/>
          <w:lang w:eastAsia="en-GB"/>
        </w:rPr>
        <w:t>Code:</w:t>
      </w:r>
      <w:r w:rsidRPr="00D4030C">
        <w:rPr>
          <w:rFonts w:ascii="Times New Roman" w:eastAsia="Times New Roman" w:hAnsi="Times New Roman" w:cs="Times New Roman"/>
          <w:sz w:val="32"/>
          <w:szCs w:val="32"/>
          <w:lang w:eastAsia="en-GB"/>
        </w:rPr>
        <w:tab/>
        <w:t>SHSS6031</w:t>
      </w:r>
    </w:p>
    <w:p w14:paraId="22B7DA4D" w14:textId="77777777" w:rsidR="000D44CB" w:rsidRPr="00D4030C" w:rsidRDefault="000D44CB" w:rsidP="000D44CB">
      <w:pPr>
        <w:spacing w:after="0" w:line="240" w:lineRule="auto"/>
        <w:ind w:left="2160"/>
        <w:rPr>
          <w:rFonts w:ascii="Times New Roman" w:eastAsia="Times New Roman" w:hAnsi="Times New Roman" w:cs="Times New Roman"/>
          <w:sz w:val="32"/>
          <w:szCs w:val="32"/>
          <w:lang w:eastAsia="en-GB"/>
        </w:rPr>
      </w:pPr>
    </w:p>
    <w:tbl>
      <w:tblPr>
        <w:tblStyle w:val="TableGrid"/>
        <w:tblW w:w="10758" w:type="dxa"/>
        <w:tblInd w:w="-1152" w:type="dxa"/>
        <w:tblLook w:val="04A0" w:firstRow="1" w:lastRow="0" w:firstColumn="1" w:lastColumn="0" w:noHBand="0" w:noVBand="1"/>
      </w:tblPr>
      <w:tblGrid>
        <w:gridCol w:w="3420"/>
        <w:gridCol w:w="7338"/>
      </w:tblGrid>
      <w:tr w:rsidR="000D44CB" w:rsidRPr="00D4030C" w14:paraId="326887E1" w14:textId="77777777" w:rsidTr="00D85A09">
        <w:tc>
          <w:tcPr>
            <w:tcW w:w="10758" w:type="dxa"/>
            <w:gridSpan w:val="2"/>
          </w:tcPr>
          <w:p w14:paraId="023E7DB0" w14:textId="77777777" w:rsidR="000D44CB" w:rsidRPr="00D4030C" w:rsidRDefault="000D44CB" w:rsidP="00D85A09">
            <w:pPr>
              <w:tabs>
                <w:tab w:val="left" w:pos="5850"/>
              </w:tabs>
              <w:rPr>
                <w:b/>
                <w:sz w:val="28"/>
                <w:lang w:eastAsia="en-GB"/>
              </w:rPr>
            </w:pPr>
            <w:r w:rsidRPr="00D4030C">
              <w:rPr>
                <w:b/>
                <w:sz w:val="18"/>
                <w:szCs w:val="18"/>
                <w:lang w:eastAsia="en-GB"/>
              </w:rPr>
              <w:t>Personal Evaluation</w:t>
            </w:r>
            <w:r w:rsidRPr="00D4030C">
              <w:rPr>
                <w:b/>
                <w:bCs/>
                <w:sz w:val="18"/>
                <w:szCs w:val="18"/>
                <w:lang w:eastAsia="en-GB"/>
              </w:rPr>
              <w:t xml:space="preserve"> – to support your academic progress please complete the section below </w:t>
            </w:r>
            <w:r w:rsidRPr="00D4030C">
              <w:rPr>
                <w:b/>
                <w:bCs/>
                <w:sz w:val="18"/>
                <w:szCs w:val="18"/>
                <w:u w:val="single"/>
                <w:lang w:eastAsia="en-GB"/>
              </w:rPr>
              <w:t>BEFORE</w:t>
            </w:r>
            <w:r w:rsidRPr="00D4030C">
              <w:rPr>
                <w:b/>
                <w:bCs/>
                <w:sz w:val="18"/>
                <w:szCs w:val="18"/>
                <w:lang w:eastAsia="en-GB"/>
              </w:rPr>
              <w:t xml:space="preserve"> submitting your work.</w:t>
            </w:r>
          </w:p>
        </w:tc>
      </w:tr>
      <w:tr w:rsidR="000D44CB" w:rsidRPr="00D4030C" w14:paraId="72D6E110" w14:textId="77777777" w:rsidTr="00D85A09">
        <w:tc>
          <w:tcPr>
            <w:tcW w:w="3420" w:type="dxa"/>
          </w:tcPr>
          <w:p w14:paraId="6F318C65" w14:textId="77777777" w:rsidR="000D44CB" w:rsidRPr="00D4030C" w:rsidRDefault="000D44CB" w:rsidP="00D85A09">
            <w:pPr>
              <w:rPr>
                <w:b/>
                <w:bCs/>
                <w:sz w:val="18"/>
                <w:szCs w:val="18"/>
                <w:lang w:eastAsia="en-GB"/>
              </w:rPr>
            </w:pPr>
            <w:r w:rsidRPr="00D4030C">
              <w:rPr>
                <w:b/>
                <w:bCs/>
                <w:sz w:val="18"/>
                <w:szCs w:val="18"/>
                <w:lang w:eastAsia="en-GB"/>
              </w:rPr>
              <w:t>What do you consider to be the best aspects of this work?</w:t>
            </w:r>
          </w:p>
        </w:tc>
        <w:tc>
          <w:tcPr>
            <w:tcW w:w="7338" w:type="dxa"/>
          </w:tcPr>
          <w:p w14:paraId="5AE3DE60" w14:textId="379E5E99" w:rsidR="000D44CB" w:rsidRPr="00801DBC" w:rsidRDefault="00801DBC" w:rsidP="00D85A09">
            <w:pPr>
              <w:tabs>
                <w:tab w:val="left" w:pos="5850"/>
              </w:tabs>
              <w:rPr>
                <w:b/>
                <w:sz w:val="18"/>
                <w:szCs w:val="18"/>
                <w:lang w:eastAsia="en-GB"/>
              </w:rPr>
            </w:pPr>
            <w:r>
              <w:rPr>
                <w:b/>
                <w:sz w:val="18"/>
                <w:szCs w:val="18"/>
                <w:lang w:eastAsia="en-GB"/>
              </w:rPr>
              <w:t>Understand</w:t>
            </w:r>
            <w:r w:rsidR="005B756C">
              <w:rPr>
                <w:b/>
                <w:sz w:val="18"/>
                <w:szCs w:val="18"/>
                <w:lang w:eastAsia="en-GB"/>
              </w:rPr>
              <w:t>ing the social groups</w:t>
            </w:r>
          </w:p>
        </w:tc>
      </w:tr>
      <w:tr w:rsidR="000D44CB" w:rsidRPr="00D4030C" w14:paraId="1DC4BCB7" w14:textId="77777777" w:rsidTr="00D85A09">
        <w:tc>
          <w:tcPr>
            <w:tcW w:w="3420" w:type="dxa"/>
          </w:tcPr>
          <w:p w14:paraId="38851B00" w14:textId="77777777" w:rsidR="000D44CB" w:rsidRPr="00D4030C" w:rsidRDefault="000D44CB" w:rsidP="00D85A09">
            <w:pPr>
              <w:rPr>
                <w:b/>
                <w:bCs/>
                <w:sz w:val="18"/>
                <w:szCs w:val="18"/>
                <w:lang w:eastAsia="en-GB"/>
              </w:rPr>
            </w:pPr>
            <w:r w:rsidRPr="00D4030C">
              <w:rPr>
                <w:b/>
                <w:bCs/>
                <w:sz w:val="18"/>
                <w:szCs w:val="18"/>
                <w:lang w:eastAsia="en-GB"/>
              </w:rPr>
              <w:t>Which aspects do you consider could have been improved in this piece of work?</w:t>
            </w:r>
          </w:p>
        </w:tc>
        <w:tc>
          <w:tcPr>
            <w:tcW w:w="7338" w:type="dxa"/>
          </w:tcPr>
          <w:p w14:paraId="65698FF6" w14:textId="1CF13961" w:rsidR="000D44CB" w:rsidRPr="00801DBC" w:rsidRDefault="005B756C" w:rsidP="00D85A09">
            <w:pPr>
              <w:tabs>
                <w:tab w:val="left" w:pos="5850"/>
              </w:tabs>
              <w:rPr>
                <w:b/>
                <w:sz w:val="18"/>
                <w:szCs w:val="18"/>
                <w:lang w:eastAsia="en-GB"/>
              </w:rPr>
            </w:pPr>
            <w:r>
              <w:rPr>
                <w:b/>
                <w:sz w:val="18"/>
                <w:szCs w:val="18"/>
                <w:lang w:eastAsia="en-GB"/>
              </w:rPr>
              <w:t>The conclusion, and the prevention of CVD</w:t>
            </w:r>
          </w:p>
        </w:tc>
      </w:tr>
      <w:tr w:rsidR="000D44CB" w:rsidRPr="00D4030C" w14:paraId="044E58B9" w14:textId="77777777" w:rsidTr="00D85A09">
        <w:tc>
          <w:tcPr>
            <w:tcW w:w="3420" w:type="dxa"/>
          </w:tcPr>
          <w:p w14:paraId="1F8884FC" w14:textId="77777777" w:rsidR="000D44CB" w:rsidRPr="00D4030C" w:rsidRDefault="000D44CB" w:rsidP="00D85A09">
            <w:pPr>
              <w:rPr>
                <w:b/>
                <w:bCs/>
                <w:sz w:val="18"/>
                <w:szCs w:val="18"/>
                <w:lang w:eastAsia="en-GB"/>
              </w:rPr>
            </w:pPr>
            <w:r w:rsidRPr="00D4030C">
              <w:rPr>
                <w:b/>
                <w:bCs/>
                <w:sz w:val="18"/>
                <w:szCs w:val="18"/>
                <w:lang w:eastAsia="en-GB"/>
              </w:rPr>
              <w:t>What have you found most satisfying whilst undertaking this submission?</w:t>
            </w:r>
          </w:p>
        </w:tc>
        <w:tc>
          <w:tcPr>
            <w:tcW w:w="7338" w:type="dxa"/>
          </w:tcPr>
          <w:p w14:paraId="53627C7B" w14:textId="7F534DC9" w:rsidR="000D44CB" w:rsidRPr="00801DBC" w:rsidRDefault="00801DBC" w:rsidP="00D85A09">
            <w:pPr>
              <w:tabs>
                <w:tab w:val="left" w:pos="5850"/>
              </w:tabs>
              <w:rPr>
                <w:b/>
                <w:sz w:val="18"/>
                <w:szCs w:val="18"/>
                <w:lang w:eastAsia="en-GB"/>
              </w:rPr>
            </w:pPr>
            <w:r w:rsidRPr="00801DBC">
              <w:rPr>
                <w:b/>
                <w:sz w:val="18"/>
                <w:szCs w:val="18"/>
                <w:lang w:eastAsia="en-GB"/>
              </w:rPr>
              <w:t xml:space="preserve">Researching inequalities </w:t>
            </w:r>
          </w:p>
        </w:tc>
      </w:tr>
    </w:tbl>
    <w:p w14:paraId="4CAE631C" w14:textId="77777777" w:rsidR="000D44CB" w:rsidRPr="00D4030C" w:rsidRDefault="000D44CB" w:rsidP="000D44CB">
      <w:pPr>
        <w:spacing w:after="0" w:line="240" w:lineRule="auto"/>
        <w:rPr>
          <w:rFonts w:ascii="Times New Roman" w:eastAsia="Times New Roman" w:hAnsi="Times New Roman" w:cs="Times New Roman"/>
          <w:sz w:val="16"/>
          <w:szCs w:val="16"/>
          <w:lang w:eastAsia="en-GB"/>
        </w:rPr>
      </w:pPr>
    </w:p>
    <w:tbl>
      <w:tblPr>
        <w:tblW w:w="100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3"/>
        <w:gridCol w:w="540"/>
        <w:gridCol w:w="1262"/>
        <w:gridCol w:w="1163"/>
        <w:gridCol w:w="187"/>
        <w:gridCol w:w="1440"/>
        <w:gridCol w:w="1440"/>
        <w:gridCol w:w="531"/>
        <w:gridCol w:w="639"/>
        <w:gridCol w:w="720"/>
      </w:tblGrid>
      <w:tr w:rsidR="000D44CB" w:rsidRPr="00D4030C" w14:paraId="150C4EE2" w14:textId="77777777" w:rsidTr="00C05311">
        <w:trPr>
          <w:cantSplit/>
        </w:trPr>
        <w:tc>
          <w:tcPr>
            <w:tcW w:w="2123" w:type="dxa"/>
            <w:vMerge w:val="restart"/>
            <w:tcBorders>
              <w:top w:val="thinThickLargeGap" w:sz="24" w:space="0" w:color="auto"/>
              <w:left w:val="thinThickLargeGap" w:sz="24" w:space="0" w:color="auto"/>
              <w:bottom w:val="single" w:sz="6" w:space="0" w:color="auto"/>
              <w:right w:val="single" w:sz="4" w:space="0" w:color="auto"/>
            </w:tcBorders>
          </w:tcPr>
          <w:p w14:paraId="591D01F6" w14:textId="77777777" w:rsidR="000D44CB" w:rsidRPr="00D4030C" w:rsidRDefault="000D44CB" w:rsidP="00D85A09">
            <w:pPr>
              <w:spacing w:after="0" w:line="240" w:lineRule="auto"/>
              <w:rPr>
                <w:rFonts w:ascii="Times New Roman" w:eastAsia="Times New Roman" w:hAnsi="Times New Roman" w:cs="Times New Roman"/>
                <w:sz w:val="24"/>
                <w:szCs w:val="20"/>
                <w:lang w:eastAsia="en-GB"/>
              </w:rPr>
            </w:pPr>
          </w:p>
          <w:p w14:paraId="48E11D92" w14:textId="77777777" w:rsidR="000D44CB" w:rsidRPr="00D4030C" w:rsidRDefault="000D44CB" w:rsidP="00D85A09">
            <w:pPr>
              <w:spacing w:after="0" w:line="240" w:lineRule="auto"/>
              <w:jc w:val="center"/>
              <w:rPr>
                <w:rFonts w:ascii="Times New Roman" w:eastAsia="Times New Roman" w:hAnsi="Times New Roman" w:cs="Times New Roman"/>
                <w:sz w:val="24"/>
                <w:szCs w:val="20"/>
                <w:lang w:eastAsia="en-GB"/>
              </w:rPr>
            </w:pPr>
            <w:r w:rsidRPr="00D4030C">
              <w:rPr>
                <w:rFonts w:ascii="Times New Roman" w:eastAsia="Times New Roman" w:hAnsi="Times New Roman" w:cs="Times New Roman"/>
                <w:sz w:val="24"/>
                <w:szCs w:val="20"/>
                <w:lang w:eastAsia="en-GB"/>
              </w:rPr>
              <w:t>CRITERIA</w:t>
            </w:r>
          </w:p>
          <w:p w14:paraId="7F3856C2" w14:textId="77777777" w:rsidR="000D44CB" w:rsidRPr="00D4030C" w:rsidRDefault="000D44CB" w:rsidP="00D85A09">
            <w:pPr>
              <w:spacing w:after="0" w:line="240" w:lineRule="auto"/>
              <w:jc w:val="center"/>
              <w:rPr>
                <w:rFonts w:ascii="Times New Roman" w:eastAsia="Times New Roman" w:hAnsi="Times New Roman" w:cs="Times New Roman"/>
                <w:sz w:val="24"/>
                <w:szCs w:val="20"/>
                <w:lang w:eastAsia="en-GB"/>
              </w:rPr>
            </w:pPr>
          </w:p>
        </w:tc>
        <w:tc>
          <w:tcPr>
            <w:tcW w:w="540" w:type="dxa"/>
            <w:vMerge w:val="restart"/>
            <w:tcBorders>
              <w:top w:val="thinThickLargeGap" w:sz="24" w:space="0" w:color="auto"/>
              <w:left w:val="single" w:sz="4" w:space="0" w:color="auto"/>
              <w:bottom w:val="single" w:sz="6" w:space="0" w:color="auto"/>
              <w:right w:val="single" w:sz="6" w:space="0" w:color="auto"/>
            </w:tcBorders>
            <w:textDirection w:val="btLr"/>
          </w:tcPr>
          <w:p w14:paraId="2F653FD2" w14:textId="77777777" w:rsidR="000D44CB" w:rsidRPr="00D4030C" w:rsidRDefault="000D44CB" w:rsidP="00D85A09">
            <w:pPr>
              <w:spacing w:after="0" w:line="240" w:lineRule="auto"/>
              <w:ind w:left="113" w:right="113"/>
              <w:rPr>
                <w:rFonts w:ascii="Times New Roman" w:eastAsia="Times New Roman" w:hAnsi="Times New Roman" w:cs="Times New Roman"/>
                <w:sz w:val="16"/>
                <w:szCs w:val="16"/>
                <w:lang w:eastAsia="en-GB"/>
              </w:rPr>
            </w:pPr>
            <w:r w:rsidRPr="00D4030C">
              <w:rPr>
                <w:rFonts w:ascii="Times New Roman" w:eastAsia="Times New Roman" w:hAnsi="Times New Roman" w:cs="Times New Roman"/>
                <w:sz w:val="16"/>
                <w:szCs w:val="16"/>
                <w:lang w:eastAsia="en-GB"/>
              </w:rPr>
              <w:t>Learning</w:t>
            </w:r>
          </w:p>
          <w:p w14:paraId="5A4E3221" w14:textId="77777777" w:rsidR="000D44CB" w:rsidRPr="00D4030C" w:rsidRDefault="000D44CB" w:rsidP="00D85A09">
            <w:pPr>
              <w:spacing w:after="0" w:line="240" w:lineRule="auto"/>
              <w:ind w:left="113" w:right="113"/>
              <w:rPr>
                <w:rFonts w:ascii="Times New Roman" w:eastAsia="Times New Roman" w:hAnsi="Times New Roman" w:cs="Times New Roman"/>
                <w:sz w:val="16"/>
                <w:szCs w:val="16"/>
                <w:lang w:eastAsia="en-GB"/>
              </w:rPr>
            </w:pPr>
            <w:r w:rsidRPr="00D4030C">
              <w:rPr>
                <w:rFonts w:ascii="Times New Roman" w:eastAsia="Times New Roman" w:hAnsi="Times New Roman" w:cs="Times New Roman"/>
                <w:sz w:val="16"/>
                <w:szCs w:val="16"/>
                <w:lang w:eastAsia="en-GB"/>
              </w:rPr>
              <w:t>Outcome</w:t>
            </w:r>
          </w:p>
          <w:p w14:paraId="04E609D6" w14:textId="77777777" w:rsidR="000D44CB" w:rsidRPr="00D4030C" w:rsidRDefault="000D44CB" w:rsidP="00D85A09">
            <w:pPr>
              <w:spacing w:after="0" w:line="240" w:lineRule="auto"/>
              <w:ind w:left="113" w:right="113"/>
              <w:rPr>
                <w:rFonts w:ascii="Times New Roman" w:eastAsia="Times New Roman" w:hAnsi="Times New Roman" w:cs="Times New Roman"/>
                <w:sz w:val="16"/>
                <w:szCs w:val="16"/>
                <w:lang w:eastAsia="en-GB"/>
              </w:rPr>
            </w:pPr>
          </w:p>
          <w:p w14:paraId="08141529" w14:textId="77777777" w:rsidR="000D44CB" w:rsidRPr="00D4030C" w:rsidRDefault="000D44CB" w:rsidP="00D85A09">
            <w:pPr>
              <w:spacing w:after="0" w:line="240" w:lineRule="auto"/>
              <w:ind w:left="113" w:right="113"/>
              <w:jc w:val="center"/>
              <w:rPr>
                <w:rFonts w:ascii="Times New Roman" w:eastAsia="Times New Roman" w:hAnsi="Times New Roman" w:cs="Times New Roman"/>
                <w:sz w:val="16"/>
                <w:szCs w:val="16"/>
                <w:lang w:eastAsia="en-GB"/>
              </w:rPr>
            </w:pPr>
          </w:p>
        </w:tc>
        <w:tc>
          <w:tcPr>
            <w:tcW w:w="7382" w:type="dxa"/>
            <w:gridSpan w:val="8"/>
            <w:tcBorders>
              <w:top w:val="thinThickLargeGap" w:sz="24" w:space="0" w:color="auto"/>
              <w:left w:val="single" w:sz="6" w:space="0" w:color="auto"/>
              <w:bottom w:val="single" w:sz="6" w:space="0" w:color="auto"/>
              <w:right w:val="thickThinLargeGap" w:sz="24" w:space="0" w:color="auto"/>
            </w:tcBorders>
          </w:tcPr>
          <w:p w14:paraId="057C8523" w14:textId="77777777" w:rsidR="000D44CB" w:rsidRPr="00D4030C" w:rsidRDefault="000D44CB" w:rsidP="00D85A09">
            <w:pPr>
              <w:spacing w:after="0" w:line="240" w:lineRule="auto"/>
              <w:jc w:val="center"/>
              <w:rPr>
                <w:rFonts w:ascii="Times New Roman" w:eastAsia="Times New Roman" w:hAnsi="Times New Roman" w:cs="Times New Roman"/>
                <w:sz w:val="24"/>
                <w:szCs w:val="20"/>
                <w:lang w:eastAsia="en-GB"/>
              </w:rPr>
            </w:pPr>
            <w:r w:rsidRPr="00D4030C">
              <w:rPr>
                <w:rFonts w:ascii="Times New Roman" w:eastAsia="Times New Roman" w:hAnsi="Times New Roman" w:cs="Times New Roman"/>
                <w:sz w:val="24"/>
                <w:szCs w:val="20"/>
                <w:lang w:eastAsia="en-GB"/>
              </w:rPr>
              <w:t>GRADE</w:t>
            </w:r>
          </w:p>
        </w:tc>
      </w:tr>
      <w:tr w:rsidR="000D44CB" w:rsidRPr="00D4030C" w14:paraId="38D956CB" w14:textId="77777777" w:rsidTr="00C05311">
        <w:trPr>
          <w:cantSplit/>
        </w:trPr>
        <w:tc>
          <w:tcPr>
            <w:tcW w:w="2123" w:type="dxa"/>
            <w:vMerge/>
            <w:tcBorders>
              <w:top w:val="single" w:sz="6" w:space="0" w:color="auto"/>
              <w:left w:val="thinThickLargeGap" w:sz="24" w:space="0" w:color="auto"/>
              <w:bottom w:val="single" w:sz="6" w:space="0" w:color="auto"/>
              <w:right w:val="single" w:sz="4" w:space="0" w:color="auto"/>
            </w:tcBorders>
          </w:tcPr>
          <w:p w14:paraId="143AEC4D" w14:textId="77777777" w:rsidR="000D44CB" w:rsidRPr="00D4030C" w:rsidRDefault="000D44CB" w:rsidP="00D85A09">
            <w:pPr>
              <w:spacing w:after="0" w:line="240" w:lineRule="auto"/>
              <w:rPr>
                <w:rFonts w:ascii="Times New Roman" w:eastAsia="Times New Roman" w:hAnsi="Times New Roman" w:cs="Times New Roman"/>
                <w:sz w:val="24"/>
                <w:szCs w:val="20"/>
                <w:lang w:eastAsia="en-GB"/>
              </w:rPr>
            </w:pPr>
          </w:p>
        </w:tc>
        <w:tc>
          <w:tcPr>
            <w:tcW w:w="540" w:type="dxa"/>
            <w:vMerge/>
            <w:tcBorders>
              <w:top w:val="single" w:sz="6" w:space="0" w:color="auto"/>
              <w:left w:val="single" w:sz="4" w:space="0" w:color="auto"/>
              <w:bottom w:val="single" w:sz="6" w:space="0" w:color="auto"/>
              <w:right w:val="single" w:sz="6" w:space="0" w:color="auto"/>
            </w:tcBorders>
          </w:tcPr>
          <w:p w14:paraId="3388024B" w14:textId="77777777" w:rsidR="000D44CB" w:rsidRPr="00D4030C" w:rsidRDefault="000D44CB" w:rsidP="00D85A09">
            <w:pPr>
              <w:spacing w:after="0" w:line="240" w:lineRule="auto"/>
              <w:rPr>
                <w:rFonts w:ascii="Times New Roman" w:eastAsia="Times New Roman" w:hAnsi="Times New Roman" w:cs="Times New Roman"/>
                <w:sz w:val="24"/>
                <w:szCs w:val="20"/>
                <w:lang w:eastAsia="en-GB"/>
              </w:rPr>
            </w:pPr>
          </w:p>
        </w:tc>
        <w:tc>
          <w:tcPr>
            <w:tcW w:w="1262" w:type="dxa"/>
            <w:tcBorders>
              <w:top w:val="single" w:sz="6" w:space="0" w:color="auto"/>
              <w:left w:val="single" w:sz="6" w:space="0" w:color="auto"/>
              <w:bottom w:val="single" w:sz="6" w:space="0" w:color="auto"/>
              <w:right w:val="single" w:sz="6" w:space="0" w:color="auto"/>
            </w:tcBorders>
          </w:tcPr>
          <w:p w14:paraId="03CCB331" w14:textId="77777777" w:rsidR="000D44CB" w:rsidRPr="00D4030C" w:rsidRDefault="000D44CB" w:rsidP="00D85A09">
            <w:pPr>
              <w:spacing w:after="0" w:line="240" w:lineRule="auto"/>
              <w:jc w:val="center"/>
              <w:rPr>
                <w:rFonts w:ascii="Times New Roman" w:eastAsia="Times New Roman" w:hAnsi="Times New Roman" w:cs="Times New Roman"/>
                <w:sz w:val="18"/>
                <w:szCs w:val="18"/>
                <w:lang w:eastAsia="en-GB"/>
              </w:rPr>
            </w:pPr>
            <w:r w:rsidRPr="00D4030C">
              <w:rPr>
                <w:rFonts w:ascii="Times New Roman" w:eastAsia="Times New Roman" w:hAnsi="Times New Roman" w:cs="Times New Roman"/>
                <w:sz w:val="18"/>
                <w:szCs w:val="18"/>
                <w:lang w:eastAsia="en-GB"/>
              </w:rPr>
              <w:t>Unsatisfactory</w:t>
            </w:r>
          </w:p>
          <w:p w14:paraId="5F031E43"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- 39%</w:t>
            </w:r>
          </w:p>
        </w:tc>
        <w:tc>
          <w:tcPr>
            <w:tcW w:w="1350" w:type="dxa"/>
            <w:gridSpan w:val="2"/>
            <w:tcBorders>
              <w:top w:val="single" w:sz="6" w:space="0" w:color="auto"/>
              <w:left w:val="single" w:sz="6" w:space="0" w:color="auto"/>
              <w:bottom w:val="single" w:sz="6" w:space="0" w:color="auto"/>
              <w:right w:val="single" w:sz="6" w:space="0" w:color="auto"/>
            </w:tcBorders>
          </w:tcPr>
          <w:p w14:paraId="15ACEAC7"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Satisfactory</w:t>
            </w:r>
          </w:p>
          <w:p w14:paraId="25B78021"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40 – 49%</w:t>
            </w:r>
          </w:p>
        </w:tc>
        <w:tc>
          <w:tcPr>
            <w:tcW w:w="1440" w:type="dxa"/>
            <w:tcBorders>
              <w:top w:val="single" w:sz="6" w:space="0" w:color="auto"/>
              <w:left w:val="single" w:sz="6" w:space="0" w:color="auto"/>
              <w:bottom w:val="single" w:sz="6" w:space="0" w:color="auto"/>
              <w:right w:val="single" w:sz="6" w:space="0" w:color="auto"/>
            </w:tcBorders>
          </w:tcPr>
          <w:p w14:paraId="0BBB2F6F"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Good</w:t>
            </w:r>
          </w:p>
          <w:p w14:paraId="271766B4"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50 – 59%</w:t>
            </w:r>
          </w:p>
        </w:tc>
        <w:tc>
          <w:tcPr>
            <w:tcW w:w="1440" w:type="dxa"/>
            <w:tcBorders>
              <w:top w:val="single" w:sz="6" w:space="0" w:color="auto"/>
              <w:left w:val="single" w:sz="6" w:space="0" w:color="auto"/>
              <w:bottom w:val="single" w:sz="6" w:space="0" w:color="auto"/>
              <w:right w:val="single" w:sz="6" w:space="0" w:color="auto"/>
            </w:tcBorders>
          </w:tcPr>
          <w:p w14:paraId="47CBD5C4"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Very Good</w:t>
            </w:r>
          </w:p>
          <w:p w14:paraId="71D499E4"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60 – 69%</w:t>
            </w:r>
          </w:p>
        </w:tc>
        <w:tc>
          <w:tcPr>
            <w:tcW w:w="1170" w:type="dxa"/>
            <w:gridSpan w:val="2"/>
            <w:tcBorders>
              <w:top w:val="single" w:sz="6" w:space="0" w:color="auto"/>
              <w:left w:val="single" w:sz="6" w:space="0" w:color="auto"/>
              <w:bottom w:val="single" w:sz="6" w:space="0" w:color="auto"/>
              <w:right w:val="single" w:sz="6" w:space="0" w:color="auto"/>
            </w:tcBorders>
          </w:tcPr>
          <w:p w14:paraId="0420A9EE"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Excellent</w:t>
            </w:r>
          </w:p>
          <w:p w14:paraId="7423CABA"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70% +</w:t>
            </w:r>
          </w:p>
          <w:p w14:paraId="1C253569"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5A7ED017" w14:textId="77777777" w:rsidR="000D44CB" w:rsidRPr="00D4030C" w:rsidRDefault="000D44CB" w:rsidP="00D85A09">
            <w:pPr>
              <w:spacing w:after="0" w:line="240" w:lineRule="auto"/>
              <w:rPr>
                <w:rFonts w:ascii="Times New Roman" w:eastAsia="Times New Roman" w:hAnsi="Times New Roman" w:cs="Times New Roman"/>
                <w:sz w:val="18"/>
                <w:szCs w:val="18"/>
                <w:lang w:eastAsia="en-GB"/>
              </w:rPr>
            </w:pPr>
          </w:p>
          <w:p w14:paraId="4E01DF1E" w14:textId="77777777" w:rsidR="000D44CB" w:rsidRPr="00D4030C" w:rsidRDefault="000D44CB" w:rsidP="00D85A09">
            <w:pPr>
              <w:spacing w:after="0" w:line="240" w:lineRule="auto"/>
              <w:rPr>
                <w:rFonts w:ascii="Times New Roman" w:eastAsia="Times New Roman" w:hAnsi="Times New Roman" w:cs="Times New Roman"/>
                <w:sz w:val="18"/>
                <w:szCs w:val="18"/>
                <w:lang w:eastAsia="en-GB"/>
              </w:rPr>
            </w:pPr>
            <w:r w:rsidRPr="00D4030C">
              <w:rPr>
                <w:rFonts w:ascii="Times New Roman" w:eastAsia="Times New Roman" w:hAnsi="Times New Roman" w:cs="Times New Roman"/>
                <w:sz w:val="18"/>
                <w:szCs w:val="18"/>
                <w:lang w:eastAsia="en-GB"/>
              </w:rPr>
              <w:t xml:space="preserve">  %</w:t>
            </w:r>
          </w:p>
        </w:tc>
      </w:tr>
      <w:tr w:rsidR="000D44CB" w:rsidRPr="00D4030C" w14:paraId="6942D5BA" w14:textId="77777777" w:rsidTr="00C05311">
        <w:tc>
          <w:tcPr>
            <w:tcW w:w="2123" w:type="dxa"/>
            <w:tcBorders>
              <w:top w:val="single" w:sz="6" w:space="0" w:color="auto"/>
              <w:left w:val="thinThickLargeGap" w:sz="24" w:space="0" w:color="auto"/>
              <w:bottom w:val="single" w:sz="6" w:space="0" w:color="auto"/>
            </w:tcBorders>
          </w:tcPr>
          <w:p w14:paraId="04E37BDF" w14:textId="77777777" w:rsidR="000D44CB" w:rsidRPr="00D4030C" w:rsidRDefault="000D44CB" w:rsidP="00D85A09">
            <w:pPr>
              <w:spacing w:after="0" w:line="240" w:lineRule="auto"/>
              <w:ind w:left="-15"/>
              <w:rPr>
                <w:rFonts w:ascii="Times New Roman" w:eastAsia="Times New Roman" w:hAnsi="Times New Roman" w:cs="Times New Roman"/>
                <w:bCs/>
                <w:sz w:val="20"/>
                <w:szCs w:val="20"/>
                <w:lang w:eastAsia="en-GB"/>
              </w:rPr>
            </w:pPr>
            <w:r w:rsidRPr="00D4030C">
              <w:rPr>
                <w:rFonts w:ascii="Times New Roman" w:eastAsia="Times New Roman" w:hAnsi="Times New Roman" w:cs="Times New Roman"/>
                <w:bCs/>
                <w:sz w:val="20"/>
                <w:szCs w:val="20"/>
                <w:lang w:eastAsia="en-GB"/>
              </w:rPr>
              <w:t>Background knowledge and understanding of the chosen aspect of Health and Inclusion, setting the theme in appropriate context</w:t>
            </w:r>
          </w:p>
        </w:tc>
        <w:tc>
          <w:tcPr>
            <w:tcW w:w="540" w:type="dxa"/>
            <w:tcBorders>
              <w:top w:val="single" w:sz="6" w:space="0" w:color="auto"/>
              <w:bottom w:val="single" w:sz="6" w:space="0" w:color="auto"/>
              <w:right w:val="single" w:sz="6" w:space="0" w:color="auto"/>
            </w:tcBorders>
          </w:tcPr>
          <w:p w14:paraId="2613D07D" w14:textId="77777777" w:rsidR="000D44CB" w:rsidRPr="00D4030C" w:rsidRDefault="000D44CB" w:rsidP="00D85A09">
            <w:pPr>
              <w:spacing w:after="0" w:line="240" w:lineRule="auto"/>
              <w:jc w:val="center"/>
              <w:rPr>
                <w:rFonts w:ascii="Times New Roman" w:eastAsia="Times New Roman" w:hAnsi="Times New Roman" w:cs="Times New Roman"/>
                <w:bCs/>
                <w:sz w:val="18"/>
                <w:szCs w:val="18"/>
                <w:lang w:eastAsia="en-GB"/>
              </w:rPr>
            </w:pPr>
          </w:p>
          <w:p w14:paraId="613200E8" w14:textId="77777777" w:rsidR="000D44CB" w:rsidRPr="00D4030C" w:rsidRDefault="000D44CB" w:rsidP="00D85A09">
            <w:pPr>
              <w:spacing w:after="0" w:line="240" w:lineRule="auto"/>
              <w:jc w:val="center"/>
              <w:rPr>
                <w:rFonts w:ascii="Times New Roman" w:eastAsia="Times New Roman" w:hAnsi="Times New Roman" w:cs="Times New Roman"/>
                <w:bCs/>
                <w:sz w:val="18"/>
                <w:szCs w:val="18"/>
                <w:lang w:eastAsia="en-GB"/>
              </w:rPr>
            </w:pPr>
            <w:r w:rsidRPr="00D4030C">
              <w:rPr>
                <w:rFonts w:ascii="Times New Roman" w:eastAsia="Times New Roman" w:hAnsi="Times New Roman" w:cs="Times New Roman"/>
                <w:bCs/>
                <w:sz w:val="18"/>
                <w:szCs w:val="18"/>
                <w:lang w:eastAsia="en-GB"/>
              </w:rPr>
              <w:t>3</w:t>
            </w:r>
          </w:p>
        </w:tc>
        <w:tc>
          <w:tcPr>
            <w:tcW w:w="1262" w:type="dxa"/>
            <w:tcBorders>
              <w:top w:val="single" w:sz="6" w:space="0" w:color="auto"/>
              <w:left w:val="single" w:sz="6" w:space="0" w:color="auto"/>
              <w:bottom w:val="single" w:sz="6" w:space="0" w:color="auto"/>
              <w:right w:val="single" w:sz="6" w:space="0" w:color="auto"/>
            </w:tcBorders>
          </w:tcPr>
          <w:p w14:paraId="5659B8A5" w14:textId="77777777" w:rsidR="000D44CB" w:rsidRPr="00D4030C" w:rsidRDefault="000D44CB" w:rsidP="00D85A09">
            <w:pPr>
              <w:spacing w:after="0" w:line="240" w:lineRule="auto"/>
              <w:jc w:val="center"/>
              <w:rPr>
                <w:rFonts w:ascii="Times New Roman" w:eastAsia="Times New Roman" w:hAnsi="Times New Roman" w:cs="Times New Roman"/>
                <w:b/>
                <w:sz w:val="18"/>
                <w:szCs w:val="18"/>
                <w:lang w:eastAsia="en-GB"/>
              </w:rPr>
            </w:pPr>
          </w:p>
          <w:p w14:paraId="4B0D6F27" w14:textId="77777777" w:rsidR="000D44CB" w:rsidRPr="00D4030C" w:rsidRDefault="000D44CB" w:rsidP="00D85A09">
            <w:pPr>
              <w:spacing w:after="0" w:line="240" w:lineRule="auto"/>
              <w:jc w:val="center"/>
              <w:rPr>
                <w:rFonts w:ascii="Times New Roman" w:eastAsia="Times New Roman" w:hAnsi="Times New Roman" w:cs="Times New Roman"/>
                <w:b/>
                <w:sz w:val="18"/>
                <w:szCs w:val="18"/>
                <w:lang w:eastAsia="en-GB"/>
              </w:rPr>
            </w:pPr>
          </w:p>
        </w:tc>
        <w:tc>
          <w:tcPr>
            <w:tcW w:w="1350" w:type="dxa"/>
            <w:gridSpan w:val="2"/>
            <w:tcBorders>
              <w:top w:val="single" w:sz="6" w:space="0" w:color="auto"/>
              <w:left w:val="single" w:sz="6" w:space="0" w:color="auto"/>
              <w:bottom w:val="single" w:sz="6" w:space="0" w:color="auto"/>
              <w:right w:val="single" w:sz="6" w:space="0" w:color="auto"/>
            </w:tcBorders>
          </w:tcPr>
          <w:p w14:paraId="5D6E0382" w14:textId="77777777" w:rsidR="000D44CB" w:rsidRPr="00D4030C" w:rsidRDefault="000D44CB" w:rsidP="00D85A09">
            <w:pPr>
              <w:spacing w:after="0" w:line="240" w:lineRule="auto"/>
              <w:jc w:val="right"/>
              <w:rPr>
                <w:rFonts w:ascii="Times New Roman" w:eastAsia="Times New Roman" w:hAnsi="Times New Roman" w:cs="Times New Roman"/>
                <w:b/>
                <w:sz w:val="18"/>
                <w:szCs w:val="18"/>
                <w:lang w:eastAsia="en-GB"/>
              </w:rPr>
            </w:pPr>
          </w:p>
        </w:tc>
        <w:tc>
          <w:tcPr>
            <w:tcW w:w="1440" w:type="dxa"/>
            <w:tcBorders>
              <w:top w:val="single" w:sz="6" w:space="0" w:color="auto"/>
              <w:left w:val="single" w:sz="6" w:space="0" w:color="auto"/>
              <w:bottom w:val="single" w:sz="6" w:space="0" w:color="auto"/>
              <w:right w:val="single" w:sz="6" w:space="0" w:color="auto"/>
            </w:tcBorders>
          </w:tcPr>
          <w:p w14:paraId="608971FC" w14:textId="77777777" w:rsidR="000D44CB" w:rsidRPr="00D4030C" w:rsidRDefault="000D44CB" w:rsidP="00D85A09">
            <w:pPr>
              <w:spacing w:after="0" w:line="240" w:lineRule="auto"/>
              <w:jc w:val="right"/>
              <w:rPr>
                <w:rFonts w:ascii="Times New Roman" w:eastAsia="Times New Roman" w:hAnsi="Times New Roman" w:cs="Times New Roman"/>
                <w:b/>
                <w:sz w:val="18"/>
                <w:szCs w:val="18"/>
                <w:lang w:eastAsia="en-GB"/>
              </w:rPr>
            </w:pPr>
          </w:p>
        </w:tc>
        <w:tc>
          <w:tcPr>
            <w:tcW w:w="1440" w:type="dxa"/>
            <w:tcBorders>
              <w:top w:val="single" w:sz="6" w:space="0" w:color="auto"/>
              <w:left w:val="single" w:sz="6" w:space="0" w:color="auto"/>
              <w:bottom w:val="single" w:sz="6" w:space="0" w:color="auto"/>
              <w:right w:val="single" w:sz="6" w:space="0" w:color="auto"/>
            </w:tcBorders>
          </w:tcPr>
          <w:p w14:paraId="13E6AFA2" w14:textId="77777777" w:rsidR="000D44CB" w:rsidRPr="00D4030C" w:rsidRDefault="000D44CB" w:rsidP="00D85A09">
            <w:pPr>
              <w:spacing w:after="0" w:line="240" w:lineRule="auto"/>
              <w:rPr>
                <w:rFonts w:ascii="Times New Roman" w:eastAsia="Times New Roman" w:hAnsi="Times New Roman" w:cs="Times New Roman"/>
                <w:sz w:val="24"/>
                <w:szCs w:val="20"/>
                <w:lang w:eastAsia="en-GB"/>
              </w:rPr>
            </w:pPr>
          </w:p>
        </w:tc>
        <w:tc>
          <w:tcPr>
            <w:tcW w:w="1170" w:type="dxa"/>
            <w:gridSpan w:val="2"/>
            <w:tcBorders>
              <w:top w:val="single" w:sz="6" w:space="0" w:color="auto"/>
              <w:left w:val="single" w:sz="6" w:space="0" w:color="auto"/>
              <w:bottom w:val="single" w:sz="6" w:space="0" w:color="auto"/>
              <w:right w:val="single" w:sz="6" w:space="0" w:color="auto"/>
            </w:tcBorders>
          </w:tcPr>
          <w:p w14:paraId="13ECA096" w14:textId="77777777" w:rsidR="000D44CB" w:rsidRPr="00D4030C" w:rsidRDefault="000D44CB" w:rsidP="00D85A09">
            <w:pPr>
              <w:spacing w:after="0" w:line="240" w:lineRule="auto"/>
              <w:jc w:val="center"/>
              <w:rPr>
                <w:rFonts w:ascii="Times New Roman" w:eastAsia="Times New Roman" w:hAnsi="Times New Roman" w:cs="Times New Roman"/>
                <w:b/>
                <w:sz w:val="18"/>
                <w:szCs w:val="18"/>
                <w:lang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77D95FF3" w14:textId="77777777" w:rsidR="000D44CB" w:rsidRPr="00D4030C" w:rsidRDefault="000D44CB" w:rsidP="00D85A09">
            <w:pPr>
              <w:spacing w:after="0" w:line="240" w:lineRule="auto"/>
              <w:rPr>
                <w:rFonts w:ascii="Times New Roman" w:eastAsia="Times New Roman" w:hAnsi="Times New Roman" w:cs="Times New Roman"/>
                <w:bCs/>
                <w:sz w:val="18"/>
                <w:szCs w:val="18"/>
                <w:lang w:eastAsia="en-GB"/>
              </w:rPr>
            </w:pPr>
            <w:r w:rsidRPr="00D4030C">
              <w:rPr>
                <w:rFonts w:ascii="Times New Roman" w:eastAsia="Times New Roman" w:hAnsi="Times New Roman" w:cs="Times New Roman"/>
                <w:bCs/>
                <w:sz w:val="18"/>
                <w:szCs w:val="18"/>
                <w:lang w:eastAsia="en-GB"/>
              </w:rPr>
              <w:t>30%</w:t>
            </w:r>
          </w:p>
        </w:tc>
      </w:tr>
      <w:tr w:rsidR="000D44CB" w:rsidRPr="00D4030C" w14:paraId="25E87A96" w14:textId="77777777" w:rsidTr="00C05311">
        <w:tc>
          <w:tcPr>
            <w:tcW w:w="2123" w:type="dxa"/>
            <w:tcBorders>
              <w:top w:val="single" w:sz="6" w:space="0" w:color="auto"/>
              <w:left w:val="thinThickLargeGap" w:sz="24" w:space="0" w:color="auto"/>
              <w:bottom w:val="single" w:sz="6" w:space="0" w:color="auto"/>
              <w:right w:val="single" w:sz="4" w:space="0" w:color="auto"/>
            </w:tcBorders>
          </w:tcPr>
          <w:p w14:paraId="440E2280" w14:textId="77777777" w:rsidR="000D44CB" w:rsidRPr="00D4030C" w:rsidRDefault="000D44CB" w:rsidP="00D85A09">
            <w:pPr>
              <w:spacing w:after="0" w:line="240" w:lineRule="auto"/>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Ability to select, synthesise and evaluate appropriate sources relating to chosen theme</w:t>
            </w:r>
          </w:p>
        </w:tc>
        <w:tc>
          <w:tcPr>
            <w:tcW w:w="540" w:type="dxa"/>
            <w:tcBorders>
              <w:top w:val="single" w:sz="6" w:space="0" w:color="auto"/>
              <w:left w:val="single" w:sz="4" w:space="0" w:color="auto"/>
              <w:bottom w:val="single" w:sz="6" w:space="0" w:color="auto"/>
              <w:right w:val="single" w:sz="6" w:space="0" w:color="auto"/>
            </w:tcBorders>
          </w:tcPr>
          <w:p w14:paraId="6D4E71D9"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1</w:t>
            </w:r>
          </w:p>
        </w:tc>
        <w:tc>
          <w:tcPr>
            <w:tcW w:w="1262" w:type="dxa"/>
            <w:tcBorders>
              <w:top w:val="single" w:sz="6" w:space="0" w:color="auto"/>
              <w:left w:val="single" w:sz="6" w:space="0" w:color="auto"/>
              <w:bottom w:val="single" w:sz="6" w:space="0" w:color="auto"/>
              <w:right w:val="single" w:sz="6" w:space="0" w:color="auto"/>
            </w:tcBorders>
          </w:tcPr>
          <w:p w14:paraId="75727A81" w14:textId="77777777" w:rsidR="000D44CB" w:rsidRPr="00D4030C" w:rsidRDefault="000D44CB" w:rsidP="00D85A09">
            <w:pPr>
              <w:spacing w:after="0" w:line="240" w:lineRule="auto"/>
              <w:rPr>
                <w:rFonts w:ascii="Times New Roman" w:eastAsia="Times New Roman" w:hAnsi="Times New Roman" w:cs="Times New Roman"/>
                <w:b/>
                <w:sz w:val="28"/>
                <w:szCs w:val="28"/>
                <w:lang w:eastAsia="en-GB"/>
              </w:rPr>
            </w:pPr>
          </w:p>
          <w:p w14:paraId="43D29DA0"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tc>
        <w:tc>
          <w:tcPr>
            <w:tcW w:w="1350" w:type="dxa"/>
            <w:gridSpan w:val="2"/>
            <w:tcBorders>
              <w:top w:val="single" w:sz="6" w:space="0" w:color="auto"/>
              <w:left w:val="single" w:sz="6" w:space="0" w:color="auto"/>
              <w:bottom w:val="single" w:sz="6" w:space="0" w:color="auto"/>
              <w:right w:val="single" w:sz="6" w:space="0" w:color="auto"/>
            </w:tcBorders>
          </w:tcPr>
          <w:p w14:paraId="01F5D939" w14:textId="77777777" w:rsidR="000D44CB" w:rsidRPr="00D4030C" w:rsidRDefault="000D44CB" w:rsidP="00D85A09">
            <w:pPr>
              <w:spacing w:after="0" w:line="240" w:lineRule="auto"/>
              <w:jc w:val="right"/>
              <w:rPr>
                <w:rFonts w:ascii="Times New Roman" w:eastAsia="Times New Roman" w:hAnsi="Times New Roman" w:cs="Times New Roman"/>
                <w:b/>
                <w:sz w:val="28"/>
                <w:szCs w:val="28"/>
                <w:lang w:eastAsia="en-GB"/>
              </w:rPr>
            </w:pPr>
            <w:r w:rsidRPr="00D4030C">
              <w:rPr>
                <w:rFonts w:ascii="Times New Roman" w:eastAsia="Times New Roman" w:hAnsi="Times New Roman" w:cs="Times New Roman"/>
                <w:b/>
                <w:sz w:val="28"/>
                <w:szCs w:val="28"/>
                <w:lang w:eastAsia="en-GB"/>
              </w:rPr>
              <w:t xml:space="preserve"> </w:t>
            </w:r>
          </w:p>
        </w:tc>
        <w:tc>
          <w:tcPr>
            <w:tcW w:w="1440" w:type="dxa"/>
            <w:tcBorders>
              <w:top w:val="single" w:sz="6" w:space="0" w:color="auto"/>
              <w:left w:val="single" w:sz="6" w:space="0" w:color="auto"/>
              <w:bottom w:val="single" w:sz="6" w:space="0" w:color="auto"/>
              <w:right w:val="single" w:sz="6" w:space="0" w:color="auto"/>
            </w:tcBorders>
          </w:tcPr>
          <w:p w14:paraId="4F9B07DE" w14:textId="77777777" w:rsidR="000D44CB" w:rsidRPr="00D4030C" w:rsidRDefault="000D44CB" w:rsidP="00D85A09">
            <w:pPr>
              <w:spacing w:after="0" w:line="240" w:lineRule="auto"/>
              <w:jc w:val="right"/>
              <w:rPr>
                <w:rFonts w:ascii="Times New Roman" w:eastAsia="Times New Roman" w:hAnsi="Times New Roman" w:cs="Times New Roman"/>
                <w:b/>
                <w:sz w:val="28"/>
                <w:szCs w:val="28"/>
                <w:lang w:eastAsia="en-GB"/>
              </w:rPr>
            </w:pPr>
          </w:p>
        </w:tc>
        <w:tc>
          <w:tcPr>
            <w:tcW w:w="1440" w:type="dxa"/>
            <w:tcBorders>
              <w:top w:val="single" w:sz="6" w:space="0" w:color="auto"/>
              <w:left w:val="single" w:sz="6" w:space="0" w:color="auto"/>
              <w:bottom w:val="single" w:sz="6" w:space="0" w:color="auto"/>
              <w:right w:val="single" w:sz="6" w:space="0" w:color="auto"/>
            </w:tcBorders>
          </w:tcPr>
          <w:p w14:paraId="0989B748"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p w14:paraId="0348F14B"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tc>
        <w:tc>
          <w:tcPr>
            <w:tcW w:w="1170" w:type="dxa"/>
            <w:gridSpan w:val="2"/>
            <w:tcBorders>
              <w:top w:val="single" w:sz="6" w:space="0" w:color="auto"/>
              <w:left w:val="single" w:sz="6" w:space="0" w:color="auto"/>
              <w:bottom w:val="single" w:sz="6" w:space="0" w:color="auto"/>
              <w:right w:val="single" w:sz="6" w:space="0" w:color="auto"/>
            </w:tcBorders>
          </w:tcPr>
          <w:p w14:paraId="205D7D33"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p w14:paraId="3D98D4C9"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2B2809E6" w14:textId="77777777" w:rsidR="000D44CB" w:rsidRPr="00D4030C" w:rsidRDefault="000D44CB" w:rsidP="00D85A09">
            <w:pPr>
              <w:spacing w:after="0" w:line="240" w:lineRule="auto"/>
              <w:rPr>
                <w:rFonts w:ascii="Times New Roman" w:eastAsia="Times New Roman" w:hAnsi="Times New Roman" w:cs="Times New Roman"/>
                <w:sz w:val="18"/>
                <w:szCs w:val="20"/>
                <w:lang w:eastAsia="en-GB"/>
              </w:rPr>
            </w:pPr>
          </w:p>
          <w:p w14:paraId="3A107F17" w14:textId="77777777" w:rsidR="000D44CB" w:rsidRPr="00D4030C" w:rsidRDefault="000D44CB" w:rsidP="00D85A09">
            <w:pPr>
              <w:spacing w:after="0" w:line="240" w:lineRule="auto"/>
              <w:rPr>
                <w:rFonts w:ascii="Times New Roman" w:eastAsia="Times New Roman" w:hAnsi="Times New Roman" w:cs="Times New Roman"/>
                <w:sz w:val="18"/>
                <w:szCs w:val="20"/>
                <w:lang w:eastAsia="en-GB"/>
              </w:rPr>
            </w:pPr>
            <w:r w:rsidRPr="00D4030C">
              <w:rPr>
                <w:rFonts w:ascii="Times New Roman" w:eastAsia="Times New Roman" w:hAnsi="Times New Roman" w:cs="Times New Roman"/>
                <w:sz w:val="18"/>
                <w:szCs w:val="20"/>
                <w:lang w:eastAsia="en-GB"/>
              </w:rPr>
              <w:t>30%</w:t>
            </w:r>
          </w:p>
        </w:tc>
      </w:tr>
      <w:tr w:rsidR="000D44CB" w:rsidRPr="00D4030C" w14:paraId="14B23548" w14:textId="77777777" w:rsidTr="00C05311">
        <w:tc>
          <w:tcPr>
            <w:tcW w:w="2123" w:type="dxa"/>
            <w:tcBorders>
              <w:top w:val="single" w:sz="6" w:space="0" w:color="auto"/>
              <w:left w:val="thinThickLargeGap" w:sz="24" w:space="0" w:color="auto"/>
              <w:bottom w:val="single" w:sz="6" w:space="0" w:color="auto"/>
              <w:right w:val="single" w:sz="4" w:space="0" w:color="auto"/>
            </w:tcBorders>
          </w:tcPr>
          <w:p w14:paraId="62B38F2D" w14:textId="77777777" w:rsidR="000D44CB" w:rsidRPr="00D4030C" w:rsidRDefault="000D44CB" w:rsidP="00D85A09">
            <w:pPr>
              <w:spacing w:after="0" w:line="240" w:lineRule="auto"/>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Evidence of independent research using a range of sources and the ability to present key findings clearly</w:t>
            </w:r>
          </w:p>
        </w:tc>
        <w:tc>
          <w:tcPr>
            <w:tcW w:w="540" w:type="dxa"/>
            <w:tcBorders>
              <w:top w:val="single" w:sz="6" w:space="0" w:color="auto"/>
              <w:left w:val="single" w:sz="4" w:space="0" w:color="auto"/>
              <w:bottom w:val="single" w:sz="6" w:space="0" w:color="auto"/>
              <w:right w:val="single" w:sz="6" w:space="0" w:color="auto"/>
            </w:tcBorders>
          </w:tcPr>
          <w:p w14:paraId="1D88A484"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1,2,3</w:t>
            </w:r>
          </w:p>
        </w:tc>
        <w:tc>
          <w:tcPr>
            <w:tcW w:w="1262" w:type="dxa"/>
            <w:tcBorders>
              <w:top w:val="single" w:sz="6" w:space="0" w:color="auto"/>
              <w:left w:val="single" w:sz="6" w:space="0" w:color="auto"/>
              <w:bottom w:val="single" w:sz="6" w:space="0" w:color="auto"/>
              <w:right w:val="single" w:sz="6" w:space="0" w:color="auto"/>
            </w:tcBorders>
          </w:tcPr>
          <w:p w14:paraId="1E1C1666"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tc>
        <w:tc>
          <w:tcPr>
            <w:tcW w:w="1350" w:type="dxa"/>
            <w:gridSpan w:val="2"/>
            <w:tcBorders>
              <w:top w:val="single" w:sz="6" w:space="0" w:color="auto"/>
              <w:left w:val="single" w:sz="6" w:space="0" w:color="auto"/>
              <w:bottom w:val="single" w:sz="6" w:space="0" w:color="auto"/>
              <w:right w:val="single" w:sz="6" w:space="0" w:color="auto"/>
            </w:tcBorders>
          </w:tcPr>
          <w:p w14:paraId="3694149B" w14:textId="77777777" w:rsidR="000D44CB" w:rsidRPr="00D4030C" w:rsidRDefault="000D44CB" w:rsidP="00D85A09">
            <w:pPr>
              <w:spacing w:after="0" w:line="240" w:lineRule="auto"/>
              <w:jc w:val="right"/>
              <w:rPr>
                <w:rFonts w:ascii="Times New Roman" w:eastAsia="Times New Roman" w:hAnsi="Times New Roman" w:cs="Times New Roman"/>
                <w:b/>
                <w:sz w:val="28"/>
                <w:szCs w:val="28"/>
                <w:lang w:eastAsia="en-GB"/>
              </w:rPr>
            </w:pPr>
          </w:p>
        </w:tc>
        <w:tc>
          <w:tcPr>
            <w:tcW w:w="1440" w:type="dxa"/>
            <w:tcBorders>
              <w:top w:val="single" w:sz="6" w:space="0" w:color="auto"/>
              <w:left w:val="single" w:sz="6" w:space="0" w:color="auto"/>
              <w:bottom w:val="single" w:sz="6" w:space="0" w:color="auto"/>
              <w:right w:val="single" w:sz="6" w:space="0" w:color="auto"/>
            </w:tcBorders>
          </w:tcPr>
          <w:p w14:paraId="69E75812"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tc>
        <w:tc>
          <w:tcPr>
            <w:tcW w:w="1440" w:type="dxa"/>
            <w:tcBorders>
              <w:top w:val="single" w:sz="6" w:space="0" w:color="auto"/>
              <w:left w:val="single" w:sz="6" w:space="0" w:color="auto"/>
              <w:bottom w:val="single" w:sz="6" w:space="0" w:color="auto"/>
              <w:right w:val="single" w:sz="6" w:space="0" w:color="auto"/>
            </w:tcBorders>
          </w:tcPr>
          <w:p w14:paraId="6B2A9B9B"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tc>
        <w:tc>
          <w:tcPr>
            <w:tcW w:w="1170" w:type="dxa"/>
            <w:gridSpan w:val="2"/>
            <w:tcBorders>
              <w:top w:val="single" w:sz="6" w:space="0" w:color="auto"/>
              <w:left w:val="single" w:sz="6" w:space="0" w:color="auto"/>
              <w:bottom w:val="single" w:sz="6" w:space="0" w:color="auto"/>
              <w:right w:val="single" w:sz="6" w:space="0" w:color="auto"/>
            </w:tcBorders>
          </w:tcPr>
          <w:p w14:paraId="5CA066D1"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10955425" w14:textId="77777777" w:rsidR="000D44CB" w:rsidRPr="00D4030C" w:rsidRDefault="000D44CB" w:rsidP="00D85A09">
            <w:pPr>
              <w:spacing w:after="0" w:line="240" w:lineRule="auto"/>
              <w:rPr>
                <w:rFonts w:ascii="Times New Roman" w:eastAsia="Times New Roman" w:hAnsi="Times New Roman" w:cs="Times New Roman"/>
                <w:sz w:val="18"/>
                <w:szCs w:val="20"/>
                <w:lang w:eastAsia="en-GB"/>
              </w:rPr>
            </w:pPr>
          </w:p>
          <w:p w14:paraId="4BC9B85A" w14:textId="77777777" w:rsidR="000D44CB" w:rsidRPr="00D4030C" w:rsidRDefault="000D44CB" w:rsidP="00D85A09">
            <w:pPr>
              <w:spacing w:after="0" w:line="240" w:lineRule="auto"/>
              <w:rPr>
                <w:rFonts w:ascii="Times New Roman" w:eastAsia="Times New Roman" w:hAnsi="Times New Roman" w:cs="Times New Roman"/>
                <w:sz w:val="18"/>
                <w:szCs w:val="20"/>
                <w:lang w:eastAsia="en-GB"/>
              </w:rPr>
            </w:pPr>
            <w:r w:rsidRPr="00D4030C">
              <w:rPr>
                <w:rFonts w:ascii="Times New Roman" w:eastAsia="Times New Roman" w:hAnsi="Times New Roman" w:cs="Times New Roman"/>
                <w:sz w:val="18"/>
                <w:szCs w:val="20"/>
                <w:lang w:eastAsia="en-GB"/>
              </w:rPr>
              <w:t>30%</w:t>
            </w:r>
          </w:p>
        </w:tc>
      </w:tr>
      <w:tr w:rsidR="000D44CB" w:rsidRPr="00D4030C" w14:paraId="405D13F2" w14:textId="77777777" w:rsidTr="00C05311">
        <w:tc>
          <w:tcPr>
            <w:tcW w:w="2123" w:type="dxa"/>
            <w:tcBorders>
              <w:top w:val="single" w:sz="6" w:space="0" w:color="auto"/>
              <w:left w:val="thinThickLargeGap" w:sz="24" w:space="0" w:color="auto"/>
              <w:bottom w:val="single" w:sz="6" w:space="0" w:color="auto"/>
              <w:right w:val="single" w:sz="4" w:space="0" w:color="auto"/>
            </w:tcBorders>
          </w:tcPr>
          <w:p w14:paraId="13B2C3CE" w14:textId="77777777" w:rsidR="000D44CB" w:rsidRPr="00D4030C" w:rsidRDefault="000D44CB" w:rsidP="00D85A09">
            <w:pPr>
              <w:spacing w:after="0" w:line="240" w:lineRule="auto"/>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Problem-solving skills in locating appropriate material within secondary sources, internet and primary material.</w:t>
            </w:r>
          </w:p>
        </w:tc>
        <w:tc>
          <w:tcPr>
            <w:tcW w:w="540" w:type="dxa"/>
            <w:tcBorders>
              <w:top w:val="single" w:sz="6" w:space="0" w:color="auto"/>
              <w:left w:val="single" w:sz="4" w:space="0" w:color="auto"/>
              <w:bottom w:val="single" w:sz="6" w:space="0" w:color="auto"/>
              <w:right w:val="single" w:sz="6" w:space="0" w:color="auto"/>
            </w:tcBorders>
          </w:tcPr>
          <w:p w14:paraId="4C0E7599"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p>
          <w:p w14:paraId="61C25E86"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3</w:t>
            </w:r>
          </w:p>
        </w:tc>
        <w:tc>
          <w:tcPr>
            <w:tcW w:w="1262" w:type="dxa"/>
            <w:tcBorders>
              <w:top w:val="single" w:sz="6" w:space="0" w:color="auto"/>
              <w:left w:val="single" w:sz="6" w:space="0" w:color="auto"/>
              <w:bottom w:val="single" w:sz="6" w:space="0" w:color="auto"/>
              <w:right w:val="single" w:sz="6" w:space="0" w:color="auto"/>
            </w:tcBorders>
          </w:tcPr>
          <w:p w14:paraId="78B122C0"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p w14:paraId="3E8F2B6B"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tc>
        <w:tc>
          <w:tcPr>
            <w:tcW w:w="1350" w:type="dxa"/>
            <w:gridSpan w:val="2"/>
            <w:tcBorders>
              <w:top w:val="single" w:sz="6" w:space="0" w:color="auto"/>
              <w:left w:val="single" w:sz="6" w:space="0" w:color="auto"/>
              <w:bottom w:val="single" w:sz="6" w:space="0" w:color="auto"/>
              <w:right w:val="single" w:sz="6" w:space="0" w:color="auto"/>
            </w:tcBorders>
          </w:tcPr>
          <w:p w14:paraId="15817187"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tc>
        <w:tc>
          <w:tcPr>
            <w:tcW w:w="1440" w:type="dxa"/>
            <w:tcBorders>
              <w:top w:val="single" w:sz="6" w:space="0" w:color="auto"/>
              <w:left w:val="single" w:sz="6" w:space="0" w:color="auto"/>
              <w:bottom w:val="single" w:sz="6" w:space="0" w:color="auto"/>
              <w:right w:val="single" w:sz="6" w:space="0" w:color="auto"/>
            </w:tcBorders>
          </w:tcPr>
          <w:p w14:paraId="21ED10BA"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tc>
        <w:tc>
          <w:tcPr>
            <w:tcW w:w="1440" w:type="dxa"/>
            <w:tcBorders>
              <w:top w:val="single" w:sz="6" w:space="0" w:color="auto"/>
              <w:left w:val="single" w:sz="6" w:space="0" w:color="auto"/>
              <w:bottom w:val="single" w:sz="6" w:space="0" w:color="auto"/>
              <w:right w:val="single" w:sz="6" w:space="0" w:color="auto"/>
            </w:tcBorders>
          </w:tcPr>
          <w:p w14:paraId="1EA76A64"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tc>
        <w:tc>
          <w:tcPr>
            <w:tcW w:w="1170" w:type="dxa"/>
            <w:gridSpan w:val="2"/>
            <w:tcBorders>
              <w:top w:val="single" w:sz="6" w:space="0" w:color="auto"/>
              <w:left w:val="single" w:sz="6" w:space="0" w:color="auto"/>
              <w:bottom w:val="single" w:sz="6" w:space="0" w:color="auto"/>
              <w:right w:val="single" w:sz="6" w:space="0" w:color="auto"/>
            </w:tcBorders>
          </w:tcPr>
          <w:p w14:paraId="17A9485C"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p w14:paraId="5449B694"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2AEE3EB5" w14:textId="77777777" w:rsidR="000D44CB" w:rsidRPr="00D4030C" w:rsidRDefault="000D44CB" w:rsidP="00D85A09">
            <w:pPr>
              <w:spacing w:after="0" w:line="240" w:lineRule="auto"/>
              <w:rPr>
                <w:rFonts w:ascii="Times New Roman" w:eastAsia="Times New Roman" w:hAnsi="Times New Roman" w:cs="Times New Roman"/>
                <w:sz w:val="18"/>
                <w:szCs w:val="20"/>
                <w:lang w:eastAsia="en-GB"/>
              </w:rPr>
            </w:pPr>
          </w:p>
          <w:p w14:paraId="10E871A9" w14:textId="77777777" w:rsidR="000D44CB" w:rsidRPr="00D4030C" w:rsidRDefault="000D44CB" w:rsidP="00D85A09">
            <w:pPr>
              <w:spacing w:after="0" w:line="240" w:lineRule="auto"/>
              <w:rPr>
                <w:rFonts w:ascii="Times New Roman" w:eastAsia="Times New Roman" w:hAnsi="Times New Roman" w:cs="Times New Roman"/>
                <w:sz w:val="18"/>
                <w:szCs w:val="20"/>
                <w:lang w:eastAsia="en-GB"/>
              </w:rPr>
            </w:pPr>
            <w:r w:rsidRPr="00D4030C">
              <w:rPr>
                <w:rFonts w:ascii="Times New Roman" w:eastAsia="Times New Roman" w:hAnsi="Times New Roman" w:cs="Times New Roman"/>
                <w:sz w:val="18"/>
                <w:szCs w:val="20"/>
                <w:lang w:eastAsia="en-GB"/>
              </w:rPr>
              <w:t>10%</w:t>
            </w:r>
          </w:p>
        </w:tc>
      </w:tr>
      <w:tr w:rsidR="000D44CB" w:rsidRPr="00D4030C" w14:paraId="279E2729" w14:textId="77777777" w:rsidTr="00C05311">
        <w:tc>
          <w:tcPr>
            <w:tcW w:w="9325" w:type="dxa"/>
            <w:gridSpan w:val="9"/>
            <w:tcBorders>
              <w:top w:val="nil"/>
              <w:left w:val="thinThickLargeGap" w:sz="24" w:space="0" w:color="auto"/>
              <w:bottom w:val="single" w:sz="6" w:space="0" w:color="auto"/>
              <w:right w:val="single" w:sz="4" w:space="0" w:color="auto"/>
            </w:tcBorders>
            <w:vAlign w:val="center"/>
          </w:tcPr>
          <w:p w14:paraId="4DD3038E" w14:textId="77777777" w:rsidR="000D44CB" w:rsidRPr="00D4030C" w:rsidRDefault="000D44CB" w:rsidP="00D85A09">
            <w:pPr>
              <w:spacing w:after="0" w:line="240" w:lineRule="auto"/>
              <w:rPr>
                <w:rFonts w:ascii="Times New Roman" w:eastAsia="Times New Roman" w:hAnsi="Times New Roman" w:cs="Times New Roman"/>
                <w:i/>
                <w:sz w:val="18"/>
                <w:szCs w:val="20"/>
                <w:lang w:eastAsia="en-GB"/>
              </w:rPr>
            </w:pPr>
            <w:r w:rsidRPr="00D4030C">
              <w:rPr>
                <w:rFonts w:ascii="Times New Roman" w:eastAsia="Times New Roman" w:hAnsi="Times New Roman" w:cs="Times New Roman"/>
                <w:i/>
                <w:sz w:val="18"/>
                <w:szCs w:val="18"/>
                <w:lang w:eastAsia="en-GB"/>
              </w:rPr>
              <w:t xml:space="preserve">It is expected that students will present work that is proof read and follows the </w:t>
            </w:r>
            <w:r w:rsidRPr="00D4030C">
              <w:rPr>
                <w:rFonts w:ascii="Times New Roman" w:eastAsia="Times New Roman" w:hAnsi="Times New Roman" w:cs="Times New Roman"/>
                <w:b/>
                <w:bCs/>
                <w:i/>
                <w:sz w:val="18"/>
                <w:szCs w:val="18"/>
                <w:u w:val="single"/>
                <w:lang w:eastAsia="en-GB"/>
              </w:rPr>
              <w:t>School Reference Guide</w:t>
            </w:r>
            <w:r w:rsidRPr="00D4030C">
              <w:rPr>
                <w:rFonts w:ascii="Times New Roman" w:eastAsia="Times New Roman" w:hAnsi="Times New Roman" w:cs="Times New Roman"/>
                <w:i/>
                <w:sz w:val="18"/>
                <w:szCs w:val="18"/>
                <w:lang w:eastAsia="en-GB"/>
              </w:rPr>
              <w:t xml:space="preserve"> and </w:t>
            </w:r>
            <w:r w:rsidRPr="00D4030C">
              <w:rPr>
                <w:rFonts w:ascii="Times New Roman" w:eastAsia="Times New Roman" w:hAnsi="Times New Roman" w:cs="Times New Roman"/>
                <w:b/>
                <w:i/>
                <w:sz w:val="18"/>
                <w:szCs w:val="18"/>
                <w:u w:val="single"/>
                <w:lang w:eastAsia="en-GB"/>
              </w:rPr>
              <w:t xml:space="preserve">Assessment Checklist. </w:t>
            </w:r>
            <w:r w:rsidR="00C05311">
              <w:rPr>
                <w:rFonts w:ascii="Times New Roman" w:eastAsia="Times New Roman" w:hAnsi="Times New Roman" w:cs="Times New Roman"/>
                <w:i/>
                <w:sz w:val="18"/>
                <w:szCs w:val="18"/>
                <w:lang w:eastAsia="en-GB"/>
              </w:rPr>
              <w:t>Th</w:t>
            </w:r>
            <w:r w:rsidRPr="00D4030C">
              <w:rPr>
                <w:rFonts w:ascii="Times New Roman" w:eastAsia="Times New Roman" w:hAnsi="Times New Roman" w:cs="Times New Roman"/>
                <w:i/>
                <w:sz w:val="18"/>
                <w:szCs w:val="18"/>
                <w:lang w:eastAsia="en-GB"/>
              </w:rPr>
              <w:t xml:space="preserve">erefore a range of 0 – 10 marks will be deducted for poor </w:t>
            </w:r>
            <w:r w:rsidRPr="00D4030C">
              <w:rPr>
                <w:rFonts w:ascii="Times New Roman" w:eastAsia="Times New Roman" w:hAnsi="Times New Roman" w:cs="Times New Roman"/>
                <w:bCs/>
                <w:i/>
                <w:sz w:val="18"/>
                <w:szCs w:val="18"/>
                <w:lang w:eastAsia="en-GB"/>
              </w:rPr>
              <w:t>referencing</w:t>
            </w:r>
            <w:r w:rsidRPr="00D4030C">
              <w:rPr>
                <w:rFonts w:ascii="Times New Roman" w:eastAsia="Times New Roman" w:hAnsi="Times New Roman" w:cs="Times New Roman"/>
                <w:i/>
                <w:sz w:val="18"/>
                <w:szCs w:val="18"/>
                <w:lang w:eastAsia="en-GB"/>
              </w:rPr>
              <w:t>, spelling, grammar, punctuation, and presentation</w:t>
            </w:r>
          </w:p>
        </w:tc>
        <w:tc>
          <w:tcPr>
            <w:tcW w:w="720" w:type="dxa"/>
            <w:tcBorders>
              <w:top w:val="nil"/>
              <w:left w:val="single" w:sz="4" w:space="0" w:color="auto"/>
              <w:bottom w:val="single" w:sz="6" w:space="0" w:color="auto"/>
              <w:right w:val="thickThinLargeGap" w:sz="24" w:space="0" w:color="auto"/>
            </w:tcBorders>
            <w:vAlign w:val="center"/>
          </w:tcPr>
          <w:p w14:paraId="333C33DB" w14:textId="77777777" w:rsidR="000D44CB" w:rsidRPr="00D4030C" w:rsidRDefault="000D44CB" w:rsidP="00D85A09">
            <w:pPr>
              <w:spacing w:after="0" w:line="240" w:lineRule="auto"/>
              <w:rPr>
                <w:rFonts w:ascii="Times New Roman" w:eastAsia="Times New Roman" w:hAnsi="Times New Roman" w:cs="Times New Roman"/>
                <w:sz w:val="18"/>
                <w:szCs w:val="20"/>
                <w:lang w:eastAsia="en-GB"/>
              </w:rPr>
            </w:pPr>
            <w:r w:rsidRPr="00D4030C">
              <w:rPr>
                <w:rFonts w:ascii="Times New Roman" w:eastAsia="Times New Roman" w:hAnsi="Times New Roman" w:cs="Times New Roman"/>
                <w:sz w:val="18"/>
                <w:szCs w:val="20"/>
                <w:lang w:eastAsia="en-GB"/>
              </w:rPr>
              <w:t>0/10</w:t>
            </w:r>
          </w:p>
        </w:tc>
      </w:tr>
      <w:tr w:rsidR="000D44CB" w:rsidRPr="00D4030C" w14:paraId="7FE94EAC" w14:textId="77777777" w:rsidTr="00C05311">
        <w:trPr>
          <w:cantSplit/>
          <w:trHeight w:val="3915"/>
        </w:trPr>
        <w:tc>
          <w:tcPr>
            <w:tcW w:w="10045" w:type="dxa"/>
            <w:gridSpan w:val="10"/>
            <w:tcBorders>
              <w:top w:val="single" w:sz="6" w:space="0" w:color="auto"/>
              <w:left w:val="thinThickLargeGap" w:sz="24" w:space="0" w:color="auto"/>
              <w:bottom w:val="single" w:sz="4" w:space="0" w:color="auto"/>
              <w:right w:val="thickThinLargeGap" w:sz="24" w:space="0" w:color="auto"/>
            </w:tcBorders>
          </w:tcPr>
          <w:p w14:paraId="7951181F" w14:textId="77777777" w:rsidR="000D44CB" w:rsidRPr="00D4030C" w:rsidRDefault="000D44CB" w:rsidP="00C05311">
            <w:pPr>
              <w:tabs>
                <w:tab w:val="left" w:pos="9829"/>
              </w:tabs>
              <w:spacing w:after="0" w:line="240" w:lineRule="auto"/>
              <w:rPr>
                <w:rFonts w:ascii="Times New Roman" w:eastAsia="Times New Roman" w:hAnsi="Times New Roman" w:cs="Times New Roman"/>
                <w:sz w:val="24"/>
                <w:szCs w:val="20"/>
                <w:lang w:eastAsia="en-GB"/>
              </w:rPr>
            </w:pPr>
          </w:p>
          <w:p w14:paraId="3717615C" w14:textId="77777777" w:rsidR="000D44CB" w:rsidRPr="00D4030C" w:rsidRDefault="000D44CB" w:rsidP="00D85A09">
            <w:pPr>
              <w:spacing w:after="0" w:line="240" w:lineRule="auto"/>
              <w:rPr>
                <w:rFonts w:ascii="Times New Roman" w:eastAsia="Times New Roman" w:hAnsi="Times New Roman" w:cs="Times New Roman"/>
                <w:sz w:val="24"/>
                <w:szCs w:val="20"/>
                <w:lang w:eastAsia="en-GB"/>
              </w:rPr>
            </w:pPr>
            <w:r w:rsidRPr="00D4030C">
              <w:rPr>
                <w:rFonts w:ascii="Times New Roman" w:eastAsia="Times New Roman" w:hAnsi="Times New Roman" w:cs="Times New Roman"/>
                <w:sz w:val="24"/>
                <w:szCs w:val="20"/>
                <w:lang w:eastAsia="en-GB"/>
              </w:rPr>
              <w:t>TUTOR COMMENTS:</w:t>
            </w:r>
          </w:p>
          <w:p w14:paraId="16FEE941" w14:textId="77777777" w:rsidR="000D44CB" w:rsidRPr="00D4030C" w:rsidRDefault="000D44CB" w:rsidP="00D85A09">
            <w:pPr>
              <w:spacing w:after="0" w:line="240" w:lineRule="auto"/>
              <w:ind w:firstLine="281"/>
              <w:rPr>
                <w:rFonts w:ascii="Times New Roman" w:eastAsia="Times New Roman" w:hAnsi="Times New Roman" w:cs="Times New Roman"/>
                <w:sz w:val="24"/>
                <w:szCs w:val="20"/>
                <w:lang w:eastAsia="en-GB"/>
              </w:rPr>
            </w:pPr>
          </w:p>
          <w:p w14:paraId="4C472C7E" w14:textId="77777777" w:rsidR="000D44CB" w:rsidRPr="00D4030C" w:rsidRDefault="000D44CB" w:rsidP="00D85A09">
            <w:pPr>
              <w:spacing w:after="0" w:line="240" w:lineRule="auto"/>
              <w:rPr>
                <w:rFonts w:ascii="Times New Roman" w:eastAsia="Times New Roman" w:hAnsi="Times New Roman" w:cs="Times New Roman"/>
                <w:sz w:val="24"/>
                <w:szCs w:val="20"/>
                <w:lang w:eastAsia="en-GB"/>
              </w:rPr>
            </w:pPr>
          </w:p>
          <w:p w14:paraId="6182BB5B" w14:textId="77777777" w:rsidR="000D44CB" w:rsidRPr="00D4030C" w:rsidRDefault="000D44CB" w:rsidP="00D85A09">
            <w:pPr>
              <w:spacing w:after="0" w:line="240" w:lineRule="auto"/>
              <w:rPr>
                <w:rFonts w:ascii="Times New Roman" w:eastAsia="Times New Roman" w:hAnsi="Times New Roman" w:cs="Times New Roman"/>
                <w:sz w:val="24"/>
                <w:szCs w:val="20"/>
                <w:lang w:eastAsia="en-GB"/>
              </w:rPr>
            </w:pPr>
          </w:p>
          <w:p w14:paraId="6F5A8D3D" w14:textId="77777777" w:rsidR="000D44CB" w:rsidRPr="00D4030C" w:rsidRDefault="000D44CB" w:rsidP="00C05311">
            <w:pPr>
              <w:tabs>
                <w:tab w:val="left" w:pos="10117"/>
              </w:tabs>
              <w:spacing w:after="0" w:line="240" w:lineRule="auto"/>
              <w:rPr>
                <w:rFonts w:ascii="Times New Roman" w:eastAsia="Times New Roman" w:hAnsi="Times New Roman" w:cs="Times New Roman"/>
                <w:sz w:val="24"/>
                <w:szCs w:val="20"/>
                <w:lang w:eastAsia="en-GB"/>
              </w:rPr>
            </w:pPr>
          </w:p>
        </w:tc>
      </w:tr>
      <w:tr w:rsidR="000D44CB" w:rsidRPr="00D4030C" w14:paraId="3ADF272B" w14:textId="77777777" w:rsidTr="00C05311">
        <w:trPr>
          <w:cantSplit/>
          <w:trHeight w:val="365"/>
        </w:trPr>
        <w:tc>
          <w:tcPr>
            <w:tcW w:w="2663" w:type="dxa"/>
            <w:gridSpan w:val="2"/>
            <w:tcBorders>
              <w:left w:val="thinThickLargeGap" w:sz="24" w:space="0" w:color="auto"/>
              <w:bottom w:val="thickThinLargeGap" w:sz="24" w:space="0" w:color="auto"/>
            </w:tcBorders>
          </w:tcPr>
          <w:p w14:paraId="347C23E1" w14:textId="1C18665A" w:rsidR="000D44CB" w:rsidRPr="00D4030C" w:rsidRDefault="00C05311" w:rsidP="00D85A09">
            <w:pPr>
              <w:spacing w:after="0" w:line="240" w:lineRule="auto"/>
              <w:rPr>
                <w:rFonts w:ascii="Times New Roman" w:eastAsia="Times New Roman" w:hAnsi="Times New Roman" w:cs="Times New Roman"/>
                <w:bCs/>
                <w:sz w:val="18"/>
                <w:szCs w:val="18"/>
                <w:lang w:eastAsia="en-GB"/>
              </w:rPr>
            </w:pPr>
            <w:r>
              <w:rPr>
                <w:rFonts w:ascii="Times New Roman" w:eastAsia="Times New Roman" w:hAnsi="Times New Roman" w:cs="Times New Roman"/>
                <w:bCs/>
                <w:sz w:val="18"/>
                <w:szCs w:val="18"/>
                <w:lang w:eastAsia="en-GB"/>
              </w:rPr>
              <w:t xml:space="preserve"> Submission date: </w:t>
            </w:r>
          </w:p>
          <w:p w14:paraId="19795146" w14:textId="77777777" w:rsidR="000D44CB" w:rsidRPr="00D4030C" w:rsidRDefault="00C05311" w:rsidP="00D85A09">
            <w:pPr>
              <w:spacing w:after="0" w:line="240" w:lineRule="auto"/>
              <w:rPr>
                <w:rFonts w:ascii="Times New Roman" w:eastAsia="Times New Roman" w:hAnsi="Times New Roman" w:cs="Times New Roman"/>
                <w:bCs/>
                <w:sz w:val="18"/>
                <w:szCs w:val="18"/>
                <w:lang w:eastAsia="en-GB"/>
              </w:rPr>
            </w:pPr>
            <w:r>
              <w:rPr>
                <w:rFonts w:ascii="Times New Roman" w:eastAsia="Times New Roman" w:hAnsi="Times New Roman" w:cs="Times New Roman"/>
                <w:bCs/>
                <w:sz w:val="18"/>
                <w:szCs w:val="18"/>
                <w:lang w:eastAsia="en-GB"/>
              </w:rPr>
              <w:t xml:space="preserve">via </w:t>
            </w:r>
            <w:proofErr w:type="spellStart"/>
            <w:r>
              <w:rPr>
                <w:rFonts w:ascii="Times New Roman" w:eastAsia="Times New Roman" w:hAnsi="Times New Roman" w:cs="Times New Roman"/>
                <w:bCs/>
                <w:sz w:val="18"/>
                <w:szCs w:val="18"/>
                <w:lang w:eastAsia="en-GB"/>
              </w:rPr>
              <w:t>Turnitin</w:t>
            </w:r>
            <w:proofErr w:type="spellEnd"/>
            <w:r>
              <w:rPr>
                <w:rFonts w:ascii="Times New Roman" w:eastAsia="Times New Roman" w:hAnsi="Times New Roman" w:cs="Times New Roman"/>
                <w:bCs/>
                <w:sz w:val="18"/>
                <w:szCs w:val="18"/>
                <w:lang w:eastAsia="en-GB"/>
              </w:rPr>
              <w:t xml:space="preserve"> </w:t>
            </w:r>
          </w:p>
        </w:tc>
        <w:tc>
          <w:tcPr>
            <w:tcW w:w="2425" w:type="dxa"/>
            <w:gridSpan w:val="2"/>
            <w:tcBorders>
              <w:bottom w:val="thickThinLargeGap" w:sz="24" w:space="0" w:color="auto"/>
            </w:tcBorders>
          </w:tcPr>
          <w:p w14:paraId="5E2F986F" w14:textId="614E8385" w:rsidR="005B756C" w:rsidRPr="00D4030C" w:rsidRDefault="00C05311" w:rsidP="005B756C">
            <w:pPr>
              <w:spacing w:after="0" w:line="240" w:lineRule="auto"/>
              <w:rPr>
                <w:rFonts w:ascii="Times New Roman" w:eastAsia="Times New Roman" w:hAnsi="Times New Roman" w:cs="Times New Roman"/>
                <w:bCs/>
                <w:sz w:val="18"/>
                <w:szCs w:val="18"/>
                <w:lang w:eastAsia="en-GB"/>
              </w:rPr>
            </w:pPr>
            <w:r>
              <w:rPr>
                <w:rFonts w:ascii="Times New Roman" w:eastAsia="Times New Roman" w:hAnsi="Times New Roman" w:cs="Times New Roman"/>
                <w:bCs/>
                <w:sz w:val="18"/>
                <w:szCs w:val="18"/>
                <w:lang w:eastAsia="en-GB"/>
              </w:rPr>
              <w:t xml:space="preserve">Return date: </w:t>
            </w:r>
          </w:p>
          <w:p w14:paraId="62F7C864" w14:textId="7CFFD573" w:rsidR="000D44CB" w:rsidRPr="00D4030C" w:rsidRDefault="000D44CB" w:rsidP="00D85A09">
            <w:pPr>
              <w:spacing w:after="0" w:line="240" w:lineRule="auto"/>
              <w:rPr>
                <w:rFonts w:ascii="Times New Roman" w:eastAsia="Times New Roman" w:hAnsi="Times New Roman" w:cs="Times New Roman"/>
                <w:bCs/>
                <w:sz w:val="18"/>
                <w:szCs w:val="18"/>
                <w:lang w:eastAsia="en-GB"/>
              </w:rPr>
            </w:pPr>
          </w:p>
        </w:tc>
        <w:tc>
          <w:tcPr>
            <w:tcW w:w="3598" w:type="dxa"/>
            <w:gridSpan w:val="4"/>
            <w:tcBorders>
              <w:bottom w:val="thickThinLargeGap" w:sz="24" w:space="0" w:color="auto"/>
            </w:tcBorders>
          </w:tcPr>
          <w:p w14:paraId="56CF9E03" w14:textId="519FDD76" w:rsidR="000D44CB" w:rsidRPr="00D4030C" w:rsidRDefault="000D44CB" w:rsidP="00D85A09">
            <w:pPr>
              <w:spacing w:after="0" w:line="240" w:lineRule="auto"/>
              <w:rPr>
                <w:rFonts w:ascii="Times New Roman" w:eastAsia="Times New Roman" w:hAnsi="Times New Roman" w:cs="Times New Roman"/>
                <w:bCs/>
                <w:sz w:val="18"/>
                <w:szCs w:val="18"/>
                <w:lang w:eastAsia="en-GB"/>
              </w:rPr>
            </w:pPr>
            <w:r w:rsidRPr="00D4030C">
              <w:rPr>
                <w:rFonts w:ascii="Times New Roman" w:eastAsia="Times New Roman" w:hAnsi="Times New Roman" w:cs="Times New Roman"/>
                <w:bCs/>
                <w:sz w:val="18"/>
                <w:szCs w:val="18"/>
                <w:lang w:eastAsia="en-GB"/>
              </w:rPr>
              <w:t xml:space="preserve">Tutor: </w:t>
            </w:r>
          </w:p>
        </w:tc>
        <w:tc>
          <w:tcPr>
            <w:tcW w:w="1359" w:type="dxa"/>
            <w:gridSpan w:val="2"/>
            <w:tcBorders>
              <w:bottom w:val="thickThinLargeGap" w:sz="24" w:space="0" w:color="auto"/>
              <w:right w:val="thickThinLargeGap" w:sz="24" w:space="0" w:color="auto"/>
            </w:tcBorders>
          </w:tcPr>
          <w:p w14:paraId="75EDB254" w14:textId="77777777" w:rsidR="000D44CB" w:rsidRPr="00D4030C" w:rsidRDefault="000D44CB" w:rsidP="00D85A09">
            <w:pPr>
              <w:spacing w:after="0" w:line="240" w:lineRule="auto"/>
              <w:rPr>
                <w:rFonts w:ascii="Times New Roman" w:eastAsia="Times New Roman" w:hAnsi="Times New Roman" w:cs="Times New Roman"/>
                <w:bCs/>
                <w:sz w:val="18"/>
                <w:szCs w:val="18"/>
                <w:lang w:eastAsia="en-GB"/>
              </w:rPr>
            </w:pPr>
          </w:p>
        </w:tc>
      </w:tr>
    </w:tbl>
    <w:p w14:paraId="1DEE70C5" w14:textId="77777777" w:rsidR="000D44CB" w:rsidRPr="00D4030C" w:rsidRDefault="000D44CB" w:rsidP="000D44CB">
      <w:pPr>
        <w:spacing w:after="0" w:line="240" w:lineRule="auto"/>
        <w:rPr>
          <w:rFonts w:ascii="Times New Roman" w:eastAsia="Times New Roman" w:hAnsi="Times New Roman" w:cs="Times New Roman"/>
          <w:sz w:val="24"/>
          <w:szCs w:val="20"/>
          <w:lang w:eastAsia="en-GB"/>
        </w:rPr>
      </w:pPr>
    </w:p>
    <w:p w14:paraId="5F68E85E" w14:textId="51B9068C" w:rsidR="000D44CB" w:rsidRDefault="000D44CB" w:rsidP="000D44CB"/>
    <w:p w14:paraId="423D0CAA" w14:textId="3B1BAD80" w:rsidR="005B756C" w:rsidRDefault="005B756C" w:rsidP="000D44CB"/>
    <w:p w14:paraId="2FDBD5E0" w14:textId="1FA8CC11" w:rsidR="005B756C" w:rsidRDefault="005B756C" w:rsidP="000D44CB"/>
    <w:p w14:paraId="29A96BEA" w14:textId="639DAB46" w:rsidR="005B756C" w:rsidRDefault="005B756C" w:rsidP="000D44CB"/>
    <w:p w14:paraId="32C09045" w14:textId="206B79DD" w:rsidR="005B756C" w:rsidRDefault="005B756C" w:rsidP="000D44CB"/>
    <w:p w14:paraId="562EE21C" w14:textId="5FA5294E" w:rsidR="005B756C" w:rsidRDefault="005B756C" w:rsidP="000D44CB"/>
    <w:p w14:paraId="5E2E8D12" w14:textId="3AE6CF6B" w:rsidR="005B756C" w:rsidRDefault="005B756C" w:rsidP="000D44CB"/>
    <w:p w14:paraId="43B01A95" w14:textId="55F89062" w:rsidR="005B756C" w:rsidRDefault="005B756C" w:rsidP="000D44CB"/>
    <w:p w14:paraId="3BC7D9AA" w14:textId="7CF63555" w:rsidR="005B756C" w:rsidRDefault="005B756C" w:rsidP="000D44CB"/>
    <w:p w14:paraId="0C68F146" w14:textId="30FCB36B" w:rsidR="005B756C" w:rsidRDefault="005B756C" w:rsidP="000D44CB"/>
    <w:p w14:paraId="697BD10E" w14:textId="4E100756" w:rsidR="005B756C" w:rsidRDefault="005B756C" w:rsidP="000D44CB"/>
    <w:p w14:paraId="57F654BE" w14:textId="201DE972" w:rsidR="005B756C" w:rsidRDefault="005B756C" w:rsidP="000D44CB"/>
    <w:p w14:paraId="36918DE3" w14:textId="08FCFE48" w:rsidR="005B756C" w:rsidRDefault="005B756C" w:rsidP="000D44CB"/>
    <w:p w14:paraId="6CB3C833" w14:textId="481447A2" w:rsidR="005B756C" w:rsidRDefault="005B756C" w:rsidP="000D44CB"/>
    <w:p w14:paraId="4D0CFC79" w14:textId="063E9A02" w:rsidR="005B756C" w:rsidRDefault="005B756C" w:rsidP="000D44CB"/>
    <w:p w14:paraId="2AA6EF5B" w14:textId="61394B7A" w:rsidR="005B756C" w:rsidRDefault="005B756C" w:rsidP="000D44CB"/>
    <w:p w14:paraId="6E1163DB" w14:textId="2C30AEEA" w:rsidR="005B756C" w:rsidRDefault="005B756C" w:rsidP="000D44CB"/>
    <w:p w14:paraId="62B2FF47" w14:textId="07F83072" w:rsidR="005B756C" w:rsidRDefault="005B756C" w:rsidP="000D44CB"/>
    <w:p w14:paraId="57673D3C" w14:textId="2EA50D00" w:rsidR="005B756C" w:rsidRDefault="005B756C" w:rsidP="000D44CB"/>
    <w:p w14:paraId="0CF0898D" w14:textId="02D9A3D1" w:rsidR="005B756C" w:rsidRDefault="005B756C" w:rsidP="000D44CB"/>
    <w:p w14:paraId="5AF8B9D1" w14:textId="77777777" w:rsidR="005B756C" w:rsidRDefault="005B756C" w:rsidP="005B756C">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Health and Social Inclusion</w:t>
      </w:r>
    </w:p>
    <w:p w14:paraId="12FD626B" w14:textId="77777777" w:rsidR="005B756C" w:rsidRPr="00F73F9C" w:rsidRDefault="005B756C" w:rsidP="005B756C">
      <w:pPr>
        <w:spacing w:line="360" w:lineRule="auto"/>
        <w:rPr>
          <w:rFonts w:ascii="Times New Roman" w:hAnsi="Times New Roman" w:cs="Times New Roman"/>
          <w:sz w:val="24"/>
          <w:szCs w:val="24"/>
        </w:rPr>
      </w:pPr>
    </w:p>
    <w:p w14:paraId="1DB54E08" w14:textId="77777777" w:rsidR="005B756C" w:rsidRPr="00F73F9C" w:rsidRDefault="005B756C" w:rsidP="005B756C">
      <w:pPr>
        <w:spacing w:line="360" w:lineRule="auto"/>
        <w:rPr>
          <w:rFonts w:ascii="Times New Roman" w:hAnsi="Times New Roman" w:cs="Times New Roman"/>
          <w:sz w:val="24"/>
          <w:szCs w:val="24"/>
        </w:rPr>
      </w:pPr>
      <w:r w:rsidRPr="00F73F9C">
        <w:rPr>
          <w:rFonts w:ascii="Times New Roman" w:hAnsi="Times New Roman" w:cs="Times New Roman"/>
          <w:sz w:val="24"/>
          <w:szCs w:val="24"/>
          <w:shd w:val="clear" w:color="auto" w:fill="FFFFFF"/>
        </w:rPr>
        <w:t>This essay will aim to discuss the unequal distribution of health within society which will be achieved through the investigation of the occurrence of cardiovascular disease within soci</w:t>
      </w:r>
      <w:r>
        <w:rPr>
          <w:rFonts w:ascii="Times New Roman" w:hAnsi="Times New Roman" w:cs="Times New Roman"/>
          <w:sz w:val="24"/>
          <w:szCs w:val="24"/>
          <w:shd w:val="clear" w:color="auto" w:fill="FFFFFF"/>
        </w:rPr>
        <w:t>ety</w:t>
      </w:r>
      <w:r w:rsidRPr="00F73F9C">
        <w:rPr>
          <w:rFonts w:ascii="Times New Roman" w:hAnsi="Times New Roman" w:cs="Times New Roman"/>
          <w:sz w:val="24"/>
          <w:szCs w:val="24"/>
          <w:shd w:val="clear" w:color="auto" w:fill="FFFFFF"/>
        </w:rPr>
        <w:t>, particularly the lower socio-economic group. An additional purpose of the essay will be to identify and discuss the factors that affect health across a person's lifespan, and its determinants. An analysis of applicable social policy will be provided together with relevant public health policies associated with</w:t>
      </w:r>
      <w:r>
        <w:rPr>
          <w:rFonts w:ascii="Times New Roman" w:hAnsi="Times New Roman" w:cs="Times New Roman"/>
          <w:sz w:val="24"/>
          <w:szCs w:val="24"/>
          <w:shd w:val="clear" w:color="auto" w:fill="FFFFFF"/>
        </w:rPr>
        <w:t xml:space="preserve"> tackling</w:t>
      </w:r>
      <w:r w:rsidRPr="00F73F9C">
        <w:rPr>
          <w:rFonts w:ascii="Times New Roman" w:hAnsi="Times New Roman" w:cs="Times New Roman"/>
          <w:sz w:val="24"/>
          <w:szCs w:val="24"/>
          <w:shd w:val="clear" w:color="auto" w:fill="FFFFFF"/>
        </w:rPr>
        <w:t xml:space="preserve"> cardiovascular disease.</w:t>
      </w:r>
    </w:p>
    <w:p w14:paraId="4F7F545C" w14:textId="77777777" w:rsidR="005B756C" w:rsidRPr="00BF7248" w:rsidRDefault="005B756C" w:rsidP="005B756C">
      <w:pPr>
        <w:spacing w:line="360" w:lineRule="auto"/>
        <w:rPr>
          <w:rFonts w:ascii="Times New Roman" w:hAnsi="Times New Roman" w:cs="Times New Roman"/>
          <w:sz w:val="24"/>
          <w:szCs w:val="24"/>
        </w:rPr>
      </w:pPr>
      <w:r w:rsidRPr="00BF7248">
        <w:rPr>
          <w:rFonts w:ascii="Times New Roman" w:hAnsi="Times New Roman" w:cs="Times New Roman"/>
          <w:sz w:val="24"/>
          <w:szCs w:val="24"/>
        </w:rPr>
        <w:t>“Health is a state of complete physical, mental and social well-being and not merely the absence of disease or infirmity” – (WHO Constitution, 1948)</w:t>
      </w:r>
    </w:p>
    <w:p w14:paraId="62D423E3" w14:textId="77777777" w:rsidR="005B756C" w:rsidRDefault="005B756C" w:rsidP="005B756C">
      <w:pPr>
        <w:spacing w:line="360" w:lineRule="auto"/>
        <w:rPr>
          <w:rFonts w:ascii="Times New Roman" w:hAnsi="Times New Roman" w:cs="Times New Roman"/>
          <w:sz w:val="24"/>
          <w:szCs w:val="24"/>
        </w:rPr>
      </w:pPr>
      <w:r w:rsidRPr="00BF7248">
        <w:rPr>
          <w:rFonts w:ascii="Times New Roman" w:hAnsi="Times New Roman" w:cs="Times New Roman"/>
          <w:sz w:val="24"/>
          <w:szCs w:val="24"/>
        </w:rPr>
        <w:t>WHO’s definition has raised some public concerns</w:t>
      </w:r>
      <w:r>
        <w:rPr>
          <w:rFonts w:ascii="Times New Roman" w:hAnsi="Times New Roman" w:cs="Times New Roman"/>
          <w:sz w:val="24"/>
          <w:szCs w:val="24"/>
        </w:rPr>
        <w:t>,</w:t>
      </w:r>
      <w:r w:rsidRPr="00BF7248">
        <w:rPr>
          <w:rFonts w:ascii="Times New Roman" w:hAnsi="Times New Roman" w:cs="Times New Roman"/>
          <w:sz w:val="24"/>
          <w:szCs w:val="24"/>
        </w:rPr>
        <w:t xml:space="preserve"> </w:t>
      </w:r>
      <w:r>
        <w:rPr>
          <w:rFonts w:ascii="Times New Roman" w:hAnsi="Times New Roman" w:cs="Times New Roman"/>
          <w:sz w:val="24"/>
          <w:szCs w:val="24"/>
        </w:rPr>
        <w:t xml:space="preserve">as </w:t>
      </w:r>
      <w:r w:rsidRPr="00BF7248">
        <w:rPr>
          <w:rFonts w:ascii="Times New Roman" w:hAnsi="Times New Roman" w:cs="Times New Roman"/>
          <w:sz w:val="24"/>
          <w:szCs w:val="24"/>
        </w:rPr>
        <w:t xml:space="preserve">it is argued that this </w:t>
      </w:r>
      <w:r>
        <w:rPr>
          <w:rFonts w:ascii="Times New Roman" w:hAnsi="Times New Roman" w:cs="Times New Roman"/>
          <w:sz w:val="24"/>
          <w:szCs w:val="24"/>
        </w:rPr>
        <w:t>t</w:t>
      </w:r>
      <w:r w:rsidRPr="00BF7248">
        <w:rPr>
          <w:rFonts w:ascii="Times New Roman" w:hAnsi="Times New Roman" w:cs="Times New Roman"/>
          <w:sz w:val="24"/>
          <w:szCs w:val="24"/>
        </w:rPr>
        <w:t xml:space="preserve">he word ‘complete’ in the definition </w:t>
      </w:r>
      <w:r>
        <w:rPr>
          <w:rFonts w:ascii="Times New Roman" w:hAnsi="Times New Roman" w:cs="Times New Roman"/>
          <w:sz w:val="24"/>
          <w:szCs w:val="24"/>
        </w:rPr>
        <w:t xml:space="preserve">makes it </w:t>
      </w:r>
      <w:r w:rsidRPr="00BF7248">
        <w:rPr>
          <w:rFonts w:ascii="Times New Roman" w:hAnsi="Times New Roman" w:cs="Times New Roman"/>
          <w:sz w:val="24"/>
          <w:szCs w:val="24"/>
        </w:rPr>
        <w:t xml:space="preserve">unrealistic as </w:t>
      </w:r>
      <w:r>
        <w:rPr>
          <w:rFonts w:ascii="Times New Roman" w:hAnsi="Times New Roman" w:cs="Times New Roman"/>
          <w:sz w:val="24"/>
          <w:szCs w:val="24"/>
        </w:rPr>
        <w:t xml:space="preserve">it </w:t>
      </w:r>
      <w:r w:rsidRPr="00BF7248">
        <w:rPr>
          <w:rFonts w:ascii="Times New Roman" w:hAnsi="Times New Roman" w:cs="Times New Roman"/>
          <w:sz w:val="24"/>
          <w:szCs w:val="24"/>
        </w:rPr>
        <w:t>leaves people thinking that it is unlikely that anyone would be in a healthy state for a reasonably extensive amount of time (Taylor</w:t>
      </w:r>
      <w:r>
        <w:rPr>
          <w:rFonts w:ascii="Times New Roman" w:hAnsi="Times New Roman" w:cs="Times New Roman"/>
          <w:sz w:val="24"/>
          <w:szCs w:val="24"/>
        </w:rPr>
        <w:t xml:space="preserve"> et al.</w:t>
      </w:r>
      <w:r w:rsidRPr="00BF7248">
        <w:rPr>
          <w:rFonts w:ascii="Times New Roman" w:hAnsi="Times New Roman" w:cs="Times New Roman"/>
          <w:sz w:val="24"/>
          <w:szCs w:val="24"/>
        </w:rPr>
        <w:t xml:space="preserve">, 1998). </w:t>
      </w:r>
    </w:p>
    <w:p w14:paraId="7F71ACD4" w14:textId="77777777" w:rsidR="005B756C" w:rsidRDefault="005B756C" w:rsidP="005B756C">
      <w:pPr>
        <w:spacing w:line="360" w:lineRule="auto"/>
        <w:rPr>
          <w:rFonts w:ascii="Times New Roman" w:hAnsi="Times New Roman" w:cs="Times New Roman"/>
          <w:sz w:val="24"/>
          <w:szCs w:val="24"/>
        </w:rPr>
      </w:pPr>
      <w:r w:rsidRPr="001706AB">
        <w:rPr>
          <w:rFonts w:ascii="Times New Roman" w:hAnsi="Times New Roman" w:cs="Times New Roman"/>
          <w:color w:val="000000"/>
          <w:sz w:val="24"/>
          <w:szCs w:val="24"/>
          <w:shd w:val="clear" w:color="auto" w:fill="FFFFFF"/>
        </w:rPr>
        <w:t>Today, three types of definition</w:t>
      </w:r>
      <w:r>
        <w:rPr>
          <w:rFonts w:ascii="Times New Roman" w:hAnsi="Times New Roman" w:cs="Times New Roman"/>
          <w:color w:val="000000"/>
          <w:sz w:val="24"/>
          <w:szCs w:val="24"/>
          <w:shd w:val="clear" w:color="auto" w:fill="FFFFFF"/>
        </w:rPr>
        <w:t>s</w:t>
      </w:r>
      <w:r w:rsidRPr="001706AB">
        <w:rPr>
          <w:rFonts w:ascii="Times New Roman" w:hAnsi="Times New Roman" w:cs="Times New Roman"/>
          <w:color w:val="000000"/>
          <w:sz w:val="24"/>
          <w:szCs w:val="24"/>
          <w:shd w:val="clear" w:color="auto" w:fill="FFFFFF"/>
        </w:rPr>
        <w:t xml:space="preserve"> of health seem to be conceivable. One is that health is the absence of any disease or injury. The second is that health is a state that allows the individual to adequately cope with all demands of daily life (including the absence of disease and injury). The third defines health as a state of balance, </w:t>
      </w:r>
      <w:r>
        <w:rPr>
          <w:rFonts w:ascii="Times New Roman" w:hAnsi="Times New Roman" w:cs="Times New Roman"/>
          <w:color w:val="000000"/>
          <w:sz w:val="24"/>
          <w:szCs w:val="24"/>
          <w:shd w:val="clear" w:color="auto" w:fill="FFFFFF"/>
        </w:rPr>
        <w:t xml:space="preserve">stability that an </w:t>
      </w:r>
      <w:r w:rsidRPr="001706AB">
        <w:rPr>
          <w:rFonts w:ascii="Times New Roman" w:hAnsi="Times New Roman" w:cs="Times New Roman"/>
          <w:color w:val="000000"/>
          <w:sz w:val="24"/>
          <w:szCs w:val="24"/>
          <w:shd w:val="clear" w:color="auto" w:fill="FFFFFF"/>
        </w:rPr>
        <w:t>individual has recognised within himself and between himself and his social and physical setting (</w:t>
      </w:r>
      <w:r>
        <w:rPr>
          <w:rFonts w:ascii="Times New Roman" w:hAnsi="Times New Roman" w:cs="Times New Roman"/>
          <w:sz w:val="24"/>
          <w:szCs w:val="24"/>
        </w:rPr>
        <w:t>Sartorius,</w:t>
      </w:r>
      <w:r w:rsidRPr="001706AB">
        <w:rPr>
          <w:rFonts w:ascii="Times New Roman" w:hAnsi="Times New Roman" w:cs="Times New Roman"/>
          <w:sz w:val="24"/>
          <w:szCs w:val="24"/>
        </w:rPr>
        <w:t xml:space="preserve"> 2006).</w:t>
      </w:r>
      <w:r>
        <w:rPr>
          <w:rFonts w:ascii="Times New Roman" w:hAnsi="Times New Roman" w:cs="Times New Roman"/>
          <w:sz w:val="24"/>
          <w:szCs w:val="24"/>
        </w:rPr>
        <w:t xml:space="preserve"> </w:t>
      </w:r>
      <w:r w:rsidRPr="00BF7248">
        <w:rPr>
          <w:rFonts w:ascii="Times New Roman" w:hAnsi="Times New Roman" w:cs="Times New Roman"/>
          <w:sz w:val="24"/>
          <w:szCs w:val="24"/>
        </w:rPr>
        <w:t xml:space="preserve">In areas like the UK </w:t>
      </w:r>
      <w:r>
        <w:rPr>
          <w:rFonts w:ascii="Times New Roman" w:hAnsi="Times New Roman" w:cs="Times New Roman"/>
          <w:sz w:val="24"/>
          <w:szCs w:val="24"/>
        </w:rPr>
        <w:t xml:space="preserve">health and </w:t>
      </w:r>
      <w:r w:rsidRPr="00BF7248">
        <w:rPr>
          <w:rFonts w:ascii="Times New Roman" w:hAnsi="Times New Roman" w:cs="Times New Roman"/>
          <w:sz w:val="24"/>
          <w:szCs w:val="24"/>
        </w:rPr>
        <w:t>well-being would be the absence of ill related symptoms, and no disease</w:t>
      </w:r>
      <w:r>
        <w:rPr>
          <w:rFonts w:ascii="Times New Roman" w:hAnsi="Times New Roman" w:cs="Times New Roman"/>
          <w:sz w:val="24"/>
          <w:szCs w:val="24"/>
        </w:rPr>
        <w:t xml:space="preserve">. </w:t>
      </w:r>
      <w:r w:rsidRPr="00BF7248">
        <w:rPr>
          <w:rFonts w:ascii="Times New Roman" w:hAnsi="Times New Roman" w:cs="Times New Roman"/>
          <w:sz w:val="24"/>
          <w:szCs w:val="24"/>
        </w:rPr>
        <w:t>However, such definitions may vary from one culture to another. A worldlier view would be that cultural groups integrate physical, emotional, and spiritual well-being, and believe that all three are essential for optimal health (Maloof, 1991</w:t>
      </w:r>
      <w:r>
        <w:rPr>
          <w:rFonts w:ascii="Times New Roman" w:hAnsi="Times New Roman" w:cs="Times New Roman"/>
          <w:sz w:val="24"/>
          <w:szCs w:val="24"/>
        </w:rPr>
        <w:t>: cited in Giddens, 2013</w:t>
      </w:r>
      <w:r w:rsidRPr="00BF7248">
        <w:rPr>
          <w:rFonts w:ascii="Times New Roman" w:hAnsi="Times New Roman" w:cs="Times New Roman"/>
          <w:sz w:val="24"/>
          <w:szCs w:val="24"/>
        </w:rPr>
        <w:t>)</w:t>
      </w:r>
      <w:r>
        <w:rPr>
          <w:rFonts w:ascii="Times New Roman" w:hAnsi="Times New Roman" w:cs="Times New Roman"/>
          <w:sz w:val="24"/>
          <w:szCs w:val="24"/>
        </w:rPr>
        <w:t>.</w:t>
      </w:r>
    </w:p>
    <w:p w14:paraId="47003A66" w14:textId="77777777" w:rsidR="005B756C" w:rsidRDefault="005B756C" w:rsidP="005B756C">
      <w:pPr>
        <w:spacing w:line="360" w:lineRule="auto"/>
        <w:rPr>
          <w:rFonts w:ascii="Times New Roman" w:hAnsi="Times New Roman" w:cs="Times New Roman"/>
          <w:sz w:val="24"/>
          <w:szCs w:val="24"/>
        </w:rPr>
      </w:pPr>
      <w:r>
        <w:rPr>
          <w:rFonts w:ascii="Times New Roman" w:hAnsi="Times New Roman" w:cs="Times New Roman"/>
          <w:sz w:val="24"/>
          <w:szCs w:val="24"/>
        </w:rPr>
        <w:t xml:space="preserve">Several cohering factors in a person’s life influence their health. Even if the individual deems themselves as being ‘healthy’, certain circumstances and the environment still play a considerable role. Factors including where we live, the state of our environment, genetics, our income and educational background and relationships with family and friends all have substantial impacts on our health. As stated by WHO (2018), some determinants of health include; the social and economic environment; the physical environment, </w:t>
      </w:r>
      <w:r>
        <w:rPr>
          <w:rFonts w:ascii="Times New Roman" w:hAnsi="Times New Roman" w:cs="Times New Roman"/>
          <w:color w:val="333333"/>
          <w:sz w:val="24"/>
          <w:szCs w:val="24"/>
          <w:shd w:val="clear" w:color="auto" w:fill="FFFFFF"/>
        </w:rPr>
        <w:t>and the</w:t>
      </w:r>
      <w:r w:rsidRPr="00C2769A">
        <w:rPr>
          <w:rFonts w:ascii="Times New Roman" w:hAnsi="Times New Roman" w:cs="Times New Roman"/>
          <w:color w:val="333333"/>
          <w:sz w:val="24"/>
          <w:szCs w:val="24"/>
          <w:shd w:val="clear" w:color="auto" w:fill="FFFFFF"/>
        </w:rPr>
        <w:t xml:space="preserve"> person’s individual characteristics and behaviours</w:t>
      </w:r>
      <w:r>
        <w:rPr>
          <w:rFonts w:ascii="Times New Roman" w:hAnsi="Times New Roman" w:cs="Times New Roman"/>
          <w:sz w:val="24"/>
          <w:szCs w:val="24"/>
        </w:rPr>
        <w:t xml:space="preserve"> (WHO, 2018).</w:t>
      </w:r>
    </w:p>
    <w:p w14:paraId="6ECD3EC8" w14:textId="77777777" w:rsidR="005B756C" w:rsidRPr="00BF7248" w:rsidRDefault="005B756C" w:rsidP="005B756C">
      <w:pPr>
        <w:spacing w:line="360" w:lineRule="auto"/>
        <w:rPr>
          <w:rFonts w:ascii="Times New Roman" w:hAnsi="Times New Roman" w:cs="Times New Roman"/>
          <w:sz w:val="24"/>
          <w:szCs w:val="24"/>
        </w:rPr>
      </w:pPr>
      <w:r w:rsidRPr="00BF7248">
        <w:rPr>
          <w:rFonts w:ascii="Times New Roman" w:hAnsi="Times New Roman" w:cs="Times New Roman"/>
          <w:sz w:val="24"/>
          <w:szCs w:val="24"/>
        </w:rPr>
        <w:lastRenderedPageBreak/>
        <w:t xml:space="preserve">The social construction </w:t>
      </w:r>
      <w:r>
        <w:rPr>
          <w:rFonts w:ascii="Times New Roman" w:hAnsi="Times New Roman" w:cs="Times New Roman"/>
          <w:sz w:val="24"/>
          <w:szCs w:val="24"/>
        </w:rPr>
        <w:t xml:space="preserve">aspect </w:t>
      </w:r>
      <w:r w:rsidRPr="00BF7248">
        <w:rPr>
          <w:rFonts w:ascii="Times New Roman" w:hAnsi="Times New Roman" w:cs="Times New Roman"/>
          <w:sz w:val="24"/>
          <w:szCs w:val="24"/>
        </w:rPr>
        <w:t>of health refers to the way health varies from one society to another</w:t>
      </w:r>
      <w:r>
        <w:rPr>
          <w:rFonts w:ascii="Times New Roman" w:hAnsi="Times New Roman" w:cs="Times New Roman"/>
          <w:sz w:val="24"/>
          <w:szCs w:val="24"/>
        </w:rPr>
        <w:t xml:space="preserve">, and some researchers </w:t>
      </w:r>
      <w:r w:rsidRPr="00BF7248">
        <w:rPr>
          <w:rFonts w:ascii="Times New Roman" w:hAnsi="Times New Roman" w:cs="Times New Roman"/>
          <w:sz w:val="24"/>
          <w:szCs w:val="24"/>
        </w:rPr>
        <w:t>argue that social issues have a significant influence on the state of health</w:t>
      </w:r>
      <w:r>
        <w:rPr>
          <w:rFonts w:ascii="Times New Roman" w:hAnsi="Times New Roman" w:cs="Times New Roman"/>
          <w:sz w:val="24"/>
          <w:szCs w:val="24"/>
        </w:rPr>
        <w:t xml:space="preserve">. People in more disadvantaged circumstances have poorer qualities of health at most ages, according to researchers. During the eighteenth and nineteenth centuries, relations of low living standards and health problems were easier to identify – poor housing and hygiene, malnourishment, dangerous professions, injuries and infectious diseases. Although today’s living standards have improved drastically since then, a graded association remains: increased income associated with better health. Increasing household income of disadvantaged groups has been recommended as a basic way of reducing health inequalities (Rowntree, 2014). </w:t>
      </w:r>
    </w:p>
    <w:p w14:paraId="52EE75CB" w14:textId="77777777" w:rsidR="005B756C" w:rsidRDefault="005B756C" w:rsidP="005B756C">
      <w:pPr>
        <w:spacing w:line="360" w:lineRule="auto"/>
        <w:rPr>
          <w:rFonts w:ascii="Times New Roman" w:hAnsi="Times New Roman" w:cs="Times New Roman"/>
          <w:sz w:val="24"/>
          <w:szCs w:val="24"/>
        </w:rPr>
      </w:pPr>
      <w:r w:rsidRPr="00BF7248">
        <w:rPr>
          <w:rFonts w:ascii="Times New Roman" w:hAnsi="Times New Roman" w:cs="Times New Roman"/>
          <w:sz w:val="24"/>
          <w:szCs w:val="24"/>
        </w:rPr>
        <w:t xml:space="preserve">According to Public Health England, in the context of health status, risk or outcomes, “inequality” refers to differences in health among groups of individuals’. Other terms used include “disparities” or “variations” in health. While measuring health, it is essential to emphasise the most important indicators of health status and use the most suitable categories of population group for comparison. Many categorisations or auxiliary measures may be used, many of which are connected. According to Public Health England, the primary determinants that were reported are measures of economic status (such as employment, income) and measures of social position (education, employment, occupational social class). (I </w:t>
      </w:r>
      <w:proofErr w:type="spellStart"/>
      <w:r w:rsidRPr="00BF7248">
        <w:rPr>
          <w:rFonts w:ascii="Times New Roman" w:hAnsi="Times New Roman" w:cs="Times New Roman"/>
          <w:sz w:val="24"/>
          <w:szCs w:val="24"/>
        </w:rPr>
        <w:t>Kawachi</w:t>
      </w:r>
      <w:proofErr w:type="spellEnd"/>
      <w:r w:rsidRPr="00BF7248">
        <w:rPr>
          <w:rFonts w:ascii="Times New Roman" w:hAnsi="Times New Roman" w:cs="Times New Roman"/>
          <w:sz w:val="24"/>
          <w:szCs w:val="24"/>
        </w:rPr>
        <w:t>, 2002)</w:t>
      </w:r>
    </w:p>
    <w:p w14:paraId="2129BF65" w14:textId="77777777" w:rsidR="005B756C" w:rsidRPr="00BF7248" w:rsidRDefault="005B756C" w:rsidP="005B756C">
      <w:pPr>
        <w:spacing w:line="360" w:lineRule="auto"/>
        <w:rPr>
          <w:rFonts w:ascii="Times New Roman" w:hAnsi="Times New Roman" w:cs="Times New Roman"/>
          <w:sz w:val="24"/>
          <w:szCs w:val="24"/>
        </w:rPr>
      </w:pPr>
      <w:r w:rsidRPr="006E3AA2">
        <w:rPr>
          <w:rFonts w:ascii="Times New Roman" w:hAnsi="Times New Roman" w:cs="Times New Roman"/>
          <w:sz w:val="24"/>
          <w:szCs w:val="24"/>
        </w:rPr>
        <w:t>Registrar General’s Social Class (RGSC) has been the principal classification of socio-economic status used in the UK since its first appearance in the Registrar General’s Annual Report for 1911</w:t>
      </w:r>
      <w:r>
        <w:rPr>
          <w:rFonts w:ascii="Times New Roman" w:hAnsi="Times New Roman" w:cs="Times New Roman"/>
          <w:sz w:val="24"/>
          <w:szCs w:val="24"/>
        </w:rPr>
        <w:t xml:space="preserve"> (ONS, 2002). It was first introduced in </w:t>
      </w:r>
      <w:r w:rsidRPr="00BF7248">
        <w:rPr>
          <w:rFonts w:ascii="Times New Roman" w:hAnsi="Times New Roman" w:cs="Times New Roman"/>
          <w:sz w:val="24"/>
          <w:szCs w:val="24"/>
        </w:rPr>
        <w:t xml:space="preserve">1913 and </w:t>
      </w:r>
      <w:r>
        <w:rPr>
          <w:rFonts w:ascii="Times New Roman" w:hAnsi="Times New Roman" w:cs="Times New Roman"/>
          <w:sz w:val="24"/>
          <w:szCs w:val="24"/>
        </w:rPr>
        <w:t>then</w:t>
      </w:r>
      <w:r w:rsidRPr="00BF7248">
        <w:rPr>
          <w:rFonts w:ascii="Times New Roman" w:hAnsi="Times New Roman" w:cs="Times New Roman"/>
          <w:sz w:val="24"/>
          <w:szCs w:val="24"/>
        </w:rPr>
        <w:t xml:space="preserve"> renamed in 1990 as ‘Social Class based on Occupation’, the classes are as follows: </w:t>
      </w:r>
    </w:p>
    <w:p w14:paraId="59A04694" w14:textId="77777777" w:rsidR="005B756C" w:rsidRPr="00BF7248" w:rsidRDefault="005B756C" w:rsidP="005B756C">
      <w:pPr>
        <w:spacing w:line="360" w:lineRule="auto"/>
        <w:rPr>
          <w:rFonts w:ascii="Times New Roman" w:hAnsi="Times New Roman" w:cs="Times New Roman"/>
          <w:sz w:val="24"/>
          <w:szCs w:val="24"/>
        </w:rPr>
      </w:pPr>
      <w:r w:rsidRPr="00BF7248">
        <w:rPr>
          <w:rFonts w:ascii="Times New Roman" w:hAnsi="Times New Roman" w:cs="Times New Roman"/>
          <w:sz w:val="24"/>
          <w:szCs w:val="24"/>
        </w:rPr>
        <w:t xml:space="preserve">I Professionals </w:t>
      </w:r>
    </w:p>
    <w:p w14:paraId="74C08124" w14:textId="77777777" w:rsidR="005B756C" w:rsidRPr="00BF7248" w:rsidRDefault="005B756C" w:rsidP="005B756C">
      <w:pPr>
        <w:spacing w:line="360" w:lineRule="auto"/>
        <w:rPr>
          <w:rFonts w:ascii="Times New Roman" w:hAnsi="Times New Roman" w:cs="Times New Roman"/>
          <w:sz w:val="24"/>
          <w:szCs w:val="24"/>
        </w:rPr>
      </w:pPr>
      <w:r w:rsidRPr="00BF7248">
        <w:rPr>
          <w:rFonts w:ascii="Times New Roman" w:hAnsi="Times New Roman" w:cs="Times New Roman"/>
          <w:sz w:val="24"/>
          <w:szCs w:val="24"/>
        </w:rPr>
        <w:t xml:space="preserve">II Managerial and technical </w:t>
      </w:r>
    </w:p>
    <w:p w14:paraId="18273911" w14:textId="77777777" w:rsidR="005B756C" w:rsidRPr="00BF7248" w:rsidRDefault="005B756C" w:rsidP="005B756C">
      <w:pPr>
        <w:spacing w:line="360" w:lineRule="auto"/>
        <w:rPr>
          <w:rFonts w:ascii="Times New Roman" w:hAnsi="Times New Roman" w:cs="Times New Roman"/>
          <w:sz w:val="24"/>
          <w:szCs w:val="24"/>
        </w:rPr>
      </w:pPr>
      <w:r w:rsidRPr="00BF7248">
        <w:rPr>
          <w:rFonts w:ascii="Times New Roman" w:hAnsi="Times New Roman" w:cs="Times New Roman"/>
          <w:sz w:val="24"/>
          <w:szCs w:val="24"/>
        </w:rPr>
        <w:t xml:space="preserve">IIIN Skilled Non-manual </w:t>
      </w:r>
    </w:p>
    <w:p w14:paraId="33C505BC" w14:textId="77777777" w:rsidR="005B756C" w:rsidRPr="00BF7248" w:rsidRDefault="005B756C" w:rsidP="005B756C">
      <w:pPr>
        <w:spacing w:line="360" w:lineRule="auto"/>
        <w:rPr>
          <w:rFonts w:ascii="Times New Roman" w:hAnsi="Times New Roman" w:cs="Times New Roman"/>
          <w:sz w:val="24"/>
          <w:szCs w:val="24"/>
        </w:rPr>
      </w:pPr>
      <w:r w:rsidRPr="00BF7248">
        <w:rPr>
          <w:rFonts w:ascii="Times New Roman" w:hAnsi="Times New Roman" w:cs="Times New Roman"/>
          <w:sz w:val="24"/>
          <w:szCs w:val="24"/>
        </w:rPr>
        <w:t xml:space="preserve">IIIM Skilled Manual </w:t>
      </w:r>
    </w:p>
    <w:p w14:paraId="2879DEDB" w14:textId="77777777" w:rsidR="005B756C" w:rsidRPr="00BF7248" w:rsidRDefault="005B756C" w:rsidP="005B756C">
      <w:pPr>
        <w:spacing w:line="360" w:lineRule="auto"/>
        <w:rPr>
          <w:rFonts w:ascii="Times New Roman" w:hAnsi="Times New Roman" w:cs="Times New Roman"/>
          <w:sz w:val="24"/>
          <w:szCs w:val="24"/>
        </w:rPr>
      </w:pPr>
      <w:r w:rsidRPr="00BF7248">
        <w:rPr>
          <w:rFonts w:ascii="Times New Roman" w:hAnsi="Times New Roman" w:cs="Times New Roman"/>
          <w:sz w:val="24"/>
          <w:szCs w:val="24"/>
        </w:rPr>
        <w:t xml:space="preserve">IV Partly skilled manual </w:t>
      </w:r>
    </w:p>
    <w:p w14:paraId="66673E10" w14:textId="77777777" w:rsidR="005B756C" w:rsidRPr="00BF7248" w:rsidRDefault="005B756C" w:rsidP="005B756C">
      <w:pPr>
        <w:spacing w:line="360" w:lineRule="auto"/>
        <w:rPr>
          <w:rFonts w:ascii="Times New Roman" w:hAnsi="Times New Roman" w:cs="Times New Roman"/>
          <w:sz w:val="24"/>
          <w:szCs w:val="24"/>
        </w:rPr>
      </w:pPr>
      <w:r w:rsidRPr="00BF7248">
        <w:rPr>
          <w:rFonts w:ascii="Times New Roman" w:hAnsi="Times New Roman" w:cs="Times New Roman"/>
          <w:sz w:val="24"/>
          <w:szCs w:val="24"/>
        </w:rPr>
        <w:t>V Unskilled Manual</w:t>
      </w:r>
    </w:p>
    <w:p w14:paraId="21C4E918" w14:textId="77777777" w:rsidR="005B756C" w:rsidRPr="00BF7248" w:rsidRDefault="005B756C" w:rsidP="005B756C">
      <w:pPr>
        <w:spacing w:line="360" w:lineRule="auto"/>
        <w:rPr>
          <w:rFonts w:ascii="Times New Roman" w:hAnsi="Times New Roman" w:cs="Times New Roman"/>
          <w:sz w:val="24"/>
          <w:szCs w:val="24"/>
        </w:rPr>
      </w:pPr>
      <w:r w:rsidRPr="00BF7248">
        <w:rPr>
          <w:rFonts w:ascii="Times New Roman" w:hAnsi="Times New Roman" w:cs="Times New Roman"/>
          <w:sz w:val="24"/>
          <w:szCs w:val="24"/>
        </w:rPr>
        <w:t xml:space="preserve">People are allocated to the classes first by being assigned to an occupational group according to the type of work they fulfil, and then each occupational group is allocated to one of the </w:t>
      </w:r>
      <w:r w:rsidRPr="00BF7248">
        <w:rPr>
          <w:rFonts w:ascii="Times New Roman" w:hAnsi="Times New Roman" w:cs="Times New Roman"/>
          <w:sz w:val="24"/>
          <w:szCs w:val="24"/>
        </w:rPr>
        <w:lastRenderedPageBreak/>
        <w:t>Social Classes. Lastly, if their employment status changes or they are moved, e.g. supervisors in Social Class IV may be transferred to Class IIIM then individuals are reassigned to different Social Classes. In 1991 it was replaced by the 1990 Standard Occupational Classification (SOC90), in 2001 this was SOC2000. The most recent classification is SOC2010 (</w:t>
      </w:r>
      <w:proofErr w:type="spellStart"/>
      <w:r w:rsidRPr="00BF7248">
        <w:rPr>
          <w:rFonts w:ascii="Times New Roman" w:hAnsi="Times New Roman" w:cs="Times New Roman"/>
          <w:sz w:val="24"/>
          <w:szCs w:val="24"/>
        </w:rPr>
        <w:t>CelSIUS</w:t>
      </w:r>
      <w:proofErr w:type="spellEnd"/>
      <w:r w:rsidRPr="00BF7248">
        <w:rPr>
          <w:rFonts w:ascii="Times New Roman" w:hAnsi="Times New Roman" w:cs="Times New Roman"/>
          <w:sz w:val="24"/>
          <w:szCs w:val="24"/>
        </w:rPr>
        <w:t xml:space="preserve">, </w:t>
      </w:r>
      <w:proofErr w:type="spellStart"/>
      <w:r w:rsidRPr="00BF7248">
        <w:rPr>
          <w:rFonts w:ascii="Times New Roman" w:hAnsi="Times New Roman" w:cs="Times New Roman"/>
          <w:sz w:val="24"/>
          <w:szCs w:val="24"/>
        </w:rPr>
        <w:t>n.d.</w:t>
      </w:r>
      <w:proofErr w:type="spellEnd"/>
      <w:r w:rsidRPr="00BF7248">
        <w:rPr>
          <w:rFonts w:ascii="Times New Roman" w:hAnsi="Times New Roman" w:cs="Times New Roman"/>
          <w:sz w:val="24"/>
          <w:szCs w:val="24"/>
        </w:rPr>
        <w:t xml:space="preserve">). The Government’s Office for National Statistics who are responsible for the pivotal collection of all relevant national data utilise an eight-level system of socioeconomic classification, ranging from NS-SEC1 (National Statistics Socio-Economic Classification) Higher managerial/professional occupations to NS-SEC8 - Never worked/long-term unemployed (ONS, 2018). Accordingly, NS-SEC8 are the underclass. </w:t>
      </w:r>
    </w:p>
    <w:p w14:paraId="1A2F0C2C" w14:textId="77777777" w:rsidR="005B756C" w:rsidRDefault="005B756C" w:rsidP="005B756C">
      <w:pPr>
        <w:spacing w:line="360" w:lineRule="auto"/>
        <w:rPr>
          <w:rFonts w:ascii="Times New Roman" w:hAnsi="Times New Roman" w:cs="Times New Roman"/>
          <w:sz w:val="24"/>
          <w:szCs w:val="24"/>
        </w:rPr>
      </w:pPr>
      <w:r w:rsidRPr="00BF7248">
        <w:rPr>
          <w:rFonts w:ascii="Times New Roman" w:hAnsi="Times New Roman" w:cs="Times New Roman"/>
          <w:sz w:val="24"/>
          <w:szCs w:val="24"/>
        </w:rPr>
        <w:t xml:space="preserve">Alternatively, the more basic approach to viewing class structure is using a simple model of four classes: Upper, middle, working and underclass. The top group in the class hierarchy is recognised by a variety of titles: Upper class, ruling class, the rich, the establishment, the elite, or the capitalist class (Saunders, 1990). It is believed to be a significant social group due to its great influence and power. As for middle-class </w:t>
      </w:r>
      <w:proofErr w:type="spellStart"/>
      <w:r w:rsidRPr="00BF7248">
        <w:rPr>
          <w:rFonts w:ascii="Times New Roman" w:hAnsi="Times New Roman" w:cs="Times New Roman"/>
          <w:sz w:val="24"/>
          <w:szCs w:val="24"/>
        </w:rPr>
        <w:t>Runcimen</w:t>
      </w:r>
      <w:proofErr w:type="spellEnd"/>
      <w:r w:rsidRPr="00BF7248">
        <w:rPr>
          <w:rFonts w:ascii="Times New Roman" w:hAnsi="Times New Roman" w:cs="Times New Roman"/>
          <w:sz w:val="24"/>
          <w:szCs w:val="24"/>
        </w:rPr>
        <w:t xml:space="preserve"> (1990) divides them into three main groups: upper middle class (higher grade professionals and managers, small business proprietors); middle, middle class (lower grade professionals, technicians and managers); and lower middle class (routine nonmanual, clerical and sales occupations). In the Registrar General’s scheme, the working class is represented by ‘manual workers’, (classes 3M, 4 and 5). The working class has reduced somewhat over the years. It accounted for 75% of the total population in 1951, but declined to less than half by 1991. </w:t>
      </w:r>
      <w:proofErr w:type="spellStart"/>
      <w:r w:rsidRPr="00BF7248">
        <w:rPr>
          <w:rFonts w:ascii="Times New Roman" w:hAnsi="Times New Roman" w:cs="Times New Roman"/>
          <w:sz w:val="24"/>
          <w:szCs w:val="24"/>
        </w:rPr>
        <w:t>Runcimen</w:t>
      </w:r>
      <w:proofErr w:type="spellEnd"/>
      <w:r w:rsidRPr="00BF7248">
        <w:rPr>
          <w:rFonts w:ascii="Times New Roman" w:hAnsi="Times New Roman" w:cs="Times New Roman"/>
          <w:sz w:val="24"/>
          <w:szCs w:val="24"/>
        </w:rPr>
        <w:t xml:space="preserve"> (1990) identifies only two working-class strata, the skilled and the unskilled. The underclass is the most disadvantaged group, at the bottom of society. The term underclass became popular in the 1980’s, it was deemed as a convenient way of describing a group which is excluded from the affluence enjoyed by the general population. The underclass is defined by its economic, social and cultural features (Taylor et al., 1998). Therefore, although class structure consists of four main groups, there are also subdivisions within the classes.</w:t>
      </w:r>
    </w:p>
    <w:p w14:paraId="19F2AE48" w14:textId="77777777" w:rsidR="005B756C" w:rsidRPr="00BF7248" w:rsidRDefault="005B756C" w:rsidP="005B756C">
      <w:pPr>
        <w:spacing w:line="360" w:lineRule="auto"/>
        <w:rPr>
          <w:rFonts w:ascii="Times New Roman" w:hAnsi="Times New Roman" w:cs="Times New Roman"/>
          <w:sz w:val="24"/>
          <w:szCs w:val="24"/>
        </w:rPr>
      </w:pPr>
      <w:r w:rsidRPr="00BF7248">
        <w:rPr>
          <w:rFonts w:ascii="Times New Roman" w:hAnsi="Times New Roman" w:cs="Times New Roman"/>
          <w:sz w:val="24"/>
          <w:szCs w:val="24"/>
        </w:rPr>
        <w:t xml:space="preserve">Inequality grew dramatically during the 1980’s and has remained at a high level ever since then. Health inequality was emphasised by the publication of the Black Report edited in 1980, demonstrating that there was a clear correlation between socioeconomic status and health. It refers to the unequal distribution of health among social groups that is distinguished by the unequal organisations of which the group is a part (Graham, 2007). The Black Report (1980) found a clear link between social class and the incidence of ill-health. The report investigates the problem of inequalities in health in the UK and analyses the health and </w:t>
      </w:r>
      <w:r w:rsidRPr="00BF7248">
        <w:rPr>
          <w:rFonts w:ascii="Times New Roman" w:hAnsi="Times New Roman" w:cs="Times New Roman"/>
          <w:sz w:val="24"/>
          <w:szCs w:val="24"/>
        </w:rPr>
        <w:lastRenderedPageBreak/>
        <w:t>lifestyle records of people from all social classes. It discovered that the health of the nation had improved slightly, although it had not been dispersed equally across society</w:t>
      </w:r>
      <w:r>
        <w:rPr>
          <w:rFonts w:ascii="Times New Roman" w:hAnsi="Times New Roman" w:cs="Times New Roman"/>
          <w:sz w:val="24"/>
          <w:szCs w:val="24"/>
        </w:rPr>
        <w:t xml:space="preserve">. </w:t>
      </w:r>
      <w:r w:rsidRPr="00BF7248">
        <w:rPr>
          <w:rFonts w:ascii="Times New Roman" w:hAnsi="Times New Roman" w:cs="Times New Roman"/>
          <w:sz w:val="24"/>
          <w:szCs w:val="24"/>
        </w:rPr>
        <w:t xml:space="preserve">Inequalities in health between men and women have been noted in many research studies. For instance, women have a longer life expectancy than men in almost every country in the world (Giddens, 2013). </w:t>
      </w:r>
    </w:p>
    <w:p w14:paraId="0E14BFC6" w14:textId="77777777" w:rsidR="005B756C" w:rsidRDefault="005B756C" w:rsidP="005B756C">
      <w:pPr>
        <w:spacing w:line="360" w:lineRule="auto"/>
        <w:rPr>
          <w:rFonts w:ascii="Times New Roman" w:hAnsi="Times New Roman" w:cs="Times New Roman"/>
          <w:sz w:val="24"/>
          <w:szCs w:val="24"/>
        </w:rPr>
      </w:pPr>
      <w:r w:rsidRPr="00553705">
        <w:rPr>
          <w:rFonts w:ascii="Times New Roman" w:hAnsi="Times New Roman" w:cs="Times New Roman"/>
          <w:sz w:val="24"/>
          <w:szCs w:val="24"/>
        </w:rPr>
        <w:t>Social inequality exists in all societies. Some researchers would argue that social inequality automatically generates poverty since those at the bottom of the system are poor compared to the rest of society. Others would argue that this merely confuses poverty with social inequality. Just because people are at the bottom of the system of social inequality, this does not necessarily mean that they are poor</w:t>
      </w:r>
      <w:r>
        <w:rPr>
          <w:rFonts w:ascii="Times New Roman" w:hAnsi="Times New Roman" w:cs="Times New Roman"/>
          <w:sz w:val="24"/>
          <w:szCs w:val="24"/>
        </w:rPr>
        <w:t xml:space="preserve"> (Taylor et al., 1998).</w:t>
      </w:r>
    </w:p>
    <w:p w14:paraId="4D0DCA92" w14:textId="77777777" w:rsidR="005B756C" w:rsidRDefault="005B756C" w:rsidP="005B756C">
      <w:pPr>
        <w:spacing w:line="360" w:lineRule="auto"/>
        <w:rPr>
          <w:rFonts w:ascii="Times New Roman" w:hAnsi="Times New Roman" w:cs="Times New Roman"/>
          <w:sz w:val="24"/>
          <w:szCs w:val="24"/>
        </w:rPr>
      </w:pPr>
      <w:r w:rsidRPr="00553705">
        <w:rPr>
          <w:rFonts w:ascii="Times New Roman" w:hAnsi="Times New Roman" w:cs="Times New Roman"/>
          <w:sz w:val="24"/>
          <w:szCs w:val="24"/>
        </w:rPr>
        <w:t xml:space="preserve">Rowntree worked out an allowance, according to the size of families, which was his ‘poverty line’. Households whose total income fell below this line </w:t>
      </w:r>
      <w:proofErr w:type="gramStart"/>
      <w:r w:rsidRPr="00553705">
        <w:rPr>
          <w:rFonts w:ascii="Times New Roman" w:hAnsi="Times New Roman" w:cs="Times New Roman"/>
          <w:sz w:val="24"/>
          <w:szCs w:val="24"/>
        </w:rPr>
        <w:t>were described as being</w:t>
      </w:r>
      <w:proofErr w:type="gramEnd"/>
      <w:r w:rsidRPr="00553705">
        <w:rPr>
          <w:rFonts w:ascii="Times New Roman" w:hAnsi="Times New Roman" w:cs="Times New Roman"/>
          <w:sz w:val="24"/>
          <w:szCs w:val="24"/>
        </w:rPr>
        <w:t xml:space="preserve"> in poverty</w:t>
      </w:r>
      <w:r>
        <w:rPr>
          <w:rFonts w:ascii="Times New Roman" w:hAnsi="Times New Roman" w:cs="Times New Roman"/>
          <w:sz w:val="24"/>
          <w:szCs w:val="24"/>
        </w:rPr>
        <w:t xml:space="preserve"> (Taylor et al., 1998). </w:t>
      </w:r>
      <w:r w:rsidRPr="00553705">
        <w:rPr>
          <w:rFonts w:ascii="Times New Roman" w:hAnsi="Times New Roman" w:cs="Times New Roman"/>
          <w:sz w:val="24"/>
          <w:szCs w:val="24"/>
        </w:rPr>
        <w:t>The national assistance benefit was designed to provide a minimum income for those who are unable to cover the cost of essentials (Taylor et al.,1998) such as cheap foods, clothes and other sundries</w:t>
      </w:r>
      <w:r>
        <w:rPr>
          <w:rFonts w:ascii="Times New Roman" w:hAnsi="Times New Roman" w:cs="Times New Roman"/>
          <w:sz w:val="24"/>
          <w:szCs w:val="24"/>
        </w:rPr>
        <w:t xml:space="preserve">. </w:t>
      </w:r>
      <w:r w:rsidRPr="00553705">
        <w:rPr>
          <w:rFonts w:ascii="Times New Roman" w:hAnsi="Times New Roman" w:cs="Times New Roman"/>
          <w:sz w:val="24"/>
          <w:szCs w:val="24"/>
        </w:rPr>
        <w:t>While there is no official poverty line in Britain, many researchers argue that income support levels provide a convenient measure of absolute poverty.</w:t>
      </w:r>
      <w:r>
        <w:rPr>
          <w:rFonts w:ascii="Times New Roman" w:hAnsi="Times New Roman" w:cs="Times New Roman"/>
          <w:sz w:val="24"/>
          <w:szCs w:val="24"/>
        </w:rPr>
        <w:t xml:space="preserve"> </w:t>
      </w:r>
      <w:r w:rsidRPr="00553705">
        <w:rPr>
          <w:rFonts w:ascii="Times New Roman" w:hAnsi="Times New Roman" w:cs="Times New Roman"/>
          <w:sz w:val="24"/>
          <w:szCs w:val="24"/>
        </w:rPr>
        <w:t>A study by Nina Oldfield and Autumn Yu (1993) undertaken for the Child Poverty Action Group attempted to calculate low-cost budgets for different types of families. They devised a ‘modest but adequate family budget’ and a more stringent ‘low-cost budget’ which included only the bare necessities required day to day (Taylor et al., 1998) like those of Rowntree’s suggestion.</w:t>
      </w:r>
      <w:r>
        <w:rPr>
          <w:rFonts w:ascii="Times New Roman" w:hAnsi="Times New Roman" w:cs="Times New Roman"/>
          <w:sz w:val="24"/>
          <w:szCs w:val="24"/>
        </w:rPr>
        <w:t xml:space="preserve"> </w:t>
      </w:r>
    </w:p>
    <w:p w14:paraId="2521335C" w14:textId="77777777" w:rsidR="005B756C" w:rsidRDefault="005B756C" w:rsidP="005B756C">
      <w:pPr>
        <w:spacing w:line="360" w:lineRule="auto"/>
        <w:rPr>
          <w:rFonts w:ascii="Times New Roman" w:hAnsi="Times New Roman" w:cs="Times New Roman"/>
          <w:sz w:val="24"/>
          <w:szCs w:val="24"/>
        </w:rPr>
      </w:pPr>
      <w:r w:rsidRPr="00996F14">
        <w:rPr>
          <w:rFonts w:ascii="Times New Roman" w:hAnsi="Times New Roman" w:cs="Times New Roman"/>
          <w:sz w:val="24"/>
          <w:szCs w:val="24"/>
        </w:rPr>
        <w:t>The costs of a child increase with age and vary depending on whether budgets are put down for childcare costs, and a second child costs slightly less than a first child. The relative costs of a child implied in the modified Organisation for Economic Co-operation and Development (OECD) equivalence scale is too low, which means that child poverty is almost certainly underestimated (Oldfield and Bradshaw, 2011). Tucker (2017) argues that that restoring the value of children’s benefits would bring vast child poverty improvements, while restoring the work allowances, and introducing a second earner work allowance for couples, would boost the incomes of families and help make work pay (Tucker, 2017).</w:t>
      </w:r>
    </w:p>
    <w:p w14:paraId="05BC0E9E" w14:textId="77777777" w:rsidR="005B756C" w:rsidRPr="00B86DF0" w:rsidRDefault="005B756C" w:rsidP="005B756C">
      <w:pPr>
        <w:spacing w:line="360" w:lineRule="auto"/>
        <w:rPr>
          <w:rFonts w:ascii="Times New Roman" w:hAnsi="Times New Roman" w:cs="Times New Roman"/>
          <w:sz w:val="24"/>
          <w:szCs w:val="24"/>
        </w:rPr>
      </w:pPr>
      <w:r w:rsidRPr="00B86DF0">
        <w:rPr>
          <w:rFonts w:ascii="Times New Roman" w:hAnsi="Times New Roman" w:cs="Times New Roman"/>
          <w:sz w:val="24"/>
          <w:szCs w:val="24"/>
        </w:rPr>
        <w:t xml:space="preserve">Material factors can also influence women’s health according to Lesley </w:t>
      </w:r>
      <w:proofErr w:type="spellStart"/>
      <w:r w:rsidRPr="00B86DF0">
        <w:rPr>
          <w:rFonts w:ascii="Times New Roman" w:hAnsi="Times New Roman" w:cs="Times New Roman"/>
          <w:sz w:val="24"/>
          <w:szCs w:val="24"/>
        </w:rPr>
        <w:t>Doyal</w:t>
      </w:r>
      <w:proofErr w:type="spellEnd"/>
      <w:r w:rsidRPr="00B86DF0">
        <w:rPr>
          <w:rFonts w:ascii="Times New Roman" w:hAnsi="Times New Roman" w:cs="Times New Roman"/>
          <w:sz w:val="24"/>
          <w:szCs w:val="24"/>
        </w:rPr>
        <w:t xml:space="preserve"> (1995) who suggests that patterns in women’s health and sickness may concern the areas of activities that constitute their lives. Women’s activities are characteristically different to men’s regarding </w:t>
      </w:r>
      <w:r w:rsidRPr="00B86DF0">
        <w:rPr>
          <w:rFonts w:ascii="Times New Roman" w:hAnsi="Times New Roman" w:cs="Times New Roman"/>
          <w:sz w:val="24"/>
          <w:szCs w:val="24"/>
        </w:rPr>
        <w:lastRenderedPageBreak/>
        <w:t xml:space="preserve">roles and duty's that are commonly performed, such as domestic work, sexual reproduction, childbearing, mothering and so on, although this may be changing as more women begin work to this day. </w:t>
      </w:r>
    </w:p>
    <w:p w14:paraId="1A896DBC" w14:textId="77777777" w:rsidR="005B756C" w:rsidRDefault="005B756C" w:rsidP="005B756C">
      <w:pPr>
        <w:spacing w:line="360" w:lineRule="auto"/>
        <w:rPr>
          <w:rFonts w:ascii="Times New Roman" w:hAnsi="Times New Roman" w:cs="Times New Roman"/>
          <w:sz w:val="24"/>
          <w:szCs w:val="24"/>
        </w:rPr>
      </w:pPr>
      <w:r w:rsidRPr="00B86DF0">
        <w:rPr>
          <w:rFonts w:ascii="Times New Roman" w:hAnsi="Times New Roman" w:cs="Times New Roman"/>
          <w:sz w:val="24"/>
          <w:szCs w:val="24"/>
        </w:rPr>
        <w:t>Heather Graham (2009) examined the effects of stress on the health of white working-class women, highlighting that women who are at the lower socio-economic end of the spectrum that are working-class tend to encounter more stressful occurrences than those of middle class. She also argued that smoking is a method of reducing tension levels, thus increasing the health risk for women and their children while allowing them to deal with difficult circumstances (Graham</w:t>
      </w:r>
      <w:r>
        <w:rPr>
          <w:rFonts w:ascii="Times New Roman" w:hAnsi="Times New Roman" w:cs="Times New Roman"/>
          <w:sz w:val="24"/>
          <w:szCs w:val="24"/>
        </w:rPr>
        <w:t xml:space="preserve">, </w:t>
      </w:r>
      <w:r w:rsidRPr="00B86DF0">
        <w:rPr>
          <w:rFonts w:ascii="Times New Roman" w:hAnsi="Times New Roman" w:cs="Times New Roman"/>
          <w:sz w:val="24"/>
          <w:szCs w:val="24"/>
        </w:rPr>
        <w:t xml:space="preserve">2013). </w:t>
      </w:r>
    </w:p>
    <w:p w14:paraId="254390D4" w14:textId="77777777" w:rsidR="005B756C" w:rsidRPr="00B86DF0" w:rsidRDefault="005B756C" w:rsidP="005B756C">
      <w:pPr>
        <w:spacing w:line="360" w:lineRule="auto"/>
        <w:rPr>
          <w:rFonts w:ascii="Times New Roman" w:hAnsi="Times New Roman" w:cs="Times New Roman"/>
          <w:sz w:val="24"/>
          <w:szCs w:val="24"/>
        </w:rPr>
      </w:pPr>
      <w:r w:rsidRPr="00B86DF0">
        <w:rPr>
          <w:rFonts w:ascii="Times New Roman" w:hAnsi="Times New Roman" w:cs="Times New Roman"/>
          <w:sz w:val="24"/>
          <w:szCs w:val="24"/>
        </w:rPr>
        <w:t>The Black Report (1980) states that the material situation of the poor is the most crucial factor in determining their poorer health. Individuals with incomes considerably below the national average are more likely to live in substandard housing, which could be damp, overcrowded and perhaps dangerous. Wilkinson (2010) discovered that people in occupations that increased their incomes relative to average earnings experiencing a fall in their incomes, corresponding decrease in mortality rate</w:t>
      </w:r>
      <w:r>
        <w:rPr>
          <w:rFonts w:ascii="Times New Roman" w:hAnsi="Times New Roman" w:cs="Times New Roman"/>
          <w:sz w:val="24"/>
          <w:szCs w:val="24"/>
        </w:rPr>
        <w:t>.</w:t>
      </w:r>
      <w:r w:rsidRPr="00B86DF0">
        <w:rPr>
          <w:rFonts w:ascii="Times New Roman" w:hAnsi="Times New Roman" w:cs="Times New Roman"/>
          <w:sz w:val="24"/>
          <w:szCs w:val="24"/>
        </w:rPr>
        <w:t xml:space="preserve"> </w:t>
      </w:r>
      <w:r>
        <w:rPr>
          <w:rFonts w:ascii="Times New Roman" w:hAnsi="Times New Roman" w:cs="Times New Roman"/>
          <w:sz w:val="24"/>
          <w:szCs w:val="24"/>
        </w:rPr>
        <w:t>T</w:t>
      </w:r>
      <w:r w:rsidRPr="00B86DF0">
        <w:rPr>
          <w:rFonts w:ascii="Times New Roman" w:hAnsi="Times New Roman" w:cs="Times New Roman"/>
          <w:sz w:val="24"/>
          <w:szCs w:val="24"/>
        </w:rPr>
        <w:t>hose occupations suffering a fall in their earnings relative to the average age level experienced a relative increase in their mortality rate (Wilkinson, R 1986, The Black Report, 1980</w:t>
      </w:r>
      <w:r>
        <w:rPr>
          <w:rFonts w:ascii="Times New Roman" w:hAnsi="Times New Roman" w:cs="Times New Roman"/>
          <w:sz w:val="24"/>
          <w:szCs w:val="24"/>
        </w:rPr>
        <w:t xml:space="preserve">: cited in </w:t>
      </w:r>
      <w:proofErr w:type="spellStart"/>
      <w:r>
        <w:rPr>
          <w:rFonts w:ascii="Times New Roman" w:hAnsi="Times New Roman" w:cs="Times New Roman"/>
          <w:sz w:val="24"/>
          <w:szCs w:val="24"/>
        </w:rPr>
        <w:t>Gray</w:t>
      </w:r>
      <w:proofErr w:type="spellEnd"/>
      <w:r>
        <w:rPr>
          <w:rFonts w:ascii="Times New Roman" w:hAnsi="Times New Roman" w:cs="Times New Roman"/>
          <w:sz w:val="24"/>
          <w:szCs w:val="24"/>
        </w:rPr>
        <w:t>, 1982</w:t>
      </w:r>
      <w:r w:rsidRPr="00B86DF0">
        <w:rPr>
          <w:rFonts w:ascii="Times New Roman" w:hAnsi="Times New Roman" w:cs="Times New Roman"/>
          <w:sz w:val="24"/>
          <w:szCs w:val="24"/>
        </w:rPr>
        <w:t>).</w:t>
      </w:r>
      <w:r>
        <w:rPr>
          <w:rFonts w:ascii="Times New Roman" w:hAnsi="Times New Roman" w:cs="Times New Roman"/>
          <w:sz w:val="24"/>
          <w:szCs w:val="24"/>
        </w:rPr>
        <w:t xml:space="preserve"> </w:t>
      </w:r>
    </w:p>
    <w:p w14:paraId="2C17CC17" w14:textId="77777777" w:rsidR="005B756C" w:rsidRPr="00B86DF0" w:rsidRDefault="005B756C" w:rsidP="005B756C">
      <w:pPr>
        <w:spacing w:line="360" w:lineRule="auto"/>
        <w:rPr>
          <w:rFonts w:ascii="Times New Roman" w:hAnsi="Times New Roman" w:cs="Times New Roman"/>
          <w:sz w:val="24"/>
          <w:szCs w:val="24"/>
        </w:rPr>
      </w:pPr>
      <w:r w:rsidRPr="00B86DF0">
        <w:rPr>
          <w:rFonts w:ascii="Times New Roman" w:hAnsi="Times New Roman" w:cs="Times New Roman"/>
          <w:sz w:val="24"/>
          <w:szCs w:val="24"/>
        </w:rPr>
        <w:t xml:space="preserve">The Marmot Review, Fairer Society Healthy Lives (2010) highlighted that people from different socioeconomic groups experience avoidable differences in health well-being and length of time, but that the relationship is graded: the higher a person’s socioeconomic status, the better his or her health is. The review highlighted that creating a fairer society is a fundamental way of improving the health of the whole population and ensuring a more equitable distribution of good health. Prevalence of many diseases such as cardiovascular disease and cancer is high among people from lower socioeconomic groups. Other health factors such as mortality, life expectancy, infant mortality and self-reported health shadow similar patterns (Marmot, 2010). </w:t>
      </w:r>
    </w:p>
    <w:p w14:paraId="27FD553D" w14:textId="77777777" w:rsidR="005B756C" w:rsidRDefault="005B756C" w:rsidP="005B756C">
      <w:pPr>
        <w:pStyle w:val="NormalWeb"/>
        <w:spacing w:line="360" w:lineRule="auto"/>
      </w:pPr>
      <w:r w:rsidRPr="00720B73">
        <w:rPr>
          <w:color w:val="000000"/>
        </w:rPr>
        <w:t xml:space="preserve">How much richer are the richest 20% than the poorest 20%, Wilkinson &amp; Pickett’s, The Spirit Level (2009) demonstrated the income gaps, in which how many times richer the richest fifth are than the poorest fifth in some of the world’s countries. Highlighted here, it is seen that there is a 7.2% gap, amongst the population of the UK. </w:t>
      </w:r>
      <w:r w:rsidRPr="00B86DF0">
        <w:t>Wilkinson</w:t>
      </w:r>
      <w:r>
        <w:t xml:space="preserve"> and Picketts</w:t>
      </w:r>
      <w:r w:rsidRPr="00B86DF0">
        <w:t xml:space="preserve">’s Impact of Inequality illustrates that the quality of social relations is better in more equal societies where income differences between the rich and the poor, are smaller. It is pointed </w:t>
      </w:r>
      <w:r w:rsidRPr="00B86DF0">
        <w:lastRenderedPageBreak/>
        <w:t xml:space="preserve">that in more equal societies, people are a lot more likely to trust one another, and standards of social capital and social cohesion display that community life is better, levels of crime and violence are comparably lower. Whereas living in an unequal society causes stress and status anxiety, which is damaging to health, individuals are also more likely to develop mental illness or obesity (Wilkinson, 2010; The Equality Trust, </w:t>
      </w:r>
      <w:proofErr w:type="spellStart"/>
      <w:r w:rsidRPr="00B86DF0">
        <w:t>n.d.</w:t>
      </w:r>
      <w:proofErr w:type="spellEnd"/>
      <w:r w:rsidRPr="00B86DF0">
        <w:t xml:space="preserve">). Wilkinson demonstrates that the quality of social relations and low social status are among the most significant influences on health (Wilkinson, 2010). </w:t>
      </w:r>
    </w:p>
    <w:p w14:paraId="3CBBD88E" w14:textId="77777777" w:rsidR="005B756C" w:rsidRDefault="005B756C" w:rsidP="005B756C">
      <w:pPr>
        <w:pStyle w:val="NormalWeb"/>
        <w:spacing w:line="360" w:lineRule="auto"/>
      </w:pPr>
      <w:r>
        <w:t>Numerous studies have been devoted to the examination of lay beliefs about illness and cures. Many of these have concerned specific problems,</w:t>
      </w:r>
    </w:p>
    <w:p w14:paraId="0D6F9FCC" w14:textId="77777777" w:rsidR="005B756C" w:rsidRDefault="005B756C" w:rsidP="005B756C">
      <w:pPr>
        <w:pStyle w:val="NormalWeb"/>
        <w:spacing w:line="360" w:lineRule="auto"/>
      </w:pPr>
      <w:r>
        <w:t xml:space="preserve">One study, by </w:t>
      </w:r>
      <w:proofErr w:type="spellStart"/>
      <w:r>
        <w:t>Herzlich</w:t>
      </w:r>
      <w:proofErr w:type="spellEnd"/>
      <w:r>
        <w:t xml:space="preserve"> analysed predominantly middle-class Parisians. This study did not address inequality in health, or focus on the health of the socially deprived. But it aimed to </w:t>
      </w:r>
      <w:proofErr w:type="spellStart"/>
      <w:r>
        <w:t>provid</w:t>
      </w:r>
      <w:proofErr w:type="spellEnd"/>
      <w:r>
        <w:t xml:space="preserve"> several key understandings, identifying interpretations of ill health and distinguishing the different "social representations", collective methods of constructing the social realism of health and illness found within the population. Understanding what makes people healthy can be exceptionally different from clarifications of why they become ill in the first place: Illness comes from behaviours and from society. Illness depends on both the individual and the way of life, both playing a role. Health otherwise, is more straightforward: as it is contained within the individual and never sits outside him. </w:t>
      </w:r>
      <w:proofErr w:type="spellStart"/>
      <w:r>
        <w:t>Herzlich</w:t>
      </w:r>
      <w:proofErr w:type="spellEnd"/>
      <w:r>
        <w:t xml:space="preserve"> determined that health, inside the individual, was the product of harmony, equilibrium, and self-fulfilment. Illness, on the other hand, was an assault from outside, caused by the wear and tear of modern life. Individual behaviour was also implicated, but this could itself be a product of the assaults from outside (</w:t>
      </w:r>
      <w:proofErr w:type="spellStart"/>
      <w:r>
        <w:t>Herzlich</w:t>
      </w:r>
      <w:proofErr w:type="spellEnd"/>
      <w:r>
        <w:t xml:space="preserve">, 1973; as cited in </w:t>
      </w:r>
      <w:proofErr w:type="spellStart"/>
      <w:r>
        <w:t>Blaxter</w:t>
      </w:r>
      <w:proofErr w:type="spellEnd"/>
      <w:r>
        <w:t xml:space="preserve"> 1997). </w:t>
      </w:r>
    </w:p>
    <w:p w14:paraId="0E521148" w14:textId="77777777" w:rsidR="005B756C" w:rsidRDefault="005B756C" w:rsidP="005B756C">
      <w:pPr>
        <w:pStyle w:val="NormalWeb"/>
        <w:spacing w:line="360" w:lineRule="auto"/>
      </w:pPr>
      <w:proofErr w:type="spellStart"/>
      <w:r>
        <w:t>Herzlich</w:t>
      </w:r>
      <w:proofErr w:type="spellEnd"/>
      <w:r>
        <w:t xml:space="preserve"> suggests that health is viewed as the result of harmony, equilibrium and self-fulfilment. Illness </w:t>
      </w:r>
      <w:proofErr w:type="gramStart"/>
      <w:r>
        <w:t>was seen as</w:t>
      </w:r>
      <w:proofErr w:type="gramEnd"/>
      <w:r>
        <w:t xml:space="preserve"> a form of assault from outside, caused by the wears and tears of life. Similarly, to </w:t>
      </w:r>
      <w:proofErr w:type="spellStart"/>
      <w:r>
        <w:t>Herzlich</w:t>
      </w:r>
      <w:proofErr w:type="spellEnd"/>
      <w:r>
        <w:t xml:space="preserve">, Pill and Stott proposed that amongst their respondents of which are working class women, the studies respondents did not feel accountable for contracting illness. Illness was regularly caused by external causes for which they had no accountability, and was out of their control. Pill and Stott argued against the stereotyping of the working class as fatalistic and laissez-faire, signifying that poor respondents could be described as realistic, feeling illness to be unavoidable in their environments. Many women in this series of studies did on the other hand, feel guilt for allowing their health to go downwards. Pill and Scott also noted that the respondents were extremely articulate while discussing their own </w:t>
      </w:r>
      <w:r>
        <w:lastRenderedPageBreak/>
        <w:t xml:space="preserve">illness, compared to discussing illness in general (Pill and Stott, 1982; 1985: cited in </w:t>
      </w:r>
      <w:proofErr w:type="spellStart"/>
      <w:r>
        <w:t>Blaxter</w:t>
      </w:r>
      <w:proofErr w:type="spellEnd"/>
      <w:r>
        <w:t xml:space="preserve"> 1997). </w:t>
      </w:r>
    </w:p>
    <w:p w14:paraId="7D6DA529" w14:textId="77777777" w:rsidR="005B756C" w:rsidRDefault="005B756C" w:rsidP="005B756C">
      <w:pPr>
        <w:pStyle w:val="NormalWeb"/>
        <w:spacing w:line="360" w:lineRule="auto"/>
        <w:rPr>
          <w:color w:val="000000"/>
        </w:rPr>
      </w:pPr>
      <w:r>
        <w:t xml:space="preserve">According to the report, a limited amount of studies has sufficiently compared the accounts offered by middle-class and working-class respondents. </w:t>
      </w:r>
      <w:proofErr w:type="spellStart"/>
      <w:r>
        <w:t>Blaxter</w:t>
      </w:r>
      <w:proofErr w:type="spellEnd"/>
      <w:r>
        <w:t xml:space="preserve"> argues that there is no valid evidence to imply that inequality in health is an issue in Great Western societies. Much research does insinuate that the impact of low social status causes feelings of degradation, being poorer, or put down and disrespected is damaging to one’s self-esteem. However, </w:t>
      </w:r>
      <w:r>
        <w:rPr>
          <w:color w:val="000000"/>
        </w:rPr>
        <w:t xml:space="preserve">a review of research on self-esteem was conducted by Nicholas Elmer (2001), appears to show that there is very little evidence to prove that it has this effect (Elmer, 2001). </w:t>
      </w:r>
    </w:p>
    <w:p w14:paraId="726603F6" w14:textId="77777777" w:rsidR="005B756C" w:rsidRPr="00996F14" w:rsidRDefault="005B756C" w:rsidP="005B756C">
      <w:pPr>
        <w:pStyle w:val="NormalWeb"/>
        <w:spacing w:line="360" w:lineRule="auto"/>
        <w:rPr>
          <w:color w:val="000000"/>
        </w:rPr>
      </w:pPr>
      <w:r>
        <w:rPr>
          <w:color w:val="000000"/>
        </w:rPr>
        <w:t xml:space="preserve">Another study by </w:t>
      </w:r>
      <w:proofErr w:type="spellStart"/>
      <w:r>
        <w:rPr>
          <w:color w:val="000000"/>
        </w:rPr>
        <w:t>Pierret</w:t>
      </w:r>
      <w:proofErr w:type="spellEnd"/>
      <w:r>
        <w:rPr>
          <w:color w:val="000000"/>
        </w:rPr>
        <w:t>, which analysed spontaneous responses to an invitation to discuss health among residents of two different environments in Paris. It suggested that the manual workers and farmers associated illness as a threat to duty of work, whereas the middle-class respondents showed more focus on health rather than illness (</w:t>
      </w:r>
      <w:proofErr w:type="spellStart"/>
      <w:r>
        <w:rPr>
          <w:color w:val="000000"/>
        </w:rPr>
        <w:t>Blaxter</w:t>
      </w:r>
      <w:proofErr w:type="spellEnd"/>
      <w:r>
        <w:rPr>
          <w:color w:val="000000"/>
        </w:rPr>
        <w:t xml:space="preserve"> 1997). </w:t>
      </w:r>
    </w:p>
    <w:p w14:paraId="4EB2EE20" w14:textId="77777777" w:rsidR="005B756C" w:rsidRDefault="005B756C" w:rsidP="005B756C">
      <w:pPr>
        <w:spacing w:line="360" w:lineRule="auto"/>
        <w:rPr>
          <w:rFonts w:ascii="Times New Roman" w:hAnsi="Times New Roman" w:cs="Times New Roman"/>
          <w:sz w:val="24"/>
          <w:szCs w:val="24"/>
        </w:rPr>
      </w:pPr>
      <w:r w:rsidRPr="00BF7248">
        <w:rPr>
          <w:rFonts w:ascii="Times New Roman" w:hAnsi="Times New Roman" w:cs="Times New Roman"/>
          <w:sz w:val="24"/>
          <w:szCs w:val="24"/>
        </w:rPr>
        <w:t>In the developed world, cardiovascular disease affects more men and women and is still one of the most prevalent killers of men and women. However, men tend to suffer from higher rates of death because of accidents and violence and are more prone to drug addiction</w:t>
      </w:r>
      <w:r>
        <w:rPr>
          <w:rFonts w:ascii="Times New Roman" w:hAnsi="Times New Roman" w:cs="Times New Roman"/>
          <w:sz w:val="24"/>
          <w:szCs w:val="24"/>
        </w:rPr>
        <w:t xml:space="preserve"> (Sorenson, 2011). Cardiovascular disease (CVD) is a general term for conditions affecting the heart or blood vessels. It is usually associated with a collection of fatty tissue inside the arteries – known as atherosclerosis – and an increased risk of blood clots. There are four different types of CVD, these include coronary heart disease, strokes, peripheral arterial disease and aortic disease. It is one of the main causes of death and disability in the UK, however the exact causes are unclear, due to there being many risk factors that may lead up to the development of the disease (NHS, 2016) </w:t>
      </w:r>
      <w:r w:rsidRPr="00996F14">
        <w:rPr>
          <w:rFonts w:ascii="Times New Roman" w:hAnsi="Times New Roman" w:cs="Times New Roman"/>
          <w:sz w:val="24"/>
          <w:szCs w:val="24"/>
        </w:rPr>
        <w:t xml:space="preserve">The disease affects around seven million people in the United Kingdom (UK) and is a substantial cause of disability and death, </w:t>
      </w:r>
      <w:r>
        <w:rPr>
          <w:rFonts w:ascii="Times New Roman" w:hAnsi="Times New Roman" w:cs="Times New Roman"/>
          <w:sz w:val="24"/>
          <w:szCs w:val="24"/>
        </w:rPr>
        <w:t>changing</w:t>
      </w:r>
      <w:r w:rsidRPr="00996F14">
        <w:rPr>
          <w:rFonts w:ascii="Times New Roman" w:hAnsi="Times New Roman" w:cs="Times New Roman"/>
          <w:sz w:val="24"/>
          <w:szCs w:val="24"/>
        </w:rPr>
        <w:t xml:space="preserve"> individuals, families and communities</w:t>
      </w:r>
      <w:r>
        <w:rPr>
          <w:rFonts w:ascii="Times New Roman" w:hAnsi="Times New Roman" w:cs="Times New Roman"/>
          <w:sz w:val="24"/>
          <w:szCs w:val="24"/>
        </w:rPr>
        <w:t xml:space="preserve">. </w:t>
      </w:r>
      <w:r w:rsidRPr="00996F14">
        <w:rPr>
          <w:rFonts w:ascii="Times New Roman" w:hAnsi="Times New Roman" w:cs="Times New Roman"/>
          <w:sz w:val="24"/>
          <w:szCs w:val="24"/>
        </w:rPr>
        <w:t xml:space="preserve">CVD is responsible for one in four premature deaths in the UK and was responsible for 26% of all deaths (129,147) in England in 2015 </w:t>
      </w:r>
      <w:r>
        <w:rPr>
          <w:rFonts w:ascii="Times New Roman" w:hAnsi="Times New Roman" w:cs="Times New Roman"/>
          <w:sz w:val="24"/>
          <w:szCs w:val="24"/>
        </w:rPr>
        <w:t xml:space="preserve">(Public Health England, 2017). </w:t>
      </w:r>
    </w:p>
    <w:p w14:paraId="416621E8" w14:textId="77777777" w:rsidR="005B756C" w:rsidRDefault="005B756C" w:rsidP="005B756C">
      <w:pPr>
        <w:spacing w:line="360" w:lineRule="auto"/>
      </w:pPr>
      <w:r>
        <w:rPr>
          <w:rFonts w:ascii="Times New Roman" w:hAnsi="Times New Roman" w:cs="Times New Roman"/>
          <w:sz w:val="24"/>
          <w:szCs w:val="24"/>
        </w:rPr>
        <w:t xml:space="preserve">Smoking and tobacco has a significant impact on the risk of CVD, as well as obesity, which is associated with high blood pressure, high cholesterol and diabetes, all of which are risk factors for CVD (NHS, 2016). Despite the condition being preventable through leading a healthy lifestyle, it is known to be one of the leading causes of death in the UK. It was </w:t>
      </w:r>
      <w:r w:rsidRPr="00FF493B">
        <w:rPr>
          <w:rFonts w:ascii="Times New Roman" w:hAnsi="Times New Roman" w:cs="Times New Roman"/>
          <w:sz w:val="24"/>
          <w:szCs w:val="24"/>
        </w:rPr>
        <w:lastRenderedPageBreak/>
        <w:t>reported in 2006 that 13.6% of men and 13.0% of women were diagnosed with cardiovascular disease. The prevalence of ischaemic heart disease</w:t>
      </w:r>
      <w:r>
        <w:rPr>
          <w:rFonts w:ascii="Times New Roman" w:hAnsi="Times New Roman" w:cs="Times New Roman"/>
          <w:sz w:val="24"/>
          <w:szCs w:val="24"/>
        </w:rPr>
        <w:t xml:space="preserve"> (IHD) </w:t>
      </w:r>
      <w:r w:rsidRPr="00FF493B">
        <w:rPr>
          <w:rFonts w:ascii="Times New Roman" w:hAnsi="Times New Roman" w:cs="Times New Roman"/>
          <w:sz w:val="24"/>
          <w:szCs w:val="24"/>
        </w:rPr>
        <w:t>or stroke was higher among men than women, with 8.1% of men and 5.6% of women suffering from either or both conditions</w:t>
      </w:r>
      <w:r>
        <w:rPr>
          <w:rFonts w:ascii="Times New Roman" w:hAnsi="Times New Roman" w:cs="Times New Roman"/>
          <w:sz w:val="24"/>
          <w:szCs w:val="24"/>
        </w:rPr>
        <w:t xml:space="preserve">. </w:t>
      </w:r>
      <w:r w:rsidRPr="00FF493B">
        <w:rPr>
          <w:rFonts w:ascii="Times New Roman" w:hAnsi="Times New Roman" w:cs="Times New Roman"/>
          <w:sz w:val="24"/>
          <w:szCs w:val="24"/>
        </w:rPr>
        <w:t>Rates of cardiovascular disease and many of its risk factors were found to be highest in low income groups</w:t>
      </w:r>
      <w:r>
        <w:rPr>
          <w:rFonts w:ascii="Times New Roman" w:hAnsi="Times New Roman" w:cs="Times New Roman"/>
          <w:sz w:val="24"/>
          <w:szCs w:val="24"/>
        </w:rPr>
        <w:t xml:space="preserve">. (Health Survey for England, 2006). </w:t>
      </w:r>
      <w:r w:rsidRPr="00FF493B">
        <w:rPr>
          <w:rFonts w:ascii="Times New Roman" w:hAnsi="Times New Roman" w:cs="Times New Roman"/>
          <w:sz w:val="24"/>
          <w:szCs w:val="24"/>
        </w:rPr>
        <w:t>The following factors were higher in lowest income groups:</w:t>
      </w:r>
      <w:r>
        <w:t xml:space="preserve"> </w:t>
      </w:r>
    </w:p>
    <w:p w14:paraId="062FAAC9" w14:textId="77777777" w:rsidR="005B756C" w:rsidRPr="007A16AF" w:rsidRDefault="005B756C" w:rsidP="005B756C">
      <w:pPr>
        <w:rPr>
          <w:rFonts w:ascii="Times New Roman" w:hAnsi="Times New Roman" w:cs="Times New Roman"/>
          <w:sz w:val="24"/>
          <w:szCs w:val="24"/>
        </w:rPr>
      </w:pPr>
      <w:r>
        <w:t>•</w:t>
      </w:r>
      <w:r w:rsidRPr="00FF493B">
        <w:t xml:space="preserve"> </w:t>
      </w:r>
      <w:r w:rsidRPr="007A16AF">
        <w:rPr>
          <w:rFonts w:ascii="Times New Roman" w:hAnsi="Times New Roman" w:cs="Times New Roman"/>
          <w:sz w:val="24"/>
          <w:szCs w:val="24"/>
        </w:rPr>
        <w:t xml:space="preserve">CVD (among men only) </w:t>
      </w:r>
    </w:p>
    <w:p w14:paraId="6DB78AE7" w14:textId="77777777" w:rsidR="005B756C" w:rsidRPr="007A16AF" w:rsidRDefault="005B756C" w:rsidP="005B756C">
      <w:pPr>
        <w:rPr>
          <w:rFonts w:ascii="Times New Roman" w:hAnsi="Times New Roman" w:cs="Times New Roman"/>
          <w:sz w:val="24"/>
          <w:szCs w:val="24"/>
        </w:rPr>
      </w:pPr>
      <w:r w:rsidRPr="007A16AF">
        <w:rPr>
          <w:rFonts w:ascii="Times New Roman" w:hAnsi="Times New Roman" w:cs="Times New Roman"/>
          <w:sz w:val="24"/>
          <w:szCs w:val="24"/>
        </w:rPr>
        <w:t xml:space="preserve">• Hypertension (among women only) </w:t>
      </w:r>
    </w:p>
    <w:p w14:paraId="3558AE5D" w14:textId="77777777" w:rsidR="005B756C" w:rsidRPr="007A16AF" w:rsidRDefault="005B756C" w:rsidP="005B756C">
      <w:pPr>
        <w:rPr>
          <w:rFonts w:ascii="Times New Roman" w:hAnsi="Times New Roman" w:cs="Times New Roman"/>
          <w:sz w:val="24"/>
          <w:szCs w:val="24"/>
        </w:rPr>
      </w:pPr>
      <w:r w:rsidRPr="007A16AF">
        <w:rPr>
          <w:rFonts w:ascii="Times New Roman" w:hAnsi="Times New Roman" w:cs="Times New Roman"/>
          <w:sz w:val="24"/>
          <w:szCs w:val="24"/>
        </w:rPr>
        <w:t xml:space="preserve">• Diabetes and raised glycated haemoglobin combined </w:t>
      </w:r>
    </w:p>
    <w:p w14:paraId="2625F5BC" w14:textId="77777777" w:rsidR="005B756C" w:rsidRPr="007A16AF" w:rsidRDefault="005B756C" w:rsidP="005B756C">
      <w:pPr>
        <w:rPr>
          <w:rFonts w:ascii="Times New Roman" w:hAnsi="Times New Roman" w:cs="Times New Roman"/>
          <w:sz w:val="24"/>
          <w:szCs w:val="24"/>
        </w:rPr>
      </w:pPr>
      <w:r w:rsidRPr="007A16AF">
        <w:rPr>
          <w:rFonts w:ascii="Times New Roman" w:hAnsi="Times New Roman" w:cs="Times New Roman"/>
          <w:sz w:val="24"/>
          <w:szCs w:val="24"/>
        </w:rPr>
        <w:t xml:space="preserve">• Obesity and raised waist circumference (among women only) </w:t>
      </w:r>
    </w:p>
    <w:p w14:paraId="1950FFDF" w14:textId="77777777" w:rsidR="005B756C" w:rsidRPr="007A16AF" w:rsidRDefault="005B756C" w:rsidP="005B756C">
      <w:pPr>
        <w:rPr>
          <w:rFonts w:ascii="Times New Roman" w:hAnsi="Times New Roman" w:cs="Times New Roman"/>
          <w:sz w:val="24"/>
          <w:szCs w:val="24"/>
        </w:rPr>
      </w:pPr>
      <w:r w:rsidRPr="007A16AF">
        <w:rPr>
          <w:rFonts w:ascii="Times New Roman" w:hAnsi="Times New Roman" w:cs="Times New Roman"/>
          <w:sz w:val="24"/>
          <w:szCs w:val="24"/>
        </w:rPr>
        <w:t xml:space="preserve">• Low levels of physical activity </w:t>
      </w:r>
    </w:p>
    <w:p w14:paraId="5374C7EE" w14:textId="77777777" w:rsidR="005B756C" w:rsidRPr="007A16AF" w:rsidRDefault="005B756C" w:rsidP="005B756C">
      <w:pPr>
        <w:rPr>
          <w:rFonts w:ascii="Times New Roman" w:hAnsi="Times New Roman" w:cs="Times New Roman"/>
          <w:sz w:val="24"/>
          <w:szCs w:val="24"/>
        </w:rPr>
      </w:pPr>
      <w:r w:rsidRPr="007A16AF">
        <w:rPr>
          <w:rFonts w:ascii="Times New Roman" w:hAnsi="Times New Roman" w:cs="Times New Roman"/>
          <w:sz w:val="24"/>
          <w:szCs w:val="24"/>
        </w:rPr>
        <w:t xml:space="preserve">• Low levels of fruit and vegetable consumption </w:t>
      </w:r>
    </w:p>
    <w:p w14:paraId="4226DEF6" w14:textId="77777777" w:rsidR="005B756C" w:rsidRPr="007A16AF" w:rsidRDefault="005B756C" w:rsidP="005B756C">
      <w:pPr>
        <w:rPr>
          <w:rFonts w:ascii="Times New Roman" w:hAnsi="Times New Roman" w:cs="Times New Roman"/>
          <w:sz w:val="24"/>
          <w:szCs w:val="24"/>
        </w:rPr>
      </w:pPr>
      <w:r w:rsidRPr="007A16AF">
        <w:rPr>
          <w:rFonts w:ascii="Times New Roman" w:hAnsi="Times New Roman" w:cs="Times New Roman"/>
          <w:sz w:val="24"/>
          <w:szCs w:val="24"/>
        </w:rPr>
        <w:t>• Low HDL-cholesterol level</w:t>
      </w:r>
    </w:p>
    <w:p w14:paraId="6844539D" w14:textId="77777777" w:rsidR="005B756C" w:rsidRPr="007A16AF" w:rsidRDefault="005B756C" w:rsidP="005B756C">
      <w:pPr>
        <w:rPr>
          <w:rFonts w:ascii="Times New Roman" w:hAnsi="Times New Roman" w:cs="Times New Roman"/>
          <w:sz w:val="24"/>
          <w:szCs w:val="24"/>
        </w:rPr>
      </w:pPr>
      <w:r w:rsidRPr="007A16AF">
        <w:rPr>
          <w:rFonts w:ascii="Times New Roman" w:hAnsi="Times New Roman" w:cs="Times New Roman"/>
          <w:sz w:val="24"/>
          <w:szCs w:val="24"/>
        </w:rPr>
        <w:t>• Mean C-reactive protein level</w:t>
      </w:r>
    </w:p>
    <w:p w14:paraId="20489C7B" w14:textId="77777777" w:rsidR="005B756C" w:rsidRDefault="005B756C" w:rsidP="005B756C">
      <w:pPr>
        <w:pStyle w:val="NoSpacing"/>
        <w:rPr>
          <w:rFonts w:ascii="Times New Roman" w:hAnsi="Times New Roman" w:cs="Times New Roman"/>
          <w:sz w:val="24"/>
          <w:szCs w:val="24"/>
        </w:rPr>
      </w:pPr>
    </w:p>
    <w:p w14:paraId="1CA7EA7C" w14:textId="77777777" w:rsidR="005B756C" w:rsidRDefault="005B756C" w:rsidP="005B756C">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Rose and Marmot (1981) argue that CHD is a ‘disease of affluence’ but as one that is highly associate with the lower classes of society. (Rose and Marmot; 1981 Similarly, Macintyre reports that epidemiological studies have revealed that smoking and drinking and other behaviours are associated with health and risk of ill-health or death, and are differentially engaged in by different social groups (</w:t>
      </w:r>
      <w:proofErr w:type="spellStart"/>
      <w:r>
        <w:rPr>
          <w:rFonts w:ascii="Times New Roman" w:hAnsi="Times New Roman" w:cs="Times New Roman"/>
          <w:sz w:val="24"/>
          <w:szCs w:val="24"/>
        </w:rPr>
        <w:t>MacIntyre</w:t>
      </w:r>
      <w:proofErr w:type="spellEnd"/>
      <w:r>
        <w:rPr>
          <w:rFonts w:ascii="Times New Roman" w:hAnsi="Times New Roman" w:cs="Times New Roman"/>
          <w:sz w:val="24"/>
          <w:szCs w:val="24"/>
        </w:rPr>
        <w:t>, 1986; cited in Taylor et al., 1998).</w:t>
      </w:r>
    </w:p>
    <w:p w14:paraId="70DB5BAE" w14:textId="77777777" w:rsidR="005B756C" w:rsidRDefault="005B756C" w:rsidP="005B756C">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Marmot’s study of Whitehall Civil servants found that cigarette smoking declined, and participating in physical activity increased the higher the employment rank, lower graded smokers were more likely to die from cardiovascular disease than higher class graded smokers. </w:t>
      </w:r>
    </w:p>
    <w:p w14:paraId="2A590ABD" w14:textId="77777777" w:rsidR="005B756C" w:rsidRDefault="005B756C" w:rsidP="005B756C">
      <w:pPr>
        <w:pStyle w:val="NoSpacing"/>
        <w:spacing w:line="360" w:lineRule="auto"/>
        <w:ind w:firstLine="720"/>
        <w:rPr>
          <w:rFonts w:ascii="Times New Roman" w:hAnsi="Times New Roman" w:cs="Times New Roman"/>
          <w:sz w:val="24"/>
          <w:szCs w:val="24"/>
        </w:rPr>
      </w:pPr>
      <w:r>
        <w:rPr>
          <w:rFonts w:ascii="Times New Roman" w:hAnsi="Times New Roman" w:cs="Times New Roman"/>
          <w:sz w:val="24"/>
          <w:szCs w:val="24"/>
        </w:rPr>
        <w:t>Some explanations may not be down to behaviour, but other factors (culture, accessibility, time, money, locality, opening hours, may influence the lack of ability to select better quality, healthy food choices, or prevent the participation of regular physical activity (</w:t>
      </w:r>
      <w:proofErr w:type="spellStart"/>
      <w:r>
        <w:rPr>
          <w:rFonts w:ascii="Times New Roman" w:hAnsi="Times New Roman" w:cs="Times New Roman"/>
          <w:sz w:val="24"/>
          <w:szCs w:val="24"/>
        </w:rPr>
        <w:t>MacIntyre</w:t>
      </w:r>
      <w:proofErr w:type="spellEnd"/>
      <w:r>
        <w:rPr>
          <w:rFonts w:ascii="Times New Roman" w:hAnsi="Times New Roman" w:cs="Times New Roman"/>
          <w:sz w:val="24"/>
          <w:szCs w:val="24"/>
        </w:rPr>
        <w:t xml:space="preserve">, cited in Taylor et al., 1998). </w:t>
      </w:r>
      <w:proofErr w:type="spellStart"/>
      <w:r>
        <w:rPr>
          <w:rFonts w:ascii="Times New Roman" w:hAnsi="Times New Roman" w:cs="Times New Roman"/>
          <w:sz w:val="24"/>
          <w:szCs w:val="24"/>
        </w:rPr>
        <w:t>Blaxter</w:t>
      </w:r>
      <w:proofErr w:type="spellEnd"/>
      <w:r>
        <w:rPr>
          <w:rFonts w:ascii="Times New Roman" w:hAnsi="Times New Roman" w:cs="Times New Roman"/>
          <w:sz w:val="24"/>
          <w:szCs w:val="24"/>
        </w:rPr>
        <w:t xml:space="preserve"> notes that area variations can have an association on an individual’s relationship with alcohol and social class. Moderate to high consumptions have been found to be linked with poor health (Rose and Marmot, 1981). </w:t>
      </w:r>
    </w:p>
    <w:p w14:paraId="34FDB71F" w14:textId="77777777" w:rsidR="005B756C" w:rsidRPr="00FF493B" w:rsidRDefault="005B756C" w:rsidP="005B756C">
      <w:pPr>
        <w:pStyle w:val="NoSpacing"/>
        <w:spacing w:line="360" w:lineRule="auto"/>
        <w:rPr>
          <w:rFonts w:ascii="Times New Roman" w:hAnsi="Times New Roman" w:cs="Times New Roman"/>
          <w:sz w:val="24"/>
          <w:szCs w:val="24"/>
        </w:rPr>
      </w:pPr>
    </w:p>
    <w:p w14:paraId="0466FE87" w14:textId="77777777" w:rsidR="005B756C" w:rsidRDefault="005B756C" w:rsidP="005B756C">
      <w:pPr>
        <w:pStyle w:val="NormalWeb"/>
        <w:shd w:val="clear" w:color="auto" w:fill="FFFFFF"/>
        <w:spacing w:before="480" w:beforeAutospacing="0" w:after="0" w:afterAutospacing="0" w:line="480" w:lineRule="atLeast"/>
      </w:pPr>
      <w:r w:rsidRPr="00FF493B">
        <w:lastRenderedPageBreak/>
        <w:t xml:space="preserve">For people that already have CVD, staying as healthy as possible can decrease the chances of it worsening (NHS, 2016). </w:t>
      </w:r>
    </w:p>
    <w:p w14:paraId="7E3F217C" w14:textId="77777777" w:rsidR="005B756C" w:rsidRDefault="005B756C" w:rsidP="005B756C">
      <w:pPr>
        <w:pStyle w:val="NormalWeb"/>
        <w:shd w:val="clear" w:color="auto" w:fill="FFFFFF"/>
        <w:spacing w:before="480" w:beforeAutospacing="0" w:after="0" w:afterAutospacing="0" w:line="480" w:lineRule="atLeast"/>
      </w:pPr>
      <w:r>
        <w:t xml:space="preserve">In 2017 </w:t>
      </w:r>
      <w:proofErr w:type="spellStart"/>
      <w:r>
        <w:t>Publich</w:t>
      </w:r>
      <w:proofErr w:type="spellEnd"/>
      <w:r>
        <w:t xml:space="preserve"> Health England launched a new Food Smart App, which includes information about saturated fat and salt. PHE also updated the Heart Age tool, which allows people work out their heart age and their risk of heart attack and stroke. Before June 2017, the tool has been used by 2.9 million people, with 1.2 million completions (Public Health England 2017). </w:t>
      </w:r>
    </w:p>
    <w:p w14:paraId="7D98EA11" w14:textId="65096E14" w:rsidR="005B756C" w:rsidRPr="005B756C" w:rsidRDefault="005B756C" w:rsidP="005B756C">
      <w:pPr>
        <w:pStyle w:val="NormalWeb"/>
        <w:shd w:val="clear" w:color="auto" w:fill="FFFFFF"/>
        <w:spacing w:before="480" w:beforeAutospacing="0" w:after="0" w:afterAutospacing="0" w:line="480" w:lineRule="atLeast"/>
      </w:pPr>
      <w:r w:rsidRPr="005B756C">
        <w:t>To conclude this essay</w:t>
      </w:r>
      <w:r w:rsidRPr="005B756C">
        <w:t xml:space="preserve">, it is </w:t>
      </w:r>
      <w:r w:rsidRPr="005B756C">
        <w:rPr>
          <w:color w:val="000000"/>
        </w:rPr>
        <w:t>gathered that there is a clear link between socioeconomic factors and health inequalities</w:t>
      </w:r>
      <w:r w:rsidRPr="005B756C">
        <w:rPr>
          <w:color w:val="000000"/>
        </w:rPr>
        <w:t>, particularly among t</w:t>
      </w:r>
      <w:r w:rsidRPr="005B756C">
        <w:rPr>
          <w:color w:val="000000"/>
        </w:rPr>
        <w:t xml:space="preserve">he lower the group of the population. People on low income, especially young adults are greatly affected by this issue. The Marmot review found that in England the population living in the poorest areas will </w:t>
      </w:r>
      <w:proofErr w:type="spellStart"/>
      <w:r w:rsidRPr="005B756C">
        <w:rPr>
          <w:color w:val="000000"/>
        </w:rPr>
        <w:t>will</w:t>
      </w:r>
      <w:proofErr w:type="spellEnd"/>
      <w:r w:rsidRPr="005B756C">
        <w:rPr>
          <w:color w:val="000000"/>
        </w:rPr>
        <w:t xml:space="preserve"> die before those with more wealth </w:t>
      </w:r>
      <w:r w:rsidRPr="005B756C">
        <w:rPr>
          <w:color w:val="000000"/>
        </w:rPr>
        <w:t>(Marmot, 2010)</w:t>
      </w:r>
      <w:r w:rsidRPr="005B756C">
        <w:rPr>
          <w:color w:val="000000"/>
        </w:rPr>
        <w:t>.</w:t>
      </w:r>
      <w:r w:rsidRPr="005B756C">
        <w:rPr>
          <w:color w:val="000000"/>
        </w:rPr>
        <w:t xml:space="preserve"> </w:t>
      </w:r>
      <w:r w:rsidRPr="005B756C">
        <w:rPr>
          <w:color w:val="000000"/>
        </w:rPr>
        <w:t>T</w:t>
      </w:r>
      <w:r w:rsidRPr="005B756C">
        <w:rPr>
          <w:color w:val="000000"/>
        </w:rPr>
        <w:t>he population living in more deprived areas are mo</w:t>
      </w:r>
      <w:r w:rsidRPr="005B756C">
        <w:rPr>
          <w:color w:val="000000"/>
        </w:rPr>
        <w:t xml:space="preserve">re likely to continue being at the bottom of the society system, as the welfare state remains the same. </w:t>
      </w:r>
      <w:r w:rsidRPr="005B756C">
        <w:t>As for cardiovascular disease, rates have shown to</w:t>
      </w:r>
      <w:r w:rsidRPr="00A466CC">
        <w:t xml:space="preserve"> </w:t>
      </w:r>
      <w:r w:rsidRPr="005B756C">
        <w:t>decrease</w:t>
      </w:r>
      <w:r w:rsidRPr="00A466CC">
        <w:t xml:space="preserve"> over the past few decades</w:t>
      </w:r>
      <w:r w:rsidRPr="005B756C">
        <w:t xml:space="preserve"> </w:t>
      </w:r>
      <w:r w:rsidRPr="005B756C">
        <w:t xml:space="preserve">however, </w:t>
      </w:r>
      <w:r w:rsidRPr="005B756C">
        <w:t xml:space="preserve">it </w:t>
      </w:r>
      <w:proofErr w:type="gramStart"/>
      <w:r w:rsidRPr="005B756C">
        <w:t>still remains</w:t>
      </w:r>
      <w:proofErr w:type="gramEnd"/>
      <w:r w:rsidRPr="005B756C">
        <w:t xml:space="preserve"> a </w:t>
      </w:r>
      <w:r w:rsidRPr="005B756C">
        <w:t xml:space="preserve">serious health </w:t>
      </w:r>
      <w:r w:rsidRPr="005B756C">
        <w:t xml:space="preserve">risk, due to obesity levels </w:t>
      </w:r>
      <w:r w:rsidRPr="005B756C">
        <w:t xml:space="preserve">constantly </w:t>
      </w:r>
      <w:r w:rsidRPr="005B756C">
        <w:t>increasing</w:t>
      </w:r>
      <w:r w:rsidRPr="005B756C">
        <w:t xml:space="preserve">. </w:t>
      </w:r>
      <w:r w:rsidRPr="005B756C">
        <w:rPr>
          <w:color w:val="000000"/>
        </w:rPr>
        <w:t>Various reports have highlighted th</w:t>
      </w:r>
      <w:r w:rsidRPr="005B756C">
        <w:rPr>
          <w:color w:val="000000"/>
        </w:rPr>
        <w:t xml:space="preserve">at there are several determinants that influence health and well-being, however researchers argue that a person cannot help the environment that they live in, and others argue that ill-health related symptoms are </w:t>
      </w:r>
      <w:r w:rsidRPr="005B756C">
        <w:rPr>
          <w:color w:val="000000"/>
        </w:rPr>
        <w:t>avoidable</w:t>
      </w:r>
      <w:r w:rsidRPr="005B756C">
        <w:rPr>
          <w:color w:val="000000"/>
        </w:rPr>
        <w:t xml:space="preserve">. </w:t>
      </w:r>
      <w:r>
        <w:rPr>
          <w:color w:val="000000"/>
        </w:rPr>
        <w:t xml:space="preserve">Nonetheless, </w:t>
      </w:r>
      <w:r w:rsidRPr="005B756C">
        <w:rPr>
          <w:color w:val="000000"/>
        </w:rPr>
        <w:t>inequalities in health exist and are a consequence of social and economic influences</w:t>
      </w:r>
      <w:r>
        <w:rPr>
          <w:color w:val="000000"/>
        </w:rPr>
        <w:t>.</w:t>
      </w:r>
    </w:p>
    <w:p w14:paraId="6E5896B1" w14:textId="58D29CF0" w:rsidR="005B756C" w:rsidRDefault="005B756C" w:rsidP="005B756C">
      <w:pPr>
        <w:pStyle w:val="NormalWeb"/>
        <w:shd w:val="clear" w:color="auto" w:fill="FFFFFF"/>
        <w:spacing w:before="480" w:beforeAutospacing="0" w:after="0" w:afterAutospacing="0" w:line="480" w:lineRule="atLeast"/>
      </w:pPr>
    </w:p>
    <w:p w14:paraId="22DB8F50" w14:textId="5C15A7A8" w:rsidR="005B756C" w:rsidRDefault="005B756C" w:rsidP="005B756C">
      <w:pPr>
        <w:pStyle w:val="NormalWeb"/>
        <w:shd w:val="clear" w:color="auto" w:fill="FFFFFF"/>
        <w:spacing w:before="480" w:beforeAutospacing="0" w:after="0" w:afterAutospacing="0" w:line="480" w:lineRule="atLeast"/>
      </w:pPr>
    </w:p>
    <w:p w14:paraId="45CDCFB1" w14:textId="03A59637" w:rsidR="005B756C" w:rsidRDefault="005B756C" w:rsidP="005B756C">
      <w:pPr>
        <w:pStyle w:val="NormalWeb"/>
        <w:shd w:val="clear" w:color="auto" w:fill="FFFFFF"/>
        <w:spacing w:before="480" w:beforeAutospacing="0" w:after="0" w:afterAutospacing="0" w:line="480" w:lineRule="atLeast"/>
      </w:pPr>
    </w:p>
    <w:p w14:paraId="02807874" w14:textId="15999DA9" w:rsidR="005B756C" w:rsidRDefault="005B756C" w:rsidP="005B756C">
      <w:pPr>
        <w:pStyle w:val="NormalWeb"/>
        <w:shd w:val="clear" w:color="auto" w:fill="FFFFFF"/>
        <w:spacing w:before="480" w:beforeAutospacing="0" w:after="0" w:afterAutospacing="0" w:line="480" w:lineRule="atLeast"/>
      </w:pPr>
    </w:p>
    <w:p w14:paraId="4142139F" w14:textId="1EF78039" w:rsidR="005B756C" w:rsidRDefault="005B756C" w:rsidP="005B756C">
      <w:pPr>
        <w:pStyle w:val="NormalWeb"/>
        <w:shd w:val="clear" w:color="auto" w:fill="FFFFFF"/>
        <w:spacing w:before="480" w:beforeAutospacing="0" w:after="0" w:afterAutospacing="0" w:line="480" w:lineRule="atLeast"/>
      </w:pPr>
    </w:p>
    <w:p w14:paraId="17FECCCC" w14:textId="25036988" w:rsidR="005B756C" w:rsidRDefault="005B756C" w:rsidP="005B756C">
      <w:pPr>
        <w:pStyle w:val="NormalWeb"/>
        <w:shd w:val="clear" w:color="auto" w:fill="FFFFFF"/>
        <w:spacing w:before="480" w:beforeAutospacing="0" w:after="0" w:afterAutospacing="0" w:line="480" w:lineRule="atLeast"/>
      </w:pPr>
    </w:p>
    <w:p w14:paraId="0EF43B75" w14:textId="4A99C20F" w:rsidR="005B756C" w:rsidRDefault="005B756C" w:rsidP="005B756C">
      <w:pPr>
        <w:pStyle w:val="NormalWeb"/>
        <w:shd w:val="clear" w:color="auto" w:fill="FFFFFF"/>
        <w:spacing w:before="480" w:beforeAutospacing="0" w:after="0" w:afterAutospacing="0" w:line="480" w:lineRule="atLeast"/>
      </w:pPr>
    </w:p>
    <w:p w14:paraId="3BB9F8A8" w14:textId="77777777" w:rsidR="005B756C" w:rsidRPr="00FF493B" w:rsidRDefault="005B756C" w:rsidP="005B756C">
      <w:pPr>
        <w:pStyle w:val="NormalWeb"/>
        <w:shd w:val="clear" w:color="auto" w:fill="FFFFFF"/>
        <w:spacing w:before="480" w:beforeAutospacing="0" w:after="0" w:afterAutospacing="0" w:line="480" w:lineRule="atLeast"/>
      </w:pPr>
    </w:p>
    <w:p w14:paraId="266D123F" w14:textId="77777777" w:rsidR="005B756C" w:rsidRPr="00C357A4" w:rsidRDefault="005B756C" w:rsidP="005B756C">
      <w:pPr>
        <w:spacing w:after="100" w:afterAutospacing="1" w:line="240" w:lineRule="auto"/>
        <w:outlineLvl w:val="1"/>
        <w:rPr>
          <w:rFonts w:ascii="Times New Roman" w:eastAsia="Times New Roman" w:hAnsi="Times New Roman" w:cs="Times New Roman"/>
          <w:color w:val="000000"/>
          <w:sz w:val="24"/>
          <w:szCs w:val="24"/>
          <w:lang w:eastAsia="en-GB"/>
        </w:rPr>
      </w:pPr>
      <w:r w:rsidRPr="00C357A4">
        <w:rPr>
          <w:rFonts w:ascii="Times New Roman" w:eastAsia="Times New Roman" w:hAnsi="Times New Roman" w:cs="Times New Roman"/>
          <w:color w:val="000000"/>
          <w:sz w:val="24"/>
          <w:szCs w:val="24"/>
          <w:lang w:eastAsia="en-GB"/>
        </w:rPr>
        <w:t>References</w:t>
      </w:r>
    </w:p>
    <w:p w14:paraId="4161BEB2" w14:textId="77777777" w:rsidR="005B756C" w:rsidRPr="00C357A4" w:rsidRDefault="005B756C" w:rsidP="005B756C">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C357A4">
        <w:rPr>
          <w:rFonts w:ascii="Times New Roman" w:eastAsia="Times New Roman" w:hAnsi="Times New Roman" w:cs="Times New Roman"/>
          <w:color w:val="000000"/>
          <w:sz w:val="24"/>
          <w:szCs w:val="24"/>
          <w:lang w:eastAsia="en-GB"/>
        </w:rPr>
        <w:t>Benzeval</w:t>
      </w:r>
      <w:proofErr w:type="spellEnd"/>
      <w:r w:rsidRPr="00C357A4">
        <w:rPr>
          <w:rFonts w:ascii="Times New Roman" w:eastAsia="Times New Roman" w:hAnsi="Times New Roman" w:cs="Times New Roman"/>
          <w:color w:val="000000"/>
          <w:sz w:val="24"/>
          <w:szCs w:val="24"/>
          <w:lang w:eastAsia="en-GB"/>
        </w:rPr>
        <w:t>, M. (2014). </w:t>
      </w:r>
      <w:r w:rsidRPr="00C357A4">
        <w:rPr>
          <w:rFonts w:ascii="Times New Roman" w:eastAsia="Times New Roman" w:hAnsi="Times New Roman" w:cs="Times New Roman"/>
          <w:i/>
          <w:iCs/>
          <w:color w:val="000000"/>
          <w:sz w:val="24"/>
          <w:szCs w:val="24"/>
          <w:lang w:eastAsia="en-GB"/>
        </w:rPr>
        <w:t>How does money influence health?</w:t>
      </w:r>
      <w:r w:rsidRPr="00C357A4">
        <w:rPr>
          <w:rFonts w:ascii="Times New Roman" w:eastAsia="Times New Roman" w:hAnsi="Times New Roman" w:cs="Times New Roman"/>
          <w:color w:val="000000"/>
          <w:sz w:val="24"/>
          <w:szCs w:val="24"/>
          <w:lang w:eastAsia="en-GB"/>
        </w:rPr>
        <w:t xml:space="preserve"> [</w:t>
      </w:r>
      <w:proofErr w:type="spellStart"/>
      <w:r w:rsidRPr="00C357A4">
        <w:rPr>
          <w:rFonts w:ascii="Times New Roman" w:eastAsia="Times New Roman" w:hAnsi="Times New Roman" w:cs="Times New Roman"/>
          <w:color w:val="000000"/>
          <w:sz w:val="24"/>
          <w:szCs w:val="24"/>
          <w:lang w:eastAsia="en-GB"/>
        </w:rPr>
        <w:t>ebook</w:t>
      </w:r>
      <w:proofErr w:type="spellEnd"/>
      <w:r w:rsidRPr="00C357A4">
        <w:rPr>
          <w:rFonts w:ascii="Times New Roman" w:eastAsia="Times New Roman" w:hAnsi="Times New Roman" w:cs="Times New Roman"/>
          <w:color w:val="000000"/>
          <w:sz w:val="24"/>
          <w:szCs w:val="24"/>
          <w:lang w:eastAsia="en-GB"/>
        </w:rPr>
        <w:t>] York: Joseph Rowntree Foundation. Available at: https://www.jrf.org.uk/report/how-does-money-influence-health [Accessed 14 Apr. 2018].</w:t>
      </w:r>
    </w:p>
    <w:p w14:paraId="5DDD9B43" w14:textId="77777777" w:rsidR="005B756C" w:rsidRPr="00403D27" w:rsidRDefault="005B756C" w:rsidP="005B756C">
      <w:pPr>
        <w:pStyle w:val="NormalWeb"/>
        <w:spacing w:before="0" w:beforeAutospacing="0" w:after="180" w:afterAutospacing="0"/>
        <w:ind w:left="450" w:hanging="450"/>
        <w:rPr>
          <w:color w:val="000000"/>
        </w:rPr>
      </w:pPr>
      <w:proofErr w:type="spellStart"/>
      <w:r w:rsidRPr="00403D27">
        <w:rPr>
          <w:color w:val="000000"/>
        </w:rPr>
        <w:t>Blaxter</w:t>
      </w:r>
      <w:proofErr w:type="spellEnd"/>
      <w:r w:rsidRPr="00403D27">
        <w:rPr>
          <w:color w:val="000000"/>
        </w:rPr>
        <w:t>, M. (1997). Whose fault is it? People's own conceptions of the reasons for health inequalities. </w:t>
      </w:r>
      <w:r w:rsidRPr="00403D27">
        <w:rPr>
          <w:i/>
          <w:iCs/>
          <w:color w:val="000000"/>
        </w:rPr>
        <w:t>Social Science &amp; Medicine</w:t>
      </w:r>
      <w:r w:rsidRPr="00403D27">
        <w:rPr>
          <w:color w:val="000000"/>
        </w:rPr>
        <w:t>, [online] 44(6), pp.747-756. Available at: https://ac-els-cdn-com.ezproxy.uwtsd.ac.uk/S027795369600192X/1-s2.0-S027795369600192X-main.pdf?_tid=2d429cf1-0901-4e82-bd4a-53c570b24dff&amp;acdnat=1524259715_48255b1f1f690c36d4e6c991a2652b6c [Accessed 17 Apr. 2018].</w:t>
      </w:r>
    </w:p>
    <w:p w14:paraId="199A4910" w14:textId="77777777" w:rsidR="005B756C" w:rsidRPr="00403D27" w:rsidRDefault="005B756C" w:rsidP="005B756C">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C357A4">
        <w:rPr>
          <w:rFonts w:ascii="Times New Roman" w:eastAsia="Times New Roman" w:hAnsi="Times New Roman" w:cs="Times New Roman"/>
          <w:color w:val="000000"/>
          <w:sz w:val="24"/>
          <w:szCs w:val="24"/>
          <w:lang w:eastAsia="en-GB"/>
        </w:rPr>
        <w:t>CelSIUS</w:t>
      </w:r>
      <w:proofErr w:type="spellEnd"/>
      <w:r w:rsidRPr="00C357A4">
        <w:rPr>
          <w:rFonts w:ascii="Times New Roman" w:eastAsia="Times New Roman" w:hAnsi="Times New Roman" w:cs="Times New Roman"/>
          <w:color w:val="000000"/>
          <w:sz w:val="24"/>
          <w:szCs w:val="24"/>
          <w:lang w:eastAsia="en-GB"/>
        </w:rPr>
        <w:t>. (</w:t>
      </w:r>
      <w:proofErr w:type="spellStart"/>
      <w:r w:rsidRPr="00C357A4">
        <w:rPr>
          <w:rFonts w:ascii="Times New Roman" w:eastAsia="Times New Roman" w:hAnsi="Times New Roman" w:cs="Times New Roman"/>
          <w:color w:val="000000"/>
          <w:sz w:val="24"/>
          <w:szCs w:val="24"/>
          <w:lang w:eastAsia="en-GB"/>
        </w:rPr>
        <w:t>n.d.</w:t>
      </w:r>
      <w:proofErr w:type="spellEnd"/>
      <w:r w:rsidRPr="00C357A4">
        <w:rPr>
          <w:rFonts w:ascii="Times New Roman" w:eastAsia="Times New Roman" w:hAnsi="Times New Roman" w:cs="Times New Roman"/>
          <w:color w:val="000000"/>
          <w:sz w:val="24"/>
          <w:szCs w:val="24"/>
          <w:lang w:eastAsia="en-GB"/>
        </w:rPr>
        <w:t>). </w:t>
      </w:r>
      <w:r w:rsidRPr="00C357A4">
        <w:rPr>
          <w:rFonts w:ascii="Times New Roman" w:eastAsia="Times New Roman" w:hAnsi="Times New Roman" w:cs="Times New Roman"/>
          <w:i/>
          <w:iCs/>
          <w:color w:val="000000"/>
          <w:sz w:val="24"/>
          <w:szCs w:val="24"/>
          <w:lang w:eastAsia="en-GB"/>
        </w:rPr>
        <w:t>Social Class (SC)</w:t>
      </w:r>
      <w:r w:rsidRPr="00C357A4">
        <w:rPr>
          <w:rFonts w:ascii="Times New Roman" w:eastAsia="Times New Roman" w:hAnsi="Times New Roman" w:cs="Times New Roman"/>
          <w:color w:val="000000"/>
          <w:sz w:val="24"/>
          <w:szCs w:val="24"/>
          <w:lang w:eastAsia="en-GB"/>
        </w:rPr>
        <w:t>. [online] Available at: http://celsius.lshtm.ac.uk/modules/socio/se040100.html [Accessed 8 Apr. 2018].</w:t>
      </w:r>
    </w:p>
    <w:p w14:paraId="4EF1979E" w14:textId="77777777" w:rsidR="005B756C" w:rsidRPr="00403D27" w:rsidRDefault="005B756C" w:rsidP="005B756C">
      <w:pPr>
        <w:pStyle w:val="NormalWeb"/>
        <w:spacing w:before="0" w:beforeAutospacing="0" w:after="180" w:afterAutospacing="0"/>
        <w:ind w:left="450" w:hanging="450"/>
        <w:rPr>
          <w:color w:val="000000"/>
        </w:rPr>
      </w:pPr>
      <w:proofErr w:type="spellStart"/>
      <w:r w:rsidRPr="00403D27">
        <w:rPr>
          <w:color w:val="000000"/>
        </w:rPr>
        <w:t>Doyal</w:t>
      </w:r>
      <w:proofErr w:type="spellEnd"/>
      <w:r w:rsidRPr="00403D27">
        <w:rPr>
          <w:color w:val="000000"/>
        </w:rPr>
        <w:t>, L. (1995). What makes women sick: gender and the political economy of health. </w:t>
      </w:r>
      <w:r w:rsidRPr="00403D27">
        <w:rPr>
          <w:i/>
          <w:iCs/>
          <w:color w:val="000000"/>
        </w:rPr>
        <w:t>Choice Reviews Online</w:t>
      </w:r>
      <w:r w:rsidRPr="00403D27">
        <w:rPr>
          <w:color w:val="000000"/>
        </w:rPr>
        <w:t>, [online] 33(04), pp.33-2154-33-2154. Available at: https://www.bmj.com/content/311/7004/577.1 [Accessed 17 Apr. 2018].</w:t>
      </w:r>
    </w:p>
    <w:p w14:paraId="25527A11" w14:textId="77777777" w:rsidR="005B756C" w:rsidRPr="00403D27" w:rsidRDefault="005B756C" w:rsidP="005B756C">
      <w:pPr>
        <w:pStyle w:val="NormalWeb"/>
        <w:spacing w:before="0" w:beforeAutospacing="0" w:after="180" w:afterAutospacing="0"/>
        <w:ind w:left="450" w:hanging="450"/>
        <w:rPr>
          <w:color w:val="000000"/>
        </w:rPr>
      </w:pPr>
      <w:r w:rsidRPr="00403D27">
        <w:rPr>
          <w:color w:val="000000"/>
        </w:rPr>
        <w:t>Giddens, A. (2013). </w:t>
      </w:r>
      <w:r w:rsidRPr="00403D27">
        <w:rPr>
          <w:i/>
          <w:iCs/>
          <w:color w:val="000000"/>
        </w:rPr>
        <w:t>Essentials of sociology</w:t>
      </w:r>
      <w:r w:rsidRPr="00403D27">
        <w:rPr>
          <w:color w:val="000000"/>
        </w:rPr>
        <w:t>. New York: W.W. Norton &amp; Company.</w:t>
      </w:r>
    </w:p>
    <w:p w14:paraId="6821A6B4" w14:textId="77777777" w:rsidR="005B756C" w:rsidRPr="00C357A4" w:rsidRDefault="005B756C" w:rsidP="005B756C">
      <w:pPr>
        <w:pStyle w:val="NormalWeb"/>
        <w:spacing w:before="0" w:beforeAutospacing="0" w:after="180" w:afterAutospacing="0"/>
        <w:ind w:left="450" w:hanging="450"/>
        <w:rPr>
          <w:color w:val="000000"/>
        </w:rPr>
      </w:pPr>
      <w:proofErr w:type="spellStart"/>
      <w:r w:rsidRPr="00403D27">
        <w:rPr>
          <w:color w:val="000000"/>
        </w:rPr>
        <w:t>Gray</w:t>
      </w:r>
      <w:proofErr w:type="spellEnd"/>
      <w:r w:rsidRPr="00403D27">
        <w:rPr>
          <w:color w:val="000000"/>
        </w:rPr>
        <w:t>, A. (1982). Inequalities in Health. The Black Report: A Summary and Comment. </w:t>
      </w:r>
      <w:r w:rsidRPr="00403D27">
        <w:rPr>
          <w:i/>
          <w:iCs/>
          <w:color w:val="000000"/>
        </w:rPr>
        <w:t>International Journal of Health Services</w:t>
      </w:r>
      <w:r w:rsidRPr="00403D27">
        <w:rPr>
          <w:color w:val="000000"/>
        </w:rPr>
        <w:t>, [online] 12(3), pp.349-380. Available at: https://www.ncbi.nlm.nih.gov/pubmed/7118327 [Accessed 17 Apr. 2018].</w:t>
      </w:r>
    </w:p>
    <w:p w14:paraId="6E0540FF" w14:textId="77777777" w:rsidR="005B756C" w:rsidRPr="00CB0D6A" w:rsidRDefault="005B756C" w:rsidP="005B756C">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B0D6A">
        <w:rPr>
          <w:rFonts w:ascii="Times New Roman" w:eastAsia="Times New Roman" w:hAnsi="Times New Roman" w:cs="Times New Roman"/>
          <w:color w:val="000000"/>
          <w:sz w:val="24"/>
          <w:szCs w:val="24"/>
          <w:lang w:eastAsia="en-GB"/>
        </w:rPr>
        <w:t>Graham H, Kelly MP (2004) Health Inequalities Concepts, frameworks and policy. London. Health Development Agency</w:t>
      </w:r>
    </w:p>
    <w:p w14:paraId="5A9B6F45" w14:textId="77777777" w:rsidR="005B756C" w:rsidRPr="00CB0D6A" w:rsidRDefault="005B756C" w:rsidP="005B756C">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B0D6A">
        <w:rPr>
          <w:rFonts w:ascii="Times New Roman" w:eastAsia="Times New Roman" w:hAnsi="Times New Roman" w:cs="Times New Roman"/>
          <w:color w:val="000000"/>
          <w:sz w:val="24"/>
          <w:szCs w:val="24"/>
          <w:lang w:eastAsia="en-GB"/>
        </w:rPr>
        <w:t>Graham H. (2009) The Challenge of health inequalities in: Understanding health Inequalities. Maidenhead, Open University Press</w:t>
      </w:r>
    </w:p>
    <w:p w14:paraId="180894FE" w14:textId="77777777" w:rsidR="005B756C" w:rsidRPr="00C357A4" w:rsidRDefault="005B756C" w:rsidP="005B756C">
      <w:pPr>
        <w:spacing w:after="180" w:line="240" w:lineRule="auto"/>
        <w:ind w:left="450" w:hanging="450"/>
        <w:rPr>
          <w:rFonts w:ascii="Times New Roman" w:eastAsia="Times New Roman" w:hAnsi="Times New Roman" w:cs="Times New Roman"/>
          <w:color w:val="000000"/>
          <w:sz w:val="24"/>
          <w:szCs w:val="24"/>
          <w:lang w:eastAsia="en-GB"/>
        </w:rPr>
      </w:pPr>
      <w:r w:rsidRPr="00C357A4">
        <w:rPr>
          <w:rFonts w:ascii="Times New Roman" w:eastAsia="Times New Roman" w:hAnsi="Times New Roman" w:cs="Times New Roman"/>
          <w:color w:val="000000"/>
          <w:sz w:val="24"/>
          <w:szCs w:val="24"/>
          <w:lang w:eastAsia="en-GB"/>
        </w:rPr>
        <w:t>Health Survey for England - Cardiovascular disease and risk factors. (2006). [</w:t>
      </w:r>
      <w:proofErr w:type="spellStart"/>
      <w:r w:rsidRPr="00C357A4">
        <w:rPr>
          <w:rFonts w:ascii="Times New Roman" w:eastAsia="Times New Roman" w:hAnsi="Times New Roman" w:cs="Times New Roman"/>
          <w:color w:val="000000"/>
          <w:sz w:val="24"/>
          <w:szCs w:val="24"/>
          <w:lang w:eastAsia="en-GB"/>
        </w:rPr>
        <w:t>ebook</w:t>
      </w:r>
      <w:proofErr w:type="spellEnd"/>
      <w:r w:rsidRPr="00C357A4">
        <w:rPr>
          <w:rFonts w:ascii="Times New Roman" w:eastAsia="Times New Roman" w:hAnsi="Times New Roman" w:cs="Times New Roman"/>
          <w:color w:val="000000"/>
          <w:sz w:val="24"/>
          <w:szCs w:val="24"/>
          <w:lang w:eastAsia="en-GB"/>
        </w:rPr>
        <w:t>] Leeds: The Information Centre. Available at: https://files.digital.nhs.uk/publicationimport/pub01xxx/pub01213/heal-surv-cvd-risk-obes-ad-ch-eng-2006-rep-v3.pdf [Accessed 13 Apr. 2018].</w:t>
      </w:r>
    </w:p>
    <w:p w14:paraId="1C488F78" w14:textId="77777777" w:rsidR="005B756C" w:rsidRPr="00CB0D6A" w:rsidRDefault="005B756C" w:rsidP="005B756C">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B0D6A">
        <w:rPr>
          <w:rFonts w:ascii="Times New Roman" w:eastAsia="Times New Roman" w:hAnsi="Times New Roman" w:cs="Times New Roman"/>
          <w:color w:val="000000"/>
          <w:sz w:val="24"/>
          <w:szCs w:val="24"/>
          <w:lang w:eastAsia="en-GB"/>
        </w:rPr>
        <w:t xml:space="preserve">Health Impact Assessment (2014): The determinants of health [http://www.who.int/hia/evidence/doh/en] Accessed on: </w:t>
      </w:r>
      <w:r>
        <w:rPr>
          <w:rFonts w:ascii="Times New Roman" w:eastAsia="Times New Roman" w:hAnsi="Times New Roman" w:cs="Times New Roman"/>
          <w:color w:val="000000"/>
          <w:sz w:val="24"/>
          <w:szCs w:val="24"/>
          <w:lang w:eastAsia="en-GB"/>
        </w:rPr>
        <w:t>10</w:t>
      </w:r>
      <w:r w:rsidRPr="00CB0D6A">
        <w:rPr>
          <w:rFonts w:ascii="Times New Roman" w:eastAsia="Times New Roman" w:hAnsi="Times New Roman" w:cs="Times New Roman"/>
          <w:color w:val="000000"/>
          <w:sz w:val="24"/>
          <w:szCs w:val="24"/>
          <w:lang w:eastAsia="en-GB"/>
        </w:rPr>
        <w:t>/04/20</w:t>
      </w:r>
      <w:r>
        <w:rPr>
          <w:rFonts w:ascii="Times New Roman" w:eastAsia="Times New Roman" w:hAnsi="Times New Roman" w:cs="Times New Roman"/>
          <w:color w:val="000000"/>
          <w:sz w:val="24"/>
          <w:szCs w:val="24"/>
          <w:lang w:eastAsia="en-GB"/>
        </w:rPr>
        <w:t>18</w:t>
      </w:r>
    </w:p>
    <w:p w14:paraId="26B4B51A" w14:textId="77777777" w:rsidR="005B756C" w:rsidRDefault="005B756C" w:rsidP="005B756C">
      <w:pPr>
        <w:spacing w:line="360" w:lineRule="auto"/>
        <w:rPr>
          <w:rFonts w:ascii="Times New Roman" w:hAnsi="Times New Roman" w:cs="Times New Roman"/>
          <w:color w:val="000000"/>
          <w:sz w:val="24"/>
          <w:szCs w:val="24"/>
        </w:rPr>
      </w:pPr>
      <w:r w:rsidRPr="00CB0D6A">
        <w:rPr>
          <w:rFonts w:ascii="Times New Roman" w:hAnsi="Times New Roman" w:cs="Times New Roman"/>
          <w:color w:val="000000"/>
          <w:sz w:val="24"/>
          <w:szCs w:val="24"/>
        </w:rPr>
        <w:lastRenderedPageBreak/>
        <w:t xml:space="preserve">I </w:t>
      </w:r>
      <w:proofErr w:type="spellStart"/>
      <w:r w:rsidRPr="00CB0D6A">
        <w:rPr>
          <w:rFonts w:ascii="Times New Roman" w:hAnsi="Times New Roman" w:cs="Times New Roman"/>
          <w:color w:val="000000"/>
          <w:sz w:val="24"/>
          <w:szCs w:val="24"/>
        </w:rPr>
        <w:t>Kawachi</w:t>
      </w:r>
      <w:proofErr w:type="spellEnd"/>
      <w:r w:rsidRPr="00CB0D6A">
        <w:rPr>
          <w:rFonts w:ascii="Times New Roman" w:hAnsi="Times New Roman" w:cs="Times New Roman"/>
          <w:color w:val="000000"/>
          <w:sz w:val="24"/>
          <w:szCs w:val="24"/>
        </w:rPr>
        <w:t>, S V Subramanian (2002) A Glossary for Health Inequalities. J, Epidermal Community Health</w:t>
      </w:r>
    </w:p>
    <w:p w14:paraId="7D947D5C" w14:textId="77777777" w:rsidR="005B756C" w:rsidRPr="00957ADE" w:rsidRDefault="005B756C" w:rsidP="005B756C">
      <w:pPr>
        <w:spacing w:line="360" w:lineRule="auto"/>
        <w:rPr>
          <w:rFonts w:ascii="Times New Roman" w:hAnsi="Times New Roman" w:cs="Times New Roman"/>
          <w:sz w:val="24"/>
          <w:szCs w:val="24"/>
        </w:rPr>
      </w:pPr>
      <w:r w:rsidRPr="00957ADE">
        <w:rPr>
          <w:rFonts w:ascii="Times New Roman" w:hAnsi="Times New Roman" w:cs="Times New Roman"/>
          <w:sz w:val="24"/>
          <w:szCs w:val="24"/>
        </w:rPr>
        <w:t>Macintyre, S. (1997) ‘The Black Report and beyond: what are the issues?’. Social Science and Medicine, 44(6)</w:t>
      </w:r>
    </w:p>
    <w:p w14:paraId="449A273C" w14:textId="77777777" w:rsidR="005B756C" w:rsidRDefault="005B756C" w:rsidP="005B756C">
      <w:pPr>
        <w:spacing w:line="360" w:lineRule="auto"/>
        <w:rPr>
          <w:rFonts w:ascii="Times New Roman" w:hAnsi="Times New Roman" w:cs="Times New Roman"/>
          <w:color w:val="000000"/>
          <w:sz w:val="24"/>
          <w:szCs w:val="24"/>
        </w:rPr>
      </w:pPr>
      <w:r w:rsidRPr="00CB0D6A">
        <w:rPr>
          <w:rFonts w:ascii="Times New Roman" w:hAnsi="Times New Roman" w:cs="Times New Roman"/>
          <w:color w:val="000000"/>
          <w:sz w:val="24"/>
          <w:szCs w:val="24"/>
        </w:rPr>
        <w:t>Marmot Review Fair Society, Healthy Lives: Strategic Review of Health Inequalities England. Post 2010.</w:t>
      </w:r>
    </w:p>
    <w:p w14:paraId="68E00987" w14:textId="77777777" w:rsidR="005B756C" w:rsidRPr="00C357A4" w:rsidRDefault="005B756C" w:rsidP="005B756C">
      <w:pPr>
        <w:spacing w:after="180" w:line="240" w:lineRule="auto"/>
        <w:ind w:left="450" w:hanging="450"/>
        <w:rPr>
          <w:rFonts w:ascii="Times New Roman" w:eastAsia="Times New Roman" w:hAnsi="Times New Roman" w:cs="Times New Roman"/>
          <w:color w:val="000000"/>
          <w:sz w:val="24"/>
          <w:szCs w:val="24"/>
          <w:lang w:eastAsia="en-GB"/>
        </w:rPr>
      </w:pPr>
      <w:r w:rsidRPr="00CB0D6A">
        <w:rPr>
          <w:rFonts w:ascii="Times New Roman" w:eastAsia="Times New Roman" w:hAnsi="Times New Roman" w:cs="Times New Roman"/>
          <w:color w:val="000000"/>
          <w:sz w:val="24"/>
          <w:szCs w:val="24"/>
          <w:lang w:eastAsia="en-GB"/>
        </w:rPr>
        <w:t>Marmot Review Fair Society, Healthy Lives: Strategic Review of Health Inequalities England.</w:t>
      </w:r>
      <w:r>
        <w:rPr>
          <w:rFonts w:ascii="Times New Roman" w:eastAsia="Times New Roman" w:hAnsi="Times New Roman" w:cs="Times New Roman"/>
          <w:color w:val="000000"/>
          <w:sz w:val="24"/>
          <w:szCs w:val="24"/>
          <w:lang w:eastAsia="en-GB"/>
        </w:rPr>
        <w:t xml:space="preserve"> </w:t>
      </w:r>
      <w:r w:rsidRPr="00CB0D6A">
        <w:rPr>
          <w:rFonts w:ascii="Times New Roman" w:eastAsia="Times New Roman" w:hAnsi="Times New Roman" w:cs="Times New Roman"/>
          <w:color w:val="000000"/>
          <w:sz w:val="24"/>
          <w:szCs w:val="24"/>
          <w:lang w:eastAsia="en-GB"/>
        </w:rPr>
        <w:t>2010</w:t>
      </w:r>
      <w:r w:rsidRPr="00C357A4">
        <w:rPr>
          <w:rFonts w:ascii="Times New Roman" w:eastAsia="Times New Roman" w:hAnsi="Times New Roman" w:cs="Times New Roman"/>
          <w:color w:val="000000"/>
          <w:sz w:val="24"/>
          <w:szCs w:val="24"/>
          <w:lang w:eastAsia="en-GB"/>
        </w:rPr>
        <w:t>NHS UK. (2016). </w:t>
      </w:r>
      <w:r w:rsidRPr="00C357A4">
        <w:rPr>
          <w:rFonts w:ascii="Times New Roman" w:eastAsia="Times New Roman" w:hAnsi="Times New Roman" w:cs="Times New Roman"/>
          <w:i/>
          <w:iCs/>
          <w:color w:val="000000"/>
          <w:sz w:val="24"/>
          <w:szCs w:val="24"/>
          <w:lang w:eastAsia="en-GB"/>
        </w:rPr>
        <w:t>Cardiovascular disease</w:t>
      </w:r>
      <w:r w:rsidRPr="00C357A4">
        <w:rPr>
          <w:rFonts w:ascii="Times New Roman" w:eastAsia="Times New Roman" w:hAnsi="Times New Roman" w:cs="Times New Roman"/>
          <w:color w:val="000000"/>
          <w:sz w:val="24"/>
          <w:szCs w:val="24"/>
          <w:lang w:eastAsia="en-GB"/>
        </w:rPr>
        <w:t>. [online] Available at: https://www.nhs.uk/conditions/cardiovascular-disease/ [Accessed 14 Apr. 2018].</w:t>
      </w:r>
    </w:p>
    <w:p w14:paraId="75DA6CFC" w14:textId="77777777" w:rsidR="005B756C" w:rsidRPr="00C357A4" w:rsidRDefault="005B756C" w:rsidP="005B756C">
      <w:pPr>
        <w:spacing w:after="180" w:line="240" w:lineRule="auto"/>
        <w:ind w:left="450" w:hanging="450"/>
        <w:rPr>
          <w:rFonts w:ascii="Times New Roman" w:eastAsia="Times New Roman" w:hAnsi="Times New Roman" w:cs="Times New Roman"/>
          <w:color w:val="000000"/>
          <w:sz w:val="24"/>
          <w:szCs w:val="24"/>
          <w:lang w:eastAsia="en-GB"/>
        </w:rPr>
      </w:pPr>
      <w:r w:rsidRPr="00C357A4">
        <w:rPr>
          <w:rFonts w:ascii="Times New Roman" w:eastAsia="Times New Roman" w:hAnsi="Times New Roman" w:cs="Times New Roman"/>
          <w:color w:val="000000"/>
          <w:sz w:val="24"/>
          <w:szCs w:val="24"/>
          <w:lang w:eastAsia="en-GB"/>
        </w:rPr>
        <w:t>Office for National Statistics. (2018). </w:t>
      </w:r>
      <w:r w:rsidRPr="00C357A4">
        <w:rPr>
          <w:rFonts w:ascii="Times New Roman" w:eastAsia="Times New Roman" w:hAnsi="Times New Roman" w:cs="Times New Roman"/>
          <w:i/>
          <w:iCs/>
          <w:color w:val="000000"/>
          <w:sz w:val="24"/>
          <w:szCs w:val="24"/>
          <w:lang w:eastAsia="en-GB"/>
        </w:rPr>
        <w:t xml:space="preserve">SOC2010 volume 3: </w:t>
      </w:r>
      <w:r>
        <w:rPr>
          <w:rFonts w:ascii="Times New Roman" w:eastAsia="Times New Roman" w:hAnsi="Times New Roman" w:cs="Times New Roman"/>
          <w:i/>
          <w:iCs/>
          <w:color w:val="000000"/>
          <w:sz w:val="24"/>
          <w:szCs w:val="24"/>
          <w:lang w:eastAsia="en-GB"/>
        </w:rPr>
        <w:t>T</w:t>
      </w:r>
      <w:r w:rsidRPr="00C357A4">
        <w:rPr>
          <w:rFonts w:ascii="Times New Roman" w:eastAsia="Times New Roman" w:hAnsi="Times New Roman" w:cs="Times New Roman"/>
          <w:i/>
          <w:iCs/>
          <w:color w:val="000000"/>
          <w:sz w:val="24"/>
          <w:szCs w:val="24"/>
          <w:lang w:eastAsia="en-GB"/>
        </w:rPr>
        <w:t>he National Statistics Socio-economic classification (NS-SEC rebased on SOC2010) - Office for National Statistics</w:t>
      </w:r>
      <w:r w:rsidRPr="00C357A4">
        <w:rPr>
          <w:rFonts w:ascii="Times New Roman" w:eastAsia="Times New Roman" w:hAnsi="Times New Roman" w:cs="Times New Roman"/>
          <w:color w:val="000000"/>
          <w:sz w:val="24"/>
          <w:szCs w:val="24"/>
          <w:lang w:eastAsia="en-GB"/>
        </w:rPr>
        <w:t>. [online] Available at: https://www.ons.gov.uk/methodology/classificationsandstandards/standardoccupationalclassificationsoc/soc2010/soc2010volume3thenationalstatisticssocioeconomicclassificationnssecrebasedonsoc2010 [Accessed 8 Apr. 2018].</w:t>
      </w:r>
    </w:p>
    <w:p w14:paraId="579403CB" w14:textId="77777777" w:rsidR="005B756C" w:rsidRPr="00C357A4" w:rsidRDefault="005B756C" w:rsidP="005B756C">
      <w:pPr>
        <w:spacing w:after="180" w:line="240" w:lineRule="auto"/>
        <w:ind w:left="450" w:hanging="450"/>
        <w:rPr>
          <w:rFonts w:ascii="Times New Roman" w:eastAsia="Times New Roman" w:hAnsi="Times New Roman" w:cs="Times New Roman"/>
          <w:color w:val="000000"/>
          <w:sz w:val="24"/>
          <w:szCs w:val="24"/>
          <w:lang w:eastAsia="en-GB"/>
        </w:rPr>
      </w:pPr>
      <w:r w:rsidRPr="00C357A4">
        <w:rPr>
          <w:rFonts w:ascii="Times New Roman" w:eastAsia="Times New Roman" w:hAnsi="Times New Roman" w:cs="Times New Roman"/>
          <w:color w:val="000000"/>
          <w:sz w:val="24"/>
          <w:szCs w:val="24"/>
          <w:lang w:eastAsia="en-GB"/>
        </w:rPr>
        <w:t>Oldfield, N. and Bradshaw, J. (2011). The costs of a child in a low-income household. </w:t>
      </w:r>
      <w:r w:rsidRPr="00C357A4">
        <w:rPr>
          <w:rFonts w:ascii="Times New Roman" w:eastAsia="Times New Roman" w:hAnsi="Times New Roman" w:cs="Times New Roman"/>
          <w:i/>
          <w:iCs/>
          <w:color w:val="000000"/>
          <w:sz w:val="24"/>
          <w:szCs w:val="24"/>
          <w:lang w:eastAsia="en-GB"/>
        </w:rPr>
        <w:t>Journal of Poverty and Social Justice</w:t>
      </w:r>
      <w:r w:rsidRPr="00C357A4">
        <w:rPr>
          <w:rFonts w:ascii="Times New Roman" w:eastAsia="Times New Roman" w:hAnsi="Times New Roman" w:cs="Times New Roman"/>
          <w:color w:val="000000"/>
          <w:sz w:val="24"/>
          <w:szCs w:val="24"/>
          <w:lang w:eastAsia="en-GB"/>
        </w:rPr>
        <w:t>, [online] 19(2), pp.131-143. Available at: https://search-proquest-com.ezproxy.uwtsd.ac.uk/docview/1948538818?accountid=130472&amp;rfr_id=info%3Axri%2Fsid%3Aprimo [Accessed 9 Apr. 2018].</w:t>
      </w:r>
    </w:p>
    <w:p w14:paraId="64627383" w14:textId="77777777" w:rsidR="005B756C" w:rsidRDefault="005B756C" w:rsidP="005B756C">
      <w:pPr>
        <w:spacing w:after="180" w:line="240" w:lineRule="auto"/>
        <w:ind w:left="450" w:hanging="450"/>
        <w:rPr>
          <w:rFonts w:ascii="Times New Roman" w:eastAsia="Times New Roman" w:hAnsi="Times New Roman" w:cs="Times New Roman"/>
          <w:color w:val="000000"/>
          <w:sz w:val="24"/>
          <w:szCs w:val="24"/>
          <w:lang w:eastAsia="en-GB"/>
        </w:rPr>
      </w:pPr>
      <w:r w:rsidRPr="00C357A4">
        <w:rPr>
          <w:rFonts w:ascii="Times New Roman" w:eastAsia="Times New Roman" w:hAnsi="Times New Roman" w:cs="Times New Roman"/>
          <w:color w:val="000000"/>
          <w:sz w:val="24"/>
          <w:szCs w:val="24"/>
          <w:lang w:eastAsia="en-GB"/>
        </w:rPr>
        <w:t>ONS - Implications of changes in the UK social and occupational classifications in 2001 for vital statistics. (2002). [</w:t>
      </w:r>
      <w:proofErr w:type="spellStart"/>
      <w:r w:rsidRPr="00C357A4">
        <w:rPr>
          <w:rFonts w:ascii="Times New Roman" w:eastAsia="Times New Roman" w:hAnsi="Times New Roman" w:cs="Times New Roman"/>
          <w:color w:val="000000"/>
          <w:sz w:val="24"/>
          <w:szCs w:val="24"/>
          <w:lang w:eastAsia="en-GB"/>
        </w:rPr>
        <w:t>ebook</w:t>
      </w:r>
      <w:proofErr w:type="spellEnd"/>
      <w:r w:rsidRPr="00C357A4">
        <w:rPr>
          <w:rFonts w:ascii="Times New Roman" w:eastAsia="Times New Roman" w:hAnsi="Times New Roman" w:cs="Times New Roman"/>
          <w:color w:val="000000"/>
          <w:sz w:val="24"/>
          <w:szCs w:val="24"/>
          <w:lang w:eastAsia="en-GB"/>
        </w:rPr>
        <w:t>] Office for National Statistics. Available at: https://www.ons.gov.uk/implications-of-changes-in-the-uk-social-and-occupational... [Accessed 16 Apr. 2018].</w:t>
      </w:r>
    </w:p>
    <w:p w14:paraId="2FF65097" w14:textId="77777777" w:rsidR="005B756C" w:rsidRPr="00C357A4" w:rsidRDefault="005B756C" w:rsidP="005B756C">
      <w:pPr>
        <w:pStyle w:val="NormalWeb"/>
        <w:spacing w:before="0" w:beforeAutospacing="0" w:after="180" w:afterAutospacing="0"/>
        <w:ind w:left="450" w:hanging="450"/>
        <w:rPr>
          <w:color w:val="000000"/>
        </w:rPr>
      </w:pPr>
      <w:r w:rsidRPr="00403D27">
        <w:rPr>
          <w:color w:val="000000"/>
        </w:rPr>
        <w:t>Public Health England. (2017). </w:t>
      </w:r>
      <w:r w:rsidRPr="00403D27">
        <w:rPr>
          <w:i/>
          <w:iCs/>
          <w:color w:val="000000"/>
        </w:rPr>
        <w:t>Action Plan for Cardiovascular Disease 2017-2018</w:t>
      </w:r>
      <w:r w:rsidRPr="00403D27">
        <w:rPr>
          <w:color w:val="000000"/>
        </w:rPr>
        <w:t>. [online] Available at: https://assets.publishing.service.gov.uk/government/uploads/system/uploads/attachment_data/file/648190/cardiovascular_disease_prevention_action_plan_2017_to_2018.pdf [Accessed 18 Apr. 2018].</w:t>
      </w:r>
    </w:p>
    <w:p w14:paraId="177E8F31" w14:textId="77777777" w:rsidR="005B756C" w:rsidRPr="00C357A4" w:rsidRDefault="005B756C" w:rsidP="005B756C">
      <w:pPr>
        <w:spacing w:after="180" w:line="240" w:lineRule="auto"/>
        <w:ind w:left="450" w:hanging="450"/>
        <w:rPr>
          <w:rFonts w:ascii="Times New Roman" w:eastAsia="Times New Roman" w:hAnsi="Times New Roman" w:cs="Times New Roman"/>
          <w:color w:val="000000"/>
          <w:sz w:val="24"/>
          <w:szCs w:val="24"/>
          <w:lang w:eastAsia="en-GB"/>
        </w:rPr>
      </w:pPr>
      <w:r w:rsidRPr="00C357A4">
        <w:rPr>
          <w:rFonts w:ascii="Times New Roman" w:eastAsia="Times New Roman" w:hAnsi="Times New Roman" w:cs="Times New Roman"/>
          <w:color w:val="000000"/>
          <w:sz w:val="24"/>
          <w:szCs w:val="24"/>
          <w:lang w:eastAsia="en-GB"/>
        </w:rPr>
        <w:t>Rose, G. and Marmot, M. (1981). Social class and coronary heart disease. </w:t>
      </w:r>
      <w:r w:rsidRPr="00C357A4">
        <w:rPr>
          <w:rFonts w:ascii="Times New Roman" w:eastAsia="Times New Roman" w:hAnsi="Times New Roman" w:cs="Times New Roman"/>
          <w:i/>
          <w:iCs/>
          <w:color w:val="000000"/>
          <w:sz w:val="24"/>
          <w:szCs w:val="24"/>
          <w:lang w:eastAsia="en-GB"/>
        </w:rPr>
        <w:t>Heart</w:t>
      </w:r>
      <w:r w:rsidRPr="00C357A4">
        <w:rPr>
          <w:rFonts w:ascii="Times New Roman" w:eastAsia="Times New Roman" w:hAnsi="Times New Roman" w:cs="Times New Roman"/>
          <w:color w:val="000000"/>
          <w:sz w:val="24"/>
          <w:szCs w:val="24"/>
          <w:lang w:eastAsia="en-GB"/>
        </w:rPr>
        <w:t>, [online] 45(1), pp.13-19. Available at: https://www.ncbi.nlm.nih.gov/pmc/articles/PMC482483/ [Accessed 17 Apr. 2018].</w:t>
      </w:r>
    </w:p>
    <w:p w14:paraId="6D481893" w14:textId="77777777" w:rsidR="005B756C" w:rsidRPr="00C357A4" w:rsidRDefault="005B756C" w:rsidP="005B756C">
      <w:pPr>
        <w:spacing w:after="180" w:line="240" w:lineRule="auto"/>
        <w:ind w:left="450" w:hanging="450"/>
        <w:rPr>
          <w:rFonts w:ascii="Times New Roman" w:eastAsia="Times New Roman" w:hAnsi="Times New Roman" w:cs="Times New Roman"/>
          <w:color w:val="000000"/>
          <w:sz w:val="24"/>
          <w:szCs w:val="24"/>
          <w:lang w:eastAsia="en-GB"/>
        </w:rPr>
      </w:pPr>
      <w:r w:rsidRPr="00C357A4">
        <w:rPr>
          <w:rFonts w:ascii="Times New Roman" w:eastAsia="Times New Roman" w:hAnsi="Times New Roman" w:cs="Times New Roman"/>
          <w:color w:val="000000"/>
          <w:sz w:val="24"/>
          <w:szCs w:val="24"/>
          <w:lang w:eastAsia="en-GB"/>
        </w:rPr>
        <w:t xml:space="preserve">Runciman, W. (1990). How many Classes are there in Contemporary British </w:t>
      </w:r>
      <w:proofErr w:type="gramStart"/>
      <w:r w:rsidRPr="00C357A4">
        <w:rPr>
          <w:rFonts w:ascii="Times New Roman" w:eastAsia="Times New Roman" w:hAnsi="Times New Roman" w:cs="Times New Roman"/>
          <w:color w:val="000000"/>
          <w:sz w:val="24"/>
          <w:szCs w:val="24"/>
          <w:lang w:eastAsia="en-GB"/>
        </w:rPr>
        <w:t>Society?.</w:t>
      </w:r>
      <w:proofErr w:type="gramEnd"/>
      <w:r w:rsidRPr="00C357A4">
        <w:rPr>
          <w:rFonts w:ascii="Times New Roman" w:eastAsia="Times New Roman" w:hAnsi="Times New Roman" w:cs="Times New Roman"/>
          <w:color w:val="000000"/>
          <w:sz w:val="24"/>
          <w:szCs w:val="24"/>
          <w:lang w:eastAsia="en-GB"/>
        </w:rPr>
        <w:t> </w:t>
      </w:r>
      <w:r w:rsidRPr="00C357A4">
        <w:rPr>
          <w:rFonts w:ascii="Times New Roman" w:eastAsia="Times New Roman" w:hAnsi="Times New Roman" w:cs="Times New Roman"/>
          <w:i/>
          <w:iCs/>
          <w:color w:val="000000"/>
          <w:sz w:val="24"/>
          <w:szCs w:val="24"/>
          <w:lang w:eastAsia="en-GB"/>
        </w:rPr>
        <w:t>Sociology</w:t>
      </w:r>
      <w:r w:rsidRPr="00C357A4">
        <w:rPr>
          <w:rFonts w:ascii="Times New Roman" w:eastAsia="Times New Roman" w:hAnsi="Times New Roman" w:cs="Times New Roman"/>
          <w:color w:val="000000"/>
          <w:sz w:val="24"/>
          <w:szCs w:val="24"/>
          <w:lang w:eastAsia="en-GB"/>
        </w:rPr>
        <w:t>, [online] 24(3), pp.377-396. Available at: http://www.jstor.org/stable/42854687 [Accessed 8 Apr. 2018].</w:t>
      </w:r>
    </w:p>
    <w:p w14:paraId="01E3AE13" w14:textId="77777777" w:rsidR="005B756C" w:rsidRPr="00C357A4" w:rsidRDefault="005B756C" w:rsidP="005B756C">
      <w:pPr>
        <w:spacing w:after="180" w:line="240" w:lineRule="auto"/>
        <w:ind w:left="450" w:hanging="450"/>
        <w:rPr>
          <w:rFonts w:ascii="Times New Roman" w:eastAsia="Times New Roman" w:hAnsi="Times New Roman" w:cs="Times New Roman"/>
          <w:color w:val="000000"/>
          <w:sz w:val="24"/>
          <w:szCs w:val="24"/>
          <w:lang w:eastAsia="en-GB"/>
        </w:rPr>
      </w:pPr>
      <w:r w:rsidRPr="00C357A4">
        <w:rPr>
          <w:rFonts w:ascii="Times New Roman" w:eastAsia="Times New Roman" w:hAnsi="Times New Roman" w:cs="Times New Roman"/>
          <w:color w:val="000000"/>
          <w:sz w:val="24"/>
          <w:szCs w:val="24"/>
          <w:lang w:eastAsia="en-GB"/>
        </w:rPr>
        <w:t>Sartorius, N. (2006). </w:t>
      </w:r>
      <w:r w:rsidRPr="00C357A4">
        <w:rPr>
          <w:rFonts w:ascii="Times New Roman" w:eastAsia="Times New Roman" w:hAnsi="Times New Roman" w:cs="Times New Roman"/>
          <w:i/>
          <w:iCs/>
          <w:color w:val="000000"/>
          <w:sz w:val="24"/>
          <w:szCs w:val="24"/>
          <w:lang w:eastAsia="en-GB"/>
        </w:rPr>
        <w:t>The Meanings of Health and its Promotion</w:t>
      </w:r>
      <w:r w:rsidRPr="00C357A4">
        <w:rPr>
          <w:rFonts w:ascii="Times New Roman" w:eastAsia="Times New Roman" w:hAnsi="Times New Roman" w:cs="Times New Roman"/>
          <w:color w:val="000000"/>
          <w:sz w:val="24"/>
          <w:szCs w:val="24"/>
          <w:lang w:eastAsia="en-GB"/>
        </w:rPr>
        <w:t>. [online] PubMed Central (PMC). Available at: https://www.ncbi.nlm.nih.gov/pmc/articles/PMC2080455/ [Accessed 11 Apr. 2018].</w:t>
      </w:r>
    </w:p>
    <w:p w14:paraId="1699CD52" w14:textId="77777777" w:rsidR="005B756C" w:rsidRPr="00C357A4" w:rsidRDefault="005B756C" w:rsidP="005B756C">
      <w:pPr>
        <w:spacing w:after="180" w:line="240" w:lineRule="auto"/>
        <w:ind w:left="450" w:hanging="450"/>
        <w:rPr>
          <w:rFonts w:ascii="Times New Roman" w:eastAsia="Times New Roman" w:hAnsi="Times New Roman" w:cs="Times New Roman"/>
          <w:color w:val="000000"/>
          <w:sz w:val="24"/>
          <w:szCs w:val="24"/>
          <w:lang w:eastAsia="en-GB"/>
        </w:rPr>
      </w:pPr>
      <w:r w:rsidRPr="00C357A4">
        <w:rPr>
          <w:rFonts w:ascii="Times New Roman" w:eastAsia="Times New Roman" w:hAnsi="Times New Roman" w:cs="Times New Roman"/>
          <w:color w:val="000000"/>
          <w:sz w:val="24"/>
          <w:szCs w:val="24"/>
          <w:lang w:eastAsia="en-GB"/>
        </w:rPr>
        <w:t>Saunders, P. (1990). </w:t>
      </w:r>
      <w:r w:rsidRPr="00C357A4">
        <w:rPr>
          <w:rFonts w:ascii="Times New Roman" w:eastAsia="Times New Roman" w:hAnsi="Times New Roman" w:cs="Times New Roman"/>
          <w:i/>
          <w:iCs/>
          <w:color w:val="000000"/>
          <w:sz w:val="24"/>
          <w:szCs w:val="24"/>
          <w:lang w:eastAsia="en-GB"/>
        </w:rPr>
        <w:t>Social class and stratification</w:t>
      </w:r>
      <w:r w:rsidRPr="00C357A4">
        <w:rPr>
          <w:rFonts w:ascii="Times New Roman" w:eastAsia="Times New Roman" w:hAnsi="Times New Roman" w:cs="Times New Roman"/>
          <w:color w:val="000000"/>
          <w:sz w:val="24"/>
          <w:szCs w:val="24"/>
          <w:lang w:eastAsia="en-GB"/>
        </w:rPr>
        <w:t>. London: Routledge.</w:t>
      </w:r>
    </w:p>
    <w:p w14:paraId="25668208" w14:textId="77777777" w:rsidR="005B756C" w:rsidRDefault="005B756C" w:rsidP="005B756C">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B0D6A">
        <w:rPr>
          <w:rFonts w:ascii="Times New Roman" w:eastAsia="Times New Roman" w:hAnsi="Times New Roman" w:cs="Times New Roman"/>
          <w:color w:val="000000"/>
          <w:sz w:val="24"/>
          <w:szCs w:val="24"/>
          <w:lang w:eastAsia="en-GB"/>
        </w:rPr>
        <w:lastRenderedPageBreak/>
        <w:t>Saunders, P (2002) SPRC’s: The Direct and Indirect effects of unemployment on Poverty and Inequality. Available at: [https://www.sprc.unsw.edu.au/media/SPRCFile/DP118.pdf] Accessed on 04/04/2015</w:t>
      </w:r>
    </w:p>
    <w:p w14:paraId="68974312" w14:textId="77777777" w:rsidR="005B756C" w:rsidRPr="00403D27" w:rsidRDefault="005B756C" w:rsidP="005B756C">
      <w:pPr>
        <w:pStyle w:val="NormalWeb"/>
        <w:spacing w:before="0" w:beforeAutospacing="0" w:after="180" w:afterAutospacing="0"/>
        <w:ind w:left="450" w:hanging="450"/>
        <w:rPr>
          <w:color w:val="000000"/>
        </w:rPr>
      </w:pPr>
      <w:r w:rsidRPr="00403D27">
        <w:rPr>
          <w:color w:val="000000"/>
        </w:rPr>
        <w:t>Sorenson, S. (2011). Gender Disparities in Injury Mortality: Consistent, Persistent, and Larger Than You'd Think. </w:t>
      </w:r>
      <w:r w:rsidRPr="00403D27">
        <w:rPr>
          <w:i/>
          <w:iCs/>
          <w:color w:val="000000"/>
        </w:rPr>
        <w:t>American Journal of Public Health</w:t>
      </w:r>
      <w:r w:rsidRPr="00403D27">
        <w:rPr>
          <w:color w:val="000000"/>
        </w:rPr>
        <w:t xml:space="preserve">, [online] 101(S1), </w:t>
      </w:r>
      <w:proofErr w:type="gramStart"/>
      <w:r w:rsidRPr="00403D27">
        <w:rPr>
          <w:color w:val="000000"/>
        </w:rPr>
        <w:t>pp.S</w:t>
      </w:r>
      <w:proofErr w:type="gramEnd"/>
      <w:r w:rsidRPr="00403D27">
        <w:rPr>
          <w:color w:val="000000"/>
        </w:rPr>
        <w:t>353-S358. Available at: https://www.ncbi.nlm.nih.gov/pmc/articles/PMC3222499/ [Accessed 16 Apr. 2011].</w:t>
      </w:r>
    </w:p>
    <w:p w14:paraId="0DF50566" w14:textId="77777777" w:rsidR="005B756C" w:rsidRPr="00403D27" w:rsidRDefault="005B756C" w:rsidP="005B756C">
      <w:pPr>
        <w:pStyle w:val="NormalWeb"/>
        <w:spacing w:before="0" w:beforeAutospacing="0" w:after="180" w:afterAutospacing="0"/>
        <w:ind w:left="450" w:hanging="450"/>
        <w:rPr>
          <w:color w:val="000000"/>
        </w:rPr>
      </w:pPr>
      <w:r w:rsidRPr="00403D27">
        <w:rPr>
          <w:color w:val="000000"/>
        </w:rPr>
        <w:t xml:space="preserve">Taylor, P., Richardson, J., Yeo, A., Marsh, I., Trobe, K. and </w:t>
      </w:r>
      <w:proofErr w:type="spellStart"/>
      <w:r w:rsidRPr="00403D27">
        <w:rPr>
          <w:color w:val="000000"/>
        </w:rPr>
        <w:t>Pilkinton</w:t>
      </w:r>
      <w:proofErr w:type="spellEnd"/>
      <w:r w:rsidRPr="00403D27">
        <w:rPr>
          <w:color w:val="000000"/>
        </w:rPr>
        <w:t>, A. (1998). </w:t>
      </w:r>
      <w:r w:rsidRPr="00403D27">
        <w:rPr>
          <w:i/>
          <w:iCs/>
          <w:color w:val="000000"/>
        </w:rPr>
        <w:t>Sociology in Focus</w:t>
      </w:r>
      <w:r w:rsidRPr="00403D27">
        <w:rPr>
          <w:color w:val="000000"/>
        </w:rPr>
        <w:t>. Bath: The Bath Press.</w:t>
      </w:r>
    </w:p>
    <w:p w14:paraId="0BDCD733" w14:textId="77777777" w:rsidR="005B756C" w:rsidRPr="00CB0D6A" w:rsidRDefault="005B756C" w:rsidP="005B756C">
      <w:pPr>
        <w:spacing w:before="100" w:beforeAutospacing="1" w:after="100" w:afterAutospacing="1" w:line="240" w:lineRule="auto"/>
        <w:rPr>
          <w:rFonts w:ascii="Times New Roman" w:eastAsia="Times New Roman" w:hAnsi="Times New Roman" w:cs="Times New Roman"/>
          <w:color w:val="000000"/>
          <w:sz w:val="24"/>
          <w:szCs w:val="24"/>
          <w:lang w:eastAsia="en-GB"/>
        </w:rPr>
      </w:pPr>
    </w:p>
    <w:p w14:paraId="32387B65" w14:textId="77777777" w:rsidR="005B756C" w:rsidRPr="00C357A4" w:rsidRDefault="005B756C" w:rsidP="005B756C">
      <w:pPr>
        <w:spacing w:after="180" w:line="240" w:lineRule="auto"/>
        <w:ind w:left="450" w:hanging="450"/>
        <w:rPr>
          <w:rFonts w:ascii="Times New Roman" w:eastAsia="Times New Roman" w:hAnsi="Times New Roman" w:cs="Times New Roman"/>
          <w:color w:val="000000"/>
          <w:sz w:val="24"/>
          <w:szCs w:val="24"/>
          <w:lang w:eastAsia="en-GB"/>
        </w:rPr>
      </w:pPr>
      <w:r w:rsidRPr="00C357A4">
        <w:rPr>
          <w:rFonts w:ascii="Times New Roman" w:eastAsia="Times New Roman" w:hAnsi="Times New Roman" w:cs="Times New Roman"/>
          <w:color w:val="000000"/>
          <w:sz w:val="24"/>
          <w:szCs w:val="24"/>
          <w:lang w:eastAsia="en-GB"/>
        </w:rPr>
        <w:t>The Equality Trust. (</w:t>
      </w:r>
      <w:proofErr w:type="spellStart"/>
      <w:r w:rsidRPr="00C357A4">
        <w:rPr>
          <w:rFonts w:ascii="Times New Roman" w:eastAsia="Times New Roman" w:hAnsi="Times New Roman" w:cs="Times New Roman"/>
          <w:color w:val="000000"/>
          <w:sz w:val="24"/>
          <w:szCs w:val="24"/>
          <w:lang w:eastAsia="en-GB"/>
        </w:rPr>
        <w:t>n.d.</w:t>
      </w:r>
      <w:proofErr w:type="spellEnd"/>
      <w:r w:rsidRPr="00C357A4">
        <w:rPr>
          <w:rFonts w:ascii="Times New Roman" w:eastAsia="Times New Roman" w:hAnsi="Times New Roman" w:cs="Times New Roman"/>
          <w:color w:val="000000"/>
          <w:sz w:val="24"/>
          <w:szCs w:val="24"/>
          <w:lang w:eastAsia="en-GB"/>
        </w:rPr>
        <w:t>). </w:t>
      </w:r>
      <w:r w:rsidRPr="00C357A4">
        <w:rPr>
          <w:rFonts w:ascii="Times New Roman" w:eastAsia="Times New Roman" w:hAnsi="Times New Roman" w:cs="Times New Roman"/>
          <w:i/>
          <w:iCs/>
          <w:color w:val="000000"/>
          <w:sz w:val="24"/>
          <w:szCs w:val="24"/>
          <w:lang w:eastAsia="en-GB"/>
        </w:rPr>
        <w:t>Health</w:t>
      </w:r>
      <w:r w:rsidRPr="00C357A4">
        <w:rPr>
          <w:rFonts w:ascii="Times New Roman" w:eastAsia="Times New Roman" w:hAnsi="Times New Roman" w:cs="Times New Roman"/>
          <w:color w:val="000000"/>
          <w:sz w:val="24"/>
          <w:szCs w:val="24"/>
          <w:lang w:eastAsia="en-GB"/>
        </w:rPr>
        <w:t>. [online] Available at: https://www.equalitytrust.org.uk/health [Accessed 10 Apr. 2018].</w:t>
      </w:r>
    </w:p>
    <w:p w14:paraId="3BE2B08D" w14:textId="77777777" w:rsidR="005B756C" w:rsidRPr="00C357A4" w:rsidRDefault="005B756C" w:rsidP="005B756C">
      <w:pPr>
        <w:spacing w:after="180" w:line="240" w:lineRule="auto"/>
        <w:ind w:left="450" w:hanging="450"/>
        <w:rPr>
          <w:rFonts w:ascii="Times New Roman" w:eastAsia="Times New Roman" w:hAnsi="Times New Roman" w:cs="Times New Roman"/>
          <w:color w:val="000000"/>
          <w:sz w:val="24"/>
          <w:szCs w:val="24"/>
          <w:lang w:eastAsia="en-GB"/>
        </w:rPr>
      </w:pPr>
      <w:r w:rsidRPr="00C357A4">
        <w:rPr>
          <w:rFonts w:ascii="Times New Roman" w:eastAsia="Times New Roman" w:hAnsi="Times New Roman" w:cs="Times New Roman"/>
          <w:color w:val="000000"/>
          <w:sz w:val="24"/>
          <w:szCs w:val="24"/>
          <w:lang w:eastAsia="en-GB"/>
        </w:rPr>
        <w:t>Tucker, J. (2017). </w:t>
      </w:r>
      <w:r w:rsidRPr="00C357A4">
        <w:rPr>
          <w:rFonts w:ascii="Times New Roman" w:eastAsia="Times New Roman" w:hAnsi="Times New Roman" w:cs="Times New Roman"/>
          <w:i/>
          <w:iCs/>
          <w:color w:val="000000"/>
          <w:sz w:val="24"/>
          <w:szCs w:val="24"/>
          <w:lang w:eastAsia="en-GB"/>
        </w:rPr>
        <w:t>The austerity generation: the impact of a decade of cuts on family incomes and child poverty - Social Care Online</w:t>
      </w:r>
      <w:r w:rsidRPr="00C357A4">
        <w:rPr>
          <w:rFonts w:ascii="Times New Roman" w:eastAsia="Times New Roman" w:hAnsi="Times New Roman" w:cs="Times New Roman"/>
          <w:color w:val="000000"/>
          <w:sz w:val="24"/>
          <w:szCs w:val="24"/>
          <w:lang w:eastAsia="en-GB"/>
        </w:rPr>
        <w:t>. [online] Scie-socialcareonline.org.uk. Available at: https://www.scie-socialcareonline.org.uk/the-austerity-generation-the-impact-of-a-decade-of-cuts-on-family-incomes-and-child-poverty/r/a110f00000RCwXoAAL [Accessed 9 Apr. 2018].</w:t>
      </w:r>
    </w:p>
    <w:p w14:paraId="029BE96B" w14:textId="77777777" w:rsidR="005B756C" w:rsidRDefault="005B756C" w:rsidP="005B756C">
      <w:pPr>
        <w:spacing w:after="180" w:line="240" w:lineRule="auto"/>
        <w:ind w:left="450" w:hanging="450"/>
        <w:rPr>
          <w:rFonts w:ascii="Times New Roman" w:eastAsia="Times New Roman" w:hAnsi="Times New Roman" w:cs="Times New Roman"/>
          <w:color w:val="000000"/>
          <w:sz w:val="24"/>
          <w:szCs w:val="24"/>
          <w:lang w:eastAsia="en-GB"/>
        </w:rPr>
      </w:pPr>
      <w:r w:rsidRPr="00C357A4">
        <w:rPr>
          <w:rFonts w:ascii="Times New Roman" w:eastAsia="Times New Roman" w:hAnsi="Times New Roman" w:cs="Times New Roman"/>
          <w:color w:val="000000"/>
          <w:sz w:val="24"/>
          <w:szCs w:val="24"/>
          <w:lang w:eastAsia="en-GB"/>
        </w:rPr>
        <w:t>World Health Organization. (1948). </w:t>
      </w:r>
      <w:r w:rsidRPr="00C357A4">
        <w:rPr>
          <w:rFonts w:ascii="Times New Roman" w:eastAsia="Times New Roman" w:hAnsi="Times New Roman" w:cs="Times New Roman"/>
          <w:i/>
          <w:iCs/>
          <w:color w:val="000000"/>
          <w:sz w:val="24"/>
          <w:szCs w:val="24"/>
          <w:lang w:eastAsia="en-GB"/>
        </w:rPr>
        <w:t>Constitution of WHO: principles</w:t>
      </w:r>
      <w:r w:rsidRPr="00C357A4">
        <w:rPr>
          <w:rFonts w:ascii="Times New Roman" w:eastAsia="Times New Roman" w:hAnsi="Times New Roman" w:cs="Times New Roman"/>
          <w:color w:val="000000"/>
          <w:sz w:val="24"/>
          <w:szCs w:val="24"/>
          <w:lang w:eastAsia="en-GB"/>
        </w:rPr>
        <w:t>. [online] Available at: http://www.who.int/about/mission/en/ [Accessed 9 Apr. 2018].</w:t>
      </w:r>
    </w:p>
    <w:p w14:paraId="32565955" w14:textId="77777777" w:rsidR="005B756C" w:rsidRPr="00CB0D6A" w:rsidRDefault="005B756C" w:rsidP="005B756C">
      <w:pPr>
        <w:pStyle w:val="NormalWeb"/>
        <w:spacing w:before="0" w:beforeAutospacing="0" w:after="180" w:afterAutospacing="0"/>
        <w:ind w:left="450" w:hanging="450"/>
        <w:rPr>
          <w:color w:val="000000"/>
        </w:rPr>
      </w:pPr>
      <w:r w:rsidRPr="00403D27">
        <w:rPr>
          <w:color w:val="000000"/>
        </w:rPr>
        <w:t>WHO. (2018). </w:t>
      </w:r>
      <w:r w:rsidRPr="00403D27">
        <w:rPr>
          <w:i/>
          <w:iCs/>
          <w:color w:val="000000"/>
        </w:rPr>
        <w:t>The determinants of health</w:t>
      </w:r>
      <w:r w:rsidRPr="00403D27">
        <w:rPr>
          <w:color w:val="000000"/>
        </w:rPr>
        <w:t>. [online] Available at: http://www.who.int/hia/evidence/doh/en/ [Accessed 17 Apr. 2018].</w:t>
      </w:r>
    </w:p>
    <w:p w14:paraId="35ADD2D8" w14:textId="77777777" w:rsidR="005B756C" w:rsidRPr="00CB0D6A" w:rsidRDefault="005B756C" w:rsidP="005B756C">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B0D6A">
        <w:rPr>
          <w:rFonts w:ascii="Times New Roman" w:eastAsia="Times New Roman" w:hAnsi="Times New Roman" w:cs="Times New Roman"/>
          <w:color w:val="000000"/>
          <w:sz w:val="24"/>
          <w:szCs w:val="24"/>
          <w:lang w:eastAsia="en-GB"/>
        </w:rPr>
        <w:t>Wilkinson, R &amp; Picket, K (2007) Spirit Level: Why Equality is Better for Everyone. [https://www.dur.ac.uk/resources/wolfson.institute/events/Wilkinson372010.pdf] Accessed on 07/04/2015</w:t>
      </w:r>
    </w:p>
    <w:p w14:paraId="687E8574" w14:textId="77777777" w:rsidR="005B756C" w:rsidRDefault="005B756C" w:rsidP="005B756C"/>
    <w:p w14:paraId="3448768C" w14:textId="77777777" w:rsidR="005B756C" w:rsidRDefault="005B756C" w:rsidP="000D44CB"/>
    <w:p w14:paraId="56A73DD5" w14:textId="77777777" w:rsidR="000D44CB" w:rsidRDefault="000D44CB" w:rsidP="000D44CB"/>
    <w:p w14:paraId="68FBEC7E" w14:textId="77777777" w:rsidR="000D44CB" w:rsidRDefault="000D44CB" w:rsidP="000D44CB"/>
    <w:p w14:paraId="23AC8EFE" w14:textId="77777777" w:rsidR="000D44CB" w:rsidRDefault="000D44CB" w:rsidP="000D44CB"/>
    <w:p w14:paraId="2DF66B5C" w14:textId="77777777" w:rsidR="000D44CB" w:rsidRDefault="000D44CB" w:rsidP="000D44CB"/>
    <w:p w14:paraId="61816E07" w14:textId="77777777" w:rsidR="000D44CB" w:rsidRDefault="000D44CB" w:rsidP="000D44CB"/>
    <w:p w14:paraId="3D66F8EE" w14:textId="77777777" w:rsidR="000D44CB" w:rsidRDefault="000D44CB" w:rsidP="000D44CB"/>
    <w:p w14:paraId="32689C00" w14:textId="77777777" w:rsidR="000D44CB" w:rsidRDefault="000D44CB" w:rsidP="000D44CB"/>
    <w:p w14:paraId="72358829" w14:textId="77777777" w:rsidR="000D44CB" w:rsidRDefault="000D44CB" w:rsidP="000D44CB"/>
    <w:p w14:paraId="0AB576C6" w14:textId="77777777" w:rsidR="000D44CB" w:rsidRDefault="000D44CB" w:rsidP="000D44CB"/>
    <w:p w14:paraId="6E9A305E" w14:textId="77777777" w:rsidR="000D44CB" w:rsidRDefault="000D44CB" w:rsidP="000D44CB"/>
    <w:p w14:paraId="2C3E66F5" w14:textId="77777777" w:rsidR="000D44CB" w:rsidRDefault="000D44CB" w:rsidP="000D44CB"/>
    <w:p w14:paraId="7100928D" w14:textId="77777777" w:rsidR="000D44CB" w:rsidRDefault="000D44CB" w:rsidP="000D44CB"/>
    <w:p w14:paraId="3E032B5A" w14:textId="77777777" w:rsidR="000D44CB" w:rsidRDefault="000D44CB" w:rsidP="000D44CB"/>
    <w:p w14:paraId="1AA2E68D" w14:textId="77777777" w:rsidR="000D44CB" w:rsidRDefault="000D44CB" w:rsidP="000D44CB"/>
    <w:p w14:paraId="7673744E" w14:textId="77777777" w:rsidR="000D44CB" w:rsidRDefault="000D44CB" w:rsidP="000D44CB"/>
    <w:p w14:paraId="4641C04F" w14:textId="77777777" w:rsidR="000D44CB" w:rsidRDefault="000D44CB" w:rsidP="000D44CB"/>
    <w:p w14:paraId="637B66CC" w14:textId="77777777" w:rsidR="000D44CB" w:rsidRDefault="000D44CB" w:rsidP="000D44CB"/>
    <w:p w14:paraId="1023809F" w14:textId="77777777" w:rsidR="000D44CB" w:rsidRDefault="000D44CB" w:rsidP="000D44CB"/>
    <w:p w14:paraId="3D0A0571" w14:textId="77777777" w:rsidR="000D44CB" w:rsidRDefault="000D44CB" w:rsidP="000D44CB"/>
    <w:p w14:paraId="447F83F0" w14:textId="77777777" w:rsidR="00D85A09" w:rsidRDefault="00D85A09" w:rsidP="000D44CB">
      <w:pPr>
        <w:rPr>
          <w:rFonts w:ascii="Times New Roman" w:hAnsi="Times New Roman" w:cs="Times New Roman"/>
          <w:sz w:val="28"/>
          <w:szCs w:val="28"/>
        </w:rPr>
      </w:pPr>
    </w:p>
    <w:p w14:paraId="6AF55764" w14:textId="77777777" w:rsidR="00D85A09" w:rsidRDefault="00D85A09" w:rsidP="000D44CB">
      <w:pPr>
        <w:rPr>
          <w:rFonts w:ascii="Times New Roman" w:hAnsi="Times New Roman" w:cs="Times New Roman"/>
          <w:sz w:val="28"/>
          <w:szCs w:val="28"/>
        </w:rPr>
      </w:pPr>
    </w:p>
    <w:p w14:paraId="612682EC" w14:textId="77777777" w:rsidR="00D85A09" w:rsidRPr="000D44CB" w:rsidRDefault="00D85A09" w:rsidP="000D44CB">
      <w:pPr>
        <w:rPr>
          <w:rFonts w:ascii="Times New Roman" w:hAnsi="Times New Roman" w:cs="Times New Roman"/>
          <w:sz w:val="28"/>
          <w:szCs w:val="28"/>
        </w:rPr>
      </w:pPr>
    </w:p>
    <w:sectPr w:rsidR="00D85A09" w:rsidRPr="000D44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 w:name="Lucida Grande">
    <w:altName w:val="Arial"/>
    <w:charset w:val="00"/>
    <w:family w:val="auto"/>
    <w:pitch w:val="variable"/>
    <w:sig w:usb0="00000000" w:usb1="5000A1FF" w:usb2="00000000" w:usb3="00000000" w:csb0="000001BF" w:csb1="00000000"/>
  </w:font>
  <w:font w:name="MS Mincho">
    <w:altName w:val="ＭＳ 明朝"/>
    <w:panose1 w:val="020206090402050803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szA3tjAwNzMwNjUzNDNQ0lEKTi0uzszPAykwrAUAo6DLuSwAAAA="/>
  </w:docVars>
  <w:rsids>
    <w:rsidRoot w:val="000D44CB"/>
    <w:rsid w:val="000779E8"/>
    <w:rsid w:val="000848B3"/>
    <w:rsid w:val="000D44CB"/>
    <w:rsid w:val="0010031E"/>
    <w:rsid w:val="00142BD2"/>
    <w:rsid w:val="001557E8"/>
    <w:rsid w:val="00180CC3"/>
    <w:rsid w:val="001B751A"/>
    <w:rsid w:val="001E1DF7"/>
    <w:rsid w:val="001F0C9D"/>
    <w:rsid w:val="002B5E4C"/>
    <w:rsid w:val="002D56CD"/>
    <w:rsid w:val="00301B59"/>
    <w:rsid w:val="00310909"/>
    <w:rsid w:val="00334692"/>
    <w:rsid w:val="0039750D"/>
    <w:rsid w:val="003A2D21"/>
    <w:rsid w:val="00510849"/>
    <w:rsid w:val="00595D5F"/>
    <w:rsid w:val="005A6140"/>
    <w:rsid w:val="005B756C"/>
    <w:rsid w:val="00607BF6"/>
    <w:rsid w:val="0062358C"/>
    <w:rsid w:val="0068099B"/>
    <w:rsid w:val="006D4F2E"/>
    <w:rsid w:val="0075568D"/>
    <w:rsid w:val="00766602"/>
    <w:rsid w:val="007F6129"/>
    <w:rsid w:val="00801DBC"/>
    <w:rsid w:val="00846D6A"/>
    <w:rsid w:val="00866B91"/>
    <w:rsid w:val="00883C6B"/>
    <w:rsid w:val="008A2D87"/>
    <w:rsid w:val="008B2A74"/>
    <w:rsid w:val="00964F46"/>
    <w:rsid w:val="009658DF"/>
    <w:rsid w:val="009A1F00"/>
    <w:rsid w:val="009B5C0E"/>
    <w:rsid w:val="00A22439"/>
    <w:rsid w:val="00A52780"/>
    <w:rsid w:val="00AE3E19"/>
    <w:rsid w:val="00B00E97"/>
    <w:rsid w:val="00B131F2"/>
    <w:rsid w:val="00BA575F"/>
    <w:rsid w:val="00BF494F"/>
    <w:rsid w:val="00BF6E5A"/>
    <w:rsid w:val="00C05311"/>
    <w:rsid w:val="00C12253"/>
    <w:rsid w:val="00C87587"/>
    <w:rsid w:val="00CC4196"/>
    <w:rsid w:val="00CF4C80"/>
    <w:rsid w:val="00D7139C"/>
    <w:rsid w:val="00D85A09"/>
    <w:rsid w:val="00DA2973"/>
    <w:rsid w:val="00DA620F"/>
    <w:rsid w:val="00E9603D"/>
    <w:rsid w:val="00EF4594"/>
    <w:rsid w:val="00F06370"/>
    <w:rsid w:val="00FC1BF5"/>
    <w:rsid w:val="00FF1D7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BD52EB9"/>
  <w15:docId w15:val="{240712FE-723E-4401-BB12-4BDEAE3DB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44CB"/>
  </w:style>
  <w:style w:type="paragraph" w:styleId="Heading1">
    <w:name w:val="heading 1"/>
    <w:basedOn w:val="Normal"/>
    <w:next w:val="Normal"/>
    <w:link w:val="Heading1Char"/>
    <w:uiPriority w:val="9"/>
    <w:qFormat/>
    <w:rsid w:val="00A2243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D44CB"/>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A575F"/>
    <w:rPr>
      <w:color w:val="0563C1" w:themeColor="hyperlink"/>
      <w:u w:val="single"/>
    </w:rPr>
  </w:style>
  <w:style w:type="paragraph" w:customStyle="1" w:styleId="paradefault">
    <w:name w:val="paradefault"/>
    <w:basedOn w:val="Normal"/>
    <w:rsid w:val="0075568D"/>
    <w:pPr>
      <w:spacing w:before="30" w:after="90" w:line="240" w:lineRule="auto"/>
      <w:jc w:val="both"/>
    </w:pPr>
    <w:rPr>
      <w:rFonts w:ascii="Verdana" w:eastAsia="Times New Roman" w:hAnsi="Verdana" w:cs="Times New Roman"/>
      <w:color w:val="333333"/>
      <w:sz w:val="23"/>
      <w:szCs w:val="23"/>
      <w:lang w:eastAsia="en-GB"/>
    </w:rPr>
  </w:style>
  <w:style w:type="character" w:customStyle="1" w:styleId="Heading1Char">
    <w:name w:val="Heading 1 Char"/>
    <w:basedOn w:val="DefaultParagraphFont"/>
    <w:link w:val="Heading1"/>
    <w:uiPriority w:val="9"/>
    <w:rsid w:val="00A22439"/>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10031E"/>
    <w:rPr>
      <w:color w:val="954F72" w:themeColor="followedHyperlink"/>
      <w:u w:val="single"/>
    </w:rPr>
  </w:style>
  <w:style w:type="character" w:styleId="CommentReference">
    <w:name w:val="annotation reference"/>
    <w:basedOn w:val="DefaultParagraphFont"/>
    <w:uiPriority w:val="99"/>
    <w:semiHidden/>
    <w:unhideWhenUsed/>
    <w:rsid w:val="00D7139C"/>
    <w:rPr>
      <w:sz w:val="18"/>
      <w:szCs w:val="18"/>
    </w:rPr>
  </w:style>
  <w:style w:type="paragraph" w:styleId="CommentText">
    <w:name w:val="annotation text"/>
    <w:basedOn w:val="Normal"/>
    <w:link w:val="CommentTextChar"/>
    <w:uiPriority w:val="99"/>
    <w:semiHidden/>
    <w:unhideWhenUsed/>
    <w:rsid w:val="00D7139C"/>
    <w:pPr>
      <w:spacing w:line="240" w:lineRule="auto"/>
    </w:pPr>
    <w:rPr>
      <w:sz w:val="24"/>
      <w:szCs w:val="24"/>
    </w:rPr>
  </w:style>
  <w:style w:type="character" w:customStyle="1" w:styleId="CommentTextChar">
    <w:name w:val="Comment Text Char"/>
    <w:basedOn w:val="DefaultParagraphFont"/>
    <w:link w:val="CommentText"/>
    <w:uiPriority w:val="99"/>
    <w:semiHidden/>
    <w:rsid w:val="00D7139C"/>
    <w:rPr>
      <w:sz w:val="24"/>
      <w:szCs w:val="24"/>
    </w:rPr>
  </w:style>
  <w:style w:type="paragraph" w:styleId="CommentSubject">
    <w:name w:val="annotation subject"/>
    <w:basedOn w:val="CommentText"/>
    <w:next w:val="CommentText"/>
    <w:link w:val="CommentSubjectChar"/>
    <w:uiPriority w:val="99"/>
    <w:semiHidden/>
    <w:unhideWhenUsed/>
    <w:rsid w:val="00D7139C"/>
    <w:rPr>
      <w:b/>
      <w:bCs/>
      <w:sz w:val="20"/>
      <w:szCs w:val="20"/>
    </w:rPr>
  </w:style>
  <w:style w:type="character" w:customStyle="1" w:styleId="CommentSubjectChar">
    <w:name w:val="Comment Subject Char"/>
    <w:basedOn w:val="CommentTextChar"/>
    <w:link w:val="CommentSubject"/>
    <w:uiPriority w:val="99"/>
    <w:semiHidden/>
    <w:rsid w:val="00D7139C"/>
    <w:rPr>
      <w:b/>
      <w:bCs/>
      <w:sz w:val="20"/>
      <w:szCs w:val="20"/>
    </w:rPr>
  </w:style>
  <w:style w:type="paragraph" w:styleId="BalloonText">
    <w:name w:val="Balloon Text"/>
    <w:basedOn w:val="Normal"/>
    <w:link w:val="BalloonTextChar"/>
    <w:uiPriority w:val="99"/>
    <w:semiHidden/>
    <w:unhideWhenUsed/>
    <w:rsid w:val="00D7139C"/>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7139C"/>
    <w:rPr>
      <w:rFonts w:ascii="Lucida Grande" w:hAnsi="Lucida Grande" w:cs="Lucida Grande"/>
      <w:sz w:val="18"/>
      <w:szCs w:val="18"/>
    </w:rPr>
  </w:style>
  <w:style w:type="paragraph" w:styleId="NormalWeb">
    <w:name w:val="Normal (Web)"/>
    <w:basedOn w:val="Normal"/>
    <w:uiPriority w:val="99"/>
    <w:unhideWhenUsed/>
    <w:rsid w:val="005B756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5B756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81120">
      <w:bodyDiv w:val="1"/>
      <w:marLeft w:val="0"/>
      <w:marRight w:val="0"/>
      <w:marTop w:val="0"/>
      <w:marBottom w:val="0"/>
      <w:divBdr>
        <w:top w:val="none" w:sz="0" w:space="0" w:color="auto"/>
        <w:left w:val="none" w:sz="0" w:space="0" w:color="auto"/>
        <w:bottom w:val="none" w:sz="0" w:space="0" w:color="auto"/>
        <w:right w:val="none" w:sz="0" w:space="0" w:color="auto"/>
      </w:divBdr>
      <w:divsChild>
        <w:div w:id="1719819869">
          <w:marLeft w:val="0"/>
          <w:marRight w:val="0"/>
          <w:marTop w:val="0"/>
          <w:marBottom w:val="0"/>
          <w:divBdr>
            <w:top w:val="none" w:sz="0" w:space="0" w:color="auto"/>
            <w:left w:val="none" w:sz="0" w:space="0" w:color="auto"/>
            <w:bottom w:val="none" w:sz="0" w:space="0" w:color="auto"/>
            <w:right w:val="none" w:sz="0" w:space="0" w:color="auto"/>
          </w:divBdr>
        </w:div>
        <w:div w:id="1001929845">
          <w:marLeft w:val="0"/>
          <w:marRight w:val="0"/>
          <w:marTop w:val="0"/>
          <w:marBottom w:val="0"/>
          <w:divBdr>
            <w:top w:val="none" w:sz="0" w:space="0" w:color="auto"/>
            <w:left w:val="none" w:sz="0" w:space="0" w:color="auto"/>
            <w:bottom w:val="none" w:sz="0" w:space="0" w:color="auto"/>
            <w:right w:val="none" w:sz="0" w:space="0" w:color="auto"/>
          </w:divBdr>
        </w:div>
      </w:divsChild>
    </w:div>
    <w:div w:id="129136257">
      <w:bodyDiv w:val="1"/>
      <w:marLeft w:val="0"/>
      <w:marRight w:val="0"/>
      <w:marTop w:val="0"/>
      <w:marBottom w:val="0"/>
      <w:divBdr>
        <w:top w:val="none" w:sz="0" w:space="0" w:color="auto"/>
        <w:left w:val="none" w:sz="0" w:space="0" w:color="auto"/>
        <w:bottom w:val="none" w:sz="0" w:space="0" w:color="auto"/>
        <w:right w:val="none" w:sz="0" w:space="0" w:color="auto"/>
      </w:divBdr>
      <w:divsChild>
        <w:div w:id="948195581">
          <w:marLeft w:val="0"/>
          <w:marRight w:val="0"/>
          <w:marTop w:val="0"/>
          <w:marBottom w:val="0"/>
          <w:divBdr>
            <w:top w:val="none" w:sz="0" w:space="0" w:color="auto"/>
            <w:left w:val="none" w:sz="0" w:space="0" w:color="auto"/>
            <w:bottom w:val="none" w:sz="0" w:space="0" w:color="auto"/>
            <w:right w:val="none" w:sz="0" w:space="0" w:color="auto"/>
          </w:divBdr>
          <w:divsChild>
            <w:div w:id="951474984">
              <w:marLeft w:val="0"/>
              <w:marRight w:val="0"/>
              <w:marTop w:val="0"/>
              <w:marBottom w:val="0"/>
              <w:divBdr>
                <w:top w:val="none" w:sz="0" w:space="0" w:color="auto"/>
                <w:left w:val="none" w:sz="0" w:space="0" w:color="auto"/>
                <w:bottom w:val="none" w:sz="0" w:space="0" w:color="auto"/>
                <w:right w:val="none" w:sz="0" w:space="0" w:color="auto"/>
              </w:divBdr>
            </w:div>
            <w:div w:id="1133325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435331">
      <w:bodyDiv w:val="1"/>
      <w:marLeft w:val="0"/>
      <w:marRight w:val="0"/>
      <w:marTop w:val="0"/>
      <w:marBottom w:val="0"/>
      <w:divBdr>
        <w:top w:val="none" w:sz="0" w:space="0" w:color="auto"/>
        <w:left w:val="none" w:sz="0" w:space="0" w:color="auto"/>
        <w:bottom w:val="none" w:sz="0" w:space="0" w:color="auto"/>
        <w:right w:val="none" w:sz="0" w:space="0" w:color="auto"/>
      </w:divBdr>
      <w:divsChild>
        <w:div w:id="1565943922">
          <w:marLeft w:val="0"/>
          <w:marRight w:val="0"/>
          <w:marTop w:val="0"/>
          <w:marBottom w:val="0"/>
          <w:divBdr>
            <w:top w:val="none" w:sz="0" w:space="0" w:color="auto"/>
            <w:left w:val="none" w:sz="0" w:space="0" w:color="auto"/>
            <w:bottom w:val="none" w:sz="0" w:space="0" w:color="auto"/>
            <w:right w:val="none" w:sz="0" w:space="0" w:color="auto"/>
          </w:divBdr>
          <w:divsChild>
            <w:div w:id="1899433283">
              <w:marLeft w:val="0"/>
              <w:marRight w:val="0"/>
              <w:marTop w:val="0"/>
              <w:marBottom w:val="0"/>
              <w:divBdr>
                <w:top w:val="none" w:sz="0" w:space="0" w:color="auto"/>
                <w:left w:val="none" w:sz="0" w:space="0" w:color="auto"/>
                <w:bottom w:val="none" w:sz="0" w:space="0" w:color="auto"/>
                <w:right w:val="none" w:sz="0" w:space="0" w:color="auto"/>
              </w:divBdr>
              <w:divsChild>
                <w:div w:id="1023750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986891">
      <w:bodyDiv w:val="1"/>
      <w:marLeft w:val="0"/>
      <w:marRight w:val="0"/>
      <w:marTop w:val="0"/>
      <w:marBottom w:val="0"/>
      <w:divBdr>
        <w:top w:val="none" w:sz="0" w:space="0" w:color="auto"/>
        <w:left w:val="none" w:sz="0" w:space="0" w:color="auto"/>
        <w:bottom w:val="none" w:sz="0" w:space="0" w:color="auto"/>
        <w:right w:val="none" w:sz="0" w:space="0" w:color="auto"/>
      </w:divBdr>
      <w:divsChild>
        <w:div w:id="1492018806">
          <w:marLeft w:val="0"/>
          <w:marRight w:val="0"/>
          <w:marTop w:val="0"/>
          <w:marBottom w:val="0"/>
          <w:divBdr>
            <w:top w:val="none" w:sz="0" w:space="0" w:color="auto"/>
            <w:left w:val="none" w:sz="0" w:space="0" w:color="auto"/>
            <w:bottom w:val="none" w:sz="0" w:space="0" w:color="auto"/>
            <w:right w:val="none" w:sz="0" w:space="0" w:color="auto"/>
          </w:divBdr>
        </w:div>
        <w:div w:id="1402097946">
          <w:marLeft w:val="0"/>
          <w:marRight w:val="0"/>
          <w:marTop w:val="0"/>
          <w:marBottom w:val="0"/>
          <w:divBdr>
            <w:top w:val="none" w:sz="0" w:space="0" w:color="auto"/>
            <w:left w:val="none" w:sz="0" w:space="0" w:color="auto"/>
            <w:bottom w:val="none" w:sz="0" w:space="0" w:color="auto"/>
            <w:right w:val="none" w:sz="0" w:space="0" w:color="auto"/>
          </w:divBdr>
        </w:div>
        <w:div w:id="1966039387">
          <w:marLeft w:val="0"/>
          <w:marRight w:val="0"/>
          <w:marTop w:val="0"/>
          <w:marBottom w:val="0"/>
          <w:divBdr>
            <w:top w:val="none" w:sz="0" w:space="0" w:color="auto"/>
            <w:left w:val="none" w:sz="0" w:space="0" w:color="auto"/>
            <w:bottom w:val="none" w:sz="0" w:space="0" w:color="auto"/>
            <w:right w:val="none" w:sz="0" w:space="0" w:color="auto"/>
          </w:divBdr>
        </w:div>
      </w:divsChild>
    </w:div>
    <w:div w:id="379864554">
      <w:bodyDiv w:val="1"/>
      <w:marLeft w:val="0"/>
      <w:marRight w:val="0"/>
      <w:marTop w:val="0"/>
      <w:marBottom w:val="0"/>
      <w:divBdr>
        <w:top w:val="none" w:sz="0" w:space="0" w:color="auto"/>
        <w:left w:val="none" w:sz="0" w:space="0" w:color="auto"/>
        <w:bottom w:val="none" w:sz="0" w:space="0" w:color="auto"/>
        <w:right w:val="none" w:sz="0" w:space="0" w:color="auto"/>
      </w:divBdr>
      <w:divsChild>
        <w:div w:id="196696181">
          <w:marLeft w:val="0"/>
          <w:marRight w:val="0"/>
          <w:marTop w:val="0"/>
          <w:marBottom w:val="0"/>
          <w:divBdr>
            <w:top w:val="none" w:sz="0" w:space="0" w:color="auto"/>
            <w:left w:val="none" w:sz="0" w:space="0" w:color="auto"/>
            <w:bottom w:val="none" w:sz="0" w:space="0" w:color="auto"/>
            <w:right w:val="none" w:sz="0" w:space="0" w:color="auto"/>
          </w:divBdr>
        </w:div>
      </w:divsChild>
    </w:div>
    <w:div w:id="436409717">
      <w:bodyDiv w:val="1"/>
      <w:marLeft w:val="0"/>
      <w:marRight w:val="0"/>
      <w:marTop w:val="0"/>
      <w:marBottom w:val="0"/>
      <w:divBdr>
        <w:top w:val="none" w:sz="0" w:space="0" w:color="auto"/>
        <w:left w:val="none" w:sz="0" w:space="0" w:color="auto"/>
        <w:bottom w:val="none" w:sz="0" w:space="0" w:color="auto"/>
        <w:right w:val="none" w:sz="0" w:space="0" w:color="auto"/>
      </w:divBdr>
      <w:divsChild>
        <w:div w:id="2075663926">
          <w:marLeft w:val="0"/>
          <w:marRight w:val="0"/>
          <w:marTop w:val="0"/>
          <w:marBottom w:val="0"/>
          <w:divBdr>
            <w:top w:val="none" w:sz="0" w:space="0" w:color="auto"/>
            <w:left w:val="none" w:sz="0" w:space="0" w:color="auto"/>
            <w:bottom w:val="none" w:sz="0" w:space="0" w:color="auto"/>
            <w:right w:val="none" w:sz="0" w:space="0" w:color="auto"/>
          </w:divBdr>
        </w:div>
        <w:div w:id="207961381">
          <w:marLeft w:val="0"/>
          <w:marRight w:val="0"/>
          <w:marTop w:val="0"/>
          <w:marBottom w:val="0"/>
          <w:divBdr>
            <w:top w:val="none" w:sz="0" w:space="0" w:color="auto"/>
            <w:left w:val="none" w:sz="0" w:space="0" w:color="auto"/>
            <w:bottom w:val="none" w:sz="0" w:space="0" w:color="auto"/>
            <w:right w:val="none" w:sz="0" w:space="0" w:color="auto"/>
          </w:divBdr>
        </w:div>
        <w:div w:id="1396244859">
          <w:marLeft w:val="0"/>
          <w:marRight w:val="0"/>
          <w:marTop w:val="0"/>
          <w:marBottom w:val="0"/>
          <w:divBdr>
            <w:top w:val="none" w:sz="0" w:space="0" w:color="auto"/>
            <w:left w:val="none" w:sz="0" w:space="0" w:color="auto"/>
            <w:bottom w:val="none" w:sz="0" w:space="0" w:color="auto"/>
            <w:right w:val="none" w:sz="0" w:space="0" w:color="auto"/>
          </w:divBdr>
        </w:div>
        <w:div w:id="1508204592">
          <w:marLeft w:val="0"/>
          <w:marRight w:val="0"/>
          <w:marTop w:val="0"/>
          <w:marBottom w:val="0"/>
          <w:divBdr>
            <w:top w:val="none" w:sz="0" w:space="0" w:color="auto"/>
            <w:left w:val="none" w:sz="0" w:space="0" w:color="auto"/>
            <w:bottom w:val="none" w:sz="0" w:space="0" w:color="auto"/>
            <w:right w:val="none" w:sz="0" w:space="0" w:color="auto"/>
          </w:divBdr>
        </w:div>
        <w:div w:id="789595892">
          <w:marLeft w:val="0"/>
          <w:marRight w:val="0"/>
          <w:marTop w:val="0"/>
          <w:marBottom w:val="0"/>
          <w:divBdr>
            <w:top w:val="none" w:sz="0" w:space="0" w:color="auto"/>
            <w:left w:val="none" w:sz="0" w:space="0" w:color="auto"/>
            <w:bottom w:val="none" w:sz="0" w:space="0" w:color="auto"/>
            <w:right w:val="none" w:sz="0" w:space="0" w:color="auto"/>
          </w:divBdr>
        </w:div>
      </w:divsChild>
    </w:div>
    <w:div w:id="757948243">
      <w:bodyDiv w:val="1"/>
      <w:marLeft w:val="0"/>
      <w:marRight w:val="0"/>
      <w:marTop w:val="0"/>
      <w:marBottom w:val="0"/>
      <w:divBdr>
        <w:top w:val="none" w:sz="0" w:space="0" w:color="auto"/>
        <w:left w:val="none" w:sz="0" w:space="0" w:color="auto"/>
        <w:bottom w:val="none" w:sz="0" w:space="0" w:color="auto"/>
        <w:right w:val="none" w:sz="0" w:space="0" w:color="auto"/>
      </w:divBdr>
      <w:divsChild>
        <w:div w:id="443500626">
          <w:marLeft w:val="0"/>
          <w:marRight w:val="0"/>
          <w:marTop w:val="0"/>
          <w:marBottom w:val="0"/>
          <w:divBdr>
            <w:top w:val="none" w:sz="0" w:space="0" w:color="auto"/>
            <w:left w:val="none" w:sz="0" w:space="0" w:color="auto"/>
            <w:bottom w:val="none" w:sz="0" w:space="0" w:color="auto"/>
            <w:right w:val="none" w:sz="0" w:space="0" w:color="auto"/>
          </w:divBdr>
        </w:div>
        <w:div w:id="338772828">
          <w:marLeft w:val="0"/>
          <w:marRight w:val="0"/>
          <w:marTop w:val="0"/>
          <w:marBottom w:val="0"/>
          <w:divBdr>
            <w:top w:val="none" w:sz="0" w:space="0" w:color="auto"/>
            <w:left w:val="none" w:sz="0" w:space="0" w:color="auto"/>
            <w:bottom w:val="none" w:sz="0" w:space="0" w:color="auto"/>
            <w:right w:val="none" w:sz="0" w:space="0" w:color="auto"/>
          </w:divBdr>
        </w:div>
        <w:div w:id="741636958">
          <w:marLeft w:val="0"/>
          <w:marRight w:val="0"/>
          <w:marTop w:val="0"/>
          <w:marBottom w:val="0"/>
          <w:divBdr>
            <w:top w:val="none" w:sz="0" w:space="0" w:color="auto"/>
            <w:left w:val="none" w:sz="0" w:space="0" w:color="auto"/>
            <w:bottom w:val="none" w:sz="0" w:space="0" w:color="auto"/>
            <w:right w:val="none" w:sz="0" w:space="0" w:color="auto"/>
          </w:divBdr>
        </w:div>
        <w:div w:id="1620137486">
          <w:marLeft w:val="0"/>
          <w:marRight w:val="0"/>
          <w:marTop w:val="0"/>
          <w:marBottom w:val="0"/>
          <w:divBdr>
            <w:top w:val="none" w:sz="0" w:space="0" w:color="auto"/>
            <w:left w:val="none" w:sz="0" w:space="0" w:color="auto"/>
            <w:bottom w:val="none" w:sz="0" w:space="0" w:color="auto"/>
            <w:right w:val="none" w:sz="0" w:space="0" w:color="auto"/>
          </w:divBdr>
        </w:div>
        <w:div w:id="2101365819">
          <w:marLeft w:val="0"/>
          <w:marRight w:val="0"/>
          <w:marTop w:val="0"/>
          <w:marBottom w:val="0"/>
          <w:divBdr>
            <w:top w:val="none" w:sz="0" w:space="0" w:color="auto"/>
            <w:left w:val="none" w:sz="0" w:space="0" w:color="auto"/>
            <w:bottom w:val="none" w:sz="0" w:space="0" w:color="auto"/>
            <w:right w:val="none" w:sz="0" w:space="0" w:color="auto"/>
          </w:divBdr>
        </w:div>
        <w:div w:id="294338402">
          <w:marLeft w:val="0"/>
          <w:marRight w:val="0"/>
          <w:marTop w:val="0"/>
          <w:marBottom w:val="0"/>
          <w:divBdr>
            <w:top w:val="none" w:sz="0" w:space="0" w:color="auto"/>
            <w:left w:val="none" w:sz="0" w:space="0" w:color="auto"/>
            <w:bottom w:val="none" w:sz="0" w:space="0" w:color="auto"/>
            <w:right w:val="none" w:sz="0" w:space="0" w:color="auto"/>
          </w:divBdr>
        </w:div>
        <w:div w:id="985474312">
          <w:marLeft w:val="0"/>
          <w:marRight w:val="0"/>
          <w:marTop w:val="0"/>
          <w:marBottom w:val="0"/>
          <w:divBdr>
            <w:top w:val="none" w:sz="0" w:space="0" w:color="auto"/>
            <w:left w:val="none" w:sz="0" w:space="0" w:color="auto"/>
            <w:bottom w:val="none" w:sz="0" w:space="0" w:color="auto"/>
            <w:right w:val="none" w:sz="0" w:space="0" w:color="auto"/>
          </w:divBdr>
        </w:div>
        <w:div w:id="637610576">
          <w:marLeft w:val="0"/>
          <w:marRight w:val="0"/>
          <w:marTop w:val="0"/>
          <w:marBottom w:val="0"/>
          <w:divBdr>
            <w:top w:val="none" w:sz="0" w:space="0" w:color="auto"/>
            <w:left w:val="none" w:sz="0" w:space="0" w:color="auto"/>
            <w:bottom w:val="none" w:sz="0" w:space="0" w:color="auto"/>
            <w:right w:val="none" w:sz="0" w:space="0" w:color="auto"/>
          </w:divBdr>
        </w:div>
        <w:div w:id="1711765669">
          <w:marLeft w:val="0"/>
          <w:marRight w:val="0"/>
          <w:marTop w:val="0"/>
          <w:marBottom w:val="0"/>
          <w:divBdr>
            <w:top w:val="none" w:sz="0" w:space="0" w:color="auto"/>
            <w:left w:val="none" w:sz="0" w:space="0" w:color="auto"/>
            <w:bottom w:val="none" w:sz="0" w:space="0" w:color="auto"/>
            <w:right w:val="none" w:sz="0" w:space="0" w:color="auto"/>
          </w:divBdr>
        </w:div>
        <w:div w:id="2028359854">
          <w:marLeft w:val="0"/>
          <w:marRight w:val="0"/>
          <w:marTop w:val="0"/>
          <w:marBottom w:val="0"/>
          <w:divBdr>
            <w:top w:val="none" w:sz="0" w:space="0" w:color="auto"/>
            <w:left w:val="none" w:sz="0" w:space="0" w:color="auto"/>
            <w:bottom w:val="none" w:sz="0" w:space="0" w:color="auto"/>
            <w:right w:val="none" w:sz="0" w:space="0" w:color="auto"/>
          </w:divBdr>
        </w:div>
        <w:div w:id="926424335">
          <w:marLeft w:val="0"/>
          <w:marRight w:val="0"/>
          <w:marTop w:val="0"/>
          <w:marBottom w:val="0"/>
          <w:divBdr>
            <w:top w:val="none" w:sz="0" w:space="0" w:color="auto"/>
            <w:left w:val="none" w:sz="0" w:space="0" w:color="auto"/>
            <w:bottom w:val="none" w:sz="0" w:space="0" w:color="auto"/>
            <w:right w:val="none" w:sz="0" w:space="0" w:color="auto"/>
          </w:divBdr>
        </w:div>
        <w:div w:id="1523125888">
          <w:marLeft w:val="0"/>
          <w:marRight w:val="0"/>
          <w:marTop w:val="0"/>
          <w:marBottom w:val="0"/>
          <w:divBdr>
            <w:top w:val="none" w:sz="0" w:space="0" w:color="auto"/>
            <w:left w:val="none" w:sz="0" w:space="0" w:color="auto"/>
            <w:bottom w:val="none" w:sz="0" w:space="0" w:color="auto"/>
            <w:right w:val="none" w:sz="0" w:space="0" w:color="auto"/>
          </w:divBdr>
        </w:div>
        <w:div w:id="1126433042">
          <w:marLeft w:val="0"/>
          <w:marRight w:val="0"/>
          <w:marTop w:val="0"/>
          <w:marBottom w:val="0"/>
          <w:divBdr>
            <w:top w:val="none" w:sz="0" w:space="0" w:color="auto"/>
            <w:left w:val="none" w:sz="0" w:space="0" w:color="auto"/>
            <w:bottom w:val="none" w:sz="0" w:space="0" w:color="auto"/>
            <w:right w:val="none" w:sz="0" w:space="0" w:color="auto"/>
          </w:divBdr>
        </w:div>
        <w:div w:id="160975902">
          <w:marLeft w:val="0"/>
          <w:marRight w:val="0"/>
          <w:marTop w:val="0"/>
          <w:marBottom w:val="0"/>
          <w:divBdr>
            <w:top w:val="none" w:sz="0" w:space="0" w:color="auto"/>
            <w:left w:val="none" w:sz="0" w:space="0" w:color="auto"/>
            <w:bottom w:val="none" w:sz="0" w:space="0" w:color="auto"/>
            <w:right w:val="none" w:sz="0" w:space="0" w:color="auto"/>
          </w:divBdr>
        </w:div>
        <w:div w:id="1186600754">
          <w:marLeft w:val="0"/>
          <w:marRight w:val="0"/>
          <w:marTop w:val="0"/>
          <w:marBottom w:val="0"/>
          <w:divBdr>
            <w:top w:val="none" w:sz="0" w:space="0" w:color="auto"/>
            <w:left w:val="none" w:sz="0" w:space="0" w:color="auto"/>
            <w:bottom w:val="none" w:sz="0" w:space="0" w:color="auto"/>
            <w:right w:val="none" w:sz="0" w:space="0" w:color="auto"/>
          </w:divBdr>
        </w:div>
        <w:div w:id="1583028974">
          <w:marLeft w:val="0"/>
          <w:marRight w:val="0"/>
          <w:marTop w:val="0"/>
          <w:marBottom w:val="0"/>
          <w:divBdr>
            <w:top w:val="none" w:sz="0" w:space="0" w:color="auto"/>
            <w:left w:val="none" w:sz="0" w:space="0" w:color="auto"/>
            <w:bottom w:val="none" w:sz="0" w:space="0" w:color="auto"/>
            <w:right w:val="none" w:sz="0" w:space="0" w:color="auto"/>
          </w:divBdr>
        </w:div>
        <w:div w:id="813063642">
          <w:marLeft w:val="0"/>
          <w:marRight w:val="0"/>
          <w:marTop w:val="0"/>
          <w:marBottom w:val="0"/>
          <w:divBdr>
            <w:top w:val="none" w:sz="0" w:space="0" w:color="auto"/>
            <w:left w:val="none" w:sz="0" w:space="0" w:color="auto"/>
            <w:bottom w:val="none" w:sz="0" w:space="0" w:color="auto"/>
            <w:right w:val="none" w:sz="0" w:space="0" w:color="auto"/>
          </w:divBdr>
        </w:div>
        <w:div w:id="363747718">
          <w:marLeft w:val="0"/>
          <w:marRight w:val="0"/>
          <w:marTop w:val="0"/>
          <w:marBottom w:val="0"/>
          <w:divBdr>
            <w:top w:val="none" w:sz="0" w:space="0" w:color="auto"/>
            <w:left w:val="none" w:sz="0" w:space="0" w:color="auto"/>
            <w:bottom w:val="none" w:sz="0" w:space="0" w:color="auto"/>
            <w:right w:val="none" w:sz="0" w:space="0" w:color="auto"/>
          </w:divBdr>
        </w:div>
        <w:div w:id="38749429">
          <w:marLeft w:val="0"/>
          <w:marRight w:val="0"/>
          <w:marTop w:val="0"/>
          <w:marBottom w:val="0"/>
          <w:divBdr>
            <w:top w:val="none" w:sz="0" w:space="0" w:color="auto"/>
            <w:left w:val="none" w:sz="0" w:space="0" w:color="auto"/>
            <w:bottom w:val="none" w:sz="0" w:space="0" w:color="auto"/>
            <w:right w:val="none" w:sz="0" w:space="0" w:color="auto"/>
          </w:divBdr>
        </w:div>
        <w:div w:id="2368228">
          <w:marLeft w:val="0"/>
          <w:marRight w:val="0"/>
          <w:marTop w:val="0"/>
          <w:marBottom w:val="0"/>
          <w:divBdr>
            <w:top w:val="none" w:sz="0" w:space="0" w:color="auto"/>
            <w:left w:val="none" w:sz="0" w:space="0" w:color="auto"/>
            <w:bottom w:val="none" w:sz="0" w:space="0" w:color="auto"/>
            <w:right w:val="none" w:sz="0" w:space="0" w:color="auto"/>
          </w:divBdr>
        </w:div>
        <w:div w:id="81608306">
          <w:marLeft w:val="0"/>
          <w:marRight w:val="0"/>
          <w:marTop w:val="0"/>
          <w:marBottom w:val="0"/>
          <w:divBdr>
            <w:top w:val="none" w:sz="0" w:space="0" w:color="auto"/>
            <w:left w:val="none" w:sz="0" w:space="0" w:color="auto"/>
            <w:bottom w:val="none" w:sz="0" w:space="0" w:color="auto"/>
            <w:right w:val="none" w:sz="0" w:space="0" w:color="auto"/>
          </w:divBdr>
        </w:div>
      </w:divsChild>
    </w:div>
    <w:div w:id="957758588">
      <w:bodyDiv w:val="1"/>
      <w:marLeft w:val="0"/>
      <w:marRight w:val="0"/>
      <w:marTop w:val="0"/>
      <w:marBottom w:val="0"/>
      <w:divBdr>
        <w:top w:val="none" w:sz="0" w:space="0" w:color="auto"/>
        <w:left w:val="none" w:sz="0" w:space="0" w:color="auto"/>
        <w:bottom w:val="none" w:sz="0" w:space="0" w:color="auto"/>
        <w:right w:val="none" w:sz="0" w:space="0" w:color="auto"/>
      </w:divBdr>
      <w:divsChild>
        <w:div w:id="612979292">
          <w:marLeft w:val="0"/>
          <w:marRight w:val="0"/>
          <w:marTop w:val="0"/>
          <w:marBottom w:val="0"/>
          <w:divBdr>
            <w:top w:val="none" w:sz="0" w:space="0" w:color="auto"/>
            <w:left w:val="none" w:sz="0" w:space="0" w:color="auto"/>
            <w:bottom w:val="none" w:sz="0" w:space="0" w:color="auto"/>
            <w:right w:val="none" w:sz="0" w:space="0" w:color="auto"/>
          </w:divBdr>
        </w:div>
        <w:div w:id="775908445">
          <w:marLeft w:val="0"/>
          <w:marRight w:val="0"/>
          <w:marTop w:val="0"/>
          <w:marBottom w:val="0"/>
          <w:divBdr>
            <w:top w:val="none" w:sz="0" w:space="0" w:color="auto"/>
            <w:left w:val="none" w:sz="0" w:space="0" w:color="auto"/>
            <w:bottom w:val="none" w:sz="0" w:space="0" w:color="auto"/>
            <w:right w:val="none" w:sz="0" w:space="0" w:color="auto"/>
          </w:divBdr>
        </w:div>
        <w:div w:id="1308626439">
          <w:marLeft w:val="0"/>
          <w:marRight w:val="0"/>
          <w:marTop w:val="0"/>
          <w:marBottom w:val="0"/>
          <w:divBdr>
            <w:top w:val="none" w:sz="0" w:space="0" w:color="auto"/>
            <w:left w:val="none" w:sz="0" w:space="0" w:color="auto"/>
            <w:bottom w:val="none" w:sz="0" w:space="0" w:color="auto"/>
            <w:right w:val="none" w:sz="0" w:space="0" w:color="auto"/>
          </w:divBdr>
        </w:div>
        <w:div w:id="1007176166">
          <w:marLeft w:val="0"/>
          <w:marRight w:val="0"/>
          <w:marTop w:val="0"/>
          <w:marBottom w:val="0"/>
          <w:divBdr>
            <w:top w:val="none" w:sz="0" w:space="0" w:color="auto"/>
            <w:left w:val="none" w:sz="0" w:space="0" w:color="auto"/>
            <w:bottom w:val="none" w:sz="0" w:space="0" w:color="auto"/>
            <w:right w:val="none" w:sz="0" w:space="0" w:color="auto"/>
          </w:divBdr>
        </w:div>
        <w:div w:id="704326761">
          <w:marLeft w:val="0"/>
          <w:marRight w:val="0"/>
          <w:marTop w:val="0"/>
          <w:marBottom w:val="0"/>
          <w:divBdr>
            <w:top w:val="none" w:sz="0" w:space="0" w:color="auto"/>
            <w:left w:val="none" w:sz="0" w:space="0" w:color="auto"/>
            <w:bottom w:val="none" w:sz="0" w:space="0" w:color="auto"/>
            <w:right w:val="none" w:sz="0" w:space="0" w:color="auto"/>
          </w:divBdr>
        </w:div>
        <w:div w:id="1539317560">
          <w:marLeft w:val="0"/>
          <w:marRight w:val="0"/>
          <w:marTop w:val="0"/>
          <w:marBottom w:val="0"/>
          <w:divBdr>
            <w:top w:val="none" w:sz="0" w:space="0" w:color="auto"/>
            <w:left w:val="none" w:sz="0" w:space="0" w:color="auto"/>
            <w:bottom w:val="none" w:sz="0" w:space="0" w:color="auto"/>
            <w:right w:val="none" w:sz="0" w:space="0" w:color="auto"/>
          </w:divBdr>
        </w:div>
        <w:div w:id="904603949">
          <w:marLeft w:val="0"/>
          <w:marRight w:val="0"/>
          <w:marTop w:val="0"/>
          <w:marBottom w:val="0"/>
          <w:divBdr>
            <w:top w:val="none" w:sz="0" w:space="0" w:color="auto"/>
            <w:left w:val="none" w:sz="0" w:space="0" w:color="auto"/>
            <w:bottom w:val="none" w:sz="0" w:space="0" w:color="auto"/>
            <w:right w:val="none" w:sz="0" w:space="0" w:color="auto"/>
          </w:divBdr>
        </w:div>
        <w:div w:id="620960128">
          <w:marLeft w:val="0"/>
          <w:marRight w:val="0"/>
          <w:marTop w:val="0"/>
          <w:marBottom w:val="0"/>
          <w:divBdr>
            <w:top w:val="none" w:sz="0" w:space="0" w:color="auto"/>
            <w:left w:val="none" w:sz="0" w:space="0" w:color="auto"/>
            <w:bottom w:val="none" w:sz="0" w:space="0" w:color="auto"/>
            <w:right w:val="none" w:sz="0" w:space="0" w:color="auto"/>
          </w:divBdr>
        </w:div>
        <w:div w:id="1132937897">
          <w:marLeft w:val="0"/>
          <w:marRight w:val="0"/>
          <w:marTop w:val="0"/>
          <w:marBottom w:val="0"/>
          <w:divBdr>
            <w:top w:val="none" w:sz="0" w:space="0" w:color="auto"/>
            <w:left w:val="none" w:sz="0" w:space="0" w:color="auto"/>
            <w:bottom w:val="none" w:sz="0" w:space="0" w:color="auto"/>
            <w:right w:val="none" w:sz="0" w:space="0" w:color="auto"/>
          </w:divBdr>
        </w:div>
        <w:div w:id="2043894096">
          <w:marLeft w:val="0"/>
          <w:marRight w:val="0"/>
          <w:marTop w:val="0"/>
          <w:marBottom w:val="0"/>
          <w:divBdr>
            <w:top w:val="none" w:sz="0" w:space="0" w:color="auto"/>
            <w:left w:val="none" w:sz="0" w:space="0" w:color="auto"/>
            <w:bottom w:val="none" w:sz="0" w:space="0" w:color="auto"/>
            <w:right w:val="none" w:sz="0" w:space="0" w:color="auto"/>
          </w:divBdr>
        </w:div>
        <w:div w:id="1745444908">
          <w:marLeft w:val="0"/>
          <w:marRight w:val="0"/>
          <w:marTop w:val="0"/>
          <w:marBottom w:val="0"/>
          <w:divBdr>
            <w:top w:val="none" w:sz="0" w:space="0" w:color="auto"/>
            <w:left w:val="none" w:sz="0" w:space="0" w:color="auto"/>
            <w:bottom w:val="none" w:sz="0" w:space="0" w:color="auto"/>
            <w:right w:val="none" w:sz="0" w:space="0" w:color="auto"/>
          </w:divBdr>
        </w:div>
        <w:div w:id="669258251">
          <w:marLeft w:val="0"/>
          <w:marRight w:val="0"/>
          <w:marTop w:val="0"/>
          <w:marBottom w:val="0"/>
          <w:divBdr>
            <w:top w:val="none" w:sz="0" w:space="0" w:color="auto"/>
            <w:left w:val="none" w:sz="0" w:space="0" w:color="auto"/>
            <w:bottom w:val="none" w:sz="0" w:space="0" w:color="auto"/>
            <w:right w:val="none" w:sz="0" w:space="0" w:color="auto"/>
          </w:divBdr>
        </w:div>
      </w:divsChild>
    </w:div>
    <w:div w:id="1055470739">
      <w:bodyDiv w:val="1"/>
      <w:marLeft w:val="0"/>
      <w:marRight w:val="0"/>
      <w:marTop w:val="0"/>
      <w:marBottom w:val="0"/>
      <w:divBdr>
        <w:top w:val="none" w:sz="0" w:space="0" w:color="auto"/>
        <w:left w:val="none" w:sz="0" w:space="0" w:color="auto"/>
        <w:bottom w:val="none" w:sz="0" w:space="0" w:color="auto"/>
        <w:right w:val="none" w:sz="0" w:space="0" w:color="auto"/>
      </w:divBdr>
    </w:div>
    <w:div w:id="1316639661">
      <w:bodyDiv w:val="1"/>
      <w:marLeft w:val="0"/>
      <w:marRight w:val="0"/>
      <w:marTop w:val="0"/>
      <w:marBottom w:val="0"/>
      <w:divBdr>
        <w:top w:val="none" w:sz="0" w:space="0" w:color="auto"/>
        <w:left w:val="none" w:sz="0" w:space="0" w:color="auto"/>
        <w:bottom w:val="none" w:sz="0" w:space="0" w:color="auto"/>
        <w:right w:val="none" w:sz="0" w:space="0" w:color="auto"/>
      </w:divBdr>
      <w:divsChild>
        <w:div w:id="777720698">
          <w:marLeft w:val="0"/>
          <w:marRight w:val="0"/>
          <w:marTop w:val="0"/>
          <w:marBottom w:val="0"/>
          <w:divBdr>
            <w:top w:val="none" w:sz="0" w:space="0" w:color="auto"/>
            <w:left w:val="none" w:sz="0" w:space="0" w:color="auto"/>
            <w:bottom w:val="none" w:sz="0" w:space="0" w:color="auto"/>
            <w:right w:val="none" w:sz="0" w:space="0" w:color="auto"/>
          </w:divBdr>
        </w:div>
      </w:divsChild>
    </w:div>
    <w:div w:id="1343968597">
      <w:bodyDiv w:val="1"/>
      <w:marLeft w:val="0"/>
      <w:marRight w:val="0"/>
      <w:marTop w:val="0"/>
      <w:marBottom w:val="0"/>
      <w:divBdr>
        <w:top w:val="none" w:sz="0" w:space="0" w:color="auto"/>
        <w:left w:val="none" w:sz="0" w:space="0" w:color="auto"/>
        <w:bottom w:val="none" w:sz="0" w:space="0" w:color="auto"/>
        <w:right w:val="none" w:sz="0" w:space="0" w:color="auto"/>
      </w:divBdr>
      <w:divsChild>
        <w:div w:id="2124375771">
          <w:marLeft w:val="0"/>
          <w:marRight w:val="0"/>
          <w:marTop w:val="0"/>
          <w:marBottom w:val="0"/>
          <w:divBdr>
            <w:top w:val="none" w:sz="0" w:space="0" w:color="auto"/>
            <w:left w:val="none" w:sz="0" w:space="0" w:color="auto"/>
            <w:bottom w:val="none" w:sz="0" w:space="0" w:color="auto"/>
            <w:right w:val="none" w:sz="0" w:space="0" w:color="auto"/>
          </w:divBdr>
        </w:div>
        <w:div w:id="334041859">
          <w:marLeft w:val="0"/>
          <w:marRight w:val="0"/>
          <w:marTop w:val="0"/>
          <w:marBottom w:val="0"/>
          <w:divBdr>
            <w:top w:val="none" w:sz="0" w:space="0" w:color="auto"/>
            <w:left w:val="none" w:sz="0" w:space="0" w:color="auto"/>
            <w:bottom w:val="none" w:sz="0" w:space="0" w:color="auto"/>
            <w:right w:val="none" w:sz="0" w:space="0" w:color="auto"/>
          </w:divBdr>
        </w:div>
        <w:div w:id="1558122607">
          <w:marLeft w:val="0"/>
          <w:marRight w:val="0"/>
          <w:marTop w:val="0"/>
          <w:marBottom w:val="0"/>
          <w:divBdr>
            <w:top w:val="none" w:sz="0" w:space="0" w:color="auto"/>
            <w:left w:val="none" w:sz="0" w:space="0" w:color="auto"/>
            <w:bottom w:val="none" w:sz="0" w:space="0" w:color="auto"/>
            <w:right w:val="none" w:sz="0" w:space="0" w:color="auto"/>
          </w:divBdr>
        </w:div>
        <w:div w:id="1956980848">
          <w:marLeft w:val="0"/>
          <w:marRight w:val="0"/>
          <w:marTop w:val="0"/>
          <w:marBottom w:val="0"/>
          <w:divBdr>
            <w:top w:val="none" w:sz="0" w:space="0" w:color="auto"/>
            <w:left w:val="none" w:sz="0" w:space="0" w:color="auto"/>
            <w:bottom w:val="none" w:sz="0" w:space="0" w:color="auto"/>
            <w:right w:val="none" w:sz="0" w:space="0" w:color="auto"/>
          </w:divBdr>
        </w:div>
        <w:div w:id="1810440142">
          <w:marLeft w:val="0"/>
          <w:marRight w:val="0"/>
          <w:marTop w:val="0"/>
          <w:marBottom w:val="0"/>
          <w:divBdr>
            <w:top w:val="none" w:sz="0" w:space="0" w:color="auto"/>
            <w:left w:val="none" w:sz="0" w:space="0" w:color="auto"/>
            <w:bottom w:val="none" w:sz="0" w:space="0" w:color="auto"/>
            <w:right w:val="none" w:sz="0" w:space="0" w:color="auto"/>
          </w:divBdr>
        </w:div>
        <w:div w:id="1027684786">
          <w:marLeft w:val="0"/>
          <w:marRight w:val="0"/>
          <w:marTop w:val="0"/>
          <w:marBottom w:val="0"/>
          <w:divBdr>
            <w:top w:val="none" w:sz="0" w:space="0" w:color="auto"/>
            <w:left w:val="none" w:sz="0" w:space="0" w:color="auto"/>
            <w:bottom w:val="none" w:sz="0" w:space="0" w:color="auto"/>
            <w:right w:val="none" w:sz="0" w:space="0" w:color="auto"/>
          </w:divBdr>
        </w:div>
        <w:div w:id="169102836">
          <w:marLeft w:val="0"/>
          <w:marRight w:val="0"/>
          <w:marTop w:val="0"/>
          <w:marBottom w:val="0"/>
          <w:divBdr>
            <w:top w:val="none" w:sz="0" w:space="0" w:color="auto"/>
            <w:left w:val="none" w:sz="0" w:space="0" w:color="auto"/>
            <w:bottom w:val="none" w:sz="0" w:space="0" w:color="auto"/>
            <w:right w:val="none" w:sz="0" w:space="0" w:color="auto"/>
          </w:divBdr>
        </w:div>
        <w:div w:id="898322833">
          <w:marLeft w:val="0"/>
          <w:marRight w:val="0"/>
          <w:marTop w:val="0"/>
          <w:marBottom w:val="0"/>
          <w:divBdr>
            <w:top w:val="none" w:sz="0" w:space="0" w:color="auto"/>
            <w:left w:val="none" w:sz="0" w:space="0" w:color="auto"/>
            <w:bottom w:val="none" w:sz="0" w:space="0" w:color="auto"/>
            <w:right w:val="none" w:sz="0" w:space="0" w:color="auto"/>
          </w:divBdr>
        </w:div>
        <w:div w:id="1237516910">
          <w:marLeft w:val="0"/>
          <w:marRight w:val="0"/>
          <w:marTop w:val="0"/>
          <w:marBottom w:val="0"/>
          <w:divBdr>
            <w:top w:val="none" w:sz="0" w:space="0" w:color="auto"/>
            <w:left w:val="none" w:sz="0" w:space="0" w:color="auto"/>
            <w:bottom w:val="none" w:sz="0" w:space="0" w:color="auto"/>
            <w:right w:val="none" w:sz="0" w:space="0" w:color="auto"/>
          </w:divBdr>
        </w:div>
      </w:divsChild>
    </w:div>
    <w:div w:id="1620646842">
      <w:bodyDiv w:val="1"/>
      <w:marLeft w:val="0"/>
      <w:marRight w:val="0"/>
      <w:marTop w:val="0"/>
      <w:marBottom w:val="0"/>
      <w:divBdr>
        <w:top w:val="none" w:sz="0" w:space="0" w:color="auto"/>
        <w:left w:val="none" w:sz="0" w:space="0" w:color="auto"/>
        <w:bottom w:val="none" w:sz="0" w:space="0" w:color="auto"/>
        <w:right w:val="none" w:sz="0" w:space="0" w:color="auto"/>
      </w:divBdr>
      <w:divsChild>
        <w:div w:id="1216774142">
          <w:marLeft w:val="0"/>
          <w:marRight w:val="0"/>
          <w:marTop w:val="0"/>
          <w:marBottom w:val="0"/>
          <w:divBdr>
            <w:top w:val="none" w:sz="0" w:space="0" w:color="auto"/>
            <w:left w:val="none" w:sz="0" w:space="0" w:color="auto"/>
            <w:bottom w:val="none" w:sz="0" w:space="0" w:color="auto"/>
            <w:right w:val="none" w:sz="0" w:space="0" w:color="auto"/>
          </w:divBdr>
          <w:divsChild>
            <w:div w:id="2118209374">
              <w:marLeft w:val="0"/>
              <w:marRight w:val="0"/>
              <w:marTop w:val="0"/>
              <w:marBottom w:val="0"/>
              <w:divBdr>
                <w:top w:val="none" w:sz="0" w:space="0" w:color="auto"/>
                <w:left w:val="none" w:sz="0" w:space="0" w:color="auto"/>
                <w:bottom w:val="none" w:sz="0" w:space="0" w:color="auto"/>
                <w:right w:val="none" w:sz="0" w:space="0" w:color="auto"/>
              </w:divBdr>
            </w:div>
            <w:div w:id="1532105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4439</Words>
  <Characters>25305</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tara Anderson</dc:creator>
  <cp:lastModifiedBy>Kate Jones</cp:lastModifiedBy>
  <cp:revision>3</cp:revision>
  <dcterms:created xsi:type="dcterms:W3CDTF">2018-04-20T22:57:00Z</dcterms:created>
  <dcterms:modified xsi:type="dcterms:W3CDTF">2018-04-20T22:58:00Z</dcterms:modified>
</cp:coreProperties>
</file>