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5DB2734B" w:rsidR="00833470" w:rsidRPr="00074402" w:rsidRDefault="00833470" w:rsidP="00833470">
      <w:pPr>
        <w:spacing w:line="360" w:lineRule="auto"/>
        <w:rPr>
          <w:rFonts w:ascii="Arial" w:hAnsi="Arial" w:cs="Arial"/>
          <w:szCs w:val="24"/>
        </w:rPr>
      </w:pP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264EFC01"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6F5E8E">
        <w:rPr>
          <w:rFonts w:ascii="Arial" w:hAnsi="Arial" w:cs="Arial"/>
          <w:sz w:val="28"/>
          <w:szCs w:val="28"/>
        </w:rPr>
        <w:t>Atinicia Pereira da Costa</w:t>
      </w:r>
    </w:p>
    <w:p w14:paraId="476C763A" w14:textId="56632617"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6F5E8E">
        <w:rPr>
          <w:rFonts w:ascii="Arial" w:hAnsi="Arial" w:cs="Arial"/>
          <w:sz w:val="28"/>
          <w:szCs w:val="28"/>
          <w:lang w:val="nl-NL"/>
        </w:rPr>
        <w:t>2514003</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7320E46D"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483DF1" w:rsidRPr="00483DF1">
        <w:rPr>
          <w:rFonts w:ascii="Arial" w:hAnsi="Arial" w:cs="Arial"/>
          <w:sz w:val="28"/>
          <w:szCs w:val="28"/>
        </w:rPr>
        <w:t>Introduction to Health and Social Care</w:t>
      </w:r>
    </w:p>
    <w:p w14:paraId="0009AFB0" w14:textId="00EC7C50"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483DF1" w:rsidRPr="00483DF1">
        <w:t xml:space="preserve"> </w:t>
      </w:r>
      <w:r w:rsidR="00483DF1" w:rsidRPr="00483DF1">
        <w:rPr>
          <w:rFonts w:ascii="Arial" w:hAnsi="Arial" w:cs="Arial"/>
          <w:sz w:val="28"/>
          <w:szCs w:val="28"/>
        </w:rPr>
        <w:t>LCHS4003</w:t>
      </w:r>
    </w:p>
    <w:p w14:paraId="410C101D" w14:textId="2BD4A1B1" w:rsidR="00925D5E" w:rsidRDefault="00833470">
      <w:pPr>
        <w:sectPr w:rsidR="00925D5E">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bookmarkEnd w:id="0"/>
      <w:r w:rsidR="00483DF1">
        <w:t xml:space="preserve">: </w:t>
      </w:r>
      <w:proofErr w:type="spellStart"/>
      <w:r w:rsidR="00483DF1">
        <w:t>Inye</w:t>
      </w:r>
      <w:proofErr w:type="spellEnd"/>
      <w:r w:rsidR="00483DF1">
        <w:t xml:space="preserve"> Abel-Tariah</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236C53D3"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page</w:t>
      </w:r>
    </w:p>
    <w:p w14:paraId="5AFFC33B" w14:textId="06342F6C" w:rsidR="003A000F" w:rsidRDefault="00483DF1">
      <w:pPr>
        <w:sectPr w:rsidR="003A000F" w:rsidSect="00743FED">
          <w:pgSz w:w="23811" w:h="16838" w:orient="landscape" w:code="8"/>
          <w:pgMar w:top="1440" w:right="1440" w:bottom="1440" w:left="1440" w:header="708" w:footer="708" w:gutter="0"/>
          <w:cols w:space="708"/>
          <w:docGrid w:linePitch="360"/>
        </w:sectPr>
      </w:pPr>
      <w:r>
        <w:rPr>
          <w:noProof/>
          <w:lang w:val="en-IN" w:eastAsia="en-IN"/>
        </w:rPr>
        <w:lastRenderedPageBreak/>
        <mc:AlternateContent>
          <mc:Choice Requires="wps">
            <w:drawing>
              <wp:anchor distT="45720" distB="45720" distL="114300" distR="114300" simplePos="0" relativeHeight="251669504" behindDoc="1" locked="0" layoutInCell="1" allowOverlap="1" wp14:anchorId="298766ED" wp14:editId="139240FF">
                <wp:simplePos x="0" y="0"/>
                <wp:positionH relativeFrom="column">
                  <wp:posOffset>6524122</wp:posOffset>
                </wp:positionH>
                <wp:positionV relativeFrom="paragraph">
                  <wp:posOffset>1338103</wp:posOffset>
                </wp:positionV>
                <wp:extent cx="4144010" cy="2425700"/>
                <wp:effectExtent l="19050" t="19050" r="27940" b="12700"/>
                <wp:wrapTight wrapText="bothSides">
                  <wp:wrapPolygon edited="0">
                    <wp:start x="-99" y="-170"/>
                    <wp:lineTo x="-99" y="21543"/>
                    <wp:lineTo x="21646" y="21543"/>
                    <wp:lineTo x="21646" y="-170"/>
                    <wp:lineTo x="-99" y="-170"/>
                  </wp:wrapPolygon>
                </wp:wrapTight>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4010" cy="2425700"/>
                        </a:xfrm>
                        <a:prstGeom prst="rect">
                          <a:avLst/>
                        </a:prstGeom>
                        <a:solidFill>
                          <a:srgbClr val="FFFFFF"/>
                        </a:solidFill>
                        <a:ln w="44450">
                          <a:solidFill>
                            <a:srgbClr val="000000"/>
                          </a:solidFill>
                          <a:miter lim="800000"/>
                          <a:headEnd/>
                          <a:tailEnd/>
                        </a:ln>
                        <a:effectLst>
                          <a:softEdge rad="25400"/>
                        </a:effectLst>
                      </wps:spPr>
                      <wps:txbx>
                        <w:txbxContent>
                          <w:p w14:paraId="019AEABF" w14:textId="0DE102AE" w:rsidR="00BE6BE0" w:rsidRPr="002840A7" w:rsidRDefault="008F3BC8" w:rsidP="002840A7">
                            <w:pPr>
                              <w:spacing w:line="240" w:lineRule="auto"/>
                              <w:jc w:val="both"/>
                              <w:rPr>
                                <w:rFonts w:ascii="Times New Roman" w:hAnsi="Times New Roman" w:cs="Times New Roman"/>
                                <w:b/>
                                <w:bCs/>
                                <w:color w:val="385623" w:themeColor="accent6" w:themeShade="80"/>
                                <w:sz w:val="10"/>
                                <w:szCs w:val="10"/>
                              </w:rPr>
                            </w:pPr>
                            <w:r w:rsidRPr="002840A7">
                              <w:rPr>
                                <w:rFonts w:ascii="Times New Roman" w:hAnsi="Times New Roman" w:cs="Times New Roman"/>
                                <w:b/>
                                <w:bCs/>
                                <w:color w:val="385623" w:themeColor="accent6" w:themeShade="80"/>
                                <w:sz w:val="10"/>
                                <w:szCs w:val="10"/>
                              </w:rPr>
                              <w:t xml:space="preserve">A brief history of the service </w:t>
                            </w:r>
                          </w:p>
                          <w:p w14:paraId="2F2C6041" w14:textId="65058AFA" w:rsidR="00BE6BE0" w:rsidRPr="002F2FA9" w:rsidRDefault="002840A7" w:rsidP="002840A7">
                            <w:pPr>
                              <w:spacing w:line="240" w:lineRule="auto"/>
                              <w:jc w:val="both"/>
                              <w:rPr>
                                <w:rFonts w:ascii="Times New Roman" w:hAnsi="Times New Roman" w:cs="Times New Roman"/>
                                <w:sz w:val="16"/>
                                <w:szCs w:val="16"/>
                                <w:lang w:val="en-IN"/>
                              </w:rPr>
                            </w:pPr>
                            <w:r w:rsidRPr="002F2FA9">
                              <w:rPr>
                                <w:rFonts w:ascii="Times New Roman" w:hAnsi="Times New Roman" w:cs="Times New Roman"/>
                                <w:sz w:val="16"/>
                                <w:szCs w:val="16"/>
                              </w:rPr>
                              <w:t xml:space="preserve">Earlier on, the disabled individuals were usually institutionalized and were shunned by the society and therefore had limited chances to live freely. At the beginning of the twentieth century, disabled people were treated more of a medical treatment than being integrated into society. This approach was however gradually changing as more people began to be aware about the rights of disability. The concept of community disability services began to take the centre stage of development in the mid twentieth century when governments and health institutions </w:t>
                            </w:r>
                            <w:proofErr w:type="gramStart"/>
                            <w:r w:rsidRPr="002F2FA9">
                              <w:rPr>
                                <w:rFonts w:ascii="Times New Roman" w:hAnsi="Times New Roman" w:cs="Times New Roman"/>
                                <w:sz w:val="16"/>
                                <w:szCs w:val="16"/>
                              </w:rPr>
                              <w:t>came to the understanding</w:t>
                            </w:r>
                            <w:proofErr w:type="gramEnd"/>
                            <w:r w:rsidRPr="002F2FA9">
                              <w:rPr>
                                <w:rFonts w:ascii="Times New Roman" w:hAnsi="Times New Roman" w:cs="Times New Roman"/>
                                <w:sz w:val="16"/>
                                <w:szCs w:val="16"/>
                              </w:rPr>
                              <w:t xml:space="preserve"> that they had to integrate the individuals with disabilities into the society. The movements of human rights and disability advocacy groups that </w:t>
                            </w:r>
                            <w:proofErr w:type="spellStart"/>
                            <w:proofErr w:type="gramStart"/>
                            <w:r w:rsidRPr="002F2FA9">
                              <w:rPr>
                                <w:rFonts w:ascii="Times New Roman" w:hAnsi="Times New Roman" w:cs="Times New Roman"/>
                                <w:sz w:val="16"/>
                                <w:szCs w:val="16"/>
                              </w:rPr>
                              <w:t>spark</w:t>
                            </w:r>
                            <w:r w:rsidR="00D60411" w:rsidRPr="002F2FA9">
                              <w:rPr>
                                <w:rFonts w:ascii="Times New Roman" w:hAnsi="Times New Roman" w:cs="Times New Roman"/>
                                <w:sz w:val="16"/>
                                <w:szCs w:val="16"/>
                              </w:rPr>
                              <w:t>;</w:t>
                            </w:r>
                            <w:r w:rsidRPr="002F2FA9">
                              <w:rPr>
                                <w:rFonts w:ascii="Times New Roman" w:hAnsi="Times New Roman" w:cs="Times New Roman"/>
                                <w:sz w:val="16"/>
                                <w:szCs w:val="16"/>
                              </w:rPr>
                              <w:t>ed</w:t>
                            </w:r>
                            <w:proofErr w:type="spellEnd"/>
                            <w:proofErr w:type="gramEnd"/>
                            <w:r w:rsidRPr="002F2FA9">
                              <w:rPr>
                                <w:rFonts w:ascii="Times New Roman" w:hAnsi="Times New Roman" w:cs="Times New Roman"/>
                                <w:sz w:val="16"/>
                                <w:szCs w:val="16"/>
                              </w:rPr>
                              <w:t xml:space="preserve"> equality and the element of independence brought about the change </w:t>
                            </w:r>
                            <w:r w:rsidRPr="002F2FA9">
                              <w:rPr>
                                <w:rFonts w:ascii="Times New Roman" w:hAnsi="Times New Roman" w:cs="Times New Roman"/>
                                <w:sz w:val="16"/>
                                <w:szCs w:val="16"/>
                                <w:lang w:val="en-IN"/>
                              </w:rPr>
                              <w:t>(Chan et al., 2022)</w:t>
                            </w:r>
                            <w:r w:rsidRPr="002F2FA9">
                              <w:rPr>
                                <w:rFonts w:ascii="Times New Roman" w:hAnsi="Times New Roman" w:cs="Times New Roman"/>
                                <w:sz w:val="16"/>
                                <w:szCs w:val="16"/>
                              </w:rPr>
                              <w:t xml:space="preserve">. In the United Kingdom and </w:t>
                            </w:r>
                            <w:proofErr w:type="gramStart"/>
                            <w:r w:rsidRPr="002F2FA9">
                              <w:rPr>
                                <w:rFonts w:ascii="Times New Roman" w:hAnsi="Times New Roman" w:cs="Times New Roman"/>
                                <w:sz w:val="16"/>
                                <w:szCs w:val="16"/>
                              </w:rPr>
                              <w:t>the majority of</w:t>
                            </w:r>
                            <w:proofErr w:type="gramEnd"/>
                            <w:r w:rsidRPr="002F2FA9">
                              <w:rPr>
                                <w:rFonts w:ascii="Times New Roman" w:hAnsi="Times New Roman" w:cs="Times New Roman"/>
                                <w:sz w:val="16"/>
                                <w:szCs w:val="16"/>
                              </w:rPr>
                              <w:t xml:space="preserve"> other states, policies and legislations were created, which simplified community-based care. These policies encouraged the relocation of institutional care to the community support. This was to enable the people with disability to be able to be in their own homes or assisted housing facilities and have access to the required services. The community disability services over time have also expanded to include rehabilitation, assistive technology, social services and specialised healthcare services. Social participation, education and employment opportunities as well as medical care are also offered as a part of these services these days. This shift is a sign of a greater discovery that disability support should declare independence, dignity and belonging in the society.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8766ED" id="_x0000_t202" coordsize="21600,21600" o:spt="202" path="m,l,21600r21600,l21600,xe">
                <v:stroke joinstyle="miter"/>
                <v:path gradientshapeok="t" o:connecttype="rect"/>
              </v:shapetype>
              <v:shape id="Text Box 6" o:spid="_x0000_s1026" type="#_x0000_t202" style="position:absolute;margin-left:513.7pt;margin-top:105.35pt;width:326.3pt;height:191pt;z-index:-251646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" strokeweight="3.5pt">
                <v:textbox>
                  <w:txbxContent>
                    <w:p w14:paraId="019AEABF" w14:textId="0DE102AE" w:rsidR="00BE6BE0" w:rsidRPr="002840A7" w:rsidRDefault="008F3BC8" w:rsidP="002840A7">
                      <w:pPr>
                        <w:spacing w:line="240" w:lineRule="auto"/>
                        <w:jc w:val="both"/>
                        <w:rPr>
                          <w:rFonts w:ascii="Times New Roman" w:hAnsi="Times New Roman" w:cs="Times New Roman"/>
                          <w:b/>
                          <w:bCs/>
                          <w:color w:val="385623" w:themeColor="accent6" w:themeShade="80"/>
                          <w:sz w:val="10"/>
                          <w:szCs w:val="10"/>
                        </w:rPr>
                      </w:pPr>
                      <w:r w:rsidRPr="002840A7">
                        <w:rPr>
                          <w:rFonts w:ascii="Times New Roman" w:hAnsi="Times New Roman" w:cs="Times New Roman"/>
                          <w:b/>
                          <w:bCs/>
                          <w:color w:val="385623" w:themeColor="accent6" w:themeShade="80"/>
                          <w:sz w:val="10"/>
                          <w:szCs w:val="10"/>
                        </w:rPr>
                        <w:t xml:space="preserve">A brief history of the service </w:t>
                      </w:r>
                    </w:p>
                    <w:p w14:paraId="2F2C6041" w14:textId="65058AFA" w:rsidR="00BE6BE0" w:rsidRPr="002F2FA9" w:rsidRDefault="002840A7" w:rsidP="002840A7">
                      <w:pPr>
                        <w:spacing w:line="240" w:lineRule="auto"/>
                        <w:jc w:val="both"/>
                        <w:rPr>
                          <w:rFonts w:ascii="Times New Roman" w:hAnsi="Times New Roman" w:cs="Times New Roman"/>
                          <w:sz w:val="16"/>
                          <w:szCs w:val="16"/>
                          <w:lang w:val="en-IN"/>
                        </w:rPr>
                      </w:pPr>
                      <w:r w:rsidRPr="002F2FA9">
                        <w:rPr>
                          <w:rFonts w:ascii="Times New Roman" w:hAnsi="Times New Roman" w:cs="Times New Roman"/>
                          <w:sz w:val="16"/>
                          <w:szCs w:val="16"/>
                        </w:rPr>
                        <w:t xml:space="preserve">Earlier on, the disabled individuals were usually institutionalized and were shunned by the society and therefore had limited chances to live freely. At the beginning of the twentieth century, disabled people were treated more of a medical treatment than being integrated into society. This approach was however gradually changing as more people began to be aware about the rights of disability. The concept of community disability services began to take the centre stage of development in the mid twentieth century when governments and health institutions </w:t>
                      </w:r>
                      <w:proofErr w:type="gramStart"/>
                      <w:r w:rsidRPr="002F2FA9">
                        <w:rPr>
                          <w:rFonts w:ascii="Times New Roman" w:hAnsi="Times New Roman" w:cs="Times New Roman"/>
                          <w:sz w:val="16"/>
                          <w:szCs w:val="16"/>
                        </w:rPr>
                        <w:t>came to the understanding</w:t>
                      </w:r>
                      <w:proofErr w:type="gramEnd"/>
                      <w:r w:rsidRPr="002F2FA9">
                        <w:rPr>
                          <w:rFonts w:ascii="Times New Roman" w:hAnsi="Times New Roman" w:cs="Times New Roman"/>
                          <w:sz w:val="16"/>
                          <w:szCs w:val="16"/>
                        </w:rPr>
                        <w:t xml:space="preserve"> that they had to integrate the individuals with disabilities into the society. The movements of human rights and disability advocacy groups that </w:t>
                      </w:r>
                      <w:proofErr w:type="spellStart"/>
                      <w:proofErr w:type="gramStart"/>
                      <w:r w:rsidRPr="002F2FA9">
                        <w:rPr>
                          <w:rFonts w:ascii="Times New Roman" w:hAnsi="Times New Roman" w:cs="Times New Roman"/>
                          <w:sz w:val="16"/>
                          <w:szCs w:val="16"/>
                        </w:rPr>
                        <w:t>spark</w:t>
                      </w:r>
                      <w:r w:rsidR="00D60411" w:rsidRPr="002F2FA9">
                        <w:rPr>
                          <w:rFonts w:ascii="Times New Roman" w:hAnsi="Times New Roman" w:cs="Times New Roman"/>
                          <w:sz w:val="16"/>
                          <w:szCs w:val="16"/>
                        </w:rPr>
                        <w:t>;</w:t>
                      </w:r>
                      <w:r w:rsidRPr="002F2FA9">
                        <w:rPr>
                          <w:rFonts w:ascii="Times New Roman" w:hAnsi="Times New Roman" w:cs="Times New Roman"/>
                          <w:sz w:val="16"/>
                          <w:szCs w:val="16"/>
                        </w:rPr>
                        <w:t>ed</w:t>
                      </w:r>
                      <w:proofErr w:type="spellEnd"/>
                      <w:proofErr w:type="gramEnd"/>
                      <w:r w:rsidRPr="002F2FA9">
                        <w:rPr>
                          <w:rFonts w:ascii="Times New Roman" w:hAnsi="Times New Roman" w:cs="Times New Roman"/>
                          <w:sz w:val="16"/>
                          <w:szCs w:val="16"/>
                        </w:rPr>
                        <w:t xml:space="preserve"> equality and the element of independence brought about the change </w:t>
                      </w:r>
                      <w:r w:rsidRPr="002F2FA9">
                        <w:rPr>
                          <w:rFonts w:ascii="Times New Roman" w:hAnsi="Times New Roman" w:cs="Times New Roman"/>
                          <w:sz w:val="16"/>
                          <w:szCs w:val="16"/>
                          <w:lang w:val="en-IN"/>
                        </w:rPr>
                        <w:t>(Chan et al., 2022)</w:t>
                      </w:r>
                      <w:r w:rsidRPr="002F2FA9">
                        <w:rPr>
                          <w:rFonts w:ascii="Times New Roman" w:hAnsi="Times New Roman" w:cs="Times New Roman"/>
                          <w:sz w:val="16"/>
                          <w:szCs w:val="16"/>
                        </w:rPr>
                        <w:t xml:space="preserve">. In the United Kingdom and </w:t>
                      </w:r>
                      <w:proofErr w:type="gramStart"/>
                      <w:r w:rsidRPr="002F2FA9">
                        <w:rPr>
                          <w:rFonts w:ascii="Times New Roman" w:hAnsi="Times New Roman" w:cs="Times New Roman"/>
                          <w:sz w:val="16"/>
                          <w:szCs w:val="16"/>
                        </w:rPr>
                        <w:t>the majority of</w:t>
                      </w:r>
                      <w:proofErr w:type="gramEnd"/>
                      <w:r w:rsidRPr="002F2FA9">
                        <w:rPr>
                          <w:rFonts w:ascii="Times New Roman" w:hAnsi="Times New Roman" w:cs="Times New Roman"/>
                          <w:sz w:val="16"/>
                          <w:szCs w:val="16"/>
                        </w:rPr>
                        <w:t xml:space="preserve"> other states, policies and legislations were created, which simplified community-based care. These policies encouraged the relocation of institutional care to the community support. This was to enable the people with disability to be able to be in their own homes or assisted housing facilities and have access to the required services. The community disability services over time have also expanded to include rehabilitation, assistive technology, social services and specialised healthcare services. Social participation, education and employment opportunities as well as medical care are also offered as a part of these services these days. This shift is a sign of a greater discovery that disability support should declare independence, dignity and belonging in the society.</w:t>
                      </w:r>
                    </w:p>
                  </w:txbxContent>
                </v:textbox>
                <w10:wrap type="tight"/>
              </v:shape>
            </w:pict>
          </mc:Fallback>
        </mc:AlternateContent>
      </w:r>
      <w:r>
        <w:rPr>
          <w:noProof/>
          <w:lang w:val="en-IN" w:eastAsia="en-IN"/>
        </w:rPr>
        <mc:AlternateContent>
          <mc:Choice Requires="wps">
            <w:drawing>
              <wp:anchor distT="45720" distB="45720" distL="114300" distR="114300" simplePos="0" relativeHeight="251671552" behindDoc="1" locked="0" layoutInCell="1" allowOverlap="1" wp14:anchorId="5D749413" wp14:editId="499A2913">
                <wp:simplePos x="0" y="0"/>
                <wp:positionH relativeFrom="page">
                  <wp:align>left</wp:align>
                </wp:positionH>
                <wp:positionV relativeFrom="paragraph">
                  <wp:posOffset>4167719</wp:posOffset>
                </wp:positionV>
                <wp:extent cx="4364355" cy="2509520"/>
                <wp:effectExtent l="19050" t="19050" r="36195" b="43180"/>
                <wp:wrapTight wrapText="bothSides">
                  <wp:wrapPolygon edited="0">
                    <wp:start x="-94" y="-164"/>
                    <wp:lineTo x="-94" y="21808"/>
                    <wp:lineTo x="21685" y="21808"/>
                    <wp:lineTo x="21685" y="-164"/>
                    <wp:lineTo x="-94" y="-164"/>
                  </wp:wrapPolygon>
                </wp:wrapTight>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64355" cy="2509520"/>
                        </a:xfrm>
                        <a:prstGeom prst="rect">
                          <a:avLst/>
                        </a:prstGeom>
                        <a:solidFill>
                          <a:srgbClr val="FFFFFF"/>
                        </a:solidFill>
                        <a:ln w="47625">
                          <a:solidFill>
                            <a:srgbClr val="000000"/>
                          </a:solidFill>
                          <a:miter lim="800000"/>
                          <a:headEnd/>
                          <a:tailEnd/>
                        </a:ln>
                        <a:effectLst>
                          <a:softEdge rad="25400"/>
                        </a:effectLst>
                      </wps:spPr>
                      <wps:txbx>
                        <w:txbxContent>
                          <w:p w14:paraId="6E07F680" w14:textId="4588D31C" w:rsidR="00BE6BE0" w:rsidRPr="002F2FA9" w:rsidRDefault="008F3BC8" w:rsidP="00BE6BE0">
                            <w:pPr>
                              <w:rPr>
                                <w:rFonts w:ascii="Times New Roman" w:hAnsi="Times New Roman" w:cs="Times New Roman"/>
                                <w:b/>
                                <w:bCs/>
                                <w:color w:val="385623" w:themeColor="accent6" w:themeShade="80"/>
                                <w:sz w:val="16"/>
                                <w:szCs w:val="16"/>
                              </w:rPr>
                            </w:pPr>
                            <w:r w:rsidRPr="002F2FA9">
                              <w:rPr>
                                <w:rFonts w:ascii="Times New Roman" w:hAnsi="Times New Roman" w:cs="Times New Roman"/>
                                <w:b/>
                                <w:bCs/>
                                <w:color w:val="385623" w:themeColor="accent6" w:themeShade="80"/>
                                <w:sz w:val="16"/>
                                <w:szCs w:val="16"/>
                              </w:rPr>
                              <w:t>Current functi</w:t>
                            </w:r>
                            <w:r w:rsidR="002840A7" w:rsidRPr="002F2FA9">
                              <w:rPr>
                                <w:rFonts w:ascii="Times New Roman" w:hAnsi="Times New Roman" w:cs="Times New Roman"/>
                                <w:b/>
                                <w:bCs/>
                                <w:color w:val="385623" w:themeColor="accent6" w:themeShade="80"/>
                                <w:sz w:val="16"/>
                                <w:szCs w:val="16"/>
                              </w:rPr>
                              <w:t xml:space="preserve">oning of the service </w:t>
                            </w:r>
                          </w:p>
                          <w:p w14:paraId="0809CF7E" w14:textId="4359B93F" w:rsidR="00BE6BE0" w:rsidRPr="002F2FA9" w:rsidRDefault="002840A7" w:rsidP="002840A7">
                            <w:pPr>
                              <w:jc w:val="both"/>
                              <w:rPr>
                                <w:rFonts w:ascii="Times New Roman" w:hAnsi="Times New Roman" w:cs="Times New Roman"/>
                                <w:sz w:val="16"/>
                                <w:szCs w:val="16"/>
                                <w:lang w:val="en-IN"/>
                              </w:rPr>
                            </w:pPr>
                            <w:r w:rsidRPr="002F2FA9">
                              <w:rPr>
                                <w:rFonts w:ascii="Times New Roman" w:hAnsi="Times New Roman" w:cs="Times New Roman"/>
                                <w:sz w:val="16"/>
                                <w:szCs w:val="16"/>
                              </w:rPr>
                              <w:t>The community disability services up to date are carried out in a co-ordinated system that involves and consists of the medical practitioners, the social care organisations and the community support networks. These types of services are directed at meeting individual needs of people with disabilities and ensuring that the latter receive the required assistance in their communities throughout their lives. The primary characteristics of such services are individualised care planning. Medical practitioners make sure the needs of individuals are checked and develop support systems that may include treatment, self-care, rehabilitation and community services. Caregivers and support workers often assist individuals in their daily activities such as mobility, communication as well as self-care. The community disability services also liaise with the family and the care givers, to provide direction and support</w:t>
                            </w:r>
                            <w:r w:rsidR="004522E3" w:rsidRPr="002F2FA9">
                              <w:rPr>
                                <w:rFonts w:ascii="Times New Roman" w:hAnsi="Times New Roman" w:cs="Times New Roman"/>
                                <w:sz w:val="16"/>
                                <w:szCs w:val="16"/>
                              </w:rPr>
                              <w:t xml:space="preserve"> </w:t>
                            </w:r>
                            <w:r w:rsidR="004522E3" w:rsidRPr="002F2FA9">
                              <w:rPr>
                                <w:rFonts w:ascii="Times New Roman" w:hAnsi="Times New Roman" w:cs="Times New Roman"/>
                                <w:sz w:val="16"/>
                                <w:szCs w:val="16"/>
                                <w:lang w:val="en-IN"/>
                              </w:rPr>
                              <w:t>(Iqbal et al., 2025)</w:t>
                            </w:r>
                            <w:r w:rsidRPr="002F2FA9">
                              <w:rPr>
                                <w:rFonts w:ascii="Times New Roman" w:hAnsi="Times New Roman" w:cs="Times New Roman"/>
                                <w:sz w:val="16"/>
                                <w:szCs w:val="16"/>
                              </w:rPr>
                              <w:t xml:space="preserve">. There are several services offering counselling, training and respite to the respective members of the family, who </w:t>
                            </w:r>
                            <w:proofErr w:type="gramStart"/>
                            <w:r w:rsidRPr="002F2FA9">
                              <w:rPr>
                                <w:rFonts w:ascii="Times New Roman" w:hAnsi="Times New Roman" w:cs="Times New Roman"/>
                                <w:sz w:val="16"/>
                                <w:szCs w:val="16"/>
                              </w:rPr>
                              <w:t>offer assistance to</w:t>
                            </w:r>
                            <w:proofErr w:type="gramEnd"/>
                            <w:r w:rsidRPr="002F2FA9">
                              <w:rPr>
                                <w:rFonts w:ascii="Times New Roman" w:hAnsi="Times New Roman" w:cs="Times New Roman"/>
                                <w:sz w:val="16"/>
                                <w:szCs w:val="16"/>
                              </w:rPr>
                              <w:t xml:space="preserve"> people with disabilities. In addition, these services enable the social inclusion of individuals who would attend to education, work, and the community activities. With the assistance of rehabilitation programs, assistive technologies and available environments, individuals overcome obstacles contributing to their independence. The collaborative relationships between the healthcare and the social workers and community organisations through the community disability services not only ensure total provision of the persons with disabilities that enhance their wellbeing and inclusion within the society.</w:t>
                            </w:r>
                          </w:p>
                          <w:p w14:paraId="7B69BC2F" w14:textId="77777777" w:rsidR="00BE6BE0" w:rsidRPr="002840A7" w:rsidRDefault="00BE6BE0" w:rsidP="00BE6BE0">
                            <w:pPr>
                              <w:rPr>
                                <w:rFonts w:ascii="Times New Roman" w:hAnsi="Times New Roman" w:cs="Times New Roman"/>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7" type="#_x0000_t202" style="position:absolute;margin-left:0;margin-top:328.15pt;width:343.65pt;height:197.6pt;z-index:-251644928;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" strokeweight="3.75pt">
                <v:textbox>
                  <w:txbxContent>
                    <w:p w14:paraId="6E07F680" w14:textId="4588D31C" w:rsidR="00BE6BE0" w:rsidRPr="002F2FA9" w:rsidRDefault="008F3BC8" w:rsidP="00BE6BE0">
                      <w:pPr>
                        <w:rPr>
                          <w:rFonts w:ascii="Times New Roman" w:hAnsi="Times New Roman" w:cs="Times New Roman"/>
                          <w:b/>
                          <w:bCs/>
                          <w:color w:val="385623" w:themeColor="accent6" w:themeShade="80"/>
                          <w:sz w:val="16"/>
                          <w:szCs w:val="16"/>
                        </w:rPr>
                      </w:pPr>
                      <w:r w:rsidRPr="002F2FA9">
                        <w:rPr>
                          <w:rFonts w:ascii="Times New Roman" w:hAnsi="Times New Roman" w:cs="Times New Roman"/>
                          <w:b/>
                          <w:bCs/>
                          <w:color w:val="385623" w:themeColor="accent6" w:themeShade="80"/>
                          <w:sz w:val="16"/>
                          <w:szCs w:val="16"/>
                        </w:rPr>
                        <w:t>Current functi</w:t>
                      </w:r>
                      <w:r w:rsidR="002840A7" w:rsidRPr="002F2FA9">
                        <w:rPr>
                          <w:rFonts w:ascii="Times New Roman" w:hAnsi="Times New Roman" w:cs="Times New Roman"/>
                          <w:b/>
                          <w:bCs/>
                          <w:color w:val="385623" w:themeColor="accent6" w:themeShade="80"/>
                          <w:sz w:val="16"/>
                          <w:szCs w:val="16"/>
                        </w:rPr>
                        <w:t xml:space="preserve">oning of the service </w:t>
                      </w:r>
                    </w:p>
                    <w:p w14:paraId="0809CF7E" w14:textId="4359B93F" w:rsidR="00BE6BE0" w:rsidRPr="002F2FA9" w:rsidRDefault="002840A7" w:rsidP="002840A7">
                      <w:pPr>
                        <w:jc w:val="both"/>
                        <w:rPr>
                          <w:rFonts w:ascii="Times New Roman" w:hAnsi="Times New Roman" w:cs="Times New Roman"/>
                          <w:sz w:val="16"/>
                          <w:szCs w:val="16"/>
                          <w:lang w:val="en-IN"/>
                        </w:rPr>
                      </w:pPr>
                      <w:r w:rsidRPr="002F2FA9">
                        <w:rPr>
                          <w:rFonts w:ascii="Times New Roman" w:hAnsi="Times New Roman" w:cs="Times New Roman"/>
                          <w:sz w:val="16"/>
                          <w:szCs w:val="16"/>
                        </w:rPr>
                        <w:t>The community disability services up to date are carried out in a co-ordinated system that involves and consists of the medical practitioners, the social care organisations and the community support networks. These types of services are directed at meeting individual needs of people with disabilities and ensuring that the latter receive the required assistance in their communities throughout their lives. The primary characteristics of such services are individualised care planning. Medical practitioners make sure the needs of individuals are checked and develop support systems that may include treatment, self-care, rehabilitation and community services. Caregivers and support workers often assist individuals in their daily activities such as mobility, communication as well as self-care. The community disability services also liaise with the family and the care givers, to provide direction and support</w:t>
                      </w:r>
                      <w:r w:rsidR="004522E3" w:rsidRPr="002F2FA9">
                        <w:rPr>
                          <w:rFonts w:ascii="Times New Roman" w:hAnsi="Times New Roman" w:cs="Times New Roman"/>
                          <w:sz w:val="16"/>
                          <w:szCs w:val="16"/>
                        </w:rPr>
                        <w:t xml:space="preserve"> </w:t>
                      </w:r>
                      <w:r w:rsidR="004522E3" w:rsidRPr="002F2FA9">
                        <w:rPr>
                          <w:rFonts w:ascii="Times New Roman" w:hAnsi="Times New Roman" w:cs="Times New Roman"/>
                          <w:sz w:val="16"/>
                          <w:szCs w:val="16"/>
                          <w:lang w:val="en-IN"/>
                        </w:rPr>
                        <w:t>(Iqbal et al., 2025)</w:t>
                      </w:r>
                      <w:r w:rsidRPr="002F2FA9">
                        <w:rPr>
                          <w:rFonts w:ascii="Times New Roman" w:hAnsi="Times New Roman" w:cs="Times New Roman"/>
                          <w:sz w:val="16"/>
                          <w:szCs w:val="16"/>
                        </w:rPr>
                        <w:t xml:space="preserve">. There are several services offering counselling, training and respite to the respective members of the family, who </w:t>
                      </w:r>
                      <w:proofErr w:type="gramStart"/>
                      <w:r w:rsidRPr="002F2FA9">
                        <w:rPr>
                          <w:rFonts w:ascii="Times New Roman" w:hAnsi="Times New Roman" w:cs="Times New Roman"/>
                          <w:sz w:val="16"/>
                          <w:szCs w:val="16"/>
                        </w:rPr>
                        <w:t>offer assistance to</w:t>
                      </w:r>
                      <w:proofErr w:type="gramEnd"/>
                      <w:r w:rsidRPr="002F2FA9">
                        <w:rPr>
                          <w:rFonts w:ascii="Times New Roman" w:hAnsi="Times New Roman" w:cs="Times New Roman"/>
                          <w:sz w:val="16"/>
                          <w:szCs w:val="16"/>
                        </w:rPr>
                        <w:t xml:space="preserve"> people with disabilities. In addition, these services enable the social inclusion of individuals who would attend to education, work, and the community activities. With the assistance of rehabilitation programs, assistive technologies and available environments, individuals overcome obstacles contributing to their independence. The collaborative relationships between the healthcare and the social workers and community organisations through the community disability services not only ensure total provision of the persons with disabilities that enhance their wellbeing and inclusion within the society.</w:t>
                      </w:r>
                    </w:p>
                    <w:p w14:paraId="7B69BC2F" w14:textId="77777777" w:rsidR="00BE6BE0" w:rsidRPr="002840A7" w:rsidRDefault="00BE6BE0" w:rsidP="00BE6BE0">
                      <w:pPr>
                        <w:rPr>
                          <w:rFonts w:ascii="Times New Roman" w:hAnsi="Times New Roman" w:cs="Times New Roman"/>
                          <w:sz w:val="10"/>
                          <w:szCs w:val="10"/>
                        </w:rPr>
                      </w:pPr>
                    </w:p>
                  </w:txbxContent>
                </v:textbox>
                <w10:wrap type="tight" anchorx="page"/>
              </v:shape>
            </w:pict>
          </mc:Fallback>
        </mc:AlternateContent>
      </w:r>
      <w:r>
        <w:rPr>
          <w:noProof/>
          <w:lang w:val="en-IN" w:eastAsia="en-IN"/>
        </w:rPr>
        <mc:AlternateContent>
          <mc:Choice Requires="wps">
            <w:drawing>
              <wp:anchor distT="45720" distB="45720" distL="114300" distR="114300" simplePos="0" relativeHeight="251675648" behindDoc="1" locked="0" layoutInCell="1" allowOverlap="1" wp14:anchorId="1182A892" wp14:editId="181787CE">
                <wp:simplePos x="0" y="0"/>
                <wp:positionH relativeFrom="page">
                  <wp:posOffset>4372415</wp:posOffset>
                </wp:positionH>
                <wp:positionV relativeFrom="paragraph">
                  <wp:posOffset>3767700</wp:posOffset>
                </wp:positionV>
                <wp:extent cx="3768090" cy="2315845"/>
                <wp:effectExtent l="19050" t="19050" r="41910" b="46355"/>
                <wp:wrapTight wrapText="bothSides">
                  <wp:wrapPolygon edited="0">
                    <wp:start x="-109" y="-178"/>
                    <wp:lineTo x="-109" y="21855"/>
                    <wp:lineTo x="21731" y="21855"/>
                    <wp:lineTo x="21731" y="-178"/>
                    <wp:lineTo x="-109" y="-178"/>
                  </wp:wrapPolygon>
                </wp:wrapTight>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8090" cy="2315845"/>
                        </a:xfrm>
                        <a:prstGeom prst="rect">
                          <a:avLst/>
                        </a:prstGeom>
                        <a:solidFill>
                          <a:srgbClr val="FFFFFF"/>
                        </a:solidFill>
                        <a:ln w="47625">
                          <a:solidFill>
                            <a:srgbClr val="000000"/>
                          </a:solidFill>
                          <a:miter lim="800000"/>
                          <a:headEnd/>
                          <a:tailEnd/>
                        </a:ln>
                        <a:effectLst>
                          <a:softEdge rad="25400"/>
                        </a:effectLst>
                      </wps:spPr>
                      <wps:txbx>
                        <w:txbxContent>
                          <w:p w14:paraId="2390BEA4" w14:textId="2C2020FE" w:rsidR="00BE6BE0" w:rsidRPr="002840A7" w:rsidRDefault="008F3BC8" w:rsidP="002840A7">
                            <w:pPr>
                              <w:jc w:val="both"/>
                              <w:rPr>
                                <w:rFonts w:ascii="Times New Roman" w:hAnsi="Times New Roman" w:cs="Times New Roman"/>
                                <w:b/>
                                <w:bCs/>
                                <w:color w:val="385623" w:themeColor="accent6" w:themeShade="80"/>
                                <w:sz w:val="10"/>
                                <w:szCs w:val="10"/>
                              </w:rPr>
                            </w:pPr>
                            <w:r w:rsidRPr="002840A7">
                              <w:rPr>
                                <w:rFonts w:ascii="Times New Roman" w:hAnsi="Times New Roman" w:cs="Times New Roman"/>
                                <w:b/>
                                <w:bCs/>
                                <w:color w:val="385623" w:themeColor="accent6" w:themeShade="80"/>
                                <w:sz w:val="10"/>
                                <w:szCs w:val="10"/>
                              </w:rPr>
                              <w:t>Two c</w:t>
                            </w:r>
                            <w:r w:rsidR="002840A7">
                              <w:rPr>
                                <w:rFonts w:ascii="Times New Roman" w:hAnsi="Times New Roman" w:cs="Times New Roman"/>
                                <w:b/>
                                <w:bCs/>
                                <w:color w:val="385623" w:themeColor="accent6" w:themeShade="80"/>
                                <w:sz w:val="10"/>
                                <w:szCs w:val="10"/>
                              </w:rPr>
                              <w:t xml:space="preserve">hallenges faced by the service </w:t>
                            </w:r>
                          </w:p>
                          <w:p w14:paraId="0F5BD23B" w14:textId="3FBFC3C6" w:rsidR="00BE6BE0" w:rsidRPr="00817AC8" w:rsidRDefault="002840A7" w:rsidP="002840A7">
                            <w:pPr>
                              <w:jc w:val="both"/>
                              <w:rPr>
                                <w:rFonts w:ascii="Times New Roman" w:hAnsi="Times New Roman" w:cs="Times New Roman"/>
                                <w:sz w:val="16"/>
                                <w:szCs w:val="16"/>
                                <w:lang w:val="en-IN"/>
                              </w:rPr>
                            </w:pPr>
                            <w:r w:rsidRPr="00817AC8">
                              <w:rPr>
                                <w:rFonts w:ascii="Times New Roman" w:hAnsi="Times New Roman" w:cs="Times New Roman"/>
                                <w:sz w:val="16"/>
                                <w:szCs w:val="16"/>
                              </w:rPr>
                              <w:t xml:space="preserve">Community disability services are </w:t>
                            </w:r>
                            <w:proofErr w:type="gramStart"/>
                            <w:r w:rsidRPr="00817AC8">
                              <w:rPr>
                                <w:rFonts w:ascii="Times New Roman" w:hAnsi="Times New Roman" w:cs="Times New Roman"/>
                                <w:sz w:val="16"/>
                                <w:szCs w:val="16"/>
                              </w:rPr>
                              <w:t>critical</w:t>
                            </w:r>
                            <w:proofErr w:type="gramEnd"/>
                            <w:r w:rsidRPr="00817AC8">
                              <w:rPr>
                                <w:rFonts w:ascii="Times New Roman" w:hAnsi="Times New Roman" w:cs="Times New Roman"/>
                                <w:sz w:val="16"/>
                                <w:szCs w:val="16"/>
                              </w:rPr>
                              <w:t xml:space="preserve"> and they possess a series of problems that could jeopardize the quality and access of care. One of the largest challenges is scarcity of funds and resources. The full funding required to run the growing demand of services, which is the foundation of most community programs, is not always funded by the government funding or charity organisations. Another significant problem is the absence of trained health care and support professionals. The disabled require highly trained individuals such as the therapists, support workers and social workers to provide them with specialised services. However, the staffing deficit can be the reason why the service provision lacks pace and the employees are overloaded. It is also a big problem of accessibility</w:t>
                            </w:r>
                            <w:r w:rsidR="004522E3" w:rsidRPr="00817AC8">
                              <w:rPr>
                                <w:rFonts w:ascii="Times New Roman" w:hAnsi="Times New Roman" w:cs="Times New Roman"/>
                                <w:sz w:val="16"/>
                                <w:szCs w:val="16"/>
                              </w:rPr>
                              <w:t xml:space="preserve"> </w:t>
                            </w:r>
                            <w:r w:rsidR="004522E3" w:rsidRPr="00817AC8">
                              <w:rPr>
                                <w:rFonts w:ascii="Times New Roman" w:hAnsi="Times New Roman" w:cs="Times New Roman"/>
                                <w:sz w:val="16"/>
                                <w:szCs w:val="16"/>
                                <w:lang w:val="en-IN"/>
                              </w:rPr>
                              <w:t>(Lorane Scaria et al., 2025)</w:t>
                            </w:r>
                            <w:r w:rsidRPr="00817AC8">
                              <w:rPr>
                                <w:rFonts w:ascii="Times New Roman" w:hAnsi="Times New Roman" w:cs="Times New Roman"/>
                                <w:sz w:val="16"/>
                                <w:szCs w:val="16"/>
                              </w:rPr>
                              <w:t xml:space="preserve">. The communities are also poor in terms of infrastructure that can support the disabled, road or facilities. This can limit accessibility of people to medical care </w:t>
                            </w:r>
                            <w:proofErr w:type="gramStart"/>
                            <w:r w:rsidRPr="00817AC8">
                              <w:rPr>
                                <w:rFonts w:ascii="Times New Roman" w:hAnsi="Times New Roman" w:cs="Times New Roman"/>
                                <w:sz w:val="16"/>
                                <w:szCs w:val="16"/>
                              </w:rPr>
                              <w:t>and also</w:t>
                            </w:r>
                            <w:proofErr w:type="gramEnd"/>
                            <w:r w:rsidRPr="00817AC8">
                              <w:rPr>
                                <w:rFonts w:ascii="Times New Roman" w:hAnsi="Times New Roman" w:cs="Times New Roman"/>
                                <w:sz w:val="16"/>
                                <w:szCs w:val="16"/>
                              </w:rPr>
                              <w:t xml:space="preserve"> education and jobs. Moreover, even social stigma and discrimination in some communities may be still present, and physically challenged individuals will not be able to have an active role in society. To address these problems, there exists a necessity to offer more funding, offer more training opportunities to the medical personnel, and strengthen the policy towards accessibility and inclusion.</w:t>
                            </w:r>
                          </w:p>
                          <w:p w14:paraId="509CCEFE" w14:textId="77777777" w:rsidR="00BE6BE0" w:rsidRPr="002840A7" w:rsidRDefault="00BE6BE0" w:rsidP="002840A7">
                            <w:pPr>
                              <w:jc w:val="both"/>
                              <w:rPr>
                                <w:rFonts w:ascii="Times New Roman" w:hAnsi="Times New Roman" w:cs="Times New Roman"/>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8" type="#_x0000_t202" style="position:absolute;margin-left:344.3pt;margin-top:296.65pt;width:296.7pt;height:182.35pt;z-index:-2516408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" strokeweight="3.75pt">
                <v:textbox>
                  <w:txbxContent>
                    <w:p w14:paraId="2390BEA4" w14:textId="2C2020FE" w:rsidR="00BE6BE0" w:rsidRPr="002840A7" w:rsidRDefault="008F3BC8" w:rsidP="002840A7">
                      <w:pPr>
                        <w:jc w:val="both"/>
                        <w:rPr>
                          <w:rFonts w:ascii="Times New Roman" w:hAnsi="Times New Roman" w:cs="Times New Roman"/>
                          <w:b/>
                          <w:bCs/>
                          <w:color w:val="385623" w:themeColor="accent6" w:themeShade="80"/>
                          <w:sz w:val="10"/>
                          <w:szCs w:val="10"/>
                        </w:rPr>
                      </w:pPr>
                      <w:r w:rsidRPr="002840A7">
                        <w:rPr>
                          <w:rFonts w:ascii="Times New Roman" w:hAnsi="Times New Roman" w:cs="Times New Roman"/>
                          <w:b/>
                          <w:bCs/>
                          <w:color w:val="385623" w:themeColor="accent6" w:themeShade="80"/>
                          <w:sz w:val="10"/>
                          <w:szCs w:val="10"/>
                        </w:rPr>
                        <w:t>Two c</w:t>
                      </w:r>
                      <w:r w:rsidR="002840A7">
                        <w:rPr>
                          <w:rFonts w:ascii="Times New Roman" w:hAnsi="Times New Roman" w:cs="Times New Roman"/>
                          <w:b/>
                          <w:bCs/>
                          <w:color w:val="385623" w:themeColor="accent6" w:themeShade="80"/>
                          <w:sz w:val="10"/>
                          <w:szCs w:val="10"/>
                        </w:rPr>
                        <w:t xml:space="preserve">hallenges faced by the service </w:t>
                      </w:r>
                    </w:p>
                    <w:p w14:paraId="0F5BD23B" w14:textId="3FBFC3C6" w:rsidR="00BE6BE0" w:rsidRPr="00817AC8" w:rsidRDefault="002840A7" w:rsidP="002840A7">
                      <w:pPr>
                        <w:jc w:val="both"/>
                        <w:rPr>
                          <w:rFonts w:ascii="Times New Roman" w:hAnsi="Times New Roman" w:cs="Times New Roman"/>
                          <w:sz w:val="16"/>
                          <w:szCs w:val="16"/>
                          <w:lang w:val="en-IN"/>
                        </w:rPr>
                      </w:pPr>
                      <w:r w:rsidRPr="00817AC8">
                        <w:rPr>
                          <w:rFonts w:ascii="Times New Roman" w:hAnsi="Times New Roman" w:cs="Times New Roman"/>
                          <w:sz w:val="16"/>
                          <w:szCs w:val="16"/>
                        </w:rPr>
                        <w:t xml:space="preserve">Community disability services are </w:t>
                      </w:r>
                      <w:proofErr w:type="gramStart"/>
                      <w:r w:rsidRPr="00817AC8">
                        <w:rPr>
                          <w:rFonts w:ascii="Times New Roman" w:hAnsi="Times New Roman" w:cs="Times New Roman"/>
                          <w:sz w:val="16"/>
                          <w:szCs w:val="16"/>
                        </w:rPr>
                        <w:t>critical</w:t>
                      </w:r>
                      <w:proofErr w:type="gramEnd"/>
                      <w:r w:rsidRPr="00817AC8">
                        <w:rPr>
                          <w:rFonts w:ascii="Times New Roman" w:hAnsi="Times New Roman" w:cs="Times New Roman"/>
                          <w:sz w:val="16"/>
                          <w:szCs w:val="16"/>
                        </w:rPr>
                        <w:t xml:space="preserve"> and they possess a series of problems that could jeopardize the quality and access of care. One of the largest challenges is scarcity of funds and resources. The full funding required to run the growing demand of services, which is the foundation of most community programs, is not always funded by the government funding or charity organisations. Another significant problem is the absence of trained health care and support professionals. The disabled require highly trained individuals such as the therapists, support workers and social workers to provide them with specialised services. However, the staffing deficit can be the reason why the service provision lacks pace and the employees are overloaded. It is also a big problem of accessibility</w:t>
                      </w:r>
                      <w:r w:rsidR="004522E3" w:rsidRPr="00817AC8">
                        <w:rPr>
                          <w:rFonts w:ascii="Times New Roman" w:hAnsi="Times New Roman" w:cs="Times New Roman"/>
                          <w:sz w:val="16"/>
                          <w:szCs w:val="16"/>
                        </w:rPr>
                        <w:t xml:space="preserve"> </w:t>
                      </w:r>
                      <w:r w:rsidR="004522E3" w:rsidRPr="00817AC8">
                        <w:rPr>
                          <w:rFonts w:ascii="Times New Roman" w:hAnsi="Times New Roman" w:cs="Times New Roman"/>
                          <w:sz w:val="16"/>
                          <w:szCs w:val="16"/>
                          <w:lang w:val="en-IN"/>
                        </w:rPr>
                        <w:t>(Lorane Scaria et al., 2025)</w:t>
                      </w:r>
                      <w:r w:rsidRPr="00817AC8">
                        <w:rPr>
                          <w:rFonts w:ascii="Times New Roman" w:hAnsi="Times New Roman" w:cs="Times New Roman"/>
                          <w:sz w:val="16"/>
                          <w:szCs w:val="16"/>
                        </w:rPr>
                        <w:t xml:space="preserve">. The communities are also poor in terms of infrastructure that can support the disabled, road or facilities. This can limit accessibility of people to medical care </w:t>
                      </w:r>
                      <w:proofErr w:type="gramStart"/>
                      <w:r w:rsidRPr="00817AC8">
                        <w:rPr>
                          <w:rFonts w:ascii="Times New Roman" w:hAnsi="Times New Roman" w:cs="Times New Roman"/>
                          <w:sz w:val="16"/>
                          <w:szCs w:val="16"/>
                        </w:rPr>
                        <w:t>and also</w:t>
                      </w:r>
                      <w:proofErr w:type="gramEnd"/>
                      <w:r w:rsidRPr="00817AC8">
                        <w:rPr>
                          <w:rFonts w:ascii="Times New Roman" w:hAnsi="Times New Roman" w:cs="Times New Roman"/>
                          <w:sz w:val="16"/>
                          <w:szCs w:val="16"/>
                        </w:rPr>
                        <w:t xml:space="preserve"> education and jobs. Moreover, even social stigma and discrimination in some communities may be still present, and physically challenged individuals will not be able to have an active role in society. To address these problems, there exists a necessity to offer more funding, offer more training opportunities to the medical personnel, and strengthen the policy towards accessibility and inclusion.</w:t>
                      </w:r>
                    </w:p>
                    <w:p w14:paraId="509CCEFE" w14:textId="77777777" w:rsidR="00BE6BE0" w:rsidRPr="002840A7" w:rsidRDefault="00BE6BE0" w:rsidP="002840A7">
                      <w:pPr>
                        <w:jc w:val="both"/>
                        <w:rPr>
                          <w:rFonts w:ascii="Times New Roman" w:hAnsi="Times New Roman" w:cs="Times New Roman"/>
                          <w:sz w:val="10"/>
                          <w:szCs w:val="10"/>
                        </w:rPr>
                      </w:pPr>
                    </w:p>
                  </w:txbxContent>
                </v:textbox>
                <w10:wrap type="tight" anchorx="page"/>
              </v:shape>
            </w:pict>
          </mc:Fallback>
        </mc:AlternateContent>
      </w:r>
      <w:r>
        <w:rPr>
          <w:noProof/>
          <w:lang w:val="en-IN" w:eastAsia="en-IN"/>
        </w:rPr>
        <mc:AlternateContent>
          <mc:Choice Requires="wps">
            <w:drawing>
              <wp:anchor distT="45720" distB="45720" distL="114300" distR="114300" simplePos="0" relativeHeight="251661312" behindDoc="1" locked="0" layoutInCell="1" allowOverlap="1" wp14:anchorId="3E780AA8" wp14:editId="79C0A589">
                <wp:simplePos x="0" y="0"/>
                <wp:positionH relativeFrom="margin">
                  <wp:posOffset>1244600</wp:posOffset>
                </wp:positionH>
                <wp:positionV relativeFrom="paragraph">
                  <wp:posOffset>0</wp:posOffset>
                </wp:positionV>
                <wp:extent cx="9227820" cy="1308100"/>
                <wp:effectExtent l="0" t="0" r="11430" b="25400"/>
                <wp:wrapTight wrapText="bothSides">
                  <wp:wrapPolygon edited="0">
                    <wp:start x="0" y="0"/>
                    <wp:lineTo x="0" y="21705"/>
                    <wp:lineTo x="21582" y="21705"/>
                    <wp:lineTo x="21582" y="0"/>
                    <wp:lineTo x="0"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27820" cy="1308100"/>
                        </a:xfrm>
                        <a:prstGeom prst="rect">
                          <a:avLst/>
                        </a:prstGeom>
                        <a:solidFill>
                          <a:srgbClr val="FFFFFF"/>
                        </a:solidFill>
                        <a:ln w="9525">
                          <a:solidFill>
                            <a:srgbClr val="000000"/>
                          </a:solidFill>
                          <a:miter lim="800000"/>
                          <a:headEnd/>
                          <a:tailEnd/>
                        </a:ln>
                        <a:effectLst>
                          <a:softEdge rad="50800"/>
                        </a:effectLst>
                      </wps:spPr>
                      <wps:txbx>
                        <w:txbxContent>
                          <w:p w14:paraId="0D76965D" w14:textId="4304E6EF" w:rsidR="00F746F7" w:rsidRPr="00483DF1" w:rsidRDefault="00F746F7" w:rsidP="00BE6BE0">
                            <w:pPr>
                              <w:shd w:val="clear" w:color="auto" w:fill="F4B083" w:themeFill="accent2" w:themeFillTint="99"/>
                              <w:jc w:val="center"/>
                              <w:rPr>
                                <w:b/>
                                <w:bCs/>
                                <w:i/>
                                <w:iCs/>
                                <w:color w:val="00B0F0"/>
                                <w:sz w:val="48"/>
                                <w:szCs w:val="48"/>
                              </w:rPr>
                            </w:pPr>
                            <w:r w:rsidRPr="00483DF1">
                              <w:rPr>
                                <w:b/>
                                <w:bCs/>
                                <w:i/>
                                <w:iCs/>
                                <w:color w:val="00B0F0"/>
                                <w:sz w:val="48"/>
                                <w:szCs w:val="48"/>
                              </w:rPr>
                              <w:t>Community disability services</w:t>
                            </w:r>
                          </w:p>
                          <w:p w14:paraId="23B500BD" w14:textId="75D011AA" w:rsidR="00BE6BE0" w:rsidRPr="00483DF1" w:rsidRDefault="00D60411" w:rsidP="00D60411">
                            <w:pPr>
                              <w:shd w:val="clear" w:color="auto" w:fill="F4B083" w:themeFill="accent2" w:themeFillTint="99"/>
                              <w:jc w:val="center"/>
                              <w:rPr>
                                <w:b/>
                                <w:bCs/>
                                <w:color w:val="00B0F0"/>
                                <w:sz w:val="36"/>
                                <w:szCs w:val="36"/>
                              </w:rPr>
                            </w:pPr>
                            <w:r w:rsidRPr="00483DF1">
                              <w:rPr>
                                <w:b/>
                                <w:bCs/>
                                <w:color w:val="00B0F0"/>
                                <w:sz w:val="36"/>
                                <w:szCs w:val="36"/>
                              </w:rPr>
                              <w:t>Student Name: Atinicia Pereira da Costa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29" type="#_x0000_t202" style="position:absolute;margin-left:98pt;margin-top:0;width:726.6pt;height:103pt;z-index:-251655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">
                <v:textbox>
                  <w:txbxContent>
                    <w:p w14:paraId="0D76965D" w14:textId="4304E6EF" w:rsidR="00F746F7" w:rsidRPr="00483DF1" w:rsidRDefault="00F746F7" w:rsidP="00BE6BE0">
                      <w:pPr>
                        <w:shd w:val="clear" w:color="auto" w:fill="F4B083" w:themeFill="accent2" w:themeFillTint="99"/>
                        <w:jc w:val="center"/>
                        <w:rPr>
                          <w:b/>
                          <w:bCs/>
                          <w:i/>
                          <w:iCs/>
                          <w:color w:val="00B0F0"/>
                          <w:sz w:val="48"/>
                          <w:szCs w:val="48"/>
                        </w:rPr>
                      </w:pPr>
                      <w:r w:rsidRPr="00483DF1">
                        <w:rPr>
                          <w:b/>
                          <w:bCs/>
                          <w:i/>
                          <w:iCs/>
                          <w:color w:val="00B0F0"/>
                          <w:sz w:val="48"/>
                          <w:szCs w:val="48"/>
                        </w:rPr>
                        <w:t>Community disability services</w:t>
                      </w:r>
                    </w:p>
                    <w:p w14:paraId="23B500BD" w14:textId="75D011AA" w:rsidR="00BE6BE0" w:rsidRPr="00483DF1" w:rsidRDefault="00D60411" w:rsidP="00D60411">
                      <w:pPr>
                        <w:shd w:val="clear" w:color="auto" w:fill="F4B083" w:themeFill="accent2" w:themeFillTint="99"/>
                        <w:jc w:val="center"/>
                        <w:rPr>
                          <w:b/>
                          <w:bCs/>
                          <w:color w:val="00B0F0"/>
                          <w:sz w:val="36"/>
                          <w:szCs w:val="36"/>
                        </w:rPr>
                      </w:pPr>
                      <w:r w:rsidRPr="00483DF1">
                        <w:rPr>
                          <w:b/>
                          <w:bCs/>
                          <w:color w:val="00B0F0"/>
                          <w:sz w:val="36"/>
                          <w:szCs w:val="36"/>
                        </w:rPr>
                        <w:t>Student Name: Atinicia Pereira da Costa</w:t>
                      </w:r>
                    </w:p>
                  </w:txbxContent>
                </v:textbox>
                <w10:wrap type="tight" anchorx="margin"/>
              </v:shape>
            </w:pict>
          </mc:Fallback>
        </mc:AlternateContent>
      </w:r>
      <w:r>
        <w:rPr>
          <w:noProof/>
          <w:lang w:val="en-IN" w:eastAsia="en-IN"/>
        </w:rPr>
        <mc:AlternateContent>
          <mc:Choice Requires="wps">
            <w:drawing>
              <wp:anchor distT="0" distB="0" distL="114300" distR="114300" simplePos="0" relativeHeight="251659264" behindDoc="1" locked="0" layoutInCell="1" allowOverlap="1" wp14:anchorId="777A8668" wp14:editId="34769D72">
                <wp:simplePos x="0" y="0"/>
                <wp:positionH relativeFrom="page">
                  <wp:posOffset>505460</wp:posOffset>
                </wp:positionH>
                <wp:positionV relativeFrom="paragraph">
                  <wp:posOffset>-956310</wp:posOffset>
                </wp:positionV>
                <wp:extent cx="11550650" cy="6858000"/>
                <wp:effectExtent l="0" t="0" r="12700" b="19050"/>
                <wp:wrapNone/>
                <wp:docPr id="1" name="Rectangle 1"/>
                <wp:cNvGraphicFramePr/>
                <a:graphic xmlns:a="http://schemas.openxmlformats.org/drawingml/2006/main">
                  <a:graphicData uri="http://schemas.microsoft.com/office/word/2010/wordprocessingShape">
                    <wps:wsp>
                      <wps:cNvSpPr/>
                      <wps:spPr>
                        <a:xfrm>
                          <a:off x="0" y="0"/>
                          <a:ext cx="1155065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C633FB" id="Rectangle 1" o:spid="_x0000_s1026" style="position:absolute;margin-left:39.8pt;margin-top:-75.3pt;width:909.5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" fillcolor="gray [1629]" strokecolor="#92d050" strokeweight="1pt">
                <v:fill opacity="30069f"/>
                <w10:wrap anchorx="page"/>
              </v:rect>
            </w:pict>
          </mc:Fallback>
        </mc:AlternateContent>
      </w:r>
      <w:r w:rsidR="00817AC8">
        <w:rPr>
          <w:noProof/>
          <w:lang w:val="en-IN" w:eastAsia="en-IN"/>
        </w:rPr>
        <mc:AlternateContent>
          <mc:Choice Requires="wps">
            <w:drawing>
              <wp:anchor distT="45720" distB="45720" distL="114300" distR="114300" simplePos="0" relativeHeight="251667456" behindDoc="1" locked="0" layoutInCell="1" allowOverlap="1" wp14:anchorId="2F5030E1" wp14:editId="10CAA288">
                <wp:simplePos x="0" y="0"/>
                <wp:positionH relativeFrom="margin">
                  <wp:posOffset>7326630</wp:posOffset>
                </wp:positionH>
                <wp:positionV relativeFrom="paragraph">
                  <wp:posOffset>3789045</wp:posOffset>
                </wp:positionV>
                <wp:extent cx="3300095" cy="2160905"/>
                <wp:effectExtent l="19050" t="19050" r="14605" b="10795"/>
                <wp:wrapTight wrapText="bothSides">
                  <wp:wrapPolygon edited="0">
                    <wp:start x="-125" y="-190"/>
                    <wp:lineTo x="-125" y="21517"/>
                    <wp:lineTo x="21571" y="21517"/>
                    <wp:lineTo x="21571" y="-190"/>
                    <wp:lineTo x="-125" y="-190"/>
                  </wp:wrapPolygon>
                </wp:wrapTight>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0095" cy="2160905"/>
                        </a:xfrm>
                        <a:prstGeom prst="rect">
                          <a:avLst/>
                        </a:prstGeom>
                        <a:solidFill>
                          <a:srgbClr val="FFFFFF"/>
                        </a:solidFill>
                        <a:ln w="44450">
                          <a:solidFill>
                            <a:srgbClr val="000000"/>
                          </a:solidFill>
                          <a:miter lim="800000"/>
                          <a:headEnd/>
                          <a:tailEnd/>
                        </a:ln>
                        <a:effectLst>
                          <a:softEdge rad="25400"/>
                        </a:effectLst>
                      </wps:spPr>
                      <wps:txbx>
                        <w:txbxContent>
                          <w:p w14:paraId="2C703FA3" w14:textId="71ACDC53" w:rsidR="00BE6BE0" w:rsidRPr="004522E3" w:rsidRDefault="002840A7" w:rsidP="004522E3">
                            <w:pPr>
                              <w:spacing w:after="0"/>
                              <w:jc w:val="both"/>
                              <w:rPr>
                                <w:rFonts w:ascii="Times New Roman" w:hAnsi="Times New Roman" w:cs="Times New Roman"/>
                                <w:b/>
                                <w:bCs/>
                                <w:color w:val="385623" w:themeColor="accent6" w:themeShade="80"/>
                                <w:sz w:val="10"/>
                                <w:szCs w:val="10"/>
                              </w:rPr>
                            </w:pPr>
                            <w:r w:rsidRPr="004522E3">
                              <w:rPr>
                                <w:rFonts w:ascii="Times New Roman" w:hAnsi="Times New Roman" w:cs="Times New Roman"/>
                                <w:b/>
                                <w:bCs/>
                                <w:color w:val="385623" w:themeColor="accent6" w:themeShade="80"/>
                                <w:sz w:val="10"/>
                                <w:szCs w:val="10"/>
                              </w:rPr>
                              <w:t xml:space="preserve">Conclusion </w:t>
                            </w:r>
                          </w:p>
                          <w:p w14:paraId="2289FC50" w14:textId="2F66C3C5" w:rsidR="008F3BC8" w:rsidRDefault="002840A7" w:rsidP="004522E3">
                            <w:pPr>
                              <w:spacing w:after="0"/>
                              <w:jc w:val="both"/>
                              <w:rPr>
                                <w:rFonts w:ascii="Times New Roman" w:hAnsi="Times New Roman" w:cs="Times New Roman"/>
                                <w:sz w:val="10"/>
                                <w:szCs w:val="10"/>
                              </w:rPr>
                            </w:pPr>
                            <w:r w:rsidRPr="004522E3">
                              <w:rPr>
                                <w:rFonts w:ascii="Times New Roman" w:hAnsi="Times New Roman" w:cs="Times New Roman"/>
                                <w:sz w:val="10"/>
                                <w:szCs w:val="10"/>
                              </w:rPr>
                              <w:t>Community disability services play a role in the practice of developing independence, inclusion and wellbeing by individuals with disabilities. Such services make people have good lives as they are provided with customized services at the community level. However, to ensure such services are still sufficient against the growing demands of the society, the financial resources, supply, and ability of the working population should be augmented.</w:t>
                            </w:r>
                          </w:p>
                          <w:p w14:paraId="04263EA9" w14:textId="77777777" w:rsidR="00EA7204" w:rsidRPr="004522E3" w:rsidRDefault="00EA7204" w:rsidP="004522E3">
                            <w:pPr>
                              <w:spacing w:after="0"/>
                              <w:jc w:val="both"/>
                              <w:rPr>
                                <w:rFonts w:ascii="Times New Roman" w:hAnsi="Times New Roman" w:cs="Times New Roman"/>
                                <w:sz w:val="10"/>
                                <w:szCs w:val="10"/>
                              </w:rPr>
                            </w:pPr>
                          </w:p>
                          <w:p w14:paraId="145B15DB" w14:textId="432FE6F0" w:rsidR="008F3BC8" w:rsidRPr="004522E3" w:rsidRDefault="008F3BC8" w:rsidP="004522E3">
                            <w:pPr>
                              <w:spacing w:after="0"/>
                              <w:jc w:val="both"/>
                              <w:rPr>
                                <w:rFonts w:ascii="Times New Roman" w:hAnsi="Times New Roman" w:cs="Times New Roman"/>
                                <w:b/>
                                <w:sz w:val="10"/>
                                <w:szCs w:val="10"/>
                              </w:rPr>
                            </w:pPr>
                            <w:r w:rsidRPr="004522E3">
                              <w:rPr>
                                <w:rFonts w:ascii="Times New Roman" w:hAnsi="Times New Roman" w:cs="Times New Roman"/>
                                <w:b/>
                                <w:sz w:val="10"/>
                                <w:szCs w:val="10"/>
                              </w:rPr>
                              <w:t>References</w:t>
                            </w:r>
                          </w:p>
                          <w:p w14:paraId="16AFE6A2" w14:textId="3F34D832" w:rsidR="004522E3" w:rsidRPr="004522E3" w:rsidRDefault="004522E3" w:rsidP="004522E3">
                            <w:pPr>
                              <w:spacing w:after="0" w:line="240" w:lineRule="auto"/>
                              <w:jc w:val="both"/>
                              <w:rPr>
                                <w:rFonts w:ascii="Times New Roman" w:hAnsi="Times New Roman" w:cs="Times New Roman"/>
                                <w:sz w:val="10"/>
                                <w:szCs w:val="10"/>
                                <w:lang w:val="en-IN"/>
                              </w:rPr>
                            </w:pPr>
                            <w:r w:rsidRPr="004522E3">
                              <w:rPr>
                                <w:rFonts w:ascii="Times New Roman" w:hAnsi="Times New Roman" w:cs="Times New Roman"/>
                                <w:sz w:val="10"/>
                                <w:szCs w:val="10"/>
                                <w:lang w:val="en-IN"/>
                              </w:rPr>
                              <w:t xml:space="preserve">Cawthon, S.W., Cappelli, P., Fall, A.-M., Roberts, G. and Susi, D.N. (2026). Disability Service Use and Community College Student Outcomes. </w:t>
                            </w:r>
                            <w:r w:rsidRPr="004522E3">
                              <w:rPr>
                                <w:rFonts w:ascii="Times New Roman" w:hAnsi="Times New Roman" w:cs="Times New Roman"/>
                                <w:i/>
                                <w:iCs/>
                                <w:sz w:val="10"/>
                                <w:szCs w:val="10"/>
                                <w:lang w:val="en-IN"/>
                              </w:rPr>
                              <w:t>Community College Journal of Research and Practice</w:t>
                            </w:r>
                            <w:r w:rsidRPr="004522E3">
                              <w:rPr>
                                <w:rFonts w:ascii="Times New Roman" w:hAnsi="Times New Roman" w:cs="Times New Roman"/>
                                <w:sz w:val="10"/>
                                <w:szCs w:val="10"/>
                                <w:lang w:val="en-IN"/>
                              </w:rPr>
                              <w:t xml:space="preserve">, pp.1–8. </w:t>
                            </w:r>
                            <w:proofErr w:type="spellStart"/>
                            <w:r w:rsidRPr="004522E3">
                              <w:rPr>
                                <w:rFonts w:ascii="Times New Roman" w:hAnsi="Times New Roman" w:cs="Times New Roman"/>
                                <w:sz w:val="10"/>
                                <w:szCs w:val="10"/>
                                <w:lang w:val="en-IN"/>
                              </w:rPr>
                              <w:t>doi</w:t>
                            </w:r>
                            <w:proofErr w:type="spellEnd"/>
                            <w:r w:rsidRPr="004522E3">
                              <w:rPr>
                                <w:rFonts w:ascii="Times New Roman" w:hAnsi="Times New Roman" w:cs="Times New Roman"/>
                                <w:sz w:val="10"/>
                                <w:szCs w:val="10"/>
                                <w:lang w:val="en-IN"/>
                              </w:rPr>
                              <w:t xml:space="preserve">: </w:t>
                            </w:r>
                            <w:hyperlink r:id="rId6" w:history="1">
                              <w:r w:rsidRPr="004522E3">
                                <w:rPr>
                                  <w:rStyle w:val="Hyperlink"/>
                                  <w:rFonts w:ascii="Times New Roman" w:hAnsi="Times New Roman" w:cs="Times New Roman"/>
                                  <w:sz w:val="10"/>
                                  <w:szCs w:val="10"/>
                                  <w:lang w:val="en-IN"/>
                                </w:rPr>
                                <w:t>https://doi.org/10.1080/10668926.2025.2609104</w:t>
                              </w:r>
                            </w:hyperlink>
                            <w:r w:rsidRPr="004522E3">
                              <w:rPr>
                                <w:rFonts w:ascii="Times New Roman" w:hAnsi="Times New Roman" w:cs="Times New Roman"/>
                                <w:sz w:val="10"/>
                                <w:szCs w:val="10"/>
                                <w:lang w:val="en-IN"/>
                              </w:rPr>
                              <w:t xml:space="preserve">. </w:t>
                            </w:r>
                          </w:p>
                          <w:p w14:paraId="4DD8A9C8" w14:textId="1C9526BA" w:rsidR="004522E3" w:rsidRPr="004522E3" w:rsidRDefault="004522E3" w:rsidP="004522E3">
                            <w:pPr>
                              <w:spacing w:after="0" w:line="240" w:lineRule="auto"/>
                              <w:jc w:val="both"/>
                              <w:rPr>
                                <w:rFonts w:ascii="Times New Roman" w:hAnsi="Times New Roman" w:cs="Times New Roman"/>
                                <w:sz w:val="10"/>
                                <w:szCs w:val="10"/>
                                <w:lang w:val="en-IN"/>
                              </w:rPr>
                            </w:pPr>
                            <w:r w:rsidRPr="004522E3">
                              <w:rPr>
                                <w:rFonts w:ascii="Times New Roman" w:hAnsi="Times New Roman" w:cs="Times New Roman"/>
                                <w:sz w:val="10"/>
                                <w:szCs w:val="10"/>
                                <w:lang w:val="en-IN"/>
                              </w:rPr>
                              <w:t xml:space="preserve">Chan, W., Cao, Y., Lu, E.Y., Cheung, W.M. and Tsang, H.W.H. (2022). Types of Community Support Services and Self-Efficacy for Continuous Community Living among Individuals with Disabilities and Caregivers. </w:t>
                            </w:r>
                            <w:r w:rsidRPr="004522E3">
                              <w:rPr>
                                <w:rFonts w:ascii="Times New Roman" w:hAnsi="Times New Roman" w:cs="Times New Roman"/>
                                <w:i/>
                                <w:iCs/>
                                <w:sz w:val="10"/>
                                <w:szCs w:val="10"/>
                                <w:lang w:val="en-IN"/>
                              </w:rPr>
                              <w:t>International Journal of Environmental Research and Public Health</w:t>
                            </w:r>
                            <w:r w:rsidRPr="004522E3">
                              <w:rPr>
                                <w:rFonts w:ascii="Times New Roman" w:hAnsi="Times New Roman" w:cs="Times New Roman"/>
                                <w:sz w:val="10"/>
                                <w:szCs w:val="10"/>
                                <w:lang w:val="en-IN"/>
                              </w:rPr>
                              <w:t xml:space="preserve">, 19(19), p.12976. </w:t>
                            </w:r>
                            <w:proofErr w:type="spellStart"/>
                            <w:r w:rsidRPr="004522E3">
                              <w:rPr>
                                <w:rFonts w:ascii="Times New Roman" w:hAnsi="Times New Roman" w:cs="Times New Roman"/>
                                <w:sz w:val="10"/>
                                <w:szCs w:val="10"/>
                                <w:lang w:val="en-IN"/>
                              </w:rPr>
                              <w:t>doi</w:t>
                            </w:r>
                            <w:proofErr w:type="spellEnd"/>
                            <w:r w:rsidRPr="004522E3">
                              <w:rPr>
                                <w:rFonts w:ascii="Times New Roman" w:hAnsi="Times New Roman" w:cs="Times New Roman"/>
                                <w:sz w:val="10"/>
                                <w:szCs w:val="10"/>
                                <w:lang w:val="en-IN"/>
                              </w:rPr>
                              <w:t xml:space="preserve">: </w:t>
                            </w:r>
                            <w:hyperlink r:id="rId7" w:history="1">
                              <w:r w:rsidRPr="004522E3">
                                <w:rPr>
                                  <w:rStyle w:val="Hyperlink"/>
                                  <w:rFonts w:ascii="Times New Roman" w:hAnsi="Times New Roman" w:cs="Times New Roman"/>
                                  <w:sz w:val="10"/>
                                  <w:szCs w:val="10"/>
                                  <w:lang w:val="en-IN"/>
                                </w:rPr>
                                <w:t>https://doi.org/10.3390/ijerph191912976</w:t>
                              </w:r>
                            </w:hyperlink>
                            <w:r w:rsidRPr="004522E3">
                              <w:rPr>
                                <w:rFonts w:ascii="Times New Roman" w:hAnsi="Times New Roman" w:cs="Times New Roman"/>
                                <w:sz w:val="10"/>
                                <w:szCs w:val="10"/>
                                <w:lang w:val="en-IN"/>
                              </w:rPr>
                              <w:t xml:space="preserve">. </w:t>
                            </w:r>
                          </w:p>
                          <w:p w14:paraId="0BF640A4" w14:textId="03BC02F4" w:rsidR="004522E3" w:rsidRPr="004522E3" w:rsidRDefault="004522E3" w:rsidP="004522E3">
                            <w:pPr>
                              <w:spacing w:after="0" w:line="240" w:lineRule="auto"/>
                              <w:jc w:val="both"/>
                              <w:rPr>
                                <w:rFonts w:ascii="Times New Roman" w:hAnsi="Times New Roman" w:cs="Times New Roman"/>
                                <w:sz w:val="10"/>
                                <w:szCs w:val="10"/>
                                <w:lang w:val="en-IN"/>
                              </w:rPr>
                            </w:pPr>
                            <w:r w:rsidRPr="004522E3">
                              <w:rPr>
                                <w:rFonts w:ascii="Times New Roman" w:hAnsi="Times New Roman" w:cs="Times New Roman"/>
                                <w:sz w:val="10"/>
                                <w:szCs w:val="10"/>
                                <w:lang w:val="en-IN"/>
                              </w:rPr>
                              <w:t xml:space="preserve">Iqbal, S., Ahmed, F., Uddin, I., Gilchrist, K., San, V., Motta, A., Fatima, Q., Arshad, S. and </w:t>
                            </w:r>
                            <w:proofErr w:type="spellStart"/>
                            <w:r w:rsidRPr="004522E3">
                              <w:rPr>
                                <w:rFonts w:ascii="Times New Roman" w:hAnsi="Times New Roman" w:cs="Times New Roman"/>
                                <w:sz w:val="10"/>
                                <w:szCs w:val="10"/>
                                <w:lang w:val="en-IN"/>
                              </w:rPr>
                              <w:t>Vindrola‐Padros</w:t>
                            </w:r>
                            <w:proofErr w:type="spellEnd"/>
                            <w:r w:rsidRPr="004522E3">
                              <w:rPr>
                                <w:rFonts w:ascii="Times New Roman" w:hAnsi="Times New Roman" w:cs="Times New Roman"/>
                                <w:sz w:val="10"/>
                                <w:szCs w:val="10"/>
                                <w:lang w:val="en-IN"/>
                              </w:rPr>
                              <w:t xml:space="preserve">, C. (2025). The Implementation of Community Engagement Models Amongst People </w:t>
                            </w:r>
                            <w:proofErr w:type="gramStart"/>
                            <w:r w:rsidRPr="004522E3">
                              <w:rPr>
                                <w:rFonts w:ascii="Times New Roman" w:hAnsi="Times New Roman" w:cs="Times New Roman"/>
                                <w:sz w:val="10"/>
                                <w:szCs w:val="10"/>
                                <w:lang w:val="en-IN"/>
                              </w:rPr>
                              <w:t>With</w:t>
                            </w:r>
                            <w:proofErr w:type="gramEnd"/>
                            <w:r w:rsidRPr="004522E3">
                              <w:rPr>
                                <w:rFonts w:ascii="Times New Roman" w:hAnsi="Times New Roman" w:cs="Times New Roman"/>
                                <w:sz w:val="10"/>
                                <w:szCs w:val="10"/>
                                <w:lang w:val="en-IN"/>
                              </w:rPr>
                              <w:t xml:space="preserve"> Learning Disabilities in the Context of Health and Social Care: A Systematic Review. </w:t>
                            </w:r>
                            <w:r w:rsidRPr="004522E3">
                              <w:rPr>
                                <w:rFonts w:ascii="Times New Roman" w:hAnsi="Times New Roman" w:cs="Times New Roman"/>
                                <w:i/>
                                <w:iCs/>
                                <w:sz w:val="10"/>
                                <w:szCs w:val="10"/>
                                <w:lang w:val="en-IN"/>
                              </w:rPr>
                              <w:t>British Journal of Learning Disabilities</w:t>
                            </w:r>
                            <w:r w:rsidRPr="004522E3">
                              <w:rPr>
                                <w:rFonts w:ascii="Times New Roman" w:hAnsi="Times New Roman" w:cs="Times New Roman"/>
                                <w:sz w:val="10"/>
                                <w:szCs w:val="10"/>
                                <w:lang w:val="en-IN"/>
                              </w:rPr>
                              <w:t xml:space="preserve">. </w:t>
                            </w:r>
                            <w:proofErr w:type="spellStart"/>
                            <w:r w:rsidRPr="004522E3">
                              <w:rPr>
                                <w:rFonts w:ascii="Times New Roman" w:hAnsi="Times New Roman" w:cs="Times New Roman"/>
                                <w:sz w:val="10"/>
                                <w:szCs w:val="10"/>
                                <w:lang w:val="en-IN"/>
                              </w:rPr>
                              <w:t>doi</w:t>
                            </w:r>
                            <w:proofErr w:type="spellEnd"/>
                            <w:r w:rsidRPr="004522E3">
                              <w:rPr>
                                <w:rFonts w:ascii="Times New Roman" w:hAnsi="Times New Roman" w:cs="Times New Roman"/>
                                <w:sz w:val="10"/>
                                <w:szCs w:val="10"/>
                                <w:lang w:val="en-IN"/>
                              </w:rPr>
                              <w:t xml:space="preserve">: </w:t>
                            </w:r>
                            <w:hyperlink r:id="rId8" w:history="1">
                              <w:r w:rsidRPr="004522E3">
                                <w:rPr>
                                  <w:rStyle w:val="Hyperlink"/>
                                  <w:rFonts w:ascii="Times New Roman" w:hAnsi="Times New Roman" w:cs="Times New Roman"/>
                                  <w:sz w:val="10"/>
                                  <w:szCs w:val="10"/>
                                  <w:lang w:val="en-IN"/>
                                </w:rPr>
                                <w:t>https://doi.org/10.1111/bld.70001</w:t>
                              </w:r>
                            </w:hyperlink>
                            <w:r w:rsidRPr="004522E3">
                              <w:rPr>
                                <w:rFonts w:ascii="Times New Roman" w:hAnsi="Times New Roman" w:cs="Times New Roman"/>
                                <w:sz w:val="10"/>
                                <w:szCs w:val="10"/>
                                <w:lang w:val="en-IN"/>
                              </w:rPr>
                              <w:t xml:space="preserve">. </w:t>
                            </w:r>
                          </w:p>
                          <w:p w14:paraId="011A8509" w14:textId="6C49A02D" w:rsidR="004522E3" w:rsidRPr="004522E3" w:rsidRDefault="004522E3" w:rsidP="004522E3">
                            <w:pPr>
                              <w:spacing w:after="0" w:line="240" w:lineRule="auto"/>
                              <w:jc w:val="both"/>
                              <w:rPr>
                                <w:rFonts w:ascii="Times New Roman" w:hAnsi="Times New Roman" w:cs="Times New Roman"/>
                                <w:sz w:val="10"/>
                                <w:szCs w:val="10"/>
                                <w:lang w:val="en-IN"/>
                              </w:rPr>
                            </w:pPr>
                            <w:r w:rsidRPr="004522E3">
                              <w:rPr>
                                <w:rFonts w:ascii="Times New Roman" w:hAnsi="Times New Roman" w:cs="Times New Roman"/>
                                <w:sz w:val="10"/>
                                <w:szCs w:val="10"/>
                                <w:lang w:val="en-IN"/>
                              </w:rPr>
                              <w:t xml:space="preserve">Lorane Scaria, </w:t>
                            </w:r>
                            <w:proofErr w:type="spellStart"/>
                            <w:r w:rsidRPr="004522E3">
                              <w:rPr>
                                <w:rFonts w:ascii="Times New Roman" w:hAnsi="Times New Roman" w:cs="Times New Roman"/>
                                <w:sz w:val="10"/>
                                <w:szCs w:val="10"/>
                                <w:lang w:val="en-IN"/>
                              </w:rPr>
                              <w:t>Blance</w:t>
                            </w:r>
                            <w:proofErr w:type="spellEnd"/>
                            <w:r w:rsidRPr="004522E3">
                              <w:rPr>
                                <w:rFonts w:ascii="Times New Roman" w:hAnsi="Times New Roman" w:cs="Times New Roman"/>
                                <w:sz w:val="10"/>
                                <w:szCs w:val="10"/>
                                <w:lang w:val="en-IN"/>
                              </w:rPr>
                              <w:t xml:space="preserve">-Palmer, R., Joubert, L. and Saju </w:t>
                            </w:r>
                            <w:proofErr w:type="spellStart"/>
                            <w:r w:rsidRPr="004522E3">
                              <w:rPr>
                                <w:rFonts w:ascii="Times New Roman" w:hAnsi="Times New Roman" w:cs="Times New Roman"/>
                                <w:sz w:val="10"/>
                                <w:szCs w:val="10"/>
                                <w:lang w:val="en-IN"/>
                              </w:rPr>
                              <w:t>Madavanakadu</w:t>
                            </w:r>
                            <w:proofErr w:type="spellEnd"/>
                            <w:r w:rsidRPr="004522E3">
                              <w:rPr>
                                <w:rFonts w:ascii="Times New Roman" w:hAnsi="Times New Roman" w:cs="Times New Roman"/>
                                <w:sz w:val="10"/>
                                <w:szCs w:val="10"/>
                                <w:lang w:val="en-IN"/>
                              </w:rPr>
                              <w:t xml:space="preserve"> Devassy (2025). Pathways to support: a qualitative investigation of community health </w:t>
                            </w:r>
                            <w:proofErr w:type="spellStart"/>
                            <w:r w:rsidRPr="004522E3">
                              <w:rPr>
                                <w:rFonts w:ascii="Times New Roman" w:hAnsi="Times New Roman" w:cs="Times New Roman"/>
                                <w:sz w:val="10"/>
                                <w:szCs w:val="10"/>
                                <w:lang w:val="en-IN"/>
                              </w:rPr>
                              <w:t>workers’role</w:t>
                            </w:r>
                            <w:proofErr w:type="spellEnd"/>
                            <w:r w:rsidRPr="004522E3">
                              <w:rPr>
                                <w:rFonts w:ascii="Times New Roman" w:hAnsi="Times New Roman" w:cs="Times New Roman"/>
                                <w:sz w:val="10"/>
                                <w:szCs w:val="10"/>
                                <w:lang w:val="en-IN"/>
                              </w:rPr>
                              <w:t xml:space="preserve"> in coordinating disability services in India. </w:t>
                            </w:r>
                            <w:r w:rsidRPr="004522E3">
                              <w:rPr>
                                <w:rFonts w:ascii="Times New Roman" w:hAnsi="Times New Roman" w:cs="Times New Roman"/>
                                <w:i/>
                                <w:iCs/>
                                <w:sz w:val="10"/>
                                <w:szCs w:val="10"/>
                                <w:lang w:val="en-IN"/>
                              </w:rPr>
                              <w:t>Discover Social Science and Health</w:t>
                            </w:r>
                            <w:r w:rsidRPr="004522E3">
                              <w:rPr>
                                <w:rFonts w:ascii="Times New Roman" w:hAnsi="Times New Roman" w:cs="Times New Roman"/>
                                <w:sz w:val="10"/>
                                <w:szCs w:val="10"/>
                                <w:lang w:val="en-IN"/>
                              </w:rPr>
                              <w:t xml:space="preserve">, 5(1). </w:t>
                            </w:r>
                            <w:proofErr w:type="spellStart"/>
                            <w:r w:rsidRPr="004522E3">
                              <w:rPr>
                                <w:rFonts w:ascii="Times New Roman" w:hAnsi="Times New Roman" w:cs="Times New Roman"/>
                                <w:sz w:val="10"/>
                                <w:szCs w:val="10"/>
                                <w:lang w:val="en-IN"/>
                              </w:rPr>
                              <w:t>doi</w:t>
                            </w:r>
                            <w:proofErr w:type="spellEnd"/>
                            <w:r w:rsidRPr="004522E3">
                              <w:rPr>
                                <w:rFonts w:ascii="Times New Roman" w:hAnsi="Times New Roman" w:cs="Times New Roman"/>
                                <w:sz w:val="10"/>
                                <w:szCs w:val="10"/>
                                <w:lang w:val="en-IN"/>
                              </w:rPr>
                              <w:t xml:space="preserve">: </w:t>
                            </w:r>
                            <w:hyperlink r:id="rId9" w:history="1">
                              <w:r w:rsidRPr="004522E3">
                                <w:rPr>
                                  <w:rStyle w:val="Hyperlink"/>
                                  <w:rFonts w:ascii="Times New Roman" w:hAnsi="Times New Roman" w:cs="Times New Roman"/>
                                  <w:sz w:val="10"/>
                                  <w:szCs w:val="10"/>
                                  <w:lang w:val="en-IN"/>
                                </w:rPr>
                                <w:t>https://doi.org/10.1007/s44155-025-00233-1</w:t>
                              </w:r>
                            </w:hyperlink>
                            <w:r w:rsidRPr="004522E3">
                              <w:rPr>
                                <w:rFonts w:ascii="Times New Roman" w:hAnsi="Times New Roman" w:cs="Times New Roman"/>
                                <w:sz w:val="10"/>
                                <w:szCs w:val="10"/>
                                <w:lang w:val="en-IN"/>
                              </w:rPr>
                              <w:t xml:space="preserve">. </w:t>
                            </w:r>
                          </w:p>
                          <w:p w14:paraId="716E593F" w14:textId="1E9ACAC4" w:rsidR="004522E3" w:rsidRPr="004522E3" w:rsidRDefault="004522E3" w:rsidP="004522E3">
                            <w:pPr>
                              <w:spacing w:after="0" w:line="240" w:lineRule="auto"/>
                              <w:jc w:val="both"/>
                              <w:rPr>
                                <w:rFonts w:ascii="Times New Roman" w:hAnsi="Times New Roman" w:cs="Times New Roman"/>
                                <w:sz w:val="10"/>
                                <w:szCs w:val="10"/>
                                <w:lang w:val="en-IN"/>
                              </w:rPr>
                            </w:pPr>
                            <w:r w:rsidRPr="004522E3">
                              <w:rPr>
                                <w:rFonts w:ascii="Times New Roman" w:hAnsi="Times New Roman" w:cs="Times New Roman"/>
                                <w:sz w:val="10"/>
                                <w:szCs w:val="10"/>
                                <w:lang w:val="en-IN"/>
                              </w:rPr>
                              <w:t xml:space="preserve">www.sciencedirect.com. (n.d.). </w:t>
                            </w:r>
                            <w:r w:rsidRPr="004522E3">
                              <w:rPr>
                                <w:rFonts w:ascii="Times New Roman" w:hAnsi="Times New Roman" w:cs="Times New Roman"/>
                                <w:i/>
                                <w:iCs/>
                                <w:sz w:val="10"/>
                                <w:szCs w:val="10"/>
                                <w:lang w:val="en-IN"/>
                              </w:rPr>
                              <w:t>Disability and Health Journal | ScienceDirect.com by Elsevier</w:t>
                            </w:r>
                            <w:r w:rsidRPr="004522E3">
                              <w:rPr>
                                <w:rFonts w:ascii="Times New Roman" w:hAnsi="Times New Roman" w:cs="Times New Roman"/>
                                <w:sz w:val="10"/>
                                <w:szCs w:val="10"/>
                                <w:lang w:val="en-IN"/>
                              </w:rPr>
                              <w:t xml:space="preserve">. [online] Available at: </w:t>
                            </w:r>
                            <w:hyperlink r:id="rId10" w:history="1">
                              <w:r w:rsidRPr="004522E3">
                                <w:rPr>
                                  <w:rStyle w:val="Hyperlink"/>
                                  <w:rFonts w:ascii="Times New Roman" w:hAnsi="Times New Roman" w:cs="Times New Roman"/>
                                  <w:sz w:val="10"/>
                                  <w:szCs w:val="10"/>
                                  <w:lang w:val="en-IN"/>
                                </w:rPr>
                                <w:t>https://www.sciencedirect.com/journal/disability-and-health-journal</w:t>
                              </w:r>
                            </w:hyperlink>
                            <w:r w:rsidRPr="004522E3">
                              <w:rPr>
                                <w:rFonts w:ascii="Times New Roman" w:hAnsi="Times New Roman" w:cs="Times New Roman"/>
                                <w:sz w:val="10"/>
                                <w:szCs w:val="10"/>
                                <w:lang w:val="en-IN"/>
                              </w:rPr>
                              <w:t xml:space="preserve">. </w:t>
                            </w:r>
                          </w:p>
                          <w:p w14:paraId="23AA1E4D" w14:textId="77777777" w:rsidR="008F3BC8" w:rsidRPr="004522E3" w:rsidRDefault="008F3BC8" w:rsidP="004522E3">
                            <w:pPr>
                              <w:spacing w:line="240" w:lineRule="auto"/>
                              <w:jc w:val="both"/>
                              <w:rPr>
                                <w:rFonts w:ascii="Times New Roman" w:hAnsi="Times New Roman" w:cs="Times New Roman"/>
                                <w:sz w:val="10"/>
                                <w:szCs w:val="10"/>
                              </w:rPr>
                            </w:pPr>
                          </w:p>
                          <w:p w14:paraId="0BA28B8D" w14:textId="77777777" w:rsidR="008F3BC8" w:rsidRPr="004522E3" w:rsidRDefault="008F3BC8" w:rsidP="004522E3">
                            <w:pPr>
                              <w:spacing w:line="240" w:lineRule="auto"/>
                              <w:jc w:val="both"/>
                              <w:rPr>
                                <w:rFonts w:ascii="Times New Roman" w:hAnsi="Times New Roman" w:cs="Times New Roman"/>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0" type="#_x0000_t202" style="position:absolute;margin-left:576.9pt;margin-top:298.35pt;width:259.85pt;height:170.15pt;z-index:-2516490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" strokeweight="3.5pt">
                <v:textbox>
                  <w:txbxContent>
                    <w:p w14:paraId="2C703FA3" w14:textId="71ACDC53" w:rsidR="00BE6BE0" w:rsidRPr="004522E3" w:rsidRDefault="002840A7" w:rsidP="004522E3">
                      <w:pPr>
                        <w:spacing w:after="0"/>
                        <w:jc w:val="both"/>
                        <w:rPr>
                          <w:rFonts w:ascii="Times New Roman" w:hAnsi="Times New Roman" w:cs="Times New Roman"/>
                          <w:b/>
                          <w:bCs/>
                          <w:color w:val="385623" w:themeColor="accent6" w:themeShade="80"/>
                          <w:sz w:val="10"/>
                          <w:szCs w:val="10"/>
                        </w:rPr>
                      </w:pPr>
                      <w:r w:rsidRPr="004522E3">
                        <w:rPr>
                          <w:rFonts w:ascii="Times New Roman" w:hAnsi="Times New Roman" w:cs="Times New Roman"/>
                          <w:b/>
                          <w:bCs/>
                          <w:color w:val="385623" w:themeColor="accent6" w:themeShade="80"/>
                          <w:sz w:val="10"/>
                          <w:szCs w:val="10"/>
                        </w:rPr>
                        <w:t xml:space="preserve">Conclusion </w:t>
                      </w:r>
                    </w:p>
                    <w:p w14:paraId="2289FC50" w14:textId="2F66C3C5" w:rsidR="008F3BC8" w:rsidRDefault="002840A7" w:rsidP="004522E3">
                      <w:pPr>
                        <w:spacing w:after="0"/>
                        <w:jc w:val="both"/>
                        <w:rPr>
                          <w:rFonts w:ascii="Times New Roman" w:hAnsi="Times New Roman" w:cs="Times New Roman"/>
                          <w:sz w:val="10"/>
                          <w:szCs w:val="10"/>
                        </w:rPr>
                      </w:pPr>
                      <w:r w:rsidRPr="004522E3">
                        <w:rPr>
                          <w:rFonts w:ascii="Times New Roman" w:hAnsi="Times New Roman" w:cs="Times New Roman"/>
                          <w:sz w:val="10"/>
                          <w:szCs w:val="10"/>
                        </w:rPr>
                        <w:t>Community disability services play a role in the practice of developing independence, inclusion and wellbeing by individuals with disabilities. Such services make people have good lives as they are provided with customized services at the community level. However, to ensure such services are still sufficient against the growing demands of the society, the financial resources, supply, and ability of the working population should be augmented.</w:t>
                      </w:r>
                    </w:p>
                    <w:p w14:paraId="04263EA9" w14:textId="77777777" w:rsidR="00EA7204" w:rsidRPr="004522E3" w:rsidRDefault="00EA7204" w:rsidP="004522E3">
                      <w:pPr>
                        <w:spacing w:after="0"/>
                        <w:jc w:val="both"/>
                        <w:rPr>
                          <w:rFonts w:ascii="Times New Roman" w:hAnsi="Times New Roman" w:cs="Times New Roman"/>
                          <w:sz w:val="10"/>
                          <w:szCs w:val="10"/>
                        </w:rPr>
                      </w:pPr>
                    </w:p>
                    <w:p w14:paraId="145B15DB" w14:textId="432FE6F0" w:rsidR="008F3BC8" w:rsidRPr="004522E3" w:rsidRDefault="008F3BC8" w:rsidP="004522E3">
                      <w:pPr>
                        <w:spacing w:after="0"/>
                        <w:jc w:val="both"/>
                        <w:rPr>
                          <w:rFonts w:ascii="Times New Roman" w:hAnsi="Times New Roman" w:cs="Times New Roman"/>
                          <w:b/>
                          <w:sz w:val="10"/>
                          <w:szCs w:val="10"/>
                        </w:rPr>
                      </w:pPr>
                      <w:r w:rsidRPr="004522E3">
                        <w:rPr>
                          <w:rFonts w:ascii="Times New Roman" w:hAnsi="Times New Roman" w:cs="Times New Roman"/>
                          <w:b/>
                          <w:sz w:val="10"/>
                          <w:szCs w:val="10"/>
                        </w:rPr>
                        <w:t>References</w:t>
                      </w:r>
                    </w:p>
                    <w:p w14:paraId="16AFE6A2" w14:textId="3F34D832" w:rsidR="004522E3" w:rsidRPr="004522E3" w:rsidRDefault="004522E3" w:rsidP="004522E3">
                      <w:pPr>
                        <w:spacing w:after="0" w:line="240" w:lineRule="auto"/>
                        <w:jc w:val="both"/>
                        <w:rPr>
                          <w:rFonts w:ascii="Times New Roman" w:hAnsi="Times New Roman" w:cs="Times New Roman"/>
                          <w:sz w:val="10"/>
                          <w:szCs w:val="10"/>
                          <w:lang w:val="en-IN"/>
                        </w:rPr>
                      </w:pPr>
                      <w:r w:rsidRPr="004522E3">
                        <w:rPr>
                          <w:rFonts w:ascii="Times New Roman" w:hAnsi="Times New Roman" w:cs="Times New Roman"/>
                          <w:sz w:val="10"/>
                          <w:szCs w:val="10"/>
                          <w:lang w:val="en-IN"/>
                        </w:rPr>
                        <w:t xml:space="preserve">Cawthon, S.W., Cappelli, P., Fall, A.-M., Roberts, G. and Susi, D.N. (2026). Disability Service Use and Community College Student Outcomes. </w:t>
                      </w:r>
                      <w:r w:rsidRPr="004522E3">
                        <w:rPr>
                          <w:rFonts w:ascii="Times New Roman" w:hAnsi="Times New Roman" w:cs="Times New Roman"/>
                          <w:i/>
                          <w:iCs/>
                          <w:sz w:val="10"/>
                          <w:szCs w:val="10"/>
                          <w:lang w:val="en-IN"/>
                        </w:rPr>
                        <w:t>Community College Journal of Research and Practice</w:t>
                      </w:r>
                      <w:r w:rsidRPr="004522E3">
                        <w:rPr>
                          <w:rFonts w:ascii="Times New Roman" w:hAnsi="Times New Roman" w:cs="Times New Roman"/>
                          <w:sz w:val="10"/>
                          <w:szCs w:val="10"/>
                          <w:lang w:val="en-IN"/>
                        </w:rPr>
                        <w:t xml:space="preserve">, pp.1–8. </w:t>
                      </w:r>
                      <w:proofErr w:type="spellStart"/>
                      <w:r w:rsidRPr="004522E3">
                        <w:rPr>
                          <w:rFonts w:ascii="Times New Roman" w:hAnsi="Times New Roman" w:cs="Times New Roman"/>
                          <w:sz w:val="10"/>
                          <w:szCs w:val="10"/>
                          <w:lang w:val="en-IN"/>
                        </w:rPr>
                        <w:t>doi</w:t>
                      </w:r>
                      <w:proofErr w:type="spellEnd"/>
                      <w:r w:rsidRPr="004522E3">
                        <w:rPr>
                          <w:rFonts w:ascii="Times New Roman" w:hAnsi="Times New Roman" w:cs="Times New Roman"/>
                          <w:sz w:val="10"/>
                          <w:szCs w:val="10"/>
                          <w:lang w:val="en-IN"/>
                        </w:rPr>
                        <w:t xml:space="preserve">: </w:t>
                      </w:r>
                      <w:hyperlink r:id="rId11" w:history="1">
                        <w:r w:rsidRPr="004522E3">
                          <w:rPr>
                            <w:rStyle w:val="Hyperlink"/>
                            <w:rFonts w:ascii="Times New Roman" w:hAnsi="Times New Roman" w:cs="Times New Roman"/>
                            <w:sz w:val="10"/>
                            <w:szCs w:val="10"/>
                            <w:lang w:val="en-IN"/>
                          </w:rPr>
                          <w:t>https://doi.org/10.1080/10668926.2025.2609104</w:t>
                        </w:r>
                      </w:hyperlink>
                      <w:r w:rsidRPr="004522E3">
                        <w:rPr>
                          <w:rFonts w:ascii="Times New Roman" w:hAnsi="Times New Roman" w:cs="Times New Roman"/>
                          <w:sz w:val="10"/>
                          <w:szCs w:val="10"/>
                          <w:lang w:val="en-IN"/>
                        </w:rPr>
                        <w:t xml:space="preserve">. </w:t>
                      </w:r>
                    </w:p>
                    <w:p w14:paraId="4DD8A9C8" w14:textId="1C9526BA" w:rsidR="004522E3" w:rsidRPr="004522E3" w:rsidRDefault="004522E3" w:rsidP="004522E3">
                      <w:pPr>
                        <w:spacing w:after="0" w:line="240" w:lineRule="auto"/>
                        <w:jc w:val="both"/>
                        <w:rPr>
                          <w:rFonts w:ascii="Times New Roman" w:hAnsi="Times New Roman" w:cs="Times New Roman"/>
                          <w:sz w:val="10"/>
                          <w:szCs w:val="10"/>
                          <w:lang w:val="en-IN"/>
                        </w:rPr>
                      </w:pPr>
                      <w:r w:rsidRPr="004522E3">
                        <w:rPr>
                          <w:rFonts w:ascii="Times New Roman" w:hAnsi="Times New Roman" w:cs="Times New Roman"/>
                          <w:sz w:val="10"/>
                          <w:szCs w:val="10"/>
                          <w:lang w:val="en-IN"/>
                        </w:rPr>
                        <w:t xml:space="preserve">Chan, W., Cao, Y., Lu, E.Y., Cheung, W.M. and Tsang, H.W.H. (2022). Types of Community Support Services and Self-Efficacy for Continuous Community Living among Individuals with Disabilities and Caregivers. </w:t>
                      </w:r>
                      <w:r w:rsidRPr="004522E3">
                        <w:rPr>
                          <w:rFonts w:ascii="Times New Roman" w:hAnsi="Times New Roman" w:cs="Times New Roman"/>
                          <w:i/>
                          <w:iCs/>
                          <w:sz w:val="10"/>
                          <w:szCs w:val="10"/>
                          <w:lang w:val="en-IN"/>
                        </w:rPr>
                        <w:t>International Journal of Environmental Research and Public Health</w:t>
                      </w:r>
                      <w:r w:rsidRPr="004522E3">
                        <w:rPr>
                          <w:rFonts w:ascii="Times New Roman" w:hAnsi="Times New Roman" w:cs="Times New Roman"/>
                          <w:sz w:val="10"/>
                          <w:szCs w:val="10"/>
                          <w:lang w:val="en-IN"/>
                        </w:rPr>
                        <w:t xml:space="preserve">, 19(19), p.12976. </w:t>
                      </w:r>
                      <w:proofErr w:type="spellStart"/>
                      <w:r w:rsidRPr="004522E3">
                        <w:rPr>
                          <w:rFonts w:ascii="Times New Roman" w:hAnsi="Times New Roman" w:cs="Times New Roman"/>
                          <w:sz w:val="10"/>
                          <w:szCs w:val="10"/>
                          <w:lang w:val="en-IN"/>
                        </w:rPr>
                        <w:t>doi</w:t>
                      </w:r>
                      <w:proofErr w:type="spellEnd"/>
                      <w:r w:rsidRPr="004522E3">
                        <w:rPr>
                          <w:rFonts w:ascii="Times New Roman" w:hAnsi="Times New Roman" w:cs="Times New Roman"/>
                          <w:sz w:val="10"/>
                          <w:szCs w:val="10"/>
                          <w:lang w:val="en-IN"/>
                        </w:rPr>
                        <w:t xml:space="preserve">: </w:t>
                      </w:r>
                      <w:hyperlink r:id="rId12" w:history="1">
                        <w:r w:rsidRPr="004522E3">
                          <w:rPr>
                            <w:rStyle w:val="Hyperlink"/>
                            <w:rFonts w:ascii="Times New Roman" w:hAnsi="Times New Roman" w:cs="Times New Roman"/>
                            <w:sz w:val="10"/>
                            <w:szCs w:val="10"/>
                            <w:lang w:val="en-IN"/>
                          </w:rPr>
                          <w:t>https://doi.org/10.3390/ijerph191912976</w:t>
                        </w:r>
                      </w:hyperlink>
                      <w:r w:rsidRPr="004522E3">
                        <w:rPr>
                          <w:rFonts w:ascii="Times New Roman" w:hAnsi="Times New Roman" w:cs="Times New Roman"/>
                          <w:sz w:val="10"/>
                          <w:szCs w:val="10"/>
                          <w:lang w:val="en-IN"/>
                        </w:rPr>
                        <w:t xml:space="preserve">. </w:t>
                      </w:r>
                    </w:p>
                    <w:p w14:paraId="0BF640A4" w14:textId="03BC02F4" w:rsidR="004522E3" w:rsidRPr="004522E3" w:rsidRDefault="004522E3" w:rsidP="004522E3">
                      <w:pPr>
                        <w:spacing w:after="0" w:line="240" w:lineRule="auto"/>
                        <w:jc w:val="both"/>
                        <w:rPr>
                          <w:rFonts w:ascii="Times New Roman" w:hAnsi="Times New Roman" w:cs="Times New Roman"/>
                          <w:sz w:val="10"/>
                          <w:szCs w:val="10"/>
                          <w:lang w:val="en-IN"/>
                        </w:rPr>
                      </w:pPr>
                      <w:r w:rsidRPr="004522E3">
                        <w:rPr>
                          <w:rFonts w:ascii="Times New Roman" w:hAnsi="Times New Roman" w:cs="Times New Roman"/>
                          <w:sz w:val="10"/>
                          <w:szCs w:val="10"/>
                          <w:lang w:val="en-IN"/>
                        </w:rPr>
                        <w:t xml:space="preserve">Iqbal, S., Ahmed, F., Uddin, I., Gilchrist, K., San, V., Motta, A., Fatima, Q., Arshad, S. and </w:t>
                      </w:r>
                      <w:proofErr w:type="spellStart"/>
                      <w:r w:rsidRPr="004522E3">
                        <w:rPr>
                          <w:rFonts w:ascii="Times New Roman" w:hAnsi="Times New Roman" w:cs="Times New Roman"/>
                          <w:sz w:val="10"/>
                          <w:szCs w:val="10"/>
                          <w:lang w:val="en-IN"/>
                        </w:rPr>
                        <w:t>Vindrola‐Padros</w:t>
                      </w:r>
                      <w:proofErr w:type="spellEnd"/>
                      <w:r w:rsidRPr="004522E3">
                        <w:rPr>
                          <w:rFonts w:ascii="Times New Roman" w:hAnsi="Times New Roman" w:cs="Times New Roman"/>
                          <w:sz w:val="10"/>
                          <w:szCs w:val="10"/>
                          <w:lang w:val="en-IN"/>
                        </w:rPr>
                        <w:t xml:space="preserve">, C. (2025). The Implementation of Community Engagement Models Amongst People </w:t>
                      </w:r>
                      <w:proofErr w:type="gramStart"/>
                      <w:r w:rsidRPr="004522E3">
                        <w:rPr>
                          <w:rFonts w:ascii="Times New Roman" w:hAnsi="Times New Roman" w:cs="Times New Roman"/>
                          <w:sz w:val="10"/>
                          <w:szCs w:val="10"/>
                          <w:lang w:val="en-IN"/>
                        </w:rPr>
                        <w:t>With</w:t>
                      </w:r>
                      <w:proofErr w:type="gramEnd"/>
                      <w:r w:rsidRPr="004522E3">
                        <w:rPr>
                          <w:rFonts w:ascii="Times New Roman" w:hAnsi="Times New Roman" w:cs="Times New Roman"/>
                          <w:sz w:val="10"/>
                          <w:szCs w:val="10"/>
                          <w:lang w:val="en-IN"/>
                        </w:rPr>
                        <w:t xml:space="preserve"> Learning Disabilities in the Context of Health and Social Care: A Systematic Review. </w:t>
                      </w:r>
                      <w:r w:rsidRPr="004522E3">
                        <w:rPr>
                          <w:rFonts w:ascii="Times New Roman" w:hAnsi="Times New Roman" w:cs="Times New Roman"/>
                          <w:i/>
                          <w:iCs/>
                          <w:sz w:val="10"/>
                          <w:szCs w:val="10"/>
                          <w:lang w:val="en-IN"/>
                        </w:rPr>
                        <w:t>British Journal of Learning Disabilities</w:t>
                      </w:r>
                      <w:r w:rsidRPr="004522E3">
                        <w:rPr>
                          <w:rFonts w:ascii="Times New Roman" w:hAnsi="Times New Roman" w:cs="Times New Roman"/>
                          <w:sz w:val="10"/>
                          <w:szCs w:val="10"/>
                          <w:lang w:val="en-IN"/>
                        </w:rPr>
                        <w:t xml:space="preserve">. </w:t>
                      </w:r>
                      <w:proofErr w:type="spellStart"/>
                      <w:r w:rsidRPr="004522E3">
                        <w:rPr>
                          <w:rFonts w:ascii="Times New Roman" w:hAnsi="Times New Roman" w:cs="Times New Roman"/>
                          <w:sz w:val="10"/>
                          <w:szCs w:val="10"/>
                          <w:lang w:val="en-IN"/>
                        </w:rPr>
                        <w:t>doi</w:t>
                      </w:r>
                      <w:proofErr w:type="spellEnd"/>
                      <w:r w:rsidRPr="004522E3">
                        <w:rPr>
                          <w:rFonts w:ascii="Times New Roman" w:hAnsi="Times New Roman" w:cs="Times New Roman"/>
                          <w:sz w:val="10"/>
                          <w:szCs w:val="10"/>
                          <w:lang w:val="en-IN"/>
                        </w:rPr>
                        <w:t xml:space="preserve">: </w:t>
                      </w:r>
                      <w:hyperlink r:id="rId13" w:history="1">
                        <w:r w:rsidRPr="004522E3">
                          <w:rPr>
                            <w:rStyle w:val="Hyperlink"/>
                            <w:rFonts w:ascii="Times New Roman" w:hAnsi="Times New Roman" w:cs="Times New Roman"/>
                            <w:sz w:val="10"/>
                            <w:szCs w:val="10"/>
                            <w:lang w:val="en-IN"/>
                          </w:rPr>
                          <w:t>https://doi.org/10.1111/bld.70001</w:t>
                        </w:r>
                      </w:hyperlink>
                      <w:r w:rsidRPr="004522E3">
                        <w:rPr>
                          <w:rFonts w:ascii="Times New Roman" w:hAnsi="Times New Roman" w:cs="Times New Roman"/>
                          <w:sz w:val="10"/>
                          <w:szCs w:val="10"/>
                          <w:lang w:val="en-IN"/>
                        </w:rPr>
                        <w:t xml:space="preserve">. </w:t>
                      </w:r>
                    </w:p>
                    <w:p w14:paraId="011A8509" w14:textId="6C49A02D" w:rsidR="004522E3" w:rsidRPr="004522E3" w:rsidRDefault="004522E3" w:rsidP="004522E3">
                      <w:pPr>
                        <w:spacing w:after="0" w:line="240" w:lineRule="auto"/>
                        <w:jc w:val="both"/>
                        <w:rPr>
                          <w:rFonts w:ascii="Times New Roman" w:hAnsi="Times New Roman" w:cs="Times New Roman"/>
                          <w:sz w:val="10"/>
                          <w:szCs w:val="10"/>
                          <w:lang w:val="en-IN"/>
                        </w:rPr>
                      </w:pPr>
                      <w:r w:rsidRPr="004522E3">
                        <w:rPr>
                          <w:rFonts w:ascii="Times New Roman" w:hAnsi="Times New Roman" w:cs="Times New Roman"/>
                          <w:sz w:val="10"/>
                          <w:szCs w:val="10"/>
                          <w:lang w:val="en-IN"/>
                        </w:rPr>
                        <w:t xml:space="preserve">Lorane Scaria, </w:t>
                      </w:r>
                      <w:proofErr w:type="spellStart"/>
                      <w:r w:rsidRPr="004522E3">
                        <w:rPr>
                          <w:rFonts w:ascii="Times New Roman" w:hAnsi="Times New Roman" w:cs="Times New Roman"/>
                          <w:sz w:val="10"/>
                          <w:szCs w:val="10"/>
                          <w:lang w:val="en-IN"/>
                        </w:rPr>
                        <w:t>Blance</w:t>
                      </w:r>
                      <w:proofErr w:type="spellEnd"/>
                      <w:r w:rsidRPr="004522E3">
                        <w:rPr>
                          <w:rFonts w:ascii="Times New Roman" w:hAnsi="Times New Roman" w:cs="Times New Roman"/>
                          <w:sz w:val="10"/>
                          <w:szCs w:val="10"/>
                          <w:lang w:val="en-IN"/>
                        </w:rPr>
                        <w:t xml:space="preserve">-Palmer, R., Joubert, L. and Saju </w:t>
                      </w:r>
                      <w:proofErr w:type="spellStart"/>
                      <w:r w:rsidRPr="004522E3">
                        <w:rPr>
                          <w:rFonts w:ascii="Times New Roman" w:hAnsi="Times New Roman" w:cs="Times New Roman"/>
                          <w:sz w:val="10"/>
                          <w:szCs w:val="10"/>
                          <w:lang w:val="en-IN"/>
                        </w:rPr>
                        <w:t>Madavanakadu</w:t>
                      </w:r>
                      <w:proofErr w:type="spellEnd"/>
                      <w:r w:rsidRPr="004522E3">
                        <w:rPr>
                          <w:rFonts w:ascii="Times New Roman" w:hAnsi="Times New Roman" w:cs="Times New Roman"/>
                          <w:sz w:val="10"/>
                          <w:szCs w:val="10"/>
                          <w:lang w:val="en-IN"/>
                        </w:rPr>
                        <w:t xml:space="preserve"> Devassy (2025). Pathways to support: a qualitative investigation of community health </w:t>
                      </w:r>
                      <w:proofErr w:type="spellStart"/>
                      <w:r w:rsidRPr="004522E3">
                        <w:rPr>
                          <w:rFonts w:ascii="Times New Roman" w:hAnsi="Times New Roman" w:cs="Times New Roman"/>
                          <w:sz w:val="10"/>
                          <w:szCs w:val="10"/>
                          <w:lang w:val="en-IN"/>
                        </w:rPr>
                        <w:t>workers’role</w:t>
                      </w:r>
                      <w:proofErr w:type="spellEnd"/>
                      <w:r w:rsidRPr="004522E3">
                        <w:rPr>
                          <w:rFonts w:ascii="Times New Roman" w:hAnsi="Times New Roman" w:cs="Times New Roman"/>
                          <w:sz w:val="10"/>
                          <w:szCs w:val="10"/>
                          <w:lang w:val="en-IN"/>
                        </w:rPr>
                        <w:t xml:space="preserve"> in coordinating disability services in India. </w:t>
                      </w:r>
                      <w:r w:rsidRPr="004522E3">
                        <w:rPr>
                          <w:rFonts w:ascii="Times New Roman" w:hAnsi="Times New Roman" w:cs="Times New Roman"/>
                          <w:i/>
                          <w:iCs/>
                          <w:sz w:val="10"/>
                          <w:szCs w:val="10"/>
                          <w:lang w:val="en-IN"/>
                        </w:rPr>
                        <w:t>Discover Social Science and Health</w:t>
                      </w:r>
                      <w:r w:rsidRPr="004522E3">
                        <w:rPr>
                          <w:rFonts w:ascii="Times New Roman" w:hAnsi="Times New Roman" w:cs="Times New Roman"/>
                          <w:sz w:val="10"/>
                          <w:szCs w:val="10"/>
                          <w:lang w:val="en-IN"/>
                        </w:rPr>
                        <w:t xml:space="preserve">, 5(1). </w:t>
                      </w:r>
                      <w:proofErr w:type="spellStart"/>
                      <w:r w:rsidRPr="004522E3">
                        <w:rPr>
                          <w:rFonts w:ascii="Times New Roman" w:hAnsi="Times New Roman" w:cs="Times New Roman"/>
                          <w:sz w:val="10"/>
                          <w:szCs w:val="10"/>
                          <w:lang w:val="en-IN"/>
                        </w:rPr>
                        <w:t>doi</w:t>
                      </w:r>
                      <w:proofErr w:type="spellEnd"/>
                      <w:r w:rsidRPr="004522E3">
                        <w:rPr>
                          <w:rFonts w:ascii="Times New Roman" w:hAnsi="Times New Roman" w:cs="Times New Roman"/>
                          <w:sz w:val="10"/>
                          <w:szCs w:val="10"/>
                          <w:lang w:val="en-IN"/>
                        </w:rPr>
                        <w:t xml:space="preserve">: </w:t>
                      </w:r>
                      <w:hyperlink r:id="rId14" w:history="1">
                        <w:r w:rsidRPr="004522E3">
                          <w:rPr>
                            <w:rStyle w:val="Hyperlink"/>
                            <w:rFonts w:ascii="Times New Roman" w:hAnsi="Times New Roman" w:cs="Times New Roman"/>
                            <w:sz w:val="10"/>
                            <w:szCs w:val="10"/>
                            <w:lang w:val="en-IN"/>
                          </w:rPr>
                          <w:t>https://doi.org/10.1007/s44155-025-00233-1</w:t>
                        </w:r>
                      </w:hyperlink>
                      <w:r w:rsidRPr="004522E3">
                        <w:rPr>
                          <w:rFonts w:ascii="Times New Roman" w:hAnsi="Times New Roman" w:cs="Times New Roman"/>
                          <w:sz w:val="10"/>
                          <w:szCs w:val="10"/>
                          <w:lang w:val="en-IN"/>
                        </w:rPr>
                        <w:t xml:space="preserve">. </w:t>
                      </w:r>
                    </w:p>
                    <w:p w14:paraId="716E593F" w14:textId="1E9ACAC4" w:rsidR="004522E3" w:rsidRPr="004522E3" w:rsidRDefault="004522E3" w:rsidP="004522E3">
                      <w:pPr>
                        <w:spacing w:after="0" w:line="240" w:lineRule="auto"/>
                        <w:jc w:val="both"/>
                        <w:rPr>
                          <w:rFonts w:ascii="Times New Roman" w:hAnsi="Times New Roman" w:cs="Times New Roman"/>
                          <w:sz w:val="10"/>
                          <w:szCs w:val="10"/>
                          <w:lang w:val="en-IN"/>
                        </w:rPr>
                      </w:pPr>
                      <w:r w:rsidRPr="004522E3">
                        <w:rPr>
                          <w:rFonts w:ascii="Times New Roman" w:hAnsi="Times New Roman" w:cs="Times New Roman"/>
                          <w:sz w:val="10"/>
                          <w:szCs w:val="10"/>
                          <w:lang w:val="en-IN"/>
                        </w:rPr>
                        <w:t xml:space="preserve">www.sciencedirect.com. (n.d.). </w:t>
                      </w:r>
                      <w:r w:rsidRPr="004522E3">
                        <w:rPr>
                          <w:rFonts w:ascii="Times New Roman" w:hAnsi="Times New Roman" w:cs="Times New Roman"/>
                          <w:i/>
                          <w:iCs/>
                          <w:sz w:val="10"/>
                          <w:szCs w:val="10"/>
                          <w:lang w:val="en-IN"/>
                        </w:rPr>
                        <w:t>Disability and Health Journal | ScienceDirect.com by Elsevier</w:t>
                      </w:r>
                      <w:r w:rsidRPr="004522E3">
                        <w:rPr>
                          <w:rFonts w:ascii="Times New Roman" w:hAnsi="Times New Roman" w:cs="Times New Roman"/>
                          <w:sz w:val="10"/>
                          <w:szCs w:val="10"/>
                          <w:lang w:val="en-IN"/>
                        </w:rPr>
                        <w:t xml:space="preserve">. [online] Available at: </w:t>
                      </w:r>
                      <w:hyperlink r:id="rId15" w:history="1">
                        <w:r w:rsidRPr="004522E3">
                          <w:rPr>
                            <w:rStyle w:val="Hyperlink"/>
                            <w:rFonts w:ascii="Times New Roman" w:hAnsi="Times New Roman" w:cs="Times New Roman"/>
                            <w:sz w:val="10"/>
                            <w:szCs w:val="10"/>
                            <w:lang w:val="en-IN"/>
                          </w:rPr>
                          <w:t>https://www.sciencedirect.com/journal/disability-and-health-journal</w:t>
                        </w:r>
                      </w:hyperlink>
                      <w:r w:rsidRPr="004522E3">
                        <w:rPr>
                          <w:rFonts w:ascii="Times New Roman" w:hAnsi="Times New Roman" w:cs="Times New Roman"/>
                          <w:sz w:val="10"/>
                          <w:szCs w:val="10"/>
                          <w:lang w:val="en-IN"/>
                        </w:rPr>
                        <w:t xml:space="preserve">. </w:t>
                      </w:r>
                    </w:p>
                    <w:p w14:paraId="23AA1E4D" w14:textId="77777777" w:rsidR="008F3BC8" w:rsidRPr="004522E3" w:rsidRDefault="008F3BC8" w:rsidP="004522E3">
                      <w:pPr>
                        <w:spacing w:line="240" w:lineRule="auto"/>
                        <w:jc w:val="both"/>
                        <w:rPr>
                          <w:rFonts w:ascii="Times New Roman" w:hAnsi="Times New Roman" w:cs="Times New Roman"/>
                          <w:sz w:val="10"/>
                          <w:szCs w:val="10"/>
                        </w:rPr>
                      </w:pPr>
                    </w:p>
                    <w:p w14:paraId="0BA28B8D" w14:textId="77777777" w:rsidR="008F3BC8" w:rsidRPr="004522E3" w:rsidRDefault="008F3BC8" w:rsidP="004522E3">
                      <w:pPr>
                        <w:spacing w:line="240" w:lineRule="auto"/>
                        <w:jc w:val="both"/>
                        <w:rPr>
                          <w:rFonts w:ascii="Times New Roman" w:hAnsi="Times New Roman" w:cs="Times New Roman"/>
                          <w:sz w:val="10"/>
                          <w:szCs w:val="10"/>
                        </w:rPr>
                      </w:pPr>
                    </w:p>
                  </w:txbxContent>
                </v:textbox>
                <w10:wrap type="tight" anchorx="margin"/>
              </v:shape>
            </w:pict>
          </mc:Fallback>
        </mc:AlternateContent>
      </w:r>
      <w:r w:rsidR="002F2FA9">
        <w:rPr>
          <w:noProof/>
          <w:lang w:val="en-IN" w:eastAsia="en-IN"/>
        </w:rPr>
        <mc:AlternateContent>
          <mc:Choice Requires="wps">
            <w:drawing>
              <wp:anchor distT="45720" distB="45720" distL="114300" distR="114300" simplePos="0" relativeHeight="251665408" behindDoc="1" locked="0" layoutInCell="1" allowOverlap="1" wp14:anchorId="21A64788" wp14:editId="51D956F9">
                <wp:simplePos x="0" y="0"/>
                <wp:positionH relativeFrom="margin">
                  <wp:posOffset>3728720</wp:posOffset>
                </wp:positionH>
                <wp:positionV relativeFrom="paragraph">
                  <wp:posOffset>1250950</wp:posOffset>
                </wp:positionV>
                <wp:extent cx="2444115" cy="2394585"/>
                <wp:effectExtent l="19050" t="19050" r="13335" b="24765"/>
                <wp:wrapTight wrapText="bothSides">
                  <wp:wrapPolygon edited="0">
                    <wp:start x="-168" y="-172"/>
                    <wp:lineTo x="-168" y="21652"/>
                    <wp:lineTo x="21549" y="21652"/>
                    <wp:lineTo x="21549" y="-172"/>
                    <wp:lineTo x="-168" y="-172"/>
                  </wp:wrapPolygon>
                </wp:wrapTight>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4115" cy="2394585"/>
                        </a:xfrm>
                        <a:prstGeom prst="rect">
                          <a:avLst/>
                        </a:prstGeom>
                        <a:solidFill>
                          <a:srgbClr val="FFFFFF"/>
                        </a:solidFill>
                        <a:ln w="44450">
                          <a:solidFill>
                            <a:srgbClr val="000000"/>
                          </a:solidFill>
                          <a:miter lim="800000"/>
                          <a:headEnd/>
                          <a:tailEnd/>
                        </a:ln>
                        <a:effectLst>
                          <a:softEdge rad="25400"/>
                        </a:effectLst>
                      </wps:spPr>
                      <wps:txbx>
                        <w:txbxContent>
                          <w:p w14:paraId="2A6CE679" w14:textId="49969A71" w:rsidR="00BE6BE0" w:rsidRDefault="00AD4B73" w:rsidP="00BE6BE0">
                            <w:r>
                              <w:rPr>
                                <w:noProof/>
                                <w:lang w:val="en-IN" w:eastAsia="en-IN"/>
                              </w:rPr>
                              <w:drawing>
                                <wp:inline distT="0" distB="0" distL="0" distR="0" wp14:anchorId="1AB5F746" wp14:editId="6881162C">
                                  <wp:extent cx="2414270" cy="1937876"/>
                                  <wp:effectExtent l="0" t="0" r="0" b="5715"/>
                                  <wp:docPr id="9" name="Picture 9" descr="https://www.through-the-maze.org.uk/wp-content/uploads/2016/03/community-learning-disability-team-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through-the-maze.org.uk/wp-content/uploads/2016/03/community-learning-disability-team-1.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14270" cy="1937876"/>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1" type="#_x0000_t202" style="position:absolute;margin-left:293.6pt;margin-top:98.5pt;width:192.45pt;height:188.55pt;z-index:-251651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" strokeweight="3.5pt">
                <v:textbox>
                  <w:txbxContent>
                    <w:p w14:paraId="2A6CE679" w14:textId="49969A71" w:rsidR="00BE6BE0" w:rsidRDefault="00AD4B73" w:rsidP="00BE6BE0">
                      <w:r>
                        <w:rPr>
                          <w:noProof/>
                          <w:lang w:val="en-IN" w:eastAsia="en-IN"/>
                        </w:rPr>
                        <w:drawing>
                          <wp:inline distT="0" distB="0" distL="0" distR="0" wp14:anchorId="1AB5F746" wp14:editId="6881162C">
                            <wp:extent cx="2414270" cy="1937876"/>
                            <wp:effectExtent l="0" t="0" r="0" b="5715"/>
                            <wp:docPr id="9" name="Picture 9" descr="https://www.through-the-maze.org.uk/wp-content/uploads/2016/03/community-learning-disability-team-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through-the-maze.org.uk/wp-content/uploads/2016/03/community-learning-disability-team-1.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14270" cy="1937876"/>
                                    </a:xfrm>
                                    <a:prstGeom prst="rect">
                                      <a:avLst/>
                                    </a:prstGeom>
                                    <a:noFill/>
                                    <a:ln>
                                      <a:noFill/>
                                    </a:ln>
                                  </pic:spPr>
                                </pic:pic>
                              </a:graphicData>
                            </a:graphic>
                          </wp:inline>
                        </w:drawing>
                      </w:r>
                    </w:p>
                  </w:txbxContent>
                </v:textbox>
                <w10:wrap type="tight" anchorx="margin"/>
              </v:shape>
            </w:pict>
          </mc:Fallback>
        </mc:AlternateContent>
      </w:r>
      <w:r w:rsidR="002F2FA9">
        <w:rPr>
          <w:noProof/>
          <w:lang w:val="en-IN" w:eastAsia="en-IN"/>
        </w:rPr>
        <mc:AlternateContent>
          <mc:Choice Requires="wps">
            <w:drawing>
              <wp:anchor distT="45720" distB="45720" distL="114300" distR="114300" simplePos="0" relativeHeight="251663360" behindDoc="1" locked="0" layoutInCell="1" allowOverlap="1" wp14:anchorId="04CAE92E" wp14:editId="71EA8D4D">
                <wp:simplePos x="0" y="0"/>
                <wp:positionH relativeFrom="page">
                  <wp:posOffset>57785</wp:posOffset>
                </wp:positionH>
                <wp:positionV relativeFrom="paragraph">
                  <wp:posOffset>1127760</wp:posOffset>
                </wp:positionV>
                <wp:extent cx="4403090" cy="2943860"/>
                <wp:effectExtent l="19050" t="19050" r="35560" b="46990"/>
                <wp:wrapTight wrapText="bothSides">
                  <wp:wrapPolygon edited="0">
                    <wp:start x="-93" y="-140"/>
                    <wp:lineTo x="-93" y="21805"/>
                    <wp:lineTo x="21681" y="21805"/>
                    <wp:lineTo x="21681" y="-140"/>
                    <wp:lineTo x="-93" y="-140"/>
                  </wp:wrapPolygon>
                </wp:wrapTight>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03090" cy="2943860"/>
                        </a:xfrm>
                        <a:prstGeom prst="rect">
                          <a:avLst/>
                        </a:prstGeom>
                        <a:solidFill>
                          <a:srgbClr val="FFFFFF"/>
                        </a:solidFill>
                        <a:ln w="47625">
                          <a:solidFill>
                            <a:schemeClr val="accent2"/>
                          </a:solidFill>
                          <a:miter lim="800000"/>
                          <a:headEnd/>
                          <a:tailEnd/>
                        </a:ln>
                        <a:effectLst>
                          <a:softEdge rad="25400"/>
                        </a:effectLst>
                      </wps:spPr>
                      <wps:txbx>
                        <w:txbxContent>
                          <w:p w14:paraId="35096631" w14:textId="1CC7DFB2" w:rsidR="00BE6BE0" w:rsidRPr="002840A7" w:rsidRDefault="002840A7" w:rsidP="002840A7">
                            <w:pPr>
                              <w:spacing w:line="240" w:lineRule="auto"/>
                              <w:jc w:val="both"/>
                              <w:rPr>
                                <w:rFonts w:ascii="Times New Roman" w:hAnsi="Times New Roman" w:cs="Times New Roman"/>
                                <w:b/>
                                <w:bCs/>
                                <w:color w:val="385623" w:themeColor="accent6" w:themeShade="80"/>
                                <w:sz w:val="10"/>
                                <w:szCs w:val="8"/>
                              </w:rPr>
                            </w:pPr>
                            <w:r w:rsidRPr="002840A7">
                              <w:rPr>
                                <w:rFonts w:ascii="Times New Roman" w:hAnsi="Times New Roman" w:cs="Times New Roman"/>
                                <w:b/>
                                <w:bCs/>
                                <w:color w:val="385623" w:themeColor="accent6" w:themeShade="80"/>
                                <w:sz w:val="10"/>
                                <w:szCs w:val="8"/>
                              </w:rPr>
                              <w:t xml:space="preserve">Introduction </w:t>
                            </w:r>
                          </w:p>
                          <w:p w14:paraId="45394778" w14:textId="665B7749" w:rsidR="002840A7" w:rsidRPr="002F2FA9" w:rsidRDefault="002840A7" w:rsidP="002840A7">
                            <w:pPr>
                              <w:spacing w:line="240" w:lineRule="auto"/>
                              <w:jc w:val="both"/>
                              <w:rPr>
                                <w:rFonts w:ascii="Times New Roman" w:hAnsi="Times New Roman" w:cs="Times New Roman"/>
                                <w:sz w:val="16"/>
                                <w:szCs w:val="16"/>
                                <w:lang w:val="en-IN"/>
                              </w:rPr>
                            </w:pPr>
                            <w:r w:rsidRPr="002F2FA9">
                              <w:rPr>
                                <w:rFonts w:ascii="Times New Roman" w:hAnsi="Times New Roman" w:cs="Times New Roman"/>
                                <w:sz w:val="16"/>
                                <w:szCs w:val="16"/>
                              </w:rPr>
                              <w:t>Community disability services can be defined as the support systems that are intended to assist individuals with sensory, physical or intellectual disabilities to live independently and be full members of the society</w:t>
                            </w:r>
                            <w:r w:rsidR="004522E3" w:rsidRPr="002F2FA9">
                              <w:rPr>
                                <w:rFonts w:ascii="Times New Roman" w:hAnsi="Times New Roman" w:cs="Times New Roman"/>
                                <w:sz w:val="16"/>
                                <w:szCs w:val="16"/>
                              </w:rPr>
                              <w:t xml:space="preserve"> </w:t>
                            </w:r>
                            <w:r w:rsidR="004522E3" w:rsidRPr="002F2FA9">
                              <w:rPr>
                                <w:rFonts w:ascii="Times New Roman" w:hAnsi="Times New Roman" w:cs="Times New Roman"/>
                                <w:sz w:val="16"/>
                                <w:szCs w:val="16"/>
                                <w:lang w:val="en-IN"/>
                              </w:rPr>
                              <w:t>(www.sciencedirect.com, n.d.)</w:t>
                            </w:r>
                            <w:r w:rsidRPr="002F2FA9">
                              <w:rPr>
                                <w:rFonts w:ascii="Times New Roman" w:hAnsi="Times New Roman" w:cs="Times New Roman"/>
                                <w:sz w:val="16"/>
                                <w:szCs w:val="16"/>
                              </w:rPr>
                              <w:t>. These services provide health services, rehabilitation, social support and day to day activities that make people with disabilities better and more integrated into the community.</w:t>
                            </w:r>
                          </w:p>
                          <w:p w14:paraId="6B1E10EE" w14:textId="7150D647" w:rsidR="008F3BC8" w:rsidRPr="002840A7" w:rsidRDefault="008F3BC8" w:rsidP="002840A7">
                            <w:pPr>
                              <w:spacing w:line="240" w:lineRule="auto"/>
                              <w:jc w:val="both"/>
                              <w:rPr>
                                <w:rFonts w:ascii="Times New Roman" w:hAnsi="Times New Roman" w:cs="Times New Roman"/>
                                <w:b/>
                                <w:sz w:val="10"/>
                                <w:szCs w:val="8"/>
                              </w:rPr>
                            </w:pPr>
                            <w:r w:rsidRPr="002840A7">
                              <w:rPr>
                                <w:rFonts w:ascii="Times New Roman" w:hAnsi="Times New Roman" w:cs="Times New Roman"/>
                                <w:b/>
                                <w:sz w:val="10"/>
                                <w:szCs w:val="8"/>
                              </w:rPr>
                              <w:t>Explanation of the chosen healthcare service</w:t>
                            </w:r>
                          </w:p>
                          <w:p w14:paraId="081AA385" w14:textId="0CCF4E45" w:rsidR="008F3BC8" w:rsidRPr="002F2FA9" w:rsidRDefault="002840A7" w:rsidP="002840A7">
                            <w:pPr>
                              <w:spacing w:line="240" w:lineRule="auto"/>
                              <w:jc w:val="both"/>
                              <w:rPr>
                                <w:rFonts w:ascii="Times New Roman" w:hAnsi="Times New Roman" w:cs="Times New Roman"/>
                                <w:sz w:val="16"/>
                                <w:szCs w:val="16"/>
                                <w:lang w:val="en-IN"/>
                              </w:rPr>
                            </w:pPr>
                            <w:r w:rsidRPr="002F2FA9">
                              <w:rPr>
                                <w:rFonts w:ascii="Times New Roman" w:hAnsi="Times New Roman" w:cs="Times New Roman"/>
                                <w:sz w:val="16"/>
                                <w:szCs w:val="16"/>
                              </w:rPr>
                              <w:t xml:space="preserve">Community disability services provide an assortment of health care and social support to individuals with disabilities living within their home communities. These services are meant to accomplish independence and enhance the quality of life and the creation of equal opportunities to individuals with disabilities. The services are feasible in such way as rehabilitation support, personal care assistance, occupational therapy, social assistance and accessibility of healthcare professionals. One of the most significant purposes of the community disability services is to empower people to live their lives, as opposed to living their lives on the grounds of institutional care </w:t>
                            </w:r>
                            <w:r w:rsidRPr="002F2FA9">
                              <w:rPr>
                                <w:rFonts w:ascii="Times New Roman" w:hAnsi="Times New Roman" w:cs="Times New Roman"/>
                                <w:sz w:val="16"/>
                                <w:szCs w:val="16"/>
                                <w:lang w:val="en-IN"/>
                              </w:rPr>
                              <w:t>(Cawthon et al., 2026)</w:t>
                            </w:r>
                            <w:r w:rsidRPr="002F2FA9">
                              <w:rPr>
                                <w:rFonts w:ascii="Times New Roman" w:hAnsi="Times New Roman" w:cs="Times New Roman"/>
                                <w:sz w:val="16"/>
                                <w:szCs w:val="16"/>
                              </w:rPr>
                              <w:t>. The services help the individuals to learn the day-living skills, receive health and participate in community activities. To exemplify, the support workers may assist individuals regarding mobility, communication, education, and employment opportunities. Provision of community disability services in a normal process usually entails a collaboration between the medical staff, the social workers, the local governments, and the local non-governmental organisations. The policies guiding these services in most countries are guided by the policies that support inclusiveness, equality and protection of the rights of the disabled persons. The services assist in reducing social isolation and inclusion by providing care within the community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2" type="#_x0000_t202" style="position:absolute;margin-left:4.55pt;margin-top:88.8pt;width:346.7pt;height:231.8pt;z-index:-2516531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" strokecolor="#ed7d31 [3205]" strokeweight="3.75pt">
                <v:textbox>
                  <w:txbxContent>
                    <w:p w14:paraId="35096631" w14:textId="1CC7DFB2" w:rsidR="00BE6BE0" w:rsidRPr="002840A7" w:rsidRDefault="002840A7" w:rsidP="002840A7">
                      <w:pPr>
                        <w:spacing w:line="240" w:lineRule="auto"/>
                        <w:jc w:val="both"/>
                        <w:rPr>
                          <w:rFonts w:ascii="Times New Roman" w:hAnsi="Times New Roman" w:cs="Times New Roman"/>
                          <w:b/>
                          <w:bCs/>
                          <w:color w:val="385623" w:themeColor="accent6" w:themeShade="80"/>
                          <w:sz w:val="10"/>
                          <w:szCs w:val="8"/>
                        </w:rPr>
                      </w:pPr>
                      <w:r w:rsidRPr="002840A7">
                        <w:rPr>
                          <w:rFonts w:ascii="Times New Roman" w:hAnsi="Times New Roman" w:cs="Times New Roman"/>
                          <w:b/>
                          <w:bCs/>
                          <w:color w:val="385623" w:themeColor="accent6" w:themeShade="80"/>
                          <w:sz w:val="10"/>
                          <w:szCs w:val="8"/>
                        </w:rPr>
                        <w:t xml:space="preserve">Introduction </w:t>
                      </w:r>
                    </w:p>
                    <w:p w14:paraId="45394778" w14:textId="665B7749" w:rsidR="002840A7" w:rsidRPr="002F2FA9" w:rsidRDefault="002840A7" w:rsidP="002840A7">
                      <w:pPr>
                        <w:spacing w:line="240" w:lineRule="auto"/>
                        <w:jc w:val="both"/>
                        <w:rPr>
                          <w:rFonts w:ascii="Times New Roman" w:hAnsi="Times New Roman" w:cs="Times New Roman"/>
                          <w:sz w:val="16"/>
                          <w:szCs w:val="16"/>
                          <w:lang w:val="en-IN"/>
                        </w:rPr>
                      </w:pPr>
                      <w:r w:rsidRPr="002F2FA9">
                        <w:rPr>
                          <w:rFonts w:ascii="Times New Roman" w:hAnsi="Times New Roman" w:cs="Times New Roman"/>
                          <w:sz w:val="16"/>
                          <w:szCs w:val="16"/>
                        </w:rPr>
                        <w:t>Community disability services can be defined as the support systems that are intended to assist individuals with sensory, physical or intellectual disabilities to live independently and be full members of the society</w:t>
                      </w:r>
                      <w:r w:rsidR="004522E3" w:rsidRPr="002F2FA9">
                        <w:rPr>
                          <w:rFonts w:ascii="Times New Roman" w:hAnsi="Times New Roman" w:cs="Times New Roman"/>
                          <w:sz w:val="16"/>
                          <w:szCs w:val="16"/>
                        </w:rPr>
                        <w:t xml:space="preserve"> </w:t>
                      </w:r>
                      <w:r w:rsidR="004522E3" w:rsidRPr="002F2FA9">
                        <w:rPr>
                          <w:rFonts w:ascii="Times New Roman" w:hAnsi="Times New Roman" w:cs="Times New Roman"/>
                          <w:sz w:val="16"/>
                          <w:szCs w:val="16"/>
                          <w:lang w:val="en-IN"/>
                        </w:rPr>
                        <w:t>(www.sciencedirect.com, n.d.)</w:t>
                      </w:r>
                      <w:r w:rsidRPr="002F2FA9">
                        <w:rPr>
                          <w:rFonts w:ascii="Times New Roman" w:hAnsi="Times New Roman" w:cs="Times New Roman"/>
                          <w:sz w:val="16"/>
                          <w:szCs w:val="16"/>
                        </w:rPr>
                        <w:t>. These services provide health services, rehabilitation, social support and day to day activities that make people with disabilities better and more integrated into the community.</w:t>
                      </w:r>
                    </w:p>
                    <w:p w14:paraId="6B1E10EE" w14:textId="7150D647" w:rsidR="008F3BC8" w:rsidRPr="002840A7" w:rsidRDefault="008F3BC8" w:rsidP="002840A7">
                      <w:pPr>
                        <w:spacing w:line="240" w:lineRule="auto"/>
                        <w:jc w:val="both"/>
                        <w:rPr>
                          <w:rFonts w:ascii="Times New Roman" w:hAnsi="Times New Roman" w:cs="Times New Roman"/>
                          <w:b/>
                          <w:sz w:val="10"/>
                          <w:szCs w:val="8"/>
                        </w:rPr>
                      </w:pPr>
                      <w:r w:rsidRPr="002840A7">
                        <w:rPr>
                          <w:rFonts w:ascii="Times New Roman" w:hAnsi="Times New Roman" w:cs="Times New Roman"/>
                          <w:b/>
                          <w:sz w:val="10"/>
                          <w:szCs w:val="8"/>
                        </w:rPr>
                        <w:t>Explanation of the chosen healthcare service</w:t>
                      </w:r>
                    </w:p>
                    <w:p w14:paraId="081AA385" w14:textId="0CCF4E45" w:rsidR="008F3BC8" w:rsidRPr="002F2FA9" w:rsidRDefault="002840A7" w:rsidP="002840A7">
                      <w:pPr>
                        <w:spacing w:line="240" w:lineRule="auto"/>
                        <w:jc w:val="both"/>
                        <w:rPr>
                          <w:rFonts w:ascii="Times New Roman" w:hAnsi="Times New Roman" w:cs="Times New Roman"/>
                          <w:sz w:val="16"/>
                          <w:szCs w:val="16"/>
                          <w:lang w:val="en-IN"/>
                        </w:rPr>
                      </w:pPr>
                      <w:r w:rsidRPr="002F2FA9">
                        <w:rPr>
                          <w:rFonts w:ascii="Times New Roman" w:hAnsi="Times New Roman" w:cs="Times New Roman"/>
                          <w:sz w:val="16"/>
                          <w:szCs w:val="16"/>
                        </w:rPr>
                        <w:t xml:space="preserve">Community disability services provide an assortment of health care and social support to individuals with disabilities living within their home communities. These services are meant to accomplish independence and enhance the quality of life and the creation of equal opportunities to individuals with disabilities. The services are feasible in such way as rehabilitation support, personal care assistance, occupational therapy, social assistance and accessibility of healthcare professionals. One of the most significant purposes of the community disability services is to empower people to live their lives, as opposed to living their lives on the grounds of institutional care </w:t>
                      </w:r>
                      <w:r w:rsidRPr="002F2FA9">
                        <w:rPr>
                          <w:rFonts w:ascii="Times New Roman" w:hAnsi="Times New Roman" w:cs="Times New Roman"/>
                          <w:sz w:val="16"/>
                          <w:szCs w:val="16"/>
                          <w:lang w:val="en-IN"/>
                        </w:rPr>
                        <w:t>(Cawthon et al., 2026)</w:t>
                      </w:r>
                      <w:r w:rsidRPr="002F2FA9">
                        <w:rPr>
                          <w:rFonts w:ascii="Times New Roman" w:hAnsi="Times New Roman" w:cs="Times New Roman"/>
                          <w:sz w:val="16"/>
                          <w:szCs w:val="16"/>
                        </w:rPr>
                        <w:t>. The services help the individuals to learn the day-living skills, receive health and participate in community activities. To exemplify, the support workers may assist individuals regarding mobility, communication, education, and employment opportunities. Provision of community disability services in a normal process usually entails a collaboration between the medical staff, the social workers, the local governments, and the local non-governmental organisations. The policies guiding these services in most countries are guided by the policies that support inclusiveness, equality and protection of the rights of the disabled persons. The services assist in reducing social isolation and inclusion by providing care within the community</w:t>
                      </w:r>
                    </w:p>
                  </w:txbxContent>
                </v:textbox>
                <w10:wrap type="tight" anchorx="page"/>
              </v:shape>
            </w:pict>
          </mc:Fallback>
        </mc:AlternateContent>
      </w:r>
    </w:p>
    <w:p w14:paraId="74362A52" w14:textId="77777777" w:rsidR="003A000F" w:rsidRDefault="00833470">
      <w:pPr>
        <w:rPr>
          <w:rFonts w:ascii="Arial" w:hAnsi="Arial" w:cs="Arial"/>
          <w:b/>
          <w:bCs/>
          <w:sz w:val="28"/>
          <w:szCs w:val="28"/>
        </w:rPr>
      </w:pPr>
      <w:r w:rsidRPr="001F6802">
        <w:rPr>
          <w:rFonts w:ascii="Arial" w:hAnsi="Arial" w:cs="Arial"/>
          <w:b/>
          <w:bCs/>
          <w:sz w:val="28"/>
          <w:szCs w:val="28"/>
        </w:rPr>
        <w:lastRenderedPageBreak/>
        <w:t>Element 2</w:t>
      </w:r>
    </w:p>
    <w:p w14:paraId="687CE3E3" w14:textId="446BF045" w:rsidR="008F3BC8" w:rsidRDefault="008F3BC8">
      <w:pPr>
        <w:rPr>
          <w:rFonts w:ascii="Arial" w:hAnsi="Arial" w:cs="Arial"/>
          <w:b/>
          <w:bCs/>
          <w:sz w:val="28"/>
          <w:szCs w:val="28"/>
        </w:rPr>
      </w:pPr>
      <w:r>
        <w:rPr>
          <w:rFonts w:ascii="Arial" w:hAnsi="Arial" w:cs="Arial"/>
          <w:b/>
          <w:bCs/>
          <w:sz w:val="28"/>
          <w:szCs w:val="28"/>
        </w:rPr>
        <w:t>Title</w:t>
      </w:r>
      <w:r w:rsidR="00F746F7">
        <w:rPr>
          <w:rFonts w:ascii="Arial" w:hAnsi="Arial" w:cs="Arial"/>
          <w:b/>
          <w:bCs/>
          <w:sz w:val="28"/>
          <w:szCs w:val="28"/>
        </w:rPr>
        <w:t>: Dentistry services</w:t>
      </w:r>
    </w:p>
    <w:p w14:paraId="106D513E" w14:textId="0F8D462E" w:rsidR="008F3BC8" w:rsidRDefault="00F746F7">
      <w:pPr>
        <w:rPr>
          <w:rFonts w:ascii="Arial" w:hAnsi="Arial" w:cs="Arial"/>
          <w:b/>
          <w:bCs/>
          <w:sz w:val="28"/>
          <w:szCs w:val="28"/>
        </w:rPr>
      </w:pPr>
      <w:r>
        <w:rPr>
          <w:rFonts w:ascii="Arial" w:hAnsi="Arial" w:cs="Arial"/>
          <w:b/>
          <w:bCs/>
          <w:sz w:val="28"/>
          <w:szCs w:val="28"/>
        </w:rPr>
        <w:t xml:space="preserve">Introduction </w:t>
      </w:r>
    </w:p>
    <w:p w14:paraId="002A78F3" w14:textId="7167889B" w:rsidR="00F746F7" w:rsidRPr="004522E3" w:rsidRDefault="002840A7" w:rsidP="002840A7">
      <w:pPr>
        <w:jc w:val="both"/>
        <w:rPr>
          <w:rFonts w:ascii="Arial" w:hAnsi="Arial" w:cs="Arial"/>
          <w:bCs/>
          <w:sz w:val="24"/>
          <w:szCs w:val="24"/>
          <w:lang w:val="en-IN"/>
        </w:rPr>
      </w:pPr>
      <w:r w:rsidRPr="002840A7">
        <w:rPr>
          <w:rFonts w:ascii="Arial" w:hAnsi="Arial" w:cs="Arial"/>
          <w:bCs/>
          <w:sz w:val="24"/>
          <w:szCs w:val="24"/>
        </w:rPr>
        <w:t>Health services such as dentistry services are required in the provision of oral health care and prevention, diagnosis, and treatment. The services are also extremely significant to the general health and wellbeing as they offer sufficient dental services</w:t>
      </w:r>
      <w:r w:rsidR="004522E3">
        <w:rPr>
          <w:rFonts w:ascii="Arial" w:hAnsi="Arial" w:cs="Arial"/>
          <w:bCs/>
          <w:sz w:val="24"/>
          <w:szCs w:val="24"/>
        </w:rPr>
        <w:t xml:space="preserve"> </w:t>
      </w:r>
      <w:r w:rsidR="004522E3" w:rsidRPr="004522E3">
        <w:rPr>
          <w:rFonts w:ascii="Arial" w:hAnsi="Arial" w:cs="Arial"/>
          <w:bCs/>
          <w:sz w:val="24"/>
          <w:szCs w:val="24"/>
          <w:lang w:val="en-IN"/>
        </w:rPr>
        <w:t xml:space="preserve">(Perera and </w:t>
      </w:r>
      <w:r w:rsidR="00EA7204" w:rsidRPr="004522E3">
        <w:rPr>
          <w:rFonts w:ascii="Arial" w:hAnsi="Arial" w:cs="Arial"/>
          <w:bCs/>
          <w:sz w:val="24"/>
          <w:szCs w:val="24"/>
          <w:lang w:val="en-IN"/>
        </w:rPr>
        <w:t>Tillakaratne</w:t>
      </w:r>
      <w:r w:rsidR="004522E3" w:rsidRPr="004522E3">
        <w:rPr>
          <w:rFonts w:ascii="Arial" w:hAnsi="Arial" w:cs="Arial"/>
          <w:bCs/>
          <w:sz w:val="24"/>
          <w:szCs w:val="24"/>
          <w:lang w:val="en-IN"/>
        </w:rPr>
        <w:t>, 2025)</w:t>
      </w:r>
      <w:r w:rsidRPr="002840A7">
        <w:rPr>
          <w:rFonts w:ascii="Arial" w:hAnsi="Arial" w:cs="Arial"/>
          <w:bCs/>
          <w:sz w:val="24"/>
          <w:szCs w:val="24"/>
        </w:rPr>
        <w:t>. The modern dental care services are intended to improve the oral health condition and promote oral health education and prevention.</w:t>
      </w:r>
    </w:p>
    <w:p w14:paraId="031CBE60" w14:textId="6C2DCC18" w:rsidR="00F746F7" w:rsidRDefault="00F746F7">
      <w:pPr>
        <w:rPr>
          <w:rFonts w:ascii="Arial" w:hAnsi="Arial" w:cs="Arial"/>
          <w:b/>
          <w:bCs/>
          <w:sz w:val="28"/>
          <w:szCs w:val="28"/>
        </w:rPr>
      </w:pPr>
      <w:r>
        <w:rPr>
          <w:rFonts w:ascii="Arial" w:hAnsi="Arial" w:cs="Arial"/>
          <w:b/>
          <w:bCs/>
          <w:sz w:val="28"/>
          <w:szCs w:val="28"/>
        </w:rPr>
        <w:t xml:space="preserve">Main body </w:t>
      </w:r>
    </w:p>
    <w:p w14:paraId="6E6CC5D0" w14:textId="3EDC1178" w:rsidR="00F746F7" w:rsidRDefault="00F746F7">
      <w:pPr>
        <w:rPr>
          <w:rFonts w:ascii="Arial" w:hAnsi="Arial" w:cs="Arial"/>
          <w:b/>
          <w:bCs/>
          <w:sz w:val="28"/>
          <w:szCs w:val="28"/>
        </w:rPr>
      </w:pPr>
      <w:r>
        <w:rPr>
          <w:rFonts w:ascii="Arial" w:hAnsi="Arial" w:cs="Arial"/>
          <w:b/>
          <w:bCs/>
          <w:sz w:val="28"/>
          <w:szCs w:val="28"/>
        </w:rPr>
        <w:t>Origins of the one service and explore the historical context</w:t>
      </w:r>
    </w:p>
    <w:p w14:paraId="589DE765" w14:textId="33F75D8E" w:rsidR="00F746F7" w:rsidRPr="004522E3" w:rsidRDefault="002840A7" w:rsidP="002840A7">
      <w:pPr>
        <w:jc w:val="both"/>
        <w:rPr>
          <w:rFonts w:ascii="Arial" w:hAnsi="Arial" w:cs="Arial"/>
          <w:bCs/>
          <w:sz w:val="24"/>
          <w:szCs w:val="24"/>
          <w:lang w:val="en-IN"/>
        </w:rPr>
      </w:pPr>
      <w:r w:rsidRPr="002840A7">
        <w:rPr>
          <w:rFonts w:ascii="Arial" w:hAnsi="Arial" w:cs="Arial"/>
          <w:bCs/>
          <w:sz w:val="24"/>
          <w:szCs w:val="24"/>
        </w:rPr>
        <w:t xml:space="preserve">Tracing of dentistry services can be traced back to thousands of years ago. Basic forms of dental care were also practised in ancient civilisation such as Egypt, Greek and Rome where simple forms of dental care were used in the treatment of tooth pain and tooth infection. However, dentistry began to take off as a recognised profession in the healthcare field, during the eighteenth and nineteenth centuries. The contemporary </w:t>
      </w:r>
      <w:r w:rsidR="002F2FA9" w:rsidRPr="002840A7">
        <w:rPr>
          <w:rFonts w:ascii="Arial" w:hAnsi="Arial" w:cs="Arial"/>
          <w:bCs/>
          <w:sz w:val="24"/>
          <w:szCs w:val="24"/>
        </w:rPr>
        <w:t>deontology</w:t>
      </w:r>
      <w:r w:rsidRPr="002840A7">
        <w:rPr>
          <w:rFonts w:ascii="Arial" w:hAnsi="Arial" w:cs="Arial"/>
          <w:bCs/>
          <w:sz w:val="24"/>
          <w:szCs w:val="24"/>
        </w:rPr>
        <w:t xml:space="preserve"> is a product of the advancement of the medical science and the increased awareness of the diseases of the mouth. Professional organisations and dental schools were used to normalise dental practices and dental professional training became more of a standard</w:t>
      </w:r>
      <w:r w:rsidR="004522E3">
        <w:rPr>
          <w:rFonts w:ascii="Arial" w:hAnsi="Arial" w:cs="Arial"/>
          <w:bCs/>
          <w:sz w:val="24"/>
          <w:szCs w:val="24"/>
        </w:rPr>
        <w:t xml:space="preserve"> </w:t>
      </w:r>
      <w:r w:rsidR="004522E3" w:rsidRPr="004522E3">
        <w:rPr>
          <w:rFonts w:ascii="Arial" w:hAnsi="Arial" w:cs="Arial"/>
          <w:bCs/>
          <w:sz w:val="24"/>
          <w:szCs w:val="24"/>
          <w:lang w:val="en-IN"/>
        </w:rPr>
        <w:t>(</w:t>
      </w:r>
      <w:proofErr w:type="spellStart"/>
      <w:r w:rsidR="004522E3" w:rsidRPr="004522E3">
        <w:rPr>
          <w:rFonts w:ascii="Arial" w:hAnsi="Arial" w:cs="Arial"/>
          <w:bCs/>
          <w:sz w:val="24"/>
          <w:szCs w:val="24"/>
          <w:lang w:val="en-IN"/>
        </w:rPr>
        <w:t>Nzabonimana</w:t>
      </w:r>
      <w:proofErr w:type="spellEnd"/>
      <w:r w:rsidR="004522E3" w:rsidRPr="004522E3">
        <w:rPr>
          <w:rFonts w:ascii="Arial" w:hAnsi="Arial" w:cs="Arial"/>
          <w:bCs/>
          <w:sz w:val="24"/>
          <w:szCs w:val="24"/>
          <w:lang w:val="en-IN"/>
        </w:rPr>
        <w:t>, Malele-</w:t>
      </w:r>
      <w:proofErr w:type="spellStart"/>
      <w:r w:rsidR="004522E3" w:rsidRPr="004522E3">
        <w:rPr>
          <w:rFonts w:ascii="Arial" w:hAnsi="Arial" w:cs="Arial"/>
          <w:bCs/>
          <w:sz w:val="24"/>
          <w:szCs w:val="24"/>
          <w:lang w:val="en-IN"/>
        </w:rPr>
        <w:t>Kolisa</w:t>
      </w:r>
      <w:proofErr w:type="spellEnd"/>
      <w:r w:rsidR="004522E3" w:rsidRPr="004522E3">
        <w:rPr>
          <w:rFonts w:ascii="Arial" w:hAnsi="Arial" w:cs="Arial"/>
          <w:bCs/>
          <w:sz w:val="24"/>
          <w:szCs w:val="24"/>
          <w:lang w:val="en-IN"/>
        </w:rPr>
        <w:t xml:space="preserve"> and Phumzile Hlongwa, 2024)</w:t>
      </w:r>
      <w:r w:rsidRPr="002840A7">
        <w:rPr>
          <w:rFonts w:ascii="Arial" w:hAnsi="Arial" w:cs="Arial"/>
          <w:bCs/>
          <w:sz w:val="24"/>
          <w:szCs w:val="24"/>
        </w:rPr>
        <w:t>. In 1948, the United Kingdom saw the introduction of the National Health Service (NHS) that made the services of dentists more accessible. This reformation saw many people in the population access cheap dental services. Over the years, the technology advancement, the more effective way of treatment, and the increase of knowledge regarding the significance of oral hygiene has made up the dentistry services even further.</w:t>
      </w:r>
    </w:p>
    <w:p w14:paraId="3C3E1409" w14:textId="0D5EB5D1" w:rsidR="00F746F7" w:rsidRDefault="00F746F7">
      <w:pPr>
        <w:rPr>
          <w:rFonts w:ascii="Arial" w:hAnsi="Arial" w:cs="Arial"/>
          <w:b/>
          <w:bCs/>
          <w:sz w:val="28"/>
          <w:szCs w:val="28"/>
        </w:rPr>
      </w:pPr>
      <w:r>
        <w:rPr>
          <w:rFonts w:ascii="Arial" w:hAnsi="Arial" w:cs="Arial"/>
          <w:b/>
          <w:bCs/>
          <w:sz w:val="28"/>
          <w:szCs w:val="28"/>
        </w:rPr>
        <w:t xml:space="preserve">Critical evaluation of now the service functions </w:t>
      </w:r>
    </w:p>
    <w:p w14:paraId="0571C296" w14:textId="383FA0A6" w:rsidR="002840A7" w:rsidRPr="004522E3" w:rsidRDefault="002840A7" w:rsidP="002840A7">
      <w:pPr>
        <w:jc w:val="both"/>
        <w:rPr>
          <w:rFonts w:ascii="Arial" w:hAnsi="Arial" w:cs="Arial"/>
          <w:bCs/>
          <w:sz w:val="24"/>
          <w:szCs w:val="24"/>
          <w:lang w:val="en-IN"/>
        </w:rPr>
      </w:pPr>
      <w:r w:rsidRPr="002840A7">
        <w:rPr>
          <w:rFonts w:ascii="Arial" w:hAnsi="Arial" w:cs="Arial"/>
          <w:bCs/>
          <w:sz w:val="24"/>
          <w:szCs w:val="24"/>
        </w:rPr>
        <w:t>The existing dentistry services are rendered in a public and a private healthcare system. Dentists, dental therapists, and dental hygienists work collaboratively to provide preventive services, diagnosis, and treatment to the oral health. Some of the services provided include dental cleaning, routine check-ups, fillings, orthodontic and oral surgery. Modern dentistry is more than interested in dentist patient prevention and education. Dentists promote oral health by telling the patients to brush their teeth, use flosses in brushing their teeth and have their teeth checked during the routine check up</w:t>
      </w:r>
      <w:r w:rsidR="004522E3">
        <w:rPr>
          <w:rFonts w:ascii="Arial" w:hAnsi="Arial" w:cs="Arial"/>
          <w:bCs/>
          <w:sz w:val="24"/>
          <w:szCs w:val="24"/>
        </w:rPr>
        <w:t xml:space="preserve"> </w:t>
      </w:r>
      <w:r w:rsidR="004522E3" w:rsidRPr="004522E3">
        <w:rPr>
          <w:rFonts w:ascii="Arial" w:hAnsi="Arial" w:cs="Arial"/>
          <w:bCs/>
          <w:sz w:val="24"/>
          <w:szCs w:val="24"/>
          <w:lang w:val="en-IN"/>
        </w:rPr>
        <w:t>(Bots-</w:t>
      </w:r>
      <w:proofErr w:type="spellStart"/>
      <w:r w:rsidR="004522E3" w:rsidRPr="004522E3">
        <w:rPr>
          <w:rFonts w:ascii="Arial" w:hAnsi="Arial" w:cs="Arial"/>
          <w:bCs/>
          <w:sz w:val="24"/>
          <w:szCs w:val="24"/>
          <w:lang w:val="en-IN"/>
        </w:rPr>
        <w:t>VantSpijker</w:t>
      </w:r>
      <w:proofErr w:type="spellEnd"/>
      <w:r w:rsidR="004522E3" w:rsidRPr="004522E3">
        <w:rPr>
          <w:rFonts w:ascii="Arial" w:hAnsi="Arial" w:cs="Arial"/>
          <w:bCs/>
          <w:sz w:val="24"/>
          <w:szCs w:val="24"/>
          <w:lang w:val="en-IN"/>
        </w:rPr>
        <w:t xml:space="preserve"> et al., 2021)</w:t>
      </w:r>
      <w:r w:rsidRPr="002840A7">
        <w:rPr>
          <w:rFonts w:ascii="Arial" w:hAnsi="Arial" w:cs="Arial"/>
          <w:bCs/>
          <w:sz w:val="24"/>
          <w:szCs w:val="24"/>
        </w:rPr>
        <w:t>. Prevention measures imply the discouragement of the dental condition such as cavities, periodontal illness and mouth infections. However, the problems in the dentistry services remain. Elsewhere, there is still a low number of affordable dental services, particularly to the poor. Another factor that may affect service is long queues and the absence of dental professionals. In these challenges, the efficiency and accessibility of dental services have been improving with the advancement in technology, through digital dentistry, and superior methods of treating dental treatment.</w:t>
      </w:r>
    </w:p>
    <w:p w14:paraId="2F7AD1A2" w14:textId="251E35D0" w:rsidR="00F746F7" w:rsidRDefault="00F746F7">
      <w:pPr>
        <w:rPr>
          <w:rFonts w:ascii="Arial" w:hAnsi="Arial" w:cs="Arial"/>
          <w:b/>
          <w:bCs/>
          <w:sz w:val="28"/>
          <w:szCs w:val="28"/>
        </w:rPr>
      </w:pPr>
      <w:r>
        <w:rPr>
          <w:rFonts w:ascii="Arial" w:hAnsi="Arial" w:cs="Arial"/>
          <w:b/>
          <w:bCs/>
          <w:sz w:val="28"/>
          <w:szCs w:val="28"/>
        </w:rPr>
        <w:lastRenderedPageBreak/>
        <w:t xml:space="preserve">Significance in enhancing the quality of life of service users </w:t>
      </w:r>
    </w:p>
    <w:p w14:paraId="13034521" w14:textId="103F993E" w:rsidR="002840A7" w:rsidRPr="004522E3" w:rsidRDefault="002840A7" w:rsidP="002840A7">
      <w:pPr>
        <w:jc w:val="both"/>
        <w:rPr>
          <w:rFonts w:ascii="Arial" w:hAnsi="Arial" w:cs="Arial"/>
          <w:bCs/>
          <w:sz w:val="24"/>
          <w:szCs w:val="24"/>
          <w:lang w:val="en-IN"/>
        </w:rPr>
      </w:pPr>
      <w:r w:rsidRPr="002840A7">
        <w:rPr>
          <w:rFonts w:ascii="Arial" w:hAnsi="Arial" w:cs="Arial"/>
          <w:bCs/>
          <w:sz w:val="24"/>
          <w:szCs w:val="24"/>
        </w:rPr>
        <w:t xml:space="preserve">Dentistry services play important roles in improving the quality of life of the people </w:t>
      </w:r>
      <w:proofErr w:type="gramStart"/>
      <w:r w:rsidRPr="002840A7">
        <w:rPr>
          <w:rFonts w:ascii="Arial" w:hAnsi="Arial" w:cs="Arial"/>
          <w:bCs/>
          <w:sz w:val="24"/>
          <w:szCs w:val="24"/>
        </w:rPr>
        <w:t>in regard to</w:t>
      </w:r>
      <w:proofErr w:type="gramEnd"/>
      <w:r w:rsidRPr="002840A7">
        <w:rPr>
          <w:rFonts w:ascii="Arial" w:hAnsi="Arial" w:cs="Arial"/>
          <w:bCs/>
          <w:sz w:val="24"/>
          <w:szCs w:val="24"/>
        </w:rPr>
        <w:t xml:space="preserve"> oral health and oral disease prevention. Oral health is directly associated with the general health because the untreated dental problems can be the cause of other body-related problems, infections, and pain. Dental treatment will make sure that the individuals have healthy teeth and gum that facilitate proper speaking and diet. Dental services are also known to be the ones serving cosmetic problems and this gives many patients confidence and self-esteem. Some of the treatments that help in the restoration of the functionality and appearance include orthodontics, restorative dentistry and dental implants</w:t>
      </w:r>
      <w:r w:rsidR="004522E3">
        <w:rPr>
          <w:rFonts w:ascii="Arial" w:hAnsi="Arial" w:cs="Arial"/>
          <w:bCs/>
          <w:sz w:val="24"/>
          <w:szCs w:val="24"/>
        </w:rPr>
        <w:t xml:space="preserve"> </w:t>
      </w:r>
      <w:r w:rsidR="004522E3" w:rsidRPr="004522E3">
        <w:rPr>
          <w:rFonts w:ascii="Arial" w:hAnsi="Arial" w:cs="Arial"/>
          <w:bCs/>
          <w:sz w:val="24"/>
          <w:szCs w:val="24"/>
          <w:lang w:val="en-IN"/>
        </w:rPr>
        <w:t>(Lamis Abuhaloob et al., 2024)</w:t>
      </w:r>
      <w:r w:rsidRPr="002840A7">
        <w:rPr>
          <w:rFonts w:ascii="Arial" w:hAnsi="Arial" w:cs="Arial"/>
          <w:bCs/>
          <w:sz w:val="24"/>
          <w:szCs w:val="24"/>
        </w:rPr>
        <w:t>. Another input made by dentistry services is health education. The dentists and dental hygienists educate the patients on how to practice their oral health, eat and live to keep their teeth healthy. Preventive school and community programs also promote large-scale oral care awareness at the early intervention stage. Dentistry services, too, contribute to early detection of serious diseases such as oral cancer, infection and general diseases. The early detection system improves the success of treatment and prevents complications</w:t>
      </w:r>
      <w:r w:rsidR="004522E3">
        <w:rPr>
          <w:rFonts w:ascii="Arial" w:hAnsi="Arial" w:cs="Arial"/>
          <w:bCs/>
          <w:sz w:val="24"/>
          <w:szCs w:val="24"/>
        </w:rPr>
        <w:t xml:space="preserve"> </w:t>
      </w:r>
      <w:r w:rsidR="004522E3" w:rsidRPr="004522E3">
        <w:rPr>
          <w:rFonts w:ascii="Arial" w:hAnsi="Arial" w:cs="Arial"/>
          <w:bCs/>
          <w:sz w:val="24"/>
          <w:szCs w:val="24"/>
          <w:lang w:val="en-IN"/>
        </w:rPr>
        <w:t>(Marchini and Ettinger, 2023)</w:t>
      </w:r>
      <w:r w:rsidRPr="002840A7">
        <w:rPr>
          <w:rFonts w:ascii="Arial" w:hAnsi="Arial" w:cs="Arial"/>
          <w:bCs/>
          <w:sz w:val="24"/>
          <w:szCs w:val="24"/>
        </w:rPr>
        <w:t>. Generally, the dental practice is significant to the health of the people due to its ability to prevent diseases in addition to enhancing the health of the people of different ages.</w:t>
      </w:r>
    </w:p>
    <w:p w14:paraId="665093DB" w14:textId="2C81DE50" w:rsidR="00F746F7" w:rsidRDefault="00F746F7">
      <w:pPr>
        <w:rPr>
          <w:rFonts w:ascii="Arial" w:hAnsi="Arial" w:cs="Arial"/>
          <w:b/>
          <w:bCs/>
          <w:sz w:val="28"/>
          <w:szCs w:val="28"/>
        </w:rPr>
      </w:pPr>
      <w:r>
        <w:rPr>
          <w:rFonts w:ascii="Arial" w:hAnsi="Arial" w:cs="Arial"/>
          <w:b/>
          <w:bCs/>
          <w:sz w:val="28"/>
          <w:szCs w:val="28"/>
        </w:rPr>
        <w:t xml:space="preserve">Conclusion </w:t>
      </w:r>
    </w:p>
    <w:p w14:paraId="012AC3B6" w14:textId="07DD8E29" w:rsidR="00F746F7" w:rsidRPr="002840A7" w:rsidRDefault="002840A7" w:rsidP="002840A7">
      <w:pPr>
        <w:jc w:val="both"/>
        <w:rPr>
          <w:rFonts w:ascii="Arial" w:hAnsi="Arial" w:cs="Arial"/>
          <w:bCs/>
          <w:sz w:val="24"/>
          <w:szCs w:val="24"/>
        </w:rPr>
      </w:pPr>
      <w:r w:rsidRPr="002840A7">
        <w:rPr>
          <w:rFonts w:ascii="Arial" w:hAnsi="Arial" w:cs="Arial"/>
          <w:bCs/>
          <w:sz w:val="24"/>
          <w:szCs w:val="24"/>
        </w:rPr>
        <w:t xml:space="preserve">Dentistry services is a very important aspect of the modern healthcare facilities. These services have provided a significant contribution to the enhancement of oral health and wellbeing since its introduction in history until the current roles in prevention and remedial care. Access and affordability of dental services should be ensured at all costs </w:t>
      </w:r>
      <w:proofErr w:type="gramStart"/>
      <w:r w:rsidRPr="002840A7">
        <w:rPr>
          <w:rFonts w:ascii="Arial" w:hAnsi="Arial" w:cs="Arial"/>
          <w:bCs/>
          <w:sz w:val="24"/>
          <w:szCs w:val="24"/>
        </w:rPr>
        <w:t>in order to</w:t>
      </w:r>
      <w:proofErr w:type="gramEnd"/>
      <w:r w:rsidRPr="002840A7">
        <w:rPr>
          <w:rFonts w:ascii="Arial" w:hAnsi="Arial" w:cs="Arial"/>
          <w:bCs/>
          <w:sz w:val="24"/>
          <w:szCs w:val="24"/>
        </w:rPr>
        <w:t xml:space="preserve"> improve the living standards of the communities.</w:t>
      </w:r>
    </w:p>
    <w:p w14:paraId="54619D30" w14:textId="77777777" w:rsidR="002840A7" w:rsidRPr="00A6165E" w:rsidRDefault="002840A7">
      <w:pPr>
        <w:rPr>
          <w:rFonts w:ascii="Arial" w:hAnsi="Arial" w:cs="Arial"/>
          <w:b/>
          <w:bCs/>
          <w:sz w:val="28"/>
          <w:szCs w:val="28"/>
        </w:rPr>
        <w:sectPr w:rsidR="002840A7" w:rsidRPr="00A6165E" w:rsidSect="003A000F">
          <w:pgSz w:w="11906" w:h="16838"/>
          <w:pgMar w:top="1440" w:right="1440" w:bottom="1440" w:left="1440" w:header="708" w:footer="708" w:gutter="0"/>
          <w:cols w:space="708"/>
          <w:docGrid w:linePitch="360"/>
        </w:sectPr>
      </w:pPr>
    </w:p>
    <w:p w14:paraId="23578436" w14:textId="77777777" w:rsidR="00833470" w:rsidRPr="009A6E05"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37A2C491" w14:textId="77777777" w:rsidR="004522E3" w:rsidRPr="004522E3" w:rsidRDefault="004522E3" w:rsidP="004522E3">
      <w:pPr>
        <w:spacing w:line="240" w:lineRule="auto"/>
        <w:ind w:left="567" w:hanging="567"/>
        <w:jc w:val="both"/>
        <w:rPr>
          <w:rFonts w:ascii="Arial" w:hAnsi="Arial" w:cs="Arial"/>
          <w:lang w:val="en-IN"/>
        </w:rPr>
      </w:pPr>
      <w:r w:rsidRPr="004522E3">
        <w:rPr>
          <w:rFonts w:ascii="Arial" w:hAnsi="Arial" w:cs="Arial"/>
          <w:lang w:val="en-IN"/>
        </w:rPr>
        <w:t>Bots-</w:t>
      </w:r>
      <w:proofErr w:type="spellStart"/>
      <w:r w:rsidRPr="004522E3">
        <w:rPr>
          <w:rFonts w:ascii="Arial" w:hAnsi="Arial" w:cs="Arial"/>
          <w:lang w:val="en-IN"/>
        </w:rPr>
        <w:t>VantSpijker</w:t>
      </w:r>
      <w:proofErr w:type="spellEnd"/>
      <w:r w:rsidRPr="004522E3">
        <w:rPr>
          <w:rFonts w:ascii="Arial" w:hAnsi="Arial" w:cs="Arial"/>
          <w:lang w:val="en-IN"/>
        </w:rPr>
        <w:t>, P.C., van der Maarel-</w:t>
      </w:r>
      <w:proofErr w:type="spellStart"/>
      <w:r w:rsidRPr="004522E3">
        <w:rPr>
          <w:rFonts w:ascii="Arial" w:hAnsi="Arial" w:cs="Arial"/>
          <w:lang w:val="en-IN"/>
        </w:rPr>
        <w:t>Wierink</w:t>
      </w:r>
      <w:proofErr w:type="spellEnd"/>
      <w:r w:rsidRPr="004522E3">
        <w:rPr>
          <w:rFonts w:ascii="Arial" w:hAnsi="Arial" w:cs="Arial"/>
          <w:lang w:val="en-IN"/>
        </w:rPr>
        <w:t xml:space="preserve">, C.D., Schols, J.M.G.A. and </w:t>
      </w:r>
      <w:proofErr w:type="spellStart"/>
      <w:r w:rsidRPr="004522E3">
        <w:rPr>
          <w:rFonts w:ascii="Arial" w:hAnsi="Arial" w:cs="Arial"/>
          <w:lang w:val="en-IN"/>
        </w:rPr>
        <w:t>Bruers</w:t>
      </w:r>
      <w:proofErr w:type="spellEnd"/>
      <w:r w:rsidRPr="004522E3">
        <w:rPr>
          <w:rFonts w:ascii="Arial" w:hAnsi="Arial" w:cs="Arial"/>
          <w:lang w:val="en-IN"/>
        </w:rPr>
        <w:t xml:space="preserve">, J.J.M. (2021). Provision of Oral Health Care by Dentists to Community-Dwelling Older Patients. </w:t>
      </w:r>
      <w:r w:rsidRPr="004522E3">
        <w:rPr>
          <w:rFonts w:ascii="Arial" w:hAnsi="Arial" w:cs="Arial"/>
          <w:i/>
          <w:iCs/>
          <w:lang w:val="en-IN"/>
        </w:rPr>
        <w:t>International Dental Journal</w:t>
      </w:r>
      <w:r w:rsidRPr="004522E3">
        <w:rPr>
          <w:rFonts w:ascii="Arial" w:hAnsi="Arial" w:cs="Arial"/>
          <w:lang w:val="en-IN"/>
        </w:rPr>
        <w:t xml:space="preserve">, [online] 72(2), pp.169–178. </w:t>
      </w:r>
      <w:proofErr w:type="spellStart"/>
      <w:proofErr w:type="gramStart"/>
      <w:r w:rsidRPr="004522E3">
        <w:rPr>
          <w:rFonts w:ascii="Arial" w:hAnsi="Arial" w:cs="Arial"/>
          <w:lang w:val="en-IN"/>
        </w:rPr>
        <w:t>doi:https</w:t>
      </w:r>
      <w:proofErr w:type="spellEnd"/>
      <w:r w:rsidRPr="004522E3">
        <w:rPr>
          <w:rFonts w:ascii="Arial" w:hAnsi="Arial" w:cs="Arial"/>
          <w:lang w:val="en-IN"/>
        </w:rPr>
        <w:t>://doi.org/10.1016/j.identj.2021.05.012</w:t>
      </w:r>
      <w:proofErr w:type="gramEnd"/>
      <w:r w:rsidRPr="004522E3">
        <w:rPr>
          <w:rFonts w:ascii="Arial" w:hAnsi="Arial" w:cs="Arial"/>
          <w:lang w:val="en-IN"/>
        </w:rPr>
        <w:t>.</w:t>
      </w:r>
    </w:p>
    <w:p w14:paraId="7A5BB7F4" w14:textId="77777777" w:rsidR="004522E3" w:rsidRPr="004522E3" w:rsidRDefault="004522E3" w:rsidP="004522E3">
      <w:pPr>
        <w:spacing w:line="240" w:lineRule="auto"/>
        <w:ind w:left="567" w:hanging="567"/>
        <w:jc w:val="both"/>
        <w:rPr>
          <w:rFonts w:ascii="Arial" w:hAnsi="Arial" w:cs="Arial"/>
          <w:lang w:val="en-IN"/>
        </w:rPr>
      </w:pPr>
      <w:r w:rsidRPr="004522E3">
        <w:rPr>
          <w:rFonts w:ascii="Arial" w:hAnsi="Arial" w:cs="Arial"/>
          <w:lang w:val="en-IN"/>
        </w:rPr>
        <w:t xml:space="preserve">Lamis Abuhaloob, </w:t>
      </w:r>
      <w:proofErr w:type="spellStart"/>
      <w:r w:rsidRPr="004522E3">
        <w:rPr>
          <w:rFonts w:ascii="Arial" w:hAnsi="Arial" w:cs="Arial"/>
          <w:lang w:val="en-IN"/>
        </w:rPr>
        <w:t>Tabche</w:t>
      </w:r>
      <w:proofErr w:type="spellEnd"/>
      <w:r w:rsidRPr="004522E3">
        <w:rPr>
          <w:rFonts w:ascii="Arial" w:hAnsi="Arial" w:cs="Arial"/>
          <w:lang w:val="en-IN"/>
        </w:rPr>
        <w:t xml:space="preserve">, C., Amati, F. and Salman Rawaf (2024). Provision of oral healthcare services in WHO-EMR countries: a scoping review. </w:t>
      </w:r>
      <w:r w:rsidRPr="004522E3">
        <w:rPr>
          <w:rFonts w:ascii="Arial" w:hAnsi="Arial" w:cs="Arial"/>
          <w:i/>
          <w:iCs/>
          <w:lang w:val="en-IN"/>
        </w:rPr>
        <w:t>BMC oral health</w:t>
      </w:r>
      <w:r w:rsidRPr="004522E3">
        <w:rPr>
          <w:rFonts w:ascii="Arial" w:hAnsi="Arial" w:cs="Arial"/>
          <w:lang w:val="en-IN"/>
        </w:rPr>
        <w:t xml:space="preserve">, 24(1). </w:t>
      </w:r>
      <w:proofErr w:type="spellStart"/>
      <w:proofErr w:type="gramStart"/>
      <w:r w:rsidRPr="004522E3">
        <w:rPr>
          <w:rFonts w:ascii="Arial" w:hAnsi="Arial" w:cs="Arial"/>
          <w:lang w:val="en-IN"/>
        </w:rPr>
        <w:t>doi:https</w:t>
      </w:r>
      <w:proofErr w:type="spellEnd"/>
      <w:r w:rsidRPr="004522E3">
        <w:rPr>
          <w:rFonts w:ascii="Arial" w:hAnsi="Arial" w:cs="Arial"/>
          <w:lang w:val="en-IN"/>
        </w:rPr>
        <w:t>://doi.org/10.1186/s12903-024-04446-9</w:t>
      </w:r>
      <w:proofErr w:type="gramEnd"/>
      <w:r w:rsidRPr="004522E3">
        <w:rPr>
          <w:rFonts w:ascii="Arial" w:hAnsi="Arial" w:cs="Arial"/>
          <w:lang w:val="en-IN"/>
        </w:rPr>
        <w:t>.</w:t>
      </w:r>
    </w:p>
    <w:p w14:paraId="2BAD0C98" w14:textId="77777777" w:rsidR="004522E3" w:rsidRPr="004522E3" w:rsidRDefault="004522E3" w:rsidP="004522E3">
      <w:pPr>
        <w:spacing w:line="240" w:lineRule="auto"/>
        <w:ind w:left="567" w:hanging="567"/>
        <w:jc w:val="both"/>
        <w:rPr>
          <w:rFonts w:ascii="Arial" w:hAnsi="Arial" w:cs="Arial"/>
          <w:lang w:val="en-IN"/>
        </w:rPr>
      </w:pPr>
      <w:r w:rsidRPr="004522E3">
        <w:rPr>
          <w:rFonts w:ascii="Arial" w:hAnsi="Arial" w:cs="Arial"/>
          <w:lang w:val="en-IN"/>
        </w:rPr>
        <w:t xml:space="preserve">Marchini, L. and Ettinger, R.L. (2023). The Prevention, Diagnosis, and Treatment of Rapid Oral Health Deterioration (ROHD) among Older Adults. </w:t>
      </w:r>
      <w:r w:rsidRPr="004522E3">
        <w:rPr>
          <w:rFonts w:ascii="Arial" w:hAnsi="Arial" w:cs="Arial"/>
          <w:i/>
          <w:iCs/>
          <w:lang w:val="en-IN"/>
        </w:rPr>
        <w:t>Journal of Clinical Medicine</w:t>
      </w:r>
      <w:r w:rsidRPr="004522E3">
        <w:rPr>
          <w:rFonts w:ascii="Arial" w:hAnsi="Arial" w:cs="Arial"/>
          <w:lang w:val="en-IN"/>
        </w:rPr>
        <w:t xml:space="preserve">, [online] 12(7), p.2559. </w:t>
      </w:r>
      <w:proofErr w:type="spellStart"/>
      <w:proofErr w:type="gramStart"/>
      <w:r w:rsidRPr="004522E3">
        <w:rPr>
          <w:rFonts w:ascii="Arial" w:hAnsi="Arial" w:cs="Arial"/>
          <w:lang w:val="en-IN"/>
        </w:rPr>
        <w:t>doi:https</w:t>
      </w:r>
      <w:proofErr w:type="spellEnd"/>
      <w:r w:rsidRPr="004522E3">
        <w:rPr>
          <w:rFonts w:ascii="Arial" w:hAnsi="Arial" w:cs="Arial"/>
          <w:lang w:val="en-IN"/>
        </w:rPr>
        <w:t>://doi.org/10.3390/jcm12072559</w:t>
      </w:r>
      <w:proofErr w:type="gramEnd"/>
      <w:r w:rsidRPr="004522E3">
        <w:rPr>
          <w:rFonts w:ascii="Arial" w:hAnsi="Arial" w:cs="Arial"/>
          <w:lang w:val="en-IN"/>
        </w:rPr>
        <w:t>.</w:t>
      </w:r>
    </w:p>
    <w:p w14:paraId="28C8EDED" w14:textId="77777777" w:rsidR="004522E3" w:rsidRPr="004522E3" w:rsidRDefault="004522E3" w:rsidP="004522E3">
      <w:pPr>
        <w:spacing w:line="240" w:lineRule="auto"/>
        <w:ind w:left="567" w:hanging="567"/>
        <w:jc w:val="both"/>
        <w:rPr>
          <w:rFonts w:ascii="Arial" w:hAnsi="Arial" w:cs="Arial"/>
          <w:lang w:val="en-IN"/>
        </w:rPr>
      </w:pPr>
      <w:r w:rsidRPr="004522E3">
        <w:rPr>
          <w:rFonts w:ascii="Arial" w:hAnsi="Arial" w:cs="Arial"/>
          <w:lang w:val="en-IN"/>
        </w:rPr>
        <w:t>Nzabonimana, E., Malele-</w:t>
      </w:r>
      <w:proofErr w:type="spellStart"/>
      <w:r w:rsidRPr="004522E3">
        <w:rPr>
          <w:rFonts w:ascii="Arial" w:hAnsi="Arial" w:cs="Arial"/>
          <w:lang w:val="en-IN"/>
        </w:rPr>
        <w:t>Kolisa</w:t>
      </w:r>
      <w:proofErr w:type="spellEnd"/>
      <w:r w:rsidRPr="004522E3">
        <w:rPr>
          <w:rFonts w:ascii="Arial" w:hAnsi="Arial" w:cs="Arial"/>
          <w:lang w:val="en-IN"/>
        </w:rPr>
        <w:t xml:space="preserve">, Y. and Phumzile Hlongwa (2024). Evaluation of oral health services and challenges faced by oral health practitioners working in Nyarugenge, Rwanda. </w:t>
      </w:r>
      <w:proofErr w:type="spellStart"/>
      <w:r w:rsidRPr="004522E3">
        <w:rPr>
          <w:rFonts w:ascii="Arial" w:hAnsi="Arial" w:cs="Arial"/>
          <w:i/>
          <w:iCs/>
          <w:lang w:val="en-IN"/>
        </w:rPr>
        <w:t>PLoS</w:t>
      </w:r>
      <w:proofErr w:type="spellEnd"/>
      <w:r w:rsidRPr="004522E3">
        <w:rPr>
          <w:rFonts w:ascii="Arial" w:hAnsi="Arial" w:cs="Arial"/>
          <w:i/>
          <w:iCs/>
          <w:lang w:val="en-IN"/>
        </w:rPr>
        <w:t xml:space="preserve"> ONE</w:t>
      </w:r>
      <w:r w:rsidRPr="004522E3">
        <w:rPr>
          <w:rFonts w:ascii="Arial" w:hAnsi="Arial" w:cs="Arial"/>
          <w:lang w:val="en-IN"/>
        </w:rPr>
        <w:t xml:space="preserve">, 19(8), </w:t>
      </w:r>
      <w:proofErr w:type="gramStart"/>
      <w:r w:rsidRPr="004522E3">
        <w:rPr>
          <w:rFonts w:ascii="Arial" w:hAnsi="Arial" w:cs="Arial"/>
          <w:lang w:val="en-IN"/>
        </w:rPr>
        <w:t>pp.e</w:t>
      </w:r>
      <w:proofErr w:type="gramEnd"/>
      <w:r w:rsidRPr="004522E3">
        <w:rPr>
          <w:rFonts w:ascii="Arial" w:hAnsi="Arial" w:cs="Arial"/>
          <w:lang w:val="en-IN"/>
        </w:rPr>
        <w:t xml:space="preserve">0309127–e0309127. </w:t>
      </w:r>
      <w:proofErr w:type="spellStart"/>
      <w:proofErr w:type="gramStart"/>
      <w:r w:rsidRPr="004522E3">
        <w:rPr>
          <w:rFonts w:ascii="Arial" w:hAnsi="Arial" w:cs="Arial"/>
          <w:lang w:val="en-IN"/>
        </w:rPr>
        <w:t>doi:https</w:t>
      </w:r>
      <w:proofErr w:type="spellEnd"/>
      <w:r w:rsidRPr="004522E3">
        <w:rPr>
          <w:rFonts w:ascii="Arial" w:hAnsi="Arial" w:cs="Arial"/>
          <w:lang w:val="en-IN"/>
        </w:rPr>
        <w:t>://doi.org/10.1371/journal.pone.0309127</w:t>
      </w:r>
      <w:proofErr w:type="gramEnd"/>
      <w:r w:rsidRPr="004522E3">
        <w:rPr>
          <w:rFonts w:ascii="Arial" w:hAnsi="Arial" w:cs="Arial"/>
          <w:lang w:val="en-IN"/>
        </w:rPr>
        <w:t>.</w:t>
      </w:r>
    </w:p>
    <w:p w14:paraId="3F5C543F" w14:textId="77777777" w:rsidR="004522E3" w:rsidRPr="004522E3" w:rsidRDefault="004522E3" w:rsidP="004522E3">
      <w:pPr>
        <w:spacing w:line="240" w:lineRule="auto"/>
        <w:ind w:left="567" w:hanging="567"/>
        <w:jc w:val="both"/>
        <w:rPr>
          <w:rFonts w:ascii="Arial" w:hAnsi="Arial" w:cs="Arial"/>
          <w:lang w:val="en-IN"/>
        </w:rPr>
      </w:pPr>
      <w:r w:rsidRPr="004522E3">
        <w:rPr>
          <w:rFonts w:ascii="Arial" w:hAnsi="Arial" w:cs="Arial"/>
          <w:lang w:val="en-IN"/>
        </w:rPr>
        <w:t xml:space="preserve">Perera, I.R. and </w:t>
      </w:r>
      <w:proofErr w:type="spellStart"/>
      <w:r w:rsidRPr="004522E3">
        <w:rPr>
          <w:rFonts w:ascii="Arial" w:hAnsi="Arial" w:cs="Arial"/>
          <w:lang w:val="en-IN"/>
        </w:rPr>
        <w:t>Tilakaratne</w:t>
      </w:r>
      <w:proofErr w:type="spellEnd"/>
      <w:r w:rsidRPr="004522E3">
        <w:rPr>
          <w:rFonts w:ascii="Arial" w:hAnsi="Arial" w:cs="Arial"/>
          <w:lang w:val="en-IN"/>
        </w:rPr>
        <w:t xml:space="preserve">, A. (2025). Role of Dentist in Promoting Oral Health and Preventing Oral Diseases. </w:t>
      </w:r>
      <w:r w:rsidRPr="004522E3">
        <w:rPr>
          <w:rFonts w:ascii="Arial" w:hAnsi="Arial" w:cs="Arial"/>
          <w:i/>
          <w:iCs/>
          <w:lang w:val="en-IN"/>
        </w:rPr>
        <w:t>Handbook of Dental Education Technology</w:t>
      </w:r>
      <w:r w:rsidRPr="004522E3">
        <w:rPr>
          <w:rFonts w:ascii="Arial" w:hAnsi="Arial" w:cs="Arial"/>
          <w:lang w:val="en-IN"/>
        </w:rPr>
        <w:t xml:space="preserve">, pp.1–35. </w:t>
      </w:r>
      <w:proofErr w:type="spellStart"/>
      <w:proofErr w:type="gramStart"/>
      <w:r w:rsidRPr="004522E3">
        <w:rPr>
          <w:rFonts w:ascii="Arial" w:hAnsi="Arial" w:cs="Arial"/>
          <w:lang w:val="en-IN"/>
        </w:rPr>
        <w:t>doi:https</w:t>
      </w:r>
      <w:proofErr w:type="spellEnd"/>
      <w:r w:rsidRPr="004522E3">
        <w:rPr>
          <w:rFonts w:ascii="Arial" w:hAnsi="Arial" w:cs="Arial"/>
          <w:lang w:val="en-IN"/>
        </w:rPr>
        <w:t>://doi.org/10.1007/978-981-97-0275-6_38-1</w:t>
      </w:r>
      <w:proofErr w:type="gramEnd"/>
      <w:r w:rsidRPr="004522E3">
        <w:rPr>
          <w:rFonts w:ascii="Arial" w:hAnsi="Arial" w:cs="Arial"/>
          <w:lang w:val="en-IN"/>
        </w:rPr>
        <w:t>.</w:t>
      </w:r>
    </w:p>
    <w:p w14:paraId="150E9E72" w14:textId="72E6947F"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00F979" w14:textId="77777777" w:rsidR="00174F41" w:rsidRDefault="00174F41" w:rsidP="00BE6BE0">
      <w:pPr>
        <w:spacing w:after="0" w:line="240" w:lineRule="auto"/>
      </w:pPr>
      <w:r>
        <w:separator/>
      </w:r>
    </w:p>
  </w:endnote>
  <w:endnote w:type="continuationSeparator" w:id="0">
    <w:p w14:paraId="60183C4C" w14:textId="77777777" w:rsidR="00174F41" w:rsidRDefault="00174F41"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9E5043" w14:textId="77777777" w:rsidR="00174F41" w:rsidRDefault="00174F41" w:rsidP="00BE6BE0">
      <w:pPr>
        <w:spacing w:after="0" w:line="240" w:lineRule="auto"/>
      </w:pPr>
      <w:r>
        <w:separator/>
      </w:r>
    </w:p>
  </w:footnote>
  <w:footnote w:type="continuationSeparator" w:id="0">
    <w:p w14:paraId="39C1160B" w14:textId="77777777" w:rsidR="00174F41" w:rsidRDefault="00174F41" w:rsidP="00BE6B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000F"/>
    <w:rsid w:val="00023426"/>
    <w:rsid w:val="000464A0"/>
    <w:rsid w:val="00056EB1"/>
    <w:rsid w:val="00174F41"/>
    <w:rsid w:val="00233DC1"/>
    <w:rsid w:val="002767BF"/>
    <w:rsid w:val="002840A7"/>
    <w:rsid w:val="00296ADF"/>
    <w:rsid w:val="002F2FA9"/>
    <w:rsid w:val="003A000F"/>
    <w:rsid w:val="004522E3"/>
    <w:rsid w:val="00483DF1"/>
    <w:rsid w:val="00621BD8"/>
    <w:rsid w:val="0062271F"/>
    <w:rsid w:val="006A6816"/>
    <w:rsid w:val="006F5E8E"/>
    <w:rsid w:val="00743FED"/>
    <w:rsid w:val="007E0A55"/>
    <w:rsid w:val="00804A7F"/>
    <w:rsid w:val="00816AB1"/>
    <w:rsid w:val="00817AC8"/>
    <w:rsid w:val="00833470"/>
    <w:rsid w:val="008F3BC8"/>
    <w:rsid w:val="00925D5E"/>
    <w:rsid w:val="009E257B"/>
    <w:rsid w:val="00A3783A"/>
    <w:rsid w:val="00A6165E"/>
    <w:rsid w:val="00A82690"/>
    <w:rsid w:val="00AD4B73"/>
    <w:rsid w:val="00B642EF"/>
    <w:rsid w:val="00BE6BE0"/>
    <w:rsid w:val="00C83A82"/>
    <w:rsid w:val="00CB7B4D"/>
    <w:rsid w:val="00CE47BC"/>
    <w:rsid w:val="00D05D47"/>
    <w:rsid w:val="00D60411"/>
    <w:rsid w:val="00EA7204"/>
    <w:rsid w:val="00ED0D33"/>
    <w:rsid w:val="00EF3E35"/>
    <w:rsid w:val="00F129C2"/>
    <w:rsid w:val="00F22D89"/>
    <w:rsid w:val="00F36D02"/>
    <w:rsid w:val="00F64FBC"/>
    <w:rsid w:val="00F746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D5E5FB2F-70FC-4194-B528-F510777D7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4522E3"/>
    <w:rPr>
      <w:color w:val="0563C1" w:themeColor="hyperlink"/>
      <w:u w:val="single"/>
    </w:rPr>
  </w:style>
  <w:style w:type="character" w:styleId="FollowedHyperlink">
    <w:name w:val="FollowedHyperlink"/>
    <w:basedOn w:val="DefaultParagraphFont"/>
    <w:uiPriority w:val="99"/>
    <w:semiHidden/>
    <w:unhideWhenUsed/>
    <w:rsid w:val="004522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71745">
      <w:bodyDiv w:val="1"/>
      <w:marLeft w:val="0"/>
      <w:marRight w:val="0"/>
      <w:marTop w:val="0"/>
      <w:marBottom w:val="0"/>
      <w:divBdr>
        <w:top w:val="none" w:sz="0" w:space="0" w:color="auto"/>
        <w:left w:val="none" w:sz="0" w:space="0" w:color="auto"/>
        <w:bottom w:val="none" w:sz="0" w:space="0" w:color="auto"/>
        <w:right w:val="none" w:sz="0" w:space="0" w:color="auto"/>
      </w:divBdr>
    </w:div>
    <w:div w:id="49769870">
      <w:bodyDiv w:val="1"/>
      <w:marLeft w:val="0"/>
      <w:marRight w:val="0"/>
      <w:marTop w:val="0"/>
      <w:marBottom w:val="0"/>
      <w:divBdr>
        <w:top w:val="none" w:sz="0" w:space="0" w:color="auto"/>
        <w:left w:val="none" w:sz="0" w:space="0" w:color="auto"/>
        <w:bottom w:val="none" w:sz="0" w:space="0" w:color="auto"/>
        <w:right w:val="none" w:sz="0" w:space="0" w:color="auto"/>
      </w:divBdr>
    </w:div>
    <w:div w:id="151484282">
      <w:bodyDiv w:val="1"/>
      <w:marLeft w:val="0"/>
      <w:marRight w:val="0"/>
      <w:marTop w:val="0"/>
      <w:marBottom w:val="0"/>
      <w:divBdr>
        <w:top w:val="none" w:sz="0" w:space="0" w:color="auto"/>
        <w:left w:val="none" w:sz="0" w:space="0" w:color="auto"/>
        <w:bottom w:val="none" w:sz="0" w:space="0" w:color="auto"/>
        <w:right w:val="none" w:sz="0" w:space="0" w:color="auto"/>
      </w:divBdr>
    </w:div>
    <w:div w:id="405805629">
      <w:bodyDiv w:val="1"/>
      <w:marLeft w:val="0"/>
      <w:marRight w:val="0"/>
      <w:marTop w:val="0"/>
      <w:marBottom w:val="0"/>
      <w:divBdr>
        <w:top w:val="none" w:sz="0" w:space="0" w:color="auto"/>
        <w:left w:val="none" w:sz="0" w:space="0" w:color="auto"/>
        <w:bottom w:val="none" w:sz="0" w:space="0" w:color="auto"/>
        <w:right w:val="none" w:sz="0" w:space="0" w:color="auto"/>
      </w:divBdr>
    </w:div>
    <w:div w:id="481852119">
      <w:bodyDiv w:val="1"/>
      <w:marLeft w:val="0"/>
      <w:marRight w:val="0"/>
      <w:marTop w:val="0"/>
      <w:marBottom w:val="0"/>
      <w:divBdr>
        <w:top w:val="none" w:sz="0" w:space="0" w:color="auto"/>
        <w:left w:val="none" w:sz="0" w:space="0" w:color="auto"/>
        <w:bottom w:val="none" w:sz="0" w:space="0" w:color="auto"/>
        <w:right w:val="none" w:sz="0" w:space="0" w:color="auto"/>
      </w:divBdr>
      <w:divsChild>
        <w:div w:id="962419279">
          <w:marLeft w:val="0"/>
          <w:marRight w:val="0"/>
          <w:marTop w:val="0"/>
          <w:marBottom w:val="0"/>
          <w:divBdr>
            <w:top w:val="none" w:sz="0" w:space="0" w:color="auto"/>
            <w:left w:val="none" w:sz="0" w:space="0" w:color="auto"/>
            <w:bottom w:val="none" w:sz="0" w:space="0" w:color="auto"/>
            <w:right w:val="none" w:sz="0" w:space="0" w:color="auto"/>
          </w:divBdr>
        </w:div>
      </w:divsChild>
    </w:div>
    <w:div w:id="510610829">
      <w:bodyDiv w:val="1"/>
      <w:marLeft w:val="0"/>
      <w:marRight w:val="0"/>
      <w:marTop w:val="0"/>
      <w:marBottom w:val="0"/>
      <w:divBdr>
        <w:top w:val="none" w:sz="0" w:space="0" w:color="auto"/>
        <w:left w:val="none" w:sz="0" w:space="0" w:color="auto"/>
        <w:bottom w:val="none" w:sz="0" w:space="0" w:color="auto"/>
        <w:right w:val="none" w:sz="0" w:space="0" w:color="auto"/>
      </w:divBdr>
    </w:div>
    <w:div w:id="662313827">
      <w:bodyDiv w:val="1"/>
      <w:marLeft w:val="0"/>
      <w:marRight w:val="0"/>
      <w:marTop w:val="0"/>
      <w:marBottom w:val="0"/>
      <w:divBdr>
        <w:top w:val="none" w:sz="0" w:space="0" w:color="auto"/>
        <w:left w:val="none" w:sz="0" w:space="0" w:color="auto"/>
        <w:bottom w:val="none" w:sz="0" w:space="0" w:color="auto"/>
        <w:right w:val="none" w:sz="0" w:space="0" w:color="auto"/>
      </w:divBdr>
    </w:div>
    <w:div w:id="664626276">
      <w:bodyDiv w:val="1"/>
      <w:marLeft w:val="0"/>
      <w:marRight w:val="0"/>
      <w:marTop w:val="0"/>
      <w:marBottom w:val="0"/>
      <w:divBdr>
        <w:top w:val="none" w:sz="0" w:space="0" w:color="auto"/>
        <w:left w:val="none" w:sz="0" w:space="0" w:color="auto"/>
        <w:bottom w:val="none" w:sz="0" w:space="0" w:color="auto"/>
        <w:right w:val="none" w:sz="0" w:space="0" w:color="auto"/>
      </w:divBdr>
    </w:div>
    <w:div w:id="692614287">
      <w:bodyDiv w:val="1"/>
      <w:marLeft w:val="0"/>
      <w:marRight w:val="0"/>
      <w:marTop w:val="0"/>
      <w:marBottom w:val="0"/>
      <w:divBdr>
        <w:top w:val="none" w:sz="0" w:space="0" w:color="auto"/>
        <w:left w:val="none" w:sz="0" w:space="0" w:color="auto"/>
        <w:bottom w:val="none" w:sz="0" w:space="0" w:color="auto"/>
        <w:right w:val="none" w:sz="0" w:space="0" w:color="auto"/>
      </w:divBdr>
    </w:div>
    <w:div w:id="693847464">
      <w:bodyDiv w:val="1"/>
      <w:marLeft w:val="0"/>
      <w:marRight w:val="0"/>
      <w:marTop w:val="0"/>
      <w:marBottom w:val="0"/>
      <w:divBdr>
        <w:top w:val="none" w:sz="0" w:space="0" w:color="auto"/>
        <w:left w:val="none" w:sz="0" w:space="0" w:color="auto"/>
        <w:bottom w:val="none" w:sz="0" w:space="0" w:color="auto"/>
        <w:right w:val="none" w:sz="0" w:space="0" w:color="auto"/>
      </w:divBdr>
      <w:divsChild>
        <w:div w:id="578909397">
          <w:marLeft w:val="0"/>
          <w:marRight w:val="0"/>
          <w:marTop w:val="0"/>
          <w:marBottom w:val="0"/>
          <w:divBdr>
            <w:top w:val="none" w:sz="0" w:space="0" w:color="auto"/>
            <w:left w:val="none" w:sz="0" w:space="0" w:color="auto"/>
            <w:bottom w:val="none" w:sz="0" w:space="0" w:color="auto"/>
            <w:right w:val="none" w:sz="0" w:space="0" w:color="auto"/>
          </w:divBdr>
        </w:div>
      </w:divsChild>
    </w:div>
    <w:div w:id="710956107">
      <w:bodyDiv w:val="1"/>
      <w:marLeft w:val="0"/>
      <w:marRight w:val="0"/>
      <w:marTop w:val="0"/>
      <w:marBottom w:val="0"/>
      <w:divBdr>
        <w:top w:val="none" w:sz="0" w:space="0" w:color="auto"/>
        <w:left w:val="none" w:sz="0" w:space="0" w:color="auto"/>
        <w:bottom w:val="none" w:sz="0" w:space="0" w:color="auto"/>
        <w:right w:val="none" w:sz="0" w:space="0" w:color="auto"/>
      </w:divBdr>
      <w:divsChild>
        <w:div w:id="286931850">
          <w:marLeft w:val="0"/>
          <w:marRight w:val="0"/>
          <w:marTop w:val="0"/>
          <w:marBottom w:val="0"/>
          <w:divBdr>
            <w:top w:val="none" w:sz="0" w:space="0" w:color="auto"/>
            <w:left w:val="none" w:sz="0" w:space="0" w:color="auto"/>
            <w:bottom w:val="none" w:sz="0" w:space="0" w:color="auto"/>
            <w:right w:val="none" w:sz="0" w:space="0" w:color="auto"/>
          </w:divBdr>
        </w:div>
      </w:divsChild>
    </w:div>
    <w:div w:id="933510741">
      <w:bodyDiv w:val="1"/>
      <w:marLeft w:val="0"/>
      <w:marRight w:val="0"/>
      <w:marTop w:val="0"/>
      <w:marBottom w:val="0"/>
      <w:divBdr>
        <w:top w:val="none" w:sz="0" w:space="0" w:color="auto"/>
        <w:left w:val="none" w:sz="0" w:space="0" w:color="auto"/>
        <w:bottom w:val="none" w:sz="0" w:space="0" w:color="auto"/>
        <w:right w:val="none" w:sz="0" w:space="0" w:color="auto"/>
      </w:divBdr>
    </w:div>
    <w:div w:id="974792094">
      <w:bodyDiv w:val="1"/>
      <w:marLeft w:val="0"/>
      <w:marRight w:val="0"/>
      <w:marTop w:val="0"/>
      <w:marBottom w:val="0"/>
      <w:divBdr>
        <w:top w:val="none" w:sz="0" w:space="0" w:color="auto"/>
        <w:left w:val="none" w:sz="0" w:space="0" w:color="auto"/>
        <w:bottom w:val="none" w:sz="0" w:space="0" w:color="auto"/>
        <w:right w:val="none" w:sz="0" w:space="0" w:color="auto"/>
      </w:divBdr>
    </w:div>
    <w:div w:id="1344554955">
      <w:bodyDiv w:val="1"/>
      <w:marLeft w:val="0"/>
      <w:marRight w:val="0"/>
      <w:marTop w:val="0"/>
      <w:marBottom w:val="0"/>
      <w:divBdr>
        <w:top w:val="none" w:sz="0" w:space="0" w:color="auto"/>
        <w:left w:val="none" w:sz="0" w:space="0" w:color="auto"/>
        <w:bottom w:val="none" w:sz="0" w:space="0" w:color="auto"/>
        <w:right w:val="none" w:sz="0" w:space="0" w:color="auto"/>
      </w:divBdr>
    </w:div>
    <w:div w:id="1412434947">
      <w:bodyDiv w:val="1"/>
      <w:marLeft w:val="0"/>
      <w:marRight w:val="0"/>
      <w:marTop w:val="0"/>
      <w:marBottom w:val="0"/>
      <w:divBdr>
        <w:top w:val="none" w:sz="0" w:space="0" w:color="auto"/>
        <w:left w:val="none" w:sz="0" w:space="0" w:color="auto"/>
        <w:bottom w:val="none" w:sz="0" w:space="0" w:color="auto"/>
        <w:right w:val="none" w:sz="0" w:space="0" w:color="auto"/>
      </w:divBdr>
    </w:div>
    <w:div w:id="1476752552">
      <w:bodyDiv w:val="1"/>
      <w:marLeft w:val="0"/>
      <w:marRight w:val="0"/>
      <w:marTop w:val="0"/>
      <w:marBottom w:val="0"/>
      <w:divBdr>
        <w:top w:val="none" w:sz="0" w:space="0" w:color="auto"/>
        <w:left w:val="none" w:sz="0" w:space="0" w:color="auto"/>
        <w:bottom w:val="none" w:sz="0" w:space="0" w:color="auto"/>
        <w:right w:val="none" w:sz="0" w:space="0" w:color="auto"/>
      </w:divBdr>
      <w:divsChild>
        <w:div w:id="1506047230">
          <w:marLeft w:val="0"/>
          <w:marRight w:val="0"/>
          <w:marTop w:val="0"/>
          <w:marBottom w:val="0"/>
          <w:divBdr>
            <w:top w:val="none" w:sz="0" w:space="0" w:color="auto"/>
            <w:left w:val="none" w:sz="0" w:space="0" w:color="auto"/>
            <w:bottom w:val="none" w:sz="0" w:space="0" w:color="auto"/>
            <w:right w:val="none" w:sz="0" w:space="0" w:color="auto"/>
          </w:divBdr>
        </w:div>
      </w:divsChild>
    </w:div>
    <w:div w:id="1486429323">
      <w:bodyDiv w:val="1"/>
      <w:marLeft w:val="0"/>
      <w:marRight w:val="0"/>
      <w:marTop w:val="0"/>
      <w:marBottom w:val="0"/>
      <w:divBdr>
        <w:top w:val="none" w:sz="0" w:space="0" w:color="auto"/>
        <w:left w:val="none" w:sz="0" w:space="0" w:color="auto"/>
        <w:bottom w:val="none" w:sz="0" w:space="0" w:color="auto"/>
        <w:right w:val="none" w:sz="0" w:space="0" w:color="auto"/>
      </w:divBdr>
    </w:div>
    <w:div w:id="1552040339">
      <w:bodyDiv w:val="1"/>
      <w:marLeft w:val="0"/>
      <w:marRight w:val="0"/>
      <w:marTop w:val="0"/>
      <w:marBottom w:val="0"/>
      <w:divBdr>
        <w:top w:val="none" w:sz="0" w:space="0" w:color="auto"/>
        <w:left w:val="none" w:sz="0" w:space="0" w:color="auto"/>
        <w:bottom w:val="none" w:sz="0" w:space="0" w:color="auto"/>
        <w:right w:val="none" w:sz="0" w:space="0" w:color="auto"/>
      </w:divBdr>
    </w:div>
    <w:div w:id="1737626531">
      <w:bodyDiv w:val="1"/>
      <w:marLeft w:val="0"/>
      <w:marRight w:val="0"/>
      <w:marTop w:val="0"/>
      <w:marBottom w:val="0"/>
      <w:divBdr>
        <w:top w:val="none" w:sz="0" w:space="0" w:color="auto"/>
        <w:left w:val="none" w:sz="0" w:space="0" w:color="auto"/>
        <w:bottom w:val="none" w:sz="0" w:space="0" w:color="auto"/>
        <w:right w:val="none" w:sz="0" w:space="0" w:color="auto"/>
      </w:divBdr>
    </w:div>
    <w:div w:id="1778138483">
      <w:bodyDiv w:val="1"/>
      <w:marLeft w:val="0"/>
      <w:marRight w:val="0"/>
      <w:marTop w:val="0"/>
      <w:marBottom w:val="0"/>
      <w:divBdr>
        <w:top w:val="none" w:sz="0" w:space="0" w:color="auto"/>
        <w:left w:val="none" w:sz="0" w:space="0" w:color="auto"/>
        <w:bottom w:val="none" w:sz="0" w:space="0" w:color="auto"/>
        <w:right w:val="none" w:sz="0" w:space="0" w:color="auto"/>
      </w:divBdr>
    </w:div>
    <w:div w:id="1789424212">
      <w:bodyDiv w:val="1"/>
      <w:marLeft w:val="0"/>
      <w:marRight w:val="0"/>
      <w:marTop w:val="0"/>
      <w:marBottom w:val="0"/>
      <w:divBdr>
        <w:top w:val="none" w:sz="0" w:space="0" w:color="auto"/>
        <w:left w:val="none" w:sz="0" w:space="0" w:color="auto"/>
        <w:bottom w:val="none" w:sz="0" w:space="0" w:color="auto"/>
        <w:right w:val="none" w:sz="0" w:space="0" w:color="auto"/>
      </w:divBdr>
    </w:div>
    <w:div w:id="1928614618">
      <w:bodyDiv w:val="1"/>
      <w:marLeft w:val="0"/>
      <w:marRight w:val="0"/>
      <w:marTop w:val="0"/>
      <w:marBottom w:val="0"/>
      <w:divBdr>
        <w:top w:val="none" w:sz="0" w:space="0" w:color="auto"/>
        <w:left w:val="none" w:sz="0" w:space="0" w:color="auto"/>
        <w:bottom w:val="none" w:sz="0" w:space="0" w:color="auto"/>
        <w:right w:val="none" w:sz="0" w:space="0" w:color="auto"/>
      </w:divBdr>
    </w:div>
    <w:div w:id="1955407183">
      <w:bodyDiv w:val="1"/>
      <w:marLeft w:val="0"/>
      <w:marRight w:val="0"/>
      <w:marTop w:val="0"/>
      <w:marBottom w:val="0"/>
      <w:divBdr>
        <w:top w:val="none" w:sz="0" w:space="0" w:color="auto"/>
        <w:left w:val="none" w:sz="0" w:space="0" w:color="auto"/>
        <w:bottom w:val="none" w:sz="0" w:space="0" w:color="auto"/>
        <w:right w:val="none" w:sz="0" w:space="0" w:color="auto"/>
      </w:divBdr>
    </w:div>
    <w:div w:id="209939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bld.70001" TargetMode="External"/><Relationship Id="rId13" Type="http://schemas.openxmlformats.org/officeDocument/2006/relationships/hyperlink" Target="https://doi.org/10.1111/bld.70001"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3390/ijerph191912976" TargetMode="External"/><Relationship Id="rId12" Type="http://schemas.openxmlformats.org/officeDocument/2006/relationships/hyperlink" Target="https://doi.org/10.3390/ijerph191912976"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png"/><Relationship Id="rId1" Type="http://schemas.openxmlformats.org/officeDocument/2006/relationships/styles" Target="styles.xml"/><Relationship Id="rId6" Type="http://schemas.openxmlformats.org/officeDocument/2006/relationships/hyperlink" Target="https://doi.org/10.1080/10668926.2025.2609104" TargetMode="External"/><Relationship Id="rId11" Type="http://schemas.openxmlformats.org/officeDocument/2006/relationships/hyperlink" Target="https://doi.org/10.1080/10668926.2025.2609104" TargetMode="External"/><Relationship Id="rId5" Type="http://schemas.openxmlformats.org/officeDocument/2006/relationships/endnotes" Target="endnotes.xml"/><Relationship Id="rId15" Type="http://schemas.openxmlformats.org/officeDocument/2006/relationships/hyperlink" Target="https://www.sciencedirect.com/journal/disability-and-health-journal" TargetMode="External"/><Relationship Id="rId10" Type="http://schemas.openxmlformats.org/officeDocument/2006/relationships/hyperlink" Target="https://www.sciencedirect.com/journal/disability-and-health-journal" TargetMode="External"/><Relationship Id="rId4" Type="http://schemas.openxmlformats.org/officeDocument/2006/relationships/footnotes" Target="footnotes.xml"/><Relationship Id="rId9" Type="http://schemas.openxmlformats.org/officeDocument/2006/relationships/hyperlink" Target="https://doi.org/10.1007/s44155-025-00233-1" TargetMode="External"/><Relationship Id="rId14" Type="http://schemas.openxmlformats.org/officeDocument/2006/relationships/hyperlink" Target="https://doi.org/10.1007/s44155-025-0023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TotalTime>
  <Pages>6</Pages>
  <Words>961</Words>
  <Characters>5483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Atinicia Pereira Da Costa (2514003)</cp:lastModifiedBy>
  <cp:revision>6</cp:revision>
  <dcterms:created xsi:type="dcterms:W3CDTF">2026-03-09T11:28:00Z</dcterms:created>
  <dcterms:modified xsi:type="dcterms:W3CDTF">2026-03-21T18:36:00Z</dcterms:modified>
</cp:coreProperties>
</file>