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67B922"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06C56E3D" w14:textId="77777777" w:rsidR="00D26575" w:rsidRPr="002460FC" w:rsidRDefault="00D26575" w:rsidP="00D26575">
      <w:pPr>
        <w:jc w:val="both"/>
        <w:rPr>
          <w:rFonts w:ascii="Arial" w:hAnsi="Arial" w:cs="Arial"/>
          <w:sz w:val="22"/>
          <w:szCs w:val="22"/>
        </w:rPr>
      </w:pPr>
      <w:r w:rsidRPr="002460FC">
        <w:rPr>
          <w:rFonts w:ascii="Arial" w:hAnsi="Arial" w:cs="Arial"/>
          <w:noProof/>
          <w:sz w:val="22"/>
          <w:szCs w:val="22"/>
        </w:rPr>
        <w:drawing>
          <wp:inline distT="0" distB="0" distL="0" distR="0" wp14:anchorId="51EB061A" wp14:editId="4055E8B7">
            <wp:extent cx="2619299" cy="1165860"/>
            <wp:effectExtent l="0" t="0" r="0" b="254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8888" cy="1219089"/>
                    </a:xfrm>
                    <a:prstGeom prst="rect">
                      <a:avLst/>
                    </a:prstGeom>
                    <a:noFill/>
                  </pic:spPr>
                </pic:pic>
              </a:graphicData>
            </a:graphic>
          </wp:inline>
        </w:drawing>
      </w:r>
    </w:p>
    <w:p w14:paraId="5F22DC52" w14:textId="77777777" w:rsidR="00D26575" w:rsidRPr="002460FC" w:rsidRDefault="00D26575" w:rsidP="00D26575">
      <w:pPr>
        <w:jc w:val="both"/>
        <w:rPr>
          <w:rFonts w:ascii="Arial" w:hAnsi="Arial" w:cs="Arial"/>
          <w:sz w:val="22"/>
          <w:szCs w:val="22"/>
        </w:rPr>
      </w:pPr>
    </w:p>
    <w:p w14:paraId="576B2A0A" w14:textId="77777777" w:rsidR="00D26575" w:rsidRPr="002460FC" w:rsidRDefault="00D26575" w:rsidP="00D26575">
      <w:pPr>
        <w:jc w:val="both"/>
        <w:rPr>
          <w:rFonts w:ascii="Arial" w:hAnsi="Arial" w:cs="Arial"/>
          <w:sz w:val="22"/>
          <w:szCs w:val="22"/>
        </w:rPr>
      </w:pPr>
    </w:p>
    <w:p w14:paraId="4538A789" w14:textId="3A294BA9" w:rsidR="00D26575" w:rsidRPr="002460FC" w:rsidRDefault="00D26575" w:rsidP="00D26575">
      <w:pPr>
        <w:spacing w:line="600" w:lineRule="auto"/>
        <w:jc w:val="both"/>
        <w:rPr>
          <w:rFonts w:ascii="Arial" w:hAnsi="Arial" w:cs="Arial"/>
          <w:b/>
          <w:bCs/>
          <w:sz w:val="22"/>
          <w:szCs w:val="22"/>
        </w:rPr>
      </w:pPr>
      <w:r w:rsidRPr="002460FC">
        <w:rPr>
          <w:rFonts w:ascii="Arial" w:hAnsi="Arial" w:cs="Arial"/>
          <w:b/>
          <w:bCs/>
          <w:sz w:val="22"/>
          <w:szCs w:val="22"/>
        </w:rPr>
        <w:t>NAME:</w:t>
      </w:r>
      <w:r w:rsidRPr="002460FC">
        <w:rPr>
          <w:rFonts w:ascii="Arial" w:hAnsi="Arial" w:cs="Arial"/>
          <w:b/>
          <w:bCs/>
          <w:sz w:val="22"/>
          <w:szCs w:val="22"/>
        </w:rPr>
        <w:tab/>
      </w:r>
      <w:r w:rsidRPr="002460FC">
        <w:rPr>
          <w:rFonts w:ascii="Arial" w:hAnsi="Arial" w:cs="Arial"/>
          <w:b/>
          <w:bCs/>
          <w:sz w:val="22"/>
          <w:szCs w:val="22"/>
        </w:rPr>
        <w:tab/>
        <w:t>GALAUS, ANNIEVER MALIBIRAN</w:t>
      </w:r>
    </w:p>
    <w:p w14:paraId="29800DCF" w14:textId="4708DD94" w:rsidR="00D26575" w:rsidRPr="002460FC" w:rsidRDefault="00D26575" w:rsidP="00D26575">
      <w:pPr>
        <w:spacing w:line="600" w:lineRule="auto"/>
        <w:jc w:val="both"/>
        <w:rPr>
          <w:rFonts w:ascii="Arial" w:hAnsi="Arial" w:cs="Arial"/>
          <w:b/>
          <w:bCs/>
          <w:sz w:val="22"/>
          <w:szCs w:val="22"/>
        </w:rPr>
      </w:pPr>
      <w:r w:rsidRPr="002460FC">
        <w:rPr>
          <w:rFonts w:ascii="Arial" w:hAnsi="Arial" w:cs="Arial"/>
          <w:b/>
          <w:bCs/>
          <w:sz w:val="22"/>
          <w:szCs w:val="22"/>
        </w:rPr>
        <w:t>STUDENT ID:</w:t>
      </w:r>
      <w:r w:rsidRPr="002460FC">
        <w:rPr>
          <w:rFonts w:ascii="Arial" w:hAnsi="Arial" w:cs="Arial"/>
          <w:b/>
          <w:bCs/>
          <w:sz w:val="22"/>
          <w:szCs w:val="22"/>
        </w:rPr>
        <w:tab/>
      </w:r>
      <w:r w:rsidRPr="002460FC">
        <w:rPr>
          <w:rFonts w:ascii="Arial" w:hAnsi="Arial" w:cs="Arial"/>
          <w:b/>
          <w:bCs/>
          <w:sz w:val="22"/>
          <w:szCs w:val="22"/>
        </w:rPr>
        <w:tab/>
        <w:t>2508028</w:t>
      </w:r>
    </w:p>
    <w:p w14:paraId="309E8C47" w14:textId="1F923506" w:rsidR="00D26575" w:rsidRPr="002460FC" w:rsidRDefault="00D26575" w:rsidP="00D26575">
      <w:pPr>
        <w:spacing w:line="600" w:lineRule="auto"/>
        <w:jc w:val="both"/>
        <w:rPr>
          <w:rFonts w:ascii="Arial" w:hAnsi="Arial" w:cs="Arial"/>
          <w:b/>
          <w:bCs/>
          <w:sz w:val="22"/>
          <w:szCs w:val="22"/>
        </w:rPr>
      </w:pPr>
      <w:r w:rsidRPr="002460FC">
        <w:rPr>
          <w:rFonts w:ascii="Arial" w:hAnsi="Arial" w:cs="Arial"/>
          <w:b/>
          <w:bCs/>
          <w:sz w:val="22"/>
          <w:szCs w:val="22"/>
        </w:rPr>
        <w:t>MODULE CODE:</w:t>
      </w:r>
      <w:r w:rsidRPr="002460FC">
        <w:rPr>
          <w:rFonts w:ascii="Arial" w:hAnsi="Arial" w:cs="Arial"/>
          <w:b/>
          <w:bCs/>
          <w:sz w:val="22"/>
          <w:szCs w:val="22"/>
        </w:rPr>
        <w:tab/>
        <w:t>LCHS4010</w:t>
      </w:r>
    </w:p>
    <w:p w14:paraId="4D783D9C" w14:textId="5504432F" w:rsidR="00D26575" w:rsidRPr="002460FC" w:rsidRDefault="00D26575" w:rsidP="00D26575">
      <w:pPr>
        <w:spacing w:line="600" w:lineRule="auto"/>
        <w:jc w:val="both"/>
        <w:rPr>
          <w:rFonts w:ascii="Arial" w:hAnsi="Arial" w:cs="Arial"/>
          <w:b/>
          <w:bCs/>
          <w:sz w:val="22"/>
          <w:szCs w:val="22"/>
        </w:rPr>
      </w:pPr>
      <w:r w:rsidRPr="002460FC">
        <w:rPr>
          <w:rFonts w:ascii="Arial" w:hAnsi="Arial" w:cs="Arial"/>
          <w:b/>
          <w:bCs/>
          <w:sz w:val="22"/>
          <w:szCs w:val="22"/>
        </w:rPr>
        <w:t xml:space="preserve">MODULE: </w:t>
      </w:r>
      <w:r w:rsidRPr="002460FC">
        <w:rPr>
          <w:rFonts w:ascii="Arial" w:hAnsi="Arial" w:cs="Arial"/>
          <w:b/>
          <w:bCs/>
          <w:sz w:val="22"/>
          <w:szCs w:val="22"/>
        </w:rPr>
        <w:tab/>
      </w:r>
      <w:r w:rsidRPr="002460FC">
        <w:rPr>
          <w:rFonts w:ascii="Arial" w:hAnsi="Arial" w:cs="Arial"/>
          <w:b/>
          <w:bCs/>
          <w:sz w:val="22"/>
          <w:szCs w:val="22"/>
        </w:rPr>
        <w:tab/>
        <w:t>PHYSCOLOGY IN HEALTH IN SOCIAL CARE</w:t>
      </w:r>
    </w:p>
    <w:p w14:paraId="18E05DE5" w14:textId="03D9C918" w:rsidR="00D26575" w:rsidRDefault="00D26575" w:rsidP="00D26575">
      <w:pPr>
        <w:spacing w:line="600" w:lineRule="auto"/>
        <w:jc w:val="both"/>
        <w:rPr>
          <w:rFonts w:ascii="Arial" w:hAnsi="Arial" w:cs="Arial"/>
          <w:b/>
          <w:bCs/>
          <w:sz w:val="22"/>
          <w:szCs w:val="22"/>
        </w:rPr>
      </w:pPr>
      <w:r w:rsidRPr="002460FC">
        <w:rPr>
          <w:rFonts w:ascii="Arial" w:hAnsi="Arial" w:cs="Arial"/>
          <w:b/>
          <w:bCs/>
          <w:sz w:val="22"/>
          <w:szCs w:val="22"/>
        </w:rPr>
        <w:t>LECTURER:</w:t>
      </w:r>
      <w:r w:rsidRPr="002460FC">
        <w:rPr>
          <w:rFonts w:ascii="Arial" w:hAnsi="Arial" w:cs="Arial"/>
          <w:b/>
          <w:bCs/>
          <w:sz w:val="22"/>
          <w:szCs w:val="22"/>
        </w:rPr>
        <w:tab/>
      </w:r>
      <w:r w:rsidRPr="002460FC">
        <w:rPr>
          <w:rFonts w:ascii="Arial" w:hAnsi="Arial" w:cs="Arial"/>
          <w:b/>
          <w:bCs/>
          <w:sz w:val="22"/>
          <w:szCs w:val="22"/>
        </w:rPr>
        <w:tab/>
        <w:t>SAM PARKER</w:t>
      </w:r>
    </w:p>
    <w:p w14:paraId="2B22213A" w14:textId="0723CF71" w:rsidR="00D26575" w:rsidRPr="00D26575" w:rsidRDefault="00D26575" w:rsidP="00D26575">
      <w:pPr>
        <w:spacing w:line="360" w:lineRule="auto"/>
        <w:ind w:left="2160" w:hanging="2160"/>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Topic:</w:t>
      </w:r>
      <w:r>
        <w:rPr>
          <w:rFonts w:ascii="Arial" w:hAnsi="Arial" w:cs="Arial"/>
          <w:b/>
          <w:bCs/>
          <w:color w:val="000000" w:themeColor="text1"/>
          <w:sz w:val="22"/>
          <w:szCs w:val="22"/>
        </w:rPr>
        <w:tab/>
      </w:r>
      <w:r w:rsidRPr="00D26575">
        <w:rPr>
          <w:rFonts w:ascii="Arial" w:hAnsi="Arial" w:cs="Arial"/>
          <w:b/>
          <w:bCs/>
          <w:color w:val="000000" w:themeColor="text1"/>
          <w:sz w:val="22"/>
          <w:szCs w:val="22"/>
        </w:rPr>
        <w:t>Discuss the Impact of Social Media on Mental Health in Adolescence</w:t>
      </w:r>
    </w:p>
    <w:p w14:paraId="727ED3F5" w14:textId="2DACD770" w:rsidR="00D26575" w:rsidRDefault="00D26575" w:rsidP="00D26575">
      <w:pPr>
        <w:spacing w:line="600" w:lineRule="auto"/>
        <w:jc w:val="both"/>
        <w:rPr>
          <w:rFonts w:ascii="Arial" w:hAnsi="Arial" w:cs="Arial"/>
          <w:b/>
          <w:bCs/>
          <w:sz w:val="22"/>
          <w:szCs w:val="22"/>
        </w:rPr>
      </w:pPr>
      <w:r>
        <w:rPr>
          <w:rFonts w:ascii="Arial" w:hAnsi="Arial" w:cs="Arial"/>
          <w:b/>
          <w:bCs/>
          <w:sz w:val="22"/>
          <w:szCs w:val="22"/>
        </w:rPr>
        <w:t>Word Counts:</w:t>
      </w:r>
      <w:r>
        <w:rPr>
          <w:rFonts w:ascii="Arial" w:hAnsi="Arial" w:cs="Arial"/>
          <w:b/>
          <w:bCs/>
          <w:sz w:val="22"/>
          <w:szCs w:val="22"/>
        </w:rPr>
        <w:tab/>
      </w:r>
      <w:r w:rsidR="00062E03">
        <w:rPr>
          <w:rFonts w:ascii="Arial" w:hAnsi="Arial" w:cs="Arial"/>
          <w:b/>
          <w:bCs/>
          <w:sz w:val="22"/>
          <w:szCs w:val="22"/>
        </w:rPr>
        <w:t>1500</w:t>
      </w:r>
    </w:p>
    <w:p w14:paraId="341D44E6" w14:textId="207F54BB" w:rsidR="00D26575" w:rsidRDefault="00D26575" w:rsidP="00D26575">
      <w:pPr>
        <w:spacing w:line="360" w:lineRule="auto"/>
        <w:jc w:val="both"/>
        <w:textAlignment w:val="baseline"/>
        <w:rPr>
          <w:rFonts w:ascii="Arial" w:hAnsi="Arial" w:cs="Arial"/>
          <w:b/>
          <w:bCs/>
          <w:color w:val="000000" w:themeColor="text1"/>
          <w:sz w:val="22"/>
          <w:szCs w:val="22"/>
        </w:rPr>
      </w:pPr>
      <w:r>
        <w:rPr>
          <w:rFonts w:ascii="Arial" w:hAnsi="Arial" w:cs="Arial"/>
          <w:b/>
          <w:bCs/>
          <w:sz w:val="22"/>
          <w:szCs w:val="22"/>
        </w:rPr>
        <w:t>Submission Date:</w:t>
      </w:r>
      <w:r>
        <w:rPr>
          <w:rFonts w:ascii="Arial" w:hAnsi="Arial" w:cs="Arial"/>
          <w:b/>
          <w:bCs/>
          <w:sz w:val="22"/>
          <w:szCs w:val="22"/>
        </w:rPr>
        <w:tab/>
      </w:r>
      <w:r w:rsidR="00C7217B">
        <w:rPr>
          <w:rFonts w:ascii="Arial" w:hAnsi="Arial" w:cs="Arial"/>
          <w:b/>
          <w:bCs/>
          <w:sz w:val="22"/>
          <w:szCs w:val="22"/>
        </w:rPr>
        <w:t>18</w:t>
      </w:r>
      <w:r w:rsidR="00C7217B" w:rsidRPr="00C7217B">
        <w:rPr>
          <w:rFonts w:ascii="Arial" w:hAnsi="Arial" w:cs="Arial"/>
          <w:b/>
          <w:bCs/>
          <w:sz w:val="22"/>
          <w:szCs w:val="22"/>
          <w:vertAlign w:val="superscript"/>
        </w:rPr>
        <w:t>TH</w:t>
      </w:r>
      <w:r w:rsidR="00C7217B">
        <w:rPr>
          <w:rFonts w:ascii="Arial" w:hAnsi="Arial" w:cs="Arial"/>
          <w:b/>
          <w:bCs/>
          <w:sz w:val="22"/>
          <w:szCs w:val="22"/>
        </w:rPr>
        <w:t xml:space="preserve"> </w:t>
      </w:r>
      <w:r w:rsidR="005860A1" w:rsidRPr="005860A1">
        <w:rPr>
          <w:rFonts w:ascii="Arial" w:hAnsi="Arial" w:cs="Arial"/>
          <w:b/>
          <w:bCs/>
          <w:sz w:val="22"/>
          <w:szCs w:val="22"/>
        </w:rPr>
        <w:t xml:space="preserve"> August 2026</w:t>
      </w:r>
    </w:p>
    <w:p w14:paraId="41617DCE"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0AD90841"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7E32BA30"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3FA51F3A"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22EDD903"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532AD130"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4CBB04F7"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0A4E53ED" w14:textId="77777777" w:rsidR="00D26575" w:rsidRDefault="00D26575" w:rsidP="0010283E">
      <w:pPr>
        <w:spacing w:line="360" w:lineRule="auto"/>
        <w:jc w:val="both"/>
        <w:textAlignment w:val="baseline"/>
        <w:rPr>
          <w:rFonts w:ascii="Arial" w:hAnsi="Arial" w:cs="Arial"/>
          <w:b/>
          <w:bCs/>
          <w:color w:val="000000" w:themeColor="text1"/>
          <w:sz w:val="22"/>
          <w:szCs w:val="22"/>
        </w:rPr>
      </w:pPr>
      <w:r>
        <w:rPr>
          <w:rFonts w:ascii="Arial" w:hAnsi="Arial" w:cs="Arial"/>
          <w:b/>
          <w:bCs/>
          <w:color w:val="000000" w:themeColor="text1"/>
          <w:sz w:val="22"/>
          <w:szCs w:val="22"/>
        </w:rPr>
        <w:lastRenderedPageBreak/>
        <w:t>Table of Contents</w:t>
      </w:r>
    </w:p>
    <w:p w14:paraId="488D6414" w14:textId="6E5E9386" w:rsidR="00171DC0" w:rsidRPr="00450593" w:rsidRDefault="00171DC0" w:rsidP="00171DC0">
      <w:r w:rsidRPr="00450593">
        <w:t>Title Page</w:t>
      </w:r>
      <w:r w:rsidRPr="00450593">
        <w:tab/>
      </w:r>
      <w:r w:rsidR="00027772">
        <w:t>...............................................................................................................</w:t>
      </w:r>
      <w:r w:rsidRPr="00450593">
        <w:tab/>
        <w:t>1</w:t>
      </w:r>
    </w:p>
    <w:p w14:paraId="73452EFA" w14:textId="6FE4CAF7" w:rsidR="00171DC0" w:rsidRPr="00450593" w:rsidRDefault="00171DC0" w:rsidP="00171DC0">
      <w:r w:rsidRPr="00450593">
        <w:t>Content Table</w:t>
      </w:r>
      <w:r w:rsidRPr="00450593">
        <w:tab/>
      </w:r>
      <w:r w:rsidR="00027772">
        <w:t>...............................................................................................................</w:t>
      </w:r>
      <w:r w:rsidRPr="00450593">
        <w:tab/>
        <w:t>2</w:t>
      </w:r>
    </w:p>
    <w:p w14:paraId="4028133F" w14:textId="585EF9A2"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1.0</w:t>
      </w:r>
      <w:r w:rsidRPr="00450593">
        <w:rPr>
          <w:rFonts w:ascii="Arial" w:hAnsi="Arial" w:cs="Arial"/>
          <w:color w:val="000000" w:themeColor="text1"/>
          <w:sz w:val="22"/>
          <w:szCs w:val="22"/>
        </w:rPr>
        <w:tab/>
        <w:t>Introduction</w:t>
      </w:r>
      <w:r w:rsidRPr="00450593">
        <w:rPr>
          <w:rFonts w:ascii="Arial" w:hAnsi="Arial" w:cs="Arial"/>
          <w:color w:val="000000" w:themeColor="text1"/>
          <w:sz w:val="22"/>
          <w:szCs w:val="22"/>
        </w:rPr>
        <w:tab/>
      </w:r>
      <w:r w:rsidR="00027772">
        <w:rPr>
          <w:rFonts w:ascii="Arial" w:hAnsi="Arial" w:cs="Arial"/>
          <w:color w:val="000000" w:themeColor="text1"/>
          <w:sz w:val="22"/>
          <w:szCs w:val="22"/>
        </w:rPr>
        <w:t>..................................................................................................</w:t>
      </w:r>
      <w:r w:rsidRPr="00450593">
        <w:rPr>
          <w:rFonts w:ascii="Arial" w:hAnsi="Arial" w:cs="Arial"/>
          <w:color w:val="000000" w:themeColor="text1"/>
          <w:sz w:val="22"/>
          <w:szCs w:val="22"/>
        </w:rPr>
        <w:tab/>
        <w:t>3</w:t>
      </w:r>
    </w:p>
    <w:p w14:paraId="5C773D6A" w14:textId="34EE7B81"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2.0</w:t>
      </w:r>
      <w:r w:rsidRPr="00450593">
        <w:rPr>
          <w:rFonts w:ascii="Arial" w:hAnsi="Arial" w:cs="Arial"/>
          <w:color w:val="000000" w:themeColor="text1"/>
          <w:sz w:val="22"/>
          <w:szCs w:val="22"/>
        </w:rPr>
        <w:tab/>
        <w:t>Main Body</w:t>
      </w:r>
      <w:r w:rsidRPr="00450593">
        <w:rPr>
          <w:rFonts w:ascii="Arial" w:hAnsi="Arial" w:cs="Arial"/>
          <w:color w:val="000000" w:themeColor="text1"/>
          <w:sz w:val="22"/>
          <w:szCs w:val="22"/>
        </w:rPr>
        <w:tab/>
      </w:r>
      <w:r w:rsidR="00027772">
        <w:rPr>
          <w:rFonts w:ascii="Arial" w:hAnsi="Arial" w:cs="Arial"/>
          <w:color w:val="000000" w:themeColor="text1"/>
          <w:sz w:val="22"/>
          <w:szCs w:val="22"/>
        </w:rPr>
        <w:t>..................................................................................................</w:t>
      </w:r>
      <w:r w:rsidRPr="00450593">
        <w:rPr>
          <w:rFonts w:ascii="Arial" w:hAnsi="Arial" w:cs="Arial"/>
          <w:color w:val="000000" w:themeColor="text1"/>
          <w:sz w:val="22"/>
          <w:szCs w:val="22"/>
        </w:rPr>
        <w:tab/>
        <w:t>3</w:t>
      </w:r>
    </w:p>
    <w:p w14:paraId="657BEA11" w14:textId="6942B51C"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2.1</w:t>
      </w:r>
      <w:r w:rsidRPr="00450593">
        <w:rPr>
          <w:rFonts w:ascii="Arial" w:hAnsi="Arial" w:cs="Arial"/>
          <w:color w:val="000000" w:themeColor="text1"/>
          <w:sz w:val="22"/>
          <w:szCs w:val="22"/>
        </w:rPr>
        <w:tab/>
        <w:t>Social Media, Anxiety, Depression and Emotional Wellbeing</w:t>
      </w:r>
      <w:r w:rsidRPr="00450593">
        <w:rPr>
          <w:rFonts w:ascii="Arial" w:hAnsi="Arial" w:cs="Arial"/>
          <w:color w:val="000000" w:themeColor="text1"/>
          <w:sz w:val="22"/>
          <w:szCs w:val="22"/>
        </w:rPr>
        <w:tab/>
      </w:r>
      <w:r w:rsidR="00027772">
        <w:rPr>
          <w:rFonts w:ascii="Arial" w:hAnsi="Arial" w:cs="Arial"/>
          <w:color w:val="000000" w:themeColor="text1"/>
          <w:sz w:val="22"/>
          <w:szCs w:val="22"/>
        </w:rPr>
        <w:t>...............</w:t>
      </w:r>
      <w:r w:rsidRPr="00450593">
        <w:rPr>
          <w:rFonts w:ascii="Arial" w:hAnsi="Arial" w:cs="Arial"/>
          <w:color w:val="000000" w:themeColor="text1"/>
          <w:sz w:val="22"/>
          <w:szCs w:val="22"/>
        </w:rPr>
        <w:tab/>
        <w:t>3</w:t>
      </w:r>
    </w:p>
    <w:p w14:paraId="5DCF70DB" w14:textId="53AA3D0B"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2.2</w:t>
      </w:r>
      <w:r w:rsidRPr="00450593">
        <w:rPr>
          <w:rFonts w:ascii="Arial" w:hAnsi="Arial" w:cs="Arial"/>
          <w:color w:val="000000" w:themeColor="text1"/>
          <w:sz w:val="22"/>
          <w:szCs w:val="22"/>
        </w:rPr>
        <w:tab/>
        <w:t>Cyberbullying, sleep disruption, and social comparison effects</w:t>
      </w:r>
      <w:r w:rsidRPr="00450593">
        <w:rPr>
          <w:rFonts w:ascii="Arial" w:hAnsi="Arial" w:cs="Arial"/>
          <w:color w:val="000000" w:themeColor="text1"/>
          <w:sz w:val="22"/>
          <w:szCs w:val="22"/>
        </w:rPr>
        <w:tab/>
      </w:r>
      <w:r w:rsidR="00027772">
        <w:rPr>
          <w:rFonts w:ascii="Arial" w:hAnsi="Arial" w:cs="Arial"/>
          <w:color w:val="000000" w:themeColor="text1"/>
          <w:sz w:val="22"/>
          <w:szCs w:val="22"/>
        </w:rPr>
        <w:t>...............</w:t>
      </w:r>
      <w:r>
        <w:rPr>
          <w:rFonts w:ascii="Arial" w:hAnsi="Arial" w:cs="Arial"/>
          <w:color w:val="000000" w:themeColor="text1"/>
          <w:sz w:val="22"/>
          <w:szCs w:val="22"/>
        </w:rPr>
        <w:tab/>
      </w:r>
      <w:r w:rsidRPr="00450593">
        <w:rPr>
          <w:rFonts w:ascii="Arial" w:hAnsi="Arial" w:cs="Arial"/>
          <w:color w:val="000000" w:themeColor="text1"/>
          <w:sz w:val="22"/>
          <w:szCs w:val="22"/>
        </w:rPr>
        <w:t>4</w:t>
      </w:r>
    </w:p>
    <w:p w14:paraId="7A2963DC" w14:textId="50A92A82"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2.3</w:t>
      </w:r>
      <w:r w:rsidRPr="00450593">
        <w:rPr>
          <w:rFonts w:ascii="Arial" w:hAnsi="Arial" w:cs="Arial"/>
          <w:color w:val="000000" w:themeColor="text1"/>
          <w:sz w:val="22"/>
          <w:szCs w:val="22"/>
        </w:rPr>
        <w:tab/>
        <w:t>Erikson’s Psychosocial Development Theory and identity formatio</w:t>
      </w:r>
      <w:r w:rsidR="00EE14D8">
        <w:rPr>
          <w:rFonts w:ascii="Arial" w:hAnsi="Arial" w:cs="Arial"/>
          <w:color w:val="000000" w:themeColor="text1"/>
          <w:sz w:val="22"/>
          <w:szCs w:val="22"/>
        </w:rPr>
        <w:t>n ..............</w:t>
      </w:r>
      <w:r w:rsidRPr="00450593">
        <w:rPr>
          <w:rFonts w:ascii="Arial" w:hAnsi="Arial" w:cs="Arial"/>
          <w:color w:val="000000" w:themeColor="text1"/>
          <w:sz w:val="22"/>
          <w:szCs w:val="22"/>
        </w:rPr>
        <w:tab/>
        <w:t>5</w:t>
      </w:r>
    </w:p>
    <w:p w14:paraId="20E8FB1D" w14:textId="32C3A5DD"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2.4</w:t>
      </w:r>
      <w:r w:rsidRPr="00450593">
        <w:rPr>
          <w:rFonts w:ascii="Arial" w:hAnsi="Arial" w:cs="Arial"/>
          <w:color w:val="000000" w:themeColor="text1"/>
          <w:sz w:val="22"/>
          <w:szCs w:val="22"/>
        </w:rPr>
        <w:tab/>
        <w:t>Bowlby’s Attachment Theory and online relationships</w:t>
      </w:r>
      <w:r w:rsidRPr="00450593">
        <w:rPr>
          <w:rFonts w:ascii="Arial" w:hAnsi="Arial" w:cs="Arial"/>
          <w:color w:val="000000" w:themeColor="text1"/>
          <w:sz w:val="22"/>
          <w:szCs w:val="22"/>
        </w:rPr>
        <w:tab/>
      </w:r>
      <w:r w:rsidR="00EE14D8">
        <w:rPr>
          <w:rFonts w:ascii="Arial" w:hAnsi="Arial" w:cs="Arial"/>
          <w:color w:val="000000" w:themeColor="text1"/>
          <w:sz w:val="22"/>
          <w:szCs w:val="22"/>
        </w:rPr>
        <w:t>...........................</w:t>
      </w:r>
      <w:r w:rsidRPr="00450593">
        <w:rPr>
          <w:rFonts w:ascii="Arial" w:hAnsi="Arial" w:cs="Arial"/>
          <w:color w:val="000000" w:themeColor="text1"/>
          <w:sz w:val="22"/>
          <w:szCs w:val="22"/>
        </w:rPr>
        <w:tab/>
        <w:t>5</w:t>
      </w:r>
    </w:p>
    <w:p w14:paraId="24F65BAE" w14:textId="2E82B966"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2.5</w:t>
      </w:r>
      <w:r w:rsidRPr="00450593">
        <w:rPr>
          <w:rFonts w:ascii="Arial" w:hAnsi="Arial" w:cs="Arial"/>
          <w:color w:val="000000" w:themeColor="text1"/>
          <w:sz w:val="22"/>
          <w:szCs w:val="22"/>
        </w:rPr>
        <w:tab/>
        <w:t xml:space="preserve">Biological and environmental influences on adolescent </w:t>
      </w:r>
      <w:proofErr w:type="spellStart"/>
      <w:r w:rsidRPr="00450593">
        <w:rPr>
          <w:rFonts w:ascii="Arial" w:hAnsi="Arial" w:cs="Arial"/>
          <w:color w:val="000000" w:themeColor="text1"/>
          <w:sz w:val="22"/>
          <w:szCs w:val="22"/>
        </w:rPr>
        <w:t>behaviour</w:t>
      </w:r>
      <w:proofErr w:type="spellEnd"/>
      <w:r w:rsidRPr="00450593">
        <w:rPr>
          <w:rFonts w:ascii="Arial" w:hAnsi="Arial" w:cs="Arial"/>
          <w:color w:val="000000" w:themeColor="text1"/>
          <w:sz w:val="22"/>
          <w:szCs w:val="22"/>
        </w:rPr>
        <w:tab/>
      </w:r>
      <w:r w:rsidR="00EE14D8">
        <w:rPr>
          <w:rFonts w:ascii="Arial" w:hAnsi="Arial" w:cs="Arial"/>
          <w:color w:val="000000" w:themeColor="text1"/>
          <w:sz w:val="22"/>
          <w:szCs w:val="22"/>
        </w:rPr>
        <w:t>...............</w:t>
      </w:r>
      <w:r>
        <w:rPr>
          <w:rFonts w:ascii="Arial" w:hAnsi="Arial" w:cs="Arial"/>
          <w:color w:val="000000" w:themeColor="text1"/>
          <w:sz w:val="22"/>
          <w:szCs w:val="22"/>
        </w:rPr>
        <w:tab/>
      </w:r>
      <w:r w:rsidRPr="00450593">
        <w:rPr>
          <w:rFonts w:ascii="Arial" w:hAnsi="Arial" w:cs="Arial"/>
          <w:color w:val="000000" w:themeColor="text1"/>
          <w:sz w:val="22"/>
          <w:szCs w:val="22"/>
        </w:rPr>
        <w:t>6</w:t>
      </w:r>
    </w:p>
    <w:p w14:paraId="1A27FB61" w14:textId="3808C7C4" w:rsidR="00171DC0" w:rsidRPr="00450593" w:rsidRDefault="00171DC0" w:rsidP="00171DC0">
      <w:pPr>
        <w:spacing w:line="360" w:lineRule="auto"/>
        <w:jc w:val="both"/>
        <w:textAlignment w:val="baseline"/>
        <w:rPr>
          <w:rFonts w:ascii="Arial" w:hAnsi="Arial" w:cs="Arial"/>
          <w:color w:val="000000" w:themeColor="text1"/>
          <w:sz w:val="22"/>
          <w:szCs w:val="22"/>
        </w:rPr>
      </w:pPr>
      <w:r w:rsidRPr="005860A1">
        <w:rPr>
          <w:rFonts w:ascii="Arial" w:hAnsi="Arial" w:cs="Arial"/>
          <w:b/>
          <w:bCs/>
          <w:color w:val="000000" w:themeColor="text1"/>
          <w:sz w:val="22"/>
          <w:szCs w:val="22"/>
        </w:rPr>
        <w:t>3.0</w:t>
      </w:r>
      <w:r w:rsidRPr="00450593">
        <w:rPr>
          <w:rFonts w:ascii="Arial" w:hAnsi="Arial" w:cs="Arial"/>
          <w:color w:val="000000" w:themeColor="text1"/>
          <w:sz w:val="22"/>
          <w:szCs w:val="22"/>
        </w:rPr>
        <w:tab/>
        <w:t>Conclusion</w:t>
      </w:r>
      <w:r w:rsidRPr="00450593">
        <w:rPr>
          <w:rFonts w:ascii="Arial" w:hAnsi="Arial" w:cs="Arial"/>
          <w:color w:val="000000" w:themeColor="text1"/>
          <w:sz w:val="22"/>
          <w:szCs w:val="22"/>
        </w:rPr>
        <w:tab/>
      </w:r>
      <w:r w:rsidR="00EE14D8">
        <w:rPr>
          <w:rFonts w:ascii="Arial" w:hAnsi="Arial" w:cs="Arial"/>
          <w:color w:val="000000" w:themeColor="text1"/>
          <w:sz w:val="22"/>
          <w:szCs w:val="22"/>
        </w:rPr>
        <w:t>..................................................................................................</w:t>
      </w:r>
      <w:r w:rsidRPr="00450593">
        <w:rPr>
          <w:rFonts w:ascii="Arial" w:hAnsi="Arial" w:cs="Arial"/>
          <w:color w:val="000000" w:themeColor="text1"/>
          <w:sz w:val="22"/>
          <w:szCs w:val="22"/>
        </w:rPr>
        <w:tab/>
        <w:t>7</w:t>
      </w:r>
    </w:p>
    <w:p w14:paraId="0AE37190" w14:textId="010D70D0" w:rsidR="00171DC0" w:rsidRPr="00450593" w:rsidRDefault="00171DC0" w:rsidP="00171DC0">
      <w:pPr>
        <w:rPr>
          <w:rFonts w:ascii="Arial" w:hAnsi="Arial" w:cs="Arial"/>
          <w:color w:val="000000" w:themeColor="text1"/>
          <w:sz w:val="22"/>
          <w:szCs w:val="22"/>
        </w:rPr>
      </w:pPr>
      <w:r w:rsidRPr="005860A1">
        <w:rPr>
          <w:rFonts w:ascii="Arial" w:hAnsi="Arial" w:cs="Arial"/>
          <w:b/>
          <w:bCs/>
          <w:color w:val="000000" w:themeColor="text1"/>
          <w:sz w:val="22"/>
          <w:szCs w:val="22"/>
        </w:rPr>
        <w:t>4.0</w:t>
      </w:r>
      <w:r w:rsidRPr="00450593">
        <w:rPr>
          <w:rFonts w:ascii="Arial" w:hAnsi="Arial" w:cs="Arial"/>
          <w:color w:val="000000" w:themeColor="text1"/>
          <w:sz w:val="22"/>
          <w:szCs w:val="22"/>
        </w:rPr>
        <w:tab/>
      </w:r>
      <w:r w:rsidR="0086289A">
        <w:rPr>
          <w:rFonts w:ascii="Arial" w:hAnsi="Arial" w:cs="Arial"/>
          <w:color w:val="000000" w:themeColor="text1"/>
          <w:sz w:val="22"/>
          <w:szCs w:val="22"/>
        </w:rPr>
        <w:t>Appendices</w:t>
      </w:r>
      <w:r w:rsidRPr="00450593">
        <w:rPr>
          <w:rFonts w:ascii="Arial" w:hAnsi="Arial" w:cs="Arial"/>
          <w:color w:val="000000" w:themeColor="text1"/>
          <w:sz w:val="22"/>
          <w:szCs w:val="22"/>
        </w:rPr>
        <w:tab/>
      </w:r>
      <w:r w:rsidR="00EE14D8">
        <w:rPr>
          <w:rFonts w:ascii="Arial" w:hAnsi="Arial" w:cs="Arial"/>
          <w:color w:val="000000" w:themeColor="text1"/>
          <w:sz w:val="22"/>
          <w:szCs w:val="22"/>
        </w:rPr>
        <w:t>..................................................................................................</w:t>
      </w:r>
      <w:r w:rsidRPr="00450593">
        <w:rPr>
          <w:rFonts w:ascii="Arial" w:hAnsi="Arial" w:cs="Arial"/>
          <w:color w:val="000000" w:themeColor="text1"/>
          <w:sz w:val="22"/>
          <w:szCs w:val="22"/>
        </w:rPr>
        <w:tab/>
        <w:t>8</w:t>
      </w:r>
    </w:p>
    <w:p w14:paraId="52885310" w14:textId="54D3090D" w:rsidR="00171DC0" w:rsidRPr="00450593" w:rsidRDefault="00171DC0" w:rsidP="00171DC0">
      <w:pPr>
        <w:spacing w:line="360" w:lineRule="auto"/>
        <w:jc w:val="both"/>
        <w:rPr>
          <w:rFonts w:ascii="Arial" w:hAnsi="Arial" w:cs="Arial"/>
          <w:color w:val="000000" w:themeColor="text1"/>
          <w:sz w:val="22"/>
          <w:szCs w:val="22"/>
        </w:rPr>
      </w:pPr>
      <w:r w:rsidRPr="005860A1">
        <w:rPr>
          <w:rFonts w:ascii="Arial" w:hAnsi="Arial" w:cs="Arial"/>
          <w:b/>
          <w:bCs/>
          <w:color w:val="000000" w:themeColor="text1"/>
          <w:sz w:val="22"/>
          <w:szCs w:val="22"/>
        </w:rPr>
        <w:t>5.0</w:t>
      </w:r>
      <w:r w:rsidRPr="00450593">
        <w:rPr>
          <w:rFonts w:ascii="Arial" w:hAnsi="Arial" w:cs="Arial"/>
          <w:color w:val="000000" w:themeColor="text1"/>
          <w:sz w:val="22"/>
          <w:szCs w:val="22"/>
        </w:rPr>
        <w:tab/>
      </w:r>
      <w:r w:rsidR="0086289A">
        <w:rPr>
          <w:rFonts w:ascii="Arial" w:hAnsi="Arial" w:cs="Arial"/>
          <w:color w:val="000000" w:themeColor="text1"/>
          <w:sz w:val="22"/>
          <w:szCs w:val="22"/>
        </w:rPr>
        <w:t>Reference</w:t>
      </w:r>
      <w:r w:rsidRPr="00450593">
        <w:rPr>
          <w:rFonts w:ascii="Arial" w:hAnsi="Arial" w:cs="Arial"/>
          <w:color w:val="000000" w:themeColor="text1"/>
          <w:sz w:val="22"/>
          <w:szCs w:val="22"/>
        </w:rPr>
        <w:tab/>
      </w:r>
      <w:r w:rsidR="00EE14D8">
        <w:rPr>
          <w:rFonts w:ascii="Arial" w:hAnsi="Arial" w:cs="Arial"/>
          <w:color w:val="000000" w:themeColor="text1"/>
          <w:sz w:val="22"/>
          <w:szCs w:val="22"/>
        </w:rPr>
        <w:t>..................................................................................................</w:t>
      </w:r>
      <w:r w:rsidRPr="00450593">
        <w:rPr>
          <w:rFonts w:ascii="Arial" w:hAnsi="Arial" w:cs="Arial"/>
          <w:color w:val="000000" w:themeColor="text1"/>
          <w:sz w:val="22"/>
          <w:szCs w:val="22"/>
        </w:rPr>
        <w:tab/>
        <w:t>10</w:t>
      </w:r>
    </w:p>
    <w:p w14:paraId="52E77E07" w14:textId="77777777" w:rsidR="00171DC0" w:rsidRPr="00450593" w:rsidRDefault="00171DC0" w:rsidP="00171DC0">
      <w:pPr>
        <w:rPr>
          <w:rFonts w:ascii="Arial" w:hAnsi="Arial" w:cs="Arial"/>
          <w:color w:val="000000" w:themeColor="text1"/>
          <w:sz w:val="22"/>
          <w:szCs w:val="22"/>
        </w:rPr>
      </w:pPr>
    </w:p>
    <w:p w14:paraId="15DABDFE"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03B77EE3"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318B7420"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4DF2C92A"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761C2C6B"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31E0EEBF" w14:textId="77777777" w:rsidR="00171DC0" w:rsidRPr="00450593" w:rsidRDefault="00171DC0" w:rsidP="00171DC0">
      <w:pPr>
        <w:spacing w:line="360" w:lineRule="auto"/>
        <w:jc w:val="both"/>
        <w:textAlignment w:val="baseline"/>
        <w:rPr>
          <w:rFonts w:ascii="Arial" w:hAnsi="Arial" w:cs="Arial"/>
          <w:color w:val="000000" w:themeColor="text1"/>
          <w:sz w:val="22"/>
          <w:szCs w:val="22"/>
        </w:rPr>
      </w:pPr>
    </w:p>
    <w:p w14:paraId="1D33E231" w14:textId="77777777" w:rsidR="00171DC0" w:rsidRPr="00450593" w:rsidRDefault="00171DC0" w:rsidP="00171DC0"/>
    <w:p w14:paraId="7E18023B"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6885A9A2"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51795932" w14:textId="77777777" w:rsidR="00D26575" w:rsidRDefault="00D26575" w:rsidP="0010283E">
      <w:pPr>
        <w:spacing w:line="360" w:lineRule="auto"/>
        <w:jc w:val="both"/>
        <w:textAlignment w:val="baseline"/>
        <w:rPr>
          <w:rFonts w:ascii="Arial" w:hAnsi="Arial" w:cs="Arial"/>
          <w:b/>
          <w:bCs/>
          <w:color w:val="000000" w:themeColor="text1"/>
          <w:sz w:val="22"/>
          <w:szCs w:val="22"/>
        </w:rPr>
      </w:pPr>
    </w:p>
    <w:p w14:paraId="42425686" w14:textId="77777777" w:rsidR="00171DC0" w:rsidRDefault="00171DC0" w:rsidP="0010283E">
      <w:pPr>
        <w:spacing w:line="360" w:lineRule="auto"/>
        <w:jc w:val="both"/>
        <w:textAlignment w:val="baseline"/>
        <w:rPr>
          <w:rFonts w:ascii="Arial" w:hAnsi="Arial" w:cs="Arial"/>
          <w:b/>
          <w:bCs/>
          <w:color w:val="000000" w:themeColor="text1"/>
          <w:sz w:val="22"/>
          <w:szCs w:val="22"/>
        </w:rPr>
      </w:pPr>
    </w:p>
    <w:p w14:paraId="2E0C2954" w14:textId="045EC1ED" w:rsidR="004D3FA3" w:rsidRPr="00D26575" w:rsidRDefault="00625E35" w:rsidP="0010283E">
      <w:pPr>
        <w:spacing w:line="360" w:lineRule="auto"/>
        <w:jc w:val="both"/>
        <w:textAlignment w:val="baseline"/>
        <w:rPr>
          <w:rFonts w:ascii="Arial" w:hAnsi="Arial" w:cs="Arial"/>
          <w:color w:val="000000" w:themeColor="text1"/>
          <w:sz w:val="22"/>
          <w:szCs w:val="22"/>
        </w:rPr>
      </w:pPr>
      <w:r>
        <w:rPr>
          <w:rFonts w:ascii="Arial" w:hAnsi="Arial" w:cs="Arial"/>
          <w:b/>
          <w:bCs/>
          <w:color w:val="000000" w:themeColor="text1"/>
          <w:sz w:val="22"/>
          <w:szCs w:val="22"/>
        </w:rPr>
        <w:lastRenderedPageBreak/>
        <w:t>1.0</w:t>
      </w:r>
      <w:r>
        <w:rPr>
          <w:rFonts w:ascii="Arial" w:hAnsi="Arial" w:cs="Arial"/>
          <w:b/>
          <w:bCs/>
          <w:color w:val="000000" w:themeColor="text1"/>
          <w:sz w:val="22"/>
          <w:szCs w:val="22"/>
        </w:rPr>
        <w:tab/>
      </w:r>
      <w:r w:rsidR="004D3FA3" w:rsidRPr="00D26575">
        <w:rPr>
          <w:rFonts w:ascii="Arial" w:hAnsi="Arial" w:cs="Arial"/>
          <w:b/>
          <w:bCs/>
          <w:color w:val="000000" w:themeColor="text1"/>
          <w:sz w:val="22"/>
          <w:szCs w:val="22"/>
        </w:rPr>
        <w:t>Introduction</w:t>
      </w:r>
    </w:p>
    <w:p w14:paraId="29626829" w14:textId="23699515"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Social media has become an essential part of adolescent life, influencing how young people communicate, build relationships, construct identities, and obtain information. Adolescence is a vital developmental stage marked by fast biological, psychological, and social changes, during which people are especially vulnerable to environmental influences and peer appraisal (World Health Organisation, 2024). During this time, identity development and emotional control are still forming, making teenagers more susceptible to both good and negative external influences, including digital surroundings.</w:t>
      </w:r>
    </w:p>
    <w:p w14:paraId="4761126D" w14:textId="4B3FE66D"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Recent research indicates that social media platforms can bring considerable benefits, including improved communication, social connectivity, identity exploration, and access to supportive communities. However, excessive or problematic use has been linked to higher rates of anxiety, melancholy, loneliness, sleep disturbance, body dissatisfaction, cyberbullying exposure, and low self-esteem among teenagers (Odgers and Jensen, 2024 and UNICEF, 2024). These mental health difficulties are becoming more widely identified as a public health issue, as poor adolescent mental health can persist into adulthood, hurting school success, employment results, and overall emotional well-being.</w:t>
      </w:r>
    </w:p>
    <w:p w14:paraId="49272FBD" w14:textId="3C9AC08C" w:rsidR="00B94B7C" w:rsidRPr="00171DC0"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According to research, the relationship between social media use and mental health is complicated and diverse, with biological, psychological, and environmental factors all having an impact. While some adolescents benefit from online peer support and digital groups, others face negative consequences such as social comparison, FOMO, and pressure to meet unrealistic online standards (American Psychological Association, 2024). To explain these disparate outcomes, this essay employs Bowlby's Attachment Theory and Erikson's Psychosocial Development Theory. It critically assesses social media's good and bad effects on teenage mental health, as well as the theoretical frameworks' strengths and limits in describing modern digital conduct.</w:t>
      </w:r>
    </w:p>
    <w:p w14:paraId="59904F7B" w14:textId="4F263487" w:rsidR="00B94B7C" w:rsidRPr="00D26575" w:rsidRDefault="00B94B7C"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2.0</w:t>
      </w:r>
      <w:r w:rsidRPr="00D26575">
        <w:rPr>
          <w:rFonts w:ascii="Arial" w:hAnsi="Arial" w:cs="Arial"/>
          <w:b/>
          <w:bCs/>
          <w:color w:val="000000" w:themeColor="text1"/>
          <w:sz w:val="22"/>
          <w:szCs w:val="22"/>
        </w:rPr>
        <w:tab/>
        <w:t>Main Body</w:t>
      </w:r>
    </w:p>
    <w:p w14:paraId="04B25FCF" w14:textId="55D3E951" w:rsidR="00B94B7C" w:rsidRPr="00D26575" w:rsidRDefault="00B94B7C"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2.1</w:t>
      </w:r>
      <w:r w:rsidRPr="00D26575">
        <w:rPr>
          <w:rFonts w:ascii="Arial" w:hAnsi="Arial" w:cs="Arial"/>
          <w:b/>
          <w:bCs/>
          <w:color w:val="000000" w:themeColor="text1"/>
          <w:sz w:val="22"/>
          <w:szCs w:val="22"/>
        </w:rPr>
        <w:tab/>
        <w:t>Social Media, Anxiety, Depression and Emotional Wellbeing</w:t>
      </w:r>
    </w:p>
    <w:p w14:paraId="25654477"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One of the </w:t>
      </w:r>
      <w:proofErr w:type="gramStart"/>
      <w:r w:rsidRPr="00D26575">
        <w:rPr>
          <w:rFonts w:ascii="Arial" w:hAnsi="Arial" w:cs="Arial"/>
          <w:color w:val="000000" w:themeColor="text1"/>
          <w:sz w:val="22"/>
          <w:szCs w:val="22"/>
        </w:rPr>
        <w:t>most commonly raised</w:t>
      </w:r>
      <w:proofErr w:type="gramEnd"/>
      <w:r w:rsidRPr="00D26575">
        <w:rPr>
          <w:rFonts w:ascii="Arial" w:hAnsi="Arial" w:cs="Arial"/>
          <w:color w:val="000000" w:themeColor="text1"/>
          <w:sz w:val="22"/>
          <w:szCs w:val="22"/>
        </w:rPr>
        <w:t xml:space="preserve"> concerns about adolescent social media use is its link to anxiety, despair, and emotional distress. According to empirical research, continuous use of social networking platforms increases psychological susceptibility due to exposure to curated lifestyles, peer appraisal, and ongoing comparison (World Health Organization, 2024). Adolescents are </w:t>
      </w:r>
      <w:r w:rsidRPr="00D26575">
        <w:rPr>
          <w:rFonts w:ascii="Arial" w:hAnsi="Arial" w:cs="Arial"/>
          <w:color w:val="000000" w:themeColor="text1"/>
          <w:sz w:val="22"/>
          <w:szCs w:val="22"/>
        </w:rPr>
        <w:lastRenderedPageBreak/>
        <w:t>more vulnerable to these impacts because their cognitive and emotional systems are still growing, making them more sensitive to social input and affirmation.</w:t>
      </w:r>
    </w:p>
    <w:p w14:paraId="7DDD60A9"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Furthermore, research shows that upward social comparison plays an important role in emotional discomfort, as adolescents frequently compare their daily circumstances to </w:t>
      </w:r>
      <w:proofErr w:type="spellStart"/>
      <w:r w:rsidRPr="00D26575">
        <w:rPr>
          <w:rFonts w:ascii="Arial" w:hAnsi="Arial" w:cs="Arial"/>
          <w:color w:val="000000" w:themeColor="text1"/>
          <w:sz w:val="22"/>
          <w:szCs w:val="22"/>
        </w:rPr>
        <w:t>idealised</w:t>
      </w:r>
      <w:proofErr w:type="spellEnd"/>
      <w:r w:rsidRPr="00D26575">
        <w:rPr>
          <w:rFonts w:ascii="Arial" w:hAnsi="Arial" w:cs="Arial"/>
          <w:color w:val="000000" w:themeColor="text1"/>
          <w:sz w:val="22"/>
          <w:szCs w:val="22"/>
        </w:rPr>
        <w:t xml:space="preserve"> online images of peers and influencers (Odgers and Jensen, 2024). This process can lead to feelings of inadequacy, depressed mood, and low self-esteem. Fear of missing out (FOMO) exacerbates anxiety because adolescents feel compelled to be continually connected to social networks </w:t>
      </w:r>
      <w:proofErr w:type="gramStart"/>
      <w:r w:rsidRPr="00D26575">
        <w:rPr>
          <w:rFonts w:ascii="Arial" w:hAnsi="Arial" w:cs="Arial"/>
          <w:color w:val="000000" w:themeColor="text1"/>
          <w:sz w:val="22"/>
          <w:szCs w:val="22"/>
        </w:rPr>
        <w:t>in order to</w:t>
      </w:r>
      <w:proofErr w:type="gramEnd"/>
      <w:r w:rsidRPr="00D26575">
        <w:rPr>
          <w:rFonts w:ascii="Arial" w:hAnsi="Arial" w:cs="Arial"/>
          <w:color w:val="000000" w:themeColor="text1"/>
          <w:sz w:val="22"/>
          <w:szCs w:val="22"/>
        </w:rPr>
        <w:t xml:space="preserve"> prevent social </w:t>
      </w:r>
      <w:proofErr w:type="spellStart"/>
      <w:r w:rsidRPr="00D26575">
        <w:rPr>
          <w:rFonts w:ascii="Arial" w:hAnsi="Arial" w:cs="Arial"/>
          <w:color w:val="000000" w:themeColor="text1"/>
          <w:sz w:val="22"/>
          <w:szCs w:val="22"/>
        </w:rPr>
        <w:t>marginalisation</w:t>
      </w:r>
      <w:proofErr w:type="spellEnd"/>
      <w:r w:rsidRPr="00D26575">
        <w:rPr>
          <w:rFonts w:ascii="Arial" w:hAnsi="Arial" w:cs="Arial"/>
          <w:color w:val="000000" w:themeColor="text1"/>
          <w:sz w:val="22"/>
          <w:szCs w:val="22"/>
        </w:rPr>
        <w:t xml:space="preserve"> (Ofcom, 2024).</w:t>
      </w:r>
    </w:p>
    <w:p w14:paraId="5961EBF9" w14:textId="6EE11E6B"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However, social media is not completely negative. It can offer emotional support, particularly to adolescents who face isolation, </w:t>
      </w:r>
      <w:proofErr w:type="spellStart"/>
      <w:r w:rsidRPr="00D26575">
        <w:rPr>
          <w:rFonts w:ascii="Arial" w:hAnsi="Arial" w:cs="Arial"/>
          <w:color w:val="000000" w:themeColor="text1"/>
          <w:sz w:val="22"/>
          <w:szCs w:val="22"/>
        </w:rPr>
        <w:t>marginalisation</w:t>
      </w:r>
      <w:proofErr w:type="spellEnd"/>
      <w:r w:rsidRPr="00D26575">
        <w:rPr>
          <w:rFonts w:ascii="Arial" w:hAnsi="Arial" w:cs="Arial"/>
          <w:color w:val="000000" w:themeColor="text1"/>
          <w:sz w:val="22"/>
          <w:szCs w:val="22"/>
        </w:rPr>
        <w:t>, or difficulty in offline settings. Online peer groups and mental health communities can provide validation, shared experiences, and encouragement, perhaps alleviating feelings of loneliness (Mental Health Foundation, 2024). Nonetheless, overall research suggests that negative psychological consequences are more likely when use becomes excessive, compulsive, or emotionally reliant (NHS England, 2024).</w:t>
      </w:r>
    </w:p>
    <w:p w14:paraId="1CA6980F" w14:textId="4E72BDAF" w:rsidR="009C5660" w:rsidRPr="00D26575" w:rsidRDefault="00B94B7C"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2.2</w:t>
      </w:r>
      <w:r w:rsidRPr="00D26575">
        <w:rPr>
          <w:rFonts w:ascii="Arial" w:hAnsi="Arial" w:cs="Arial"/>
          <w:b/>
          <w:bCs/>
          <w:color w:val="000000" w:themeColor="text1"/>
          <w:sz w:val="22"/>
          <w:szCs w:val="22"/>
        </w:rPr>
        <w:tab/>
      </w:r>
      <w:r w:rsidR="009C5660" w:rsidRPr="00D26575">
        <w:rPr>
          <w:rFonts w:ascii="Arial" w:hAnsi="Arial" w:cs="Arial"/>
          <w:b/>
          <w:bCs/>
          <w:color w:val="000000" w:themeColor="text1"/>
          <w:sz w:val="22"/>
          <w:szCs w:val="22"/>
        </w:rPr>
        <w:t>Cyberbullying, sleep disruption, and social comparison effects</w:t>
      </w:r>
    </w:p>
    <w:p w14:paraId="5D022F6F"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Cyberbullying is one of the most serious concerns linked to adolescent social media use. Unlike conventional bullying, cyberbullying is ongoing, anonymous, and available </w:t>
      </w:r>
      <w:proofErr w:type="gramStart"/>
      <w:r w:rsidRPr="00D26575">
        <w:rPr>
          <w:rFonts w:ascii="Arial" w:hAnsi="Arial" w:cs="Arial"/>
          <w:color w:val="000000" w:themeColor="text1"/>
          <w:sz w:val="22"/>
          <w:szCs w:val="22"/>
        </w:rPr>
        <w:t>at all times</w:t>
      </w:r>
      <w:proofErr w:type="gramEnd"/>
      <w:r w:rsidRPr="00D26575">
        <w:rPr>
          <w:rFonts w:ascii="Arial" w:hAnsi="Arial" w:cs="Arial"/>
          <w:color w:val="000000" w:themeColor="text1"/>
          <w:sz w:val="22"/>
          <w:szCs w:val="22"/>
        </w:rPr>
        <w:t>, increasing psychological injury and limiting escape options (UNESCO, 2024). Victims frequently report increased anxiety, depression, social disengagement, and, in severe circumstances, suicidal ideation (NSPCC, 2024). The public and persistent character of internet harassment exacerbates emotional pain.</w:t>
      </w:r>
    </w:p>
    <w:p w14:paraId="0FD6F202" w14:textId="26F47A36"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Sleep disruption is another major issue. Excessive screen time, especially before bedtime, disrupts circadian rhythms and lowers sleep quality due to blue light exposure and cognitive stimulation (Nuffield Foundation, 2024). Poor sleep has been significantly linked to decreased emotional regulation, irritability, and an increased susceptibility to mental health illnesses.</w:t>
      </w:r>
      <w:r w:rsidR="009C5660" w:rsidRPr="00D26575">
        <w:rPr>
          <w:rFonts w:ascii="Arial" w:hAnsi="Arial" w:cs="Arial"/>
          <w:color w:val="000000" w:themeColor="text1"/>
          <w:sz w:val="22"/>
          <w:szCs w:val="22"/>
        </w:rPr>
        <w:t xml:space="preserve"> This creates a</w:t>
      </w:r>
      <w:r w:rsidRPr="00D26575">
        <w:rPr>
          <w:rFonts w:ascii="Arial" w:hAnsi="Arial" w:cs="Arial"/>
          <w:color w:val="000000" w:themeColor="text1"/>
          <w:sz w:val="22"/>
          <w:szCs w:val="22"/>
        </w:rPr>
        <w:t xml:space="preserve"> vital</w:t>
      </w:r>
      <w:r w:rsidR="009C5660" w:rsidRPr="00D26575">
        <w:rPr>
          <w:rFonts w:ascii="Arial" w:hAnsi="Arial" w:cs="Arial"/>
          <w:color w:val="000000" w:themeColor="text1"/>
          <w:sz w:val="22"/>
          <w:szCs w:val="22"/>
        </w:rPr>
        <w:t xml:space="preserve"> </w:t>
      </w:r>
      <w:r w:rsidRPr="00D26575">
        <w:rPr>
          <w:rFonts w:ascii="Arial" w:hAnsi="Arial" w:cs="Arial"/>
          <w:color w:val="000000" w:themeColor="text1"/>
          <w:sz w:val="22"/>
          <w:szCs w:val="22"/>
        </w:rPr>
        <w:t>v</w:t>
      </w:r>
      <w:r w:rsidR="009C5660" w:rsidRPr="00D26575">
        <w:rPr>
          <w:rFonts w:ascii="Arial" w:hAnsi="Arial" w:cs="Arial"/>
          <w:color w:val="000000" w:themeColor="text1"/>
          <w:sz w:val="22"/>
          <w:szCs w:val="22"/>
        </w:rPr>
        <w:t xml:space="preserve"> relationship where poor sleep exacerbates emotional distress, which in turn encourages further social media use.</w:t>
      </w:r>
    </w:p>
    <w:p w14:paraId="0ECDB571" w14:textId="035DB99F"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The social comparison theory explains physical dissatisfaction and low self-esteem in adolescents. Individuals assess their self-worth by comparing themselves to others, and social media facilitates this process by providing regular exposure to edited, filtered, and </w:t>
      </w:r>
      <w:proofErr w:type="spellStart"/>
      <w:r w:rsidRPr="00D26575">
        <w:rPr>
          <w:rFonts w:ascii="Arial" w:hAnsi="Arial" w:cs="Arial"/>
          <w:color w:val="000000" w:themeColor="text1"/>
          <w:sz w:val="22"/>
          <w:szCs w:val="22"/>
        </w:rPr>
        <w:t>idealised</w:t>
      </w:r>
      <w:proofErr w:type="spellEnd"/>
      <w:r w:rsidRPr="00D26575">
        <w:rPr>
          <w:rFonts w:ascii="Arial" w:hAnsi="Arial" w:cs="Arial"/>
          <w:color w:val="000000" w:themeColor="text1"/>
          <w:sz w:val="22"/>
          <w:szCs w:val="22"/>
        </w:rPr>
        <w:t xml:space="preserve"> content (Festinger, 1954). According to research conducted by the Mental Health Foundation </w:t>
      </w:r>
      <w:r w:rsidRPr="00D26575">
        <w:rPr>
          <w:rFonts w:ascii="Arial" w:hAnsi="Arial" w:cs="Arial"/>
          <w:color w:val="000000" w:themeColor="text1"/>
          <w:sz w:val="22"/>
          <w:szCs w:val="22"/>
        </w:rPr>
        <w:lastRenderedPageBreak/>
        <w:t xml:space="preserve">(2024), appearance-focused platforms play a substantial role in body image concerns, particularly among teenage girls. However, digital literacy education and parental mediation have been found to </w:t>
      </w:r>
      <w:proofErr w:type="spellStart"/>
      <w:r w:rsidRPr="00D26575">
        <w:rPr>
          <w:rFonts w:ascii="Arial" w:hAnsi="Arial" w:cs="Arial"/>
          <w:color w:val="000000" w:themeColor="text1"/>
          <w:sz w:val="22"/>
          <w:szCs w:val="22"/>
        </w:rPr>
        <w:t>minimise</w:t>
      </w:r>
      <w:proofErr w:type="spellEnd"/>
      <w:r w:rsidRPr="00D26575">
        <w:rPr>
          <w:rFonts w:ascii="Arial" w:hAnsi="Arial" w:cs="Arial"/>
          <w:color w:val="000000" w:themeColor="text1"/>
          <w:sz w:val="22"/>
          <w:szCs w:val="22"/>
        </w:rPr>
        <w:t xml:space="preserve"> susceptibility by fostering critical thinking about online content (Children's Commissioner for England, 2025).</w:t>
      </w:r>
    </w:p>
    <w:p w14:paraId="04B65CF0" w14:textId="4B0D981C" w:rsidR="009C5660" w:rsidRPr="00D26575" w:rsidRDefault="00B94B7C"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2.3</w:t>
      </w:r>
      <w:r w:rsidRPr="00D26575">
        <w:rPr>
          <w:rFonts w:ascii="Arial" w:hAnsi="Arial" w:cs="Arial"/>
          <w:b/>
          <w:bCs/>
          <w:color w:val="000000" w:themeColor="text1"/>
          <w:sz w:val="22"/>
          <w:szCs w:val="22"/>
        </w:rPr>
        <w:tab/>
      </w:r>
      <w:r w:rsidR="009C5660" w:rsidRPr="00D26575">
        <w:rPr>
          <w:rFonts w:ascii="Arial" w:hAnsi="Arial" w:cs="Arial"/>
          <w:b/>
          <w:bCs/>
          <w:color w:val="000000" w:themeColor="text1"/>
          <w:sz w:val="22"/>
          <w:szCs w:val="22"/>
        </w:rPr>
        <w:t>Erikson’s Psychosocial Development Theory and identity formation</w:t>
      </w:r>
    </w:p>
    <w:p w14:paraId="63180F18" w14:textId="0875A5CB"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Erikson's Psychosocial Development Theory offers a compelling explanation for teenage identity development in the age of social media. During the "Identity vs Role Confusion" stage, teenagers actively investigate personal values, beliefs, and social roles in attempt to form a clear sense of self (Steinberg, 2023). Social media platforms have a huge impact on this process because they enable adolescents to create, edit, and express their digital identities through posts, photographs, and conversations.</w:t>
      </w:r>
    </w:p>
    <w:p w14:paraId="051D0969"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Positive feedback, such as likes, comments, and shares, can boost self-esteem and facilitate identity discovery. This allows teenagers to experiment with many aspects of identity in a low-risk setting (American Psychological Association, 2024).  In such instances, teenagers may value social approbation over authenticity, resulting in identity uncertainty and mental instability.</w:t>
      </w:r>
    </w:p>
    <w:p w14:paraId="705CD870" w14:textId="17490277"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Furthermore, tailored online settings promote continual comparison to influencers and peers, which can distort self-perception and heighten feelings of inadequacy (Odgers and Jensen, 2024). According to Erikson, this can undermine good identity formation and raise the chance of role confusion. Erikson's theory has a flaw in that it was conceived before to the rise of digital technology, therefore it does not fully account for algorithm-driven engagement or the rapidity with which online social feedback occurs. Despite this shortcoming, it is extremely useful in describing teenage identity formation in contemporary digital contexts.</w:t>
      </w:r>
    </w:p>
    <w:p w14:paraId="34E83D38" w14:textId="42A9AC53" w:rsidR="009C5660" w:rsidRPr="00D26575" w:rsidRDefault="00B94B7C"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2.4</w:t>
      </w:r>
      <w:r w:rsidRPr="00D26575">
        <w:rPr>
          <w:rFonts w:ascii="Arial" w:hAnsi="Arial" w:cs="Arial"/>
          <w:b/>
          <w:bCs/>
          <w:color w:val="000000" w:themeColor="text1"/>
          <w:sz w:val="22"/>
          <w:szCs w:val="22"/>
        </w:rPr>
        <w:tab/>
      </w:r>
      <w:r w:rsidR="009C5660" w:rsidRPr="00D26575">
        <w:rPr>
          <w:rFonts w:ascii="Arial" w:hAnsi="Arial" w:cs="Arial"/>
          <w:b/>
          <w:bCs/>
          <w:color w:val="000000" w:themeColor="text1"/>
          <w:sz w:val="22"/>
          <w:szCs w:val="22"/>
        </w:rPr>
        <w:t>Bowlby’s Attachment Theory and online relationships</w:t>
      </w:r>
    </w:p>
    <w:p w14:paraId="08D41311"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Bowlby's Attachment Theory explains how early childhood carer interactions impact emotional regulation, interpersonal relationships, and coping mechanisms later in life (Bowlby, 1988). Throughout adolescence, attachment types continue to influence how people interact with social interactions, even those developed online.</w:t>
      </w:r>
    </w:p>
    <w:p w14:paraId="03959761" w14:textId="77777777" w:rsidR="00B94B7C"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Adolescents with secure attachment types likely to engage in better social media activities, using platforms to strengthen existing relationships and preserve emotional balance. Individuals with insecure attachment patterns may rely extensively on social media for approval, reassurance, </w:t>
      </w:r>
      <w:r w:rsidRPr="00D26575">
        <w:rPr>
          <w:rFonts w:ascii="Arial" w:hAnsi="Arial" w:cs="Arial"/>
          <w:color w:val="000000" w:themeColor="text1"/>
          <w:sz w:val="22"/>
          <w:szCs w:val="22"/>
        </w:rPr>
        <w:lastRenderedPageBreak/>
        <w:t xml:space="preserve">and emotional support. This dependence can make people more vulnerable to worry, especially when online input is </w:t>
      </w:r>
      <w:proofErr w:type="spellStart"/>
      <w:r w:rsidRPr="00D26575">
        <w:rPr>
          <w:rFonts w:ascii="Arial" w:hAnsi="Arial" w:cs="Arial"/>
          <w:color w:val="000000" w:themeColor="text1"/>
          <w:sz w:val="22"/>
          <w:szCs w:val="22"/>
        </w:rPr>
        <w:t>unfavourable</w:t>
      </w:r>
      <w:proofErr w:type="spellEnd"/>
      <w:r w:rsidRPr="00D26575">
        <w:rPr>
          <w:rFonts w:ascii="Arial" w:hAnsi="Arial" w:cs="Arial"/>
          <w:color w:val="000000" w:themeColor="text1"/>
          <w:sz w:val="22"/>
          <w:szCs w:val="22"/>
        </w:rPr>
        <w:t xml:space="preserve"> or absent.</w:t>
      </w:r>
    </w:p>
    <w:p w14:paraId="18AE5868" w14:textId="22488475" w:rsidR="009C5660" w:rsidRPr="00D26575" w:rsidRDefault="00B94B7C"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Cyberbullying </w:t>
      </w:r>
      <w:proofErr w:type="spellStart"/>
      <w:r w:rsidRPr="00D26575">
        <w:rPr>
          <w:rFonts w:ascii="Arial" w:hAnsi="Arial" w:cs="Arial"/>
          <w:color w:val="000000" w:themeColor="text1"/>
          <w:sz w:val="22"/>
          <w:szCs w:val="22"/>
        </w:rPr>
        <w:t>emphasises</w:t>
      </w:r>
      <w:proofErr w:type="spellEnd"/>
      <w:r w:rsidRPr="00D26575">
        <w:rPr>
          <w:rFonts w:ascii="Arial" w:hAnsi="Arial" w:cs="Arial"/>
          <w:color w:val="000000" w:themeColor="text1"/>
          <w:sz w:val="22"/>
          <w:szCs w:val="22"/>
        </w:rPr>
        <w:t xml:space="preserve"> the importance of attachment theory. Securely attached teenagers typically have greater support systems that protect them from online harm, whereas insecurely attached individuals may </w:t>
      </w:r>
      <w:proofErr w:type="spellStart"/>
      <w:r w:rsidRPr="00D26575">
        <w:rPr>
          <w:rFonts w:ascii="Arial" w:hAnsi="Arial" w:cs="Arial"/>
          <w:color w:val="000000" w:themeColor="text1"/>
          <w:sz w:val="22"/>
          <w:szCs w:val="22"/>
        </w:rPr>
        <w:t>internalise</w:t>
      </w:r>
      <w:proofErr w:type="spellEnd"/>
      <w:r w:rsidRPr="00D26575">
        <w:rPr>
          <w:rFonts w:ascii="Arial" w:hAnsi="Arial" w:cs="Arial"/>
          <w:color w:val="000000" w:themeColor="text1"/>
          <w:sz w:val="22"/>
          <w:szCs w:val="22"/>
        </w:rPr>
        <w:t xml:space="preserve"> bad experiences more profoundly (UNICEF, 2024). This suggests that connection security improves teenage mental health outcomes.</w:t>
      </w:r>
      <w:r w:rsidR="00171DC0">
        <w:rPr>
          <w:rFonts w:ascii="Arial" w:hAnsi="Arial" w:cs="Arial"/>
          <w:color w:val="000000" w:themeColor="text1"/>
          <w:sz w:val="22"/>
          <w:szCs w:val="22"/>
        </w:rPr>
        <w:t xml:space="preserve"> </w:t>
      </w:r>
      <w:r w:rsidRPr="00D26575">
        <w:rPr>
          <w:rFonts w:ascii="Arial" w:hAnsi="Arial" w:cs="Arial"/>
          <w:color w:val="000000" w:themeColor="text1"/>
          <w:sz w:val="22"/>
          <w:szCs w:val="22"/>
        </w:rPr>
        <w:t xml:space="preserve">However, Bowlby's hypothesis has limits in explaining contemporary digital activity. It does not adequately account for the impact of algorithms, online anonymity, or parasocial connections, which are widespread in social media settings. Nonetheless, it is still a useful framework for </w:t>
      </w:r>
      <w:proofErr w:type="spellStart"/>
      <w:r w:rsidRPr="00D26575">
        <w:rPr>
          <w:rFonts w:ascii="Arial" w:hAnsi="Arial" w:cs="Arial"/>
          <w:color w:val="000000" w:themeColor="text1"/>
          <w:sz w:val="22"/>
          <w:szCs w:val="22"/>
        </w:rPr>
        <w:t>analysing</w:t>
      </w:r>
      <w:proofErr w:type="spellEnd"/>
      <w:r w:rsidRPr="00D26575">
        <w:rPr>
          <w:rFonts w:ascii="Arial" w:hAnsi="Arial" w:cs="Arial"/>
          <w:color w:val="000000" w:themeColor="text1"/>
          <w:sz w:val="22"/>
          <w:szCs w:val="22"/>
        </w:rPr>
        <w:t xml:space="preserve"> emotional reliance and relationship conduct in adolescents.</w:t>
      </w:r>
    </w:p>
    <w:p w14:paraId="73825CD4" w14:textId="7F2D8847" w:rsidR="009C5660" w:rsidRPr="00D26575" w:rsidRDefault="0010283E"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2.5</w:t>
      </w:r>
      <w:r w:rsidRPr="00D26575">
        <w:rPr>
          <w:rFonts w:ascii="Arial" w:hAnsi="Arial" w:cs="Arial"/>
          <w:b/>
          <w:bCs/>
          <w:color w:val="000000" w:themeColor="text1"/>
          <w:sz w:val="22"/>
          <w:szCs w:val="22"/>
        </w:rPr>
        <w:tab/>
      </w:r>
      <w:r w:rsidR="009C5660" w:rsidRPr="00D26575">
        <w:rPr>
          <w:rFonts w:ascii="Arial" w:hAnsi="Arial" w:cs="Arial"/>
          <w:b/>
          <w:bCs/>
          <w:color w:val="000000" w:themeColor="text1"/>
          <w:sz w:val="22"/>
          <w:szCs w:val="22"/>
        </w:rPr>
        <w:t xml:space="preserve">Biological and environmental influences on adolescent </w:t>
      </w:r>
      <w:proofErr w:type="spellStart"/>
      <w:r w:rsidR="009C5660" w:rsidRPr="00D26575">
        <w:rPr>
          <w:rFonts w:ascii="Arial" w:hAnsi="Arial" w:cs="Arial"/>
          <w:b/>
          <w:bCs/>
          <w:color w:val="000000" w:themeColor="text1"/>
          <w:sz w:val="22"/>
          <w:szCs w:val="22"/>
        </w:rPr>
        <w:t>behaviour</w:t>
      </w:r>
      <w:proofErr w:type="spellEnd"/>
    </w:p>
    <w:p w14:paraId="22A30FFC" w14:textId="77777777" w:rsidR="0010283E" w:rsidRPr="00D26575" w:rsidRDefault="0010283E"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Adolescent attitudes toward social media are influenced by both biological and environmental variables. The prefrontal brain, which is responsible for impulse control and decision-making, is still maturing throughout adolescence, making people more responsive to reward-based stimuli like notifications and likes (American Psychological Association, 2024). This enhanced reward sensitivity may contribute to compulsive social media use. Hormonal changes during puberty can increase emotional reactivity and peer sensitivity, which intensifies online interactions (World Health Organization, 2024).</w:t>
      </w:r>
    </w:p>
    <w:p w14:paraId="385E74A6" w14:textId="77777777" w:rsidR="0010283E" w:rsidRPr="00D26575" w:rsidRDefault="0010283E"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Environmental effects are equally important. Parenting methods, peer interactions, and school contexts all influence how teenagers use digital platforms. Active parental monitoring and open communication have been found to limit exposure to hazardous internet content while increasing digital resilience (Ofcom, 2024). Additionally, socioeconomic inequality has an impact on adolescents' ability to critically </w:t>
      </w:r>
      <w:proofErr w:type="spellStart"/>
      <w:r w:rsidRPr="00D26575">
        <w:rPr>
          <w:rFonts w:ascii="Arial" w:hAnsi="Arial" w:cs="Arial"/>
          <w:color w:val="000000" w:themeColor="text1"/>
          <w:sz w:val="22"/>
          <w:szCs w:val="22"/>
        </w:rPr>
        <w:t>analyse</w:t>
      </w:r>
      <w:proofErr w:type="spellEnd"/>
      <w:r w:rsidRPr="00D26575">
        <w:rPr>
          <w:rFonts w:ascii="Arial" w:hAnsi="Arial" w:cs="Arial"/>
          <w:color w:val="000000" w:themeColor="text1"/>
          <w:sz w:val="22"/>
          <w:szCs w:val="22"/>
        </w:rPr>
        <w:t xml:space="preserve"> online material and handle social media hazards (Youth Endowment Fund, 2024).</w:t>
      </w:r>
    </w:p>
    <w:p w14:paraId="199A0F20" w14:textId="7682E74E" w:rsidR="009C5660" w:rsidRPr="00D26575" w:rsidRDefault="0010283E"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The interplay of biological vulnerability and environmental setting shows that social media effects are not uniform. Instead, outcomes are determined by individual resilience, social support systems, and consumption habits. This </w:t>
      </w:r>
      <w:proofErr w:type="spellStart"/>
      <w:r w:rsidRPr="00D26575">
        <w:rPr>
          <w:rFonts w:ascii="Arial" w:hAnsi="Arial" w:cs="Arial"/>
          <w:color w:val="000000" w:themeColor="text1"/>
          <w:sz w:val="22"/>
          <w:szCs w:val="22"/>
        </w:rPr>
        <w:t>emphasises</w:t>
      </w:r>
      <w:proofErr w:type="spellEnd"/>
      <w:r w:rsidRPr="00D26575">
        <w:rPr>
          <w:rFonts w:ascii="Arial" w:hAnsi="Arial" w:cs="Arial"/>
          <w:color w:val="000000" w:themeColor="text1"/>
          <w:sz w:val="22"/>
          <w:szCs w:val="22"/>
        </w:rPr>
        <w:t xml:space="preserve"> the significance of a comprehensive approach to adolescent mental health in digital environments.</w:t>
      </w:r>
    </w:p>
    <w:p w14:paraId="1C61F3C0" w14:textId="2AC67990" w:rsidR="0010283E" w:rsidRPr="00D26575" w:rsidRDefault="0010283E"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b/>
          <w:bCs/>
          <w:color w:val="000000" w:themeColor="text1"/>
          <w:sz w:val="22"/>
          <w:szCs w:val="22"/>
        </w:rPr>
        <w:t>3.0</w:t>
      </w:r>
      <w:r w:rsidRPr="00D26575">
        <w:rPr>
          <w:rFonts w:ascii="Arial" w:hAnsi="Arial" w:cs="Arial"/>
          <w:b/>
          <w:bCs/>
          <w:color w:val="000000" w:themeColor="text1"/>
          <w:sz w:val="22"/>
          <w:szCs w:val="22"/>
        </w:rPr>
        <w:tab/>
        <w:t>Conclusion</w:t>
      </w:r>
    </w:p>
    <w:p w14:paraId="5B5CBCFB" w14:textId="77777777" w:rsidR="0010283E" w:rsidRPr="00D26575" w:rsidRDefault="0010283E"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 xml:space="preserve">In conclusion, social media has a substantial and multifaceted impact on teenage mental health, with both positive and negative consequences.  However, it is highly linked to anxiety, depression, </w:t>
      </w:r>
      <w:r w:rsidRPr="00D26575">
        <w:rPr>
          <w:rFonts w:ascii="Arial" w:hAnsi="Arial" w:cs="Arial"/>
          <w:color w:val="000000" w:themeColor="text1"/>
          <w:sz w:val="22"/>
          <w:szCs w:val="22"/>
        </w:rPr>
        <w:lastRenderedPageBreak/>
        <w:t>cyberbullying, sleep disruption, body dissatisfaction, and low self-esteem (NHS England, 2024; Mental Health Foundation, 2024).</w:t>
      </w:r>
    </w:p>
    <w:p w14:paraId="71E3B8D5" w14:textId="07A0FDD6" w:rsidR="0010283E" w:rsidRPr="00D26575" w:rsidRDefault="0010283E" w:rsidP="0010283E">
      <w:pPr>
        <w:spacing w:line="360" w:lineRule="auto"/>
        <w:jc w:val="both"/>
        <w:textAlignment w:val="baseline"/>
        <w:rPr>
          <w:rFonts w:ascii="Arial" w:hAnsi="Arial" w:cs="Arial"/>
          <w:color w:val="000000" w:themeColor="text1"/>
          <w:sz w:val="22"/>
          <w:szCs w:val="22"/>
        </w:rPr>
      </w:pPr>
      <w:r w:rsidRPr="00D26575">
        <w:rPr>
          <w:rFonts w:ascii="Arial" w:hAnsi="Arial" w:cs="Arial"/>
          <w:color w:val="000000" w:themeColor="text1"/>
          <w:sz w:val="22"/>
          <w:szCs w:val="22"/>
        </w:rPr>
        <w:t>Bowlby's Attachment Theory describes how early emotional attachments affect teenagers' vulnerability or resilience to online experiences, whereas Erikson's Psychosocial Development Theory focuses on how social media influence identity formation and self-perception during adolescence. Although both theories have limits in addressing modern algorithm-driven platforms, they are nonetheless extremely valuable in studying psychological responses to digital surroundings.</w:t>
      </w:r>
    </w:p>
    <w:p w14:paraId="0BA5E209" w14:textId="461AA7B7" w:rsidR="00E23B93" w:rsidRPr="00D26575" w:rsidRDefault="0010283E" w:rsidP="0010283E">
      <w:pPr>
        <w:spacing w:line="360" w:lineRule="auto"/>
        <w:jc w:val="both"/>
        <w:textAlignment w:val="baseline"/>
        <w:rPr>
          <w:rFonts w:ascii="Arial" w:hAnsi="Arial" w:cs="Arial"/>
          <w:b/>
          <w:bCs/>
          <w:color w:val="000000" w:themeColor="text1"/>
          <w:sz w:val="22"/>
          <w:szCs w:val="22"/>
        </w:rPr>
      </w:pPr>
      <w:r w:rsidRPr="00D26575">
        <w:rPr>
          <w:rFonts w:ascii="Arial" w:hAnsi="Arial" w:cs="Arial"/>
          <w:color w:val="000000" w:themeColor="text1"/>
          <w:sz w:val="22"/>
          <w:szCs w:val="22"/>
        </w:rPr>
        <w:t>Overall, social media should not be considered as completely destructive or altogether good. Its influence is determined by the intensity of use, individual psychological qualities, and environmental support systems. To encourage safe and balanced social media use among teenagers, effective interventions should include digital literacy education, family engagement, school-based assistance, and public health policy.</w:t>
      </w:r>
    </w:p>
    <w:p w14:paraId="3F3889AA"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3EBF84B4"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07A3693F"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361C88C9"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5EF5AEC4"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23027E95"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5AC9E951" w14:textId="77777777" w:rsidR="00E23B93" w:rsidRPr="00D26575" w:rsidRDefault="00E23B93" w:rsidP="00E23B93">
      <w:pPr>
        <w:spacing w:line="360" w:lineRule="auto"/>
        <w:jc w:val="both"/>
        <w:textAlignment w:val="baseline"/>
        <w:rPr>
          <w:rFonts w:ascii="Arial" w:hAnsi="Arial" w:cs="Arial"/>
          <w:b/>
          <w:bCs/>
          <w:color w:val="000000" w:themeColor="text1"/>
          <w:sz w:val="22"/>
          <w:szCs w:val="22"/>
        </w:rPr>
      </w:pPr>
    </w:p>
    <w:p w14:paraId="29B8DC8E" w14:textId="77777777" w:rsidR="0010283E" w:rsidRPr="00D26575" w:rsidRDefault="0010283E" w:rsidP="00E23B93">
      <w:pPr>
        <w:spacing w:line="360" w:lineRule="auto"/>
        <w:jc w:val="both"/>
        <w:textAlignment w:val="baseline"/>
        <w:rPr>
          <w:rFonts w:ascii="Arial" w:hAnsi="Arial" w:cs="Arial"/>
          <w:b/>
          <w:bCs/>
          <w:color w:val="000000" w:themeColor="text1"/>
          <w:sz w:val="22"/>
          <w:szCs w:val="22"/>
        </w:rPr>
      </w:pPr>
    </w:p>
    <w:p w14:paraId="6381D3BD" w14:textId="77777777" w:rsidR="0010283E" w:rsidRPr="00D26575" w:rsidRDefault="0010283E" w:rsidP="00E23B93">
      <w:pPr>
        <w:spacing w:line="360" w:lineRule="auto"/>
        <w:jc w:val="both"/>
        <w:textAlignment w:val="baseline"/>
        <w:rPr>
          <w:rFonts w:ascii="Arial" w:hAnsi="Arial" w:cs="Arial"/>
          <w:b/>
          <w:bCs/>
          <w:color w:val="000000" w:themeColor="text1"/>
          <w:sz w:val="22"/>
          <w:szCs w:val="22"/>
        </w:rPr>
      </w:pPr>
    </w:p>
    <w:p w14:paraId="0096F608" w14:textId="77777777" w:rsidR="0010283E" w:rsidRPr="00D26575" w:rsidRDefault="0010283E" w:rsidP="00E23B93">
      <w:pPr>
        <w:spacing w:line="360" w:lineRule="auto"/>
        <w:jc w:val="both"/>
        <w:textAlignment w:val="baseline"/>
        <w:rPr>
          <w:rFonts w:ascii="Arial" w:hAnsi="Arial" w:cs="Arial"/>
          <w:b/>
          <w:bCs/>
          <w:color w:val="000000" w:themeColor="text1"/>
          <w:sz w:val="22"/>
          <w:szCs w:val="22"/>
        </w:rPr>
      </w:pPr>
    </w:p>
    <w:p w14:paraId="37414099" w14:textId="77777777" w:rsidR="00171DC0" w:rsidRDefault="00171DC0">
      <w:pPr>
        <w:rPr>
          <w:rFonts w:ascii="Arial" w:hAnsi="Arial" w:cs="Arial"/>
          <w:b/>
          <w:bCs/>
          <w:color w:val="000000" w:themeColor="text1"/>
          <w:sz w:val="22"/>
          <w:szCs w:val="22"/>
        </w:rPr>
      </w:pPr>
    </w:p>
    <w:p w14:paraId="14D3EF67" w14:textId="77777777" w:rsidR="00171DC0" w:rsidRDefault="00171DC0">
      <w:pPr>
        <w:rPr>
          <w:rFonts w:ascii="Arial" w:hAnsi="Arial" w:cs="Arial"/>
          <w:b/>
          <w:bCs/>
          <w:color w:val="000000" w:themeColor="text1"/>
          <w:sz w:val="22"/>
          <w:szCs w:val="22"/>
        </w:rPr>
      </w:pPr>
    </w:p>
    <w:p w14:paraId="43A94B3C" w14:textId="77777777" w:rsidR="00171DC0" w:rsidRDefault="00171DC0">
      <w:pPr>
        <w:rPr>
          <w:rFonts w:ascii="Arial" w:hAnsi="Arial" w:cs="Arial"/>
          <w:b/>
          <w:bCs/>
          <w:color w:val="000000" w:themeColor="text1"/>
          <w:sz w:val="22"/>
          <w:szCs w:val="22"/>
        </w:rPr>
      </w:pPr>
    </w:p>
    <w:p w14:paraId="41ED1584" w14:textId="77777777" w:rsidR="00171DC0" w:rsidRDefault="00171DC0">
      <w:pPr>
        <w:rPr>
          <w:rFonts w:ascii="Arial" w:hAnsi="Arial" w:cs="Arial"/>
          <w:b/>
          <w:bCs/>
          <w:color w:val="000000" w:themeColor="text1"/>
          <w:sz w:val="22"/>
          <w:szCs w:val="22"/>
        </w:rPr>
      </w:pPr>
    </w:p>
    <w:p w14:paraId="43CBE057" w14:textId="77777777" w:rsidR="00171DC0" w:rsidRDefault="00171DC0">
      <w:pPr>
        <w:rPr>
          <w:rFonts w:ascii="Arial" w:hAnsi="Arial" w:cs="Arial"/>
          <w:b/>
          <w:bCs/>
          <w:color w:val="000000" w:themeColor="text1"/>
          <w:sz w:val="22"/>
          <w:szCs w:val="22"/>
        </w:rPr>
      </w:pPr>
    </w:p>
    <w:p w14:paraId="2CF78393" w14:textId="77777777" w:rsidR="00171DC0" w:rsidRDefault="00171DC0">
      <w:pPr>
        <w:rPr>
          <w:rFonts w:ascii="Arial" w:hAnsi="Arial" w:cs="Arial"/>
          <w:b/>
          <w:bCs/>
          <w:color w:val="000000" w:themeColor="text1"/>
          <w:sz w:val="22"/>
          <w:szCs w:val="22"/>
        </w:rPr>
      </w:pPr>
    </w:p>
    <w:p w14:paraId="0605200E" w14:textId="11EB47BF" w:rsidR="004121B3" w:rsidRPr="00D26575" w:rsidRDefault="0010283E"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4.0</w:t>
      </w:r>
      <w:r w:rsidR="004121B3">
        <w:rPr>
          <w:rFonts w:ascii="Arial" w:hAnsi="Arial" w:cs="Arial"/>
          <w:b/>
          <w:bCs/>
          <w:color w:val="000000" w:themeColor="text1"/>
          <w:sz w:val="22"/>
          <w:szCs w:val="22"/>
        </w:rPr>
        <w:t xml:space="preserve"> </w:t>
      </w:r>
      <w:r w:rsidR="004121B3">
        <w:rPr>
          <w:rFonts w:ascii="Arial" w:hAnsi="Arial" w:cs="Arial"/>
          <w:b/>
          <w:bCs/>
          <w:color w:val="000000" w:themeColor="text1"/>
          <w:sz w:val="22"/>
          <w:szCs w:val="22"/>
        </w:rPr>
        <w:tab/>
      </w:r>
      <w:r w:rsidR="004121B3" w:rsidRPr="00D26575">
        <w:rPr>
          <w:rFonts w:ascii="Arial" w:hAnsi="Arial" w:cs="Arial"/>
          <w:b/>
          <w:bCs/>
          <w:color w:val="000000" w:themeColor="text1"/>
          <w:sz w:val="22"/>
          <w:szCs w:val="22"/>
        </w:rPr>
        <w:t>Appendices</w:t>
      </w:r>
    </w:p>
    <w:p w14:paraId="0DAB5A5C"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1: Selected Theories and Source</w:t>
      </w:r>
    </w:p>
    <w:p w14:paraId="01B6216A"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This section discusses two psychological theories that are relevant to understanding mental health and </w:t>
      </w:r>
      <w:proofErr w:type="spellStart"/>
      <w:r w:rsidRPr="00D26575">
        <w:rPr>
          <w:rFonts w:ascii="Arial" w:hAnsi="Arial" w:cs="Arial"/>
          <w:color w:val="000000" w:themeColor="text1"/>
          <w:sz w:val="22"/>
          <w:szCs w:val="22"/>
        </w:rPr>
        <w:t>behaviour</w:t>
      </w:r>
      <w:proofErr w:type="spellEnd"/>
      <w:r w:rsidRPr="00D26575">
        <w:rPr>
          <w:rFonts w:ascii="Arial" w:hAnsi="Arial" w:cs="Arial"/>
          <w:color w:val="000000" w:themeColor="text1"/>
          <w:sz w:val="22"/>
          <w:szCs w:val="22"/>
        </w:rPr>
        <w:t xml:space="preserve"> throughout the lifetime. The first theory chosen from Weeks 1–5 is Erikson's Psychosocial Development Theory, namely the stage of Identity vs Role Confusion. Two major sources were Steinberg (2023) Adolescence and Odgers and Jensen (2024) Adolescent Mental Health in the Digital Age.</w:t>
      </w:r>
    </w:p>
    <w:p w14:paraId="432C9681"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The second theory chosen from Weeks 7-9 is Bowlby's Attachment Theory, which is supported by Bowlby (1988) A Secure Base and the Royal College of Psychiatrists (2023) Digital Relationships and Emotional Wellbeing in Young People. These sources give evidence on emotional growth, identity formation, and relational </w:t>
      </w:r>
      <w:proofErr w:type="spellStart"/>
      <w:r w:rsidRPr="00D26575">
        <w:rPr>
          <w:rFonts w:ascii="Arial" w:hAnsi="Arial" w:cs="Arial"/>
          <w:color w:val="000000" w:themeColor="text1"/>
          <w:sz w:val="22"/>
          <w:szCs w:val="22"/>
        </w:rPr>
        <w:t>behaviour</w:t>
      </w:r>
      <w:proofErr w:type="spellEnd"/>
      <w:r w:rsidRPr="00D26575">
        <w:rPr>
          <w:rFonts w:ascii="Arial" w:hAnsi="Arial" w:cs="Arial"/>
          <w:color w:val="000000" w:themeColor="text1"/>
          <w:sz w:val="22"/>
          <w:szCs w:val="22"/>
        </w:rPr>
        <w:t xml:space="preserve"> in digital settings.</w:t>
      </w:r>
    </w:p>
    <w:p w14:paraId="2096B925"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2: Summary of Key Arguments and Findings</w:t>
      </w:r>
    </w:p>
    <w:p w14:paraId="51498899"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According to Steinberg (2023), adolescence is marked by the psychosocial conflict Identity against Role Confusion, in which adolescents actively investigate their identity, values, and social roles. Peer interaction and environmental feedback play a significant role in identity formation. Odgers and Jensen (2024) build on this notion by demonstrating how digital platforms encourage identity development through continual feedback mechanisms such as likes, comments, and social comparison. </w:t>
      </w:r>
    </w:p>
    <w:p w14:paraId="0D0A2C5A"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Bowlby (1988) contends that early carer interactions establish internal working models that regulate emotional regulation and interpersonal </w:t>
      </w:r>
      <w:proofErr w:type="spellStart"/>
      <w:r w:rsidRPr="00D26575">
        <w:rPr>
          <w:rFonts w:ascii="Arial" w:hAnsi="Arial" w:cs="Arial"/>
          <w:color w:val="000000" w:themeColor="text1"/>
          <w:sz w:val="22"/>
          <w:szCs w:val="22"/>
        </w:rPr>
        <w:t>behaviour</w:t>
      </w:r>
      <w:proofErr w:type="spellEnd"/>
      <w:r w:rsidRPr="00D26575">
        <w:rPr>
          <w:rFonts w:ascii="Arial" w:hAnsi="Arial" w:cs="Arial"/>
          <w:color w:val="000000" w:themeColor="text1"/>
          <w:sz w:val="22"/>
          <w:szCs w:val="22"/>
        </w:rPr>
        <w:t xml:space="preserve"> throughout adulthood. Secure attachment fosters emotional resilience, whereas insecure attachment increases sensitivity to anxiety and dependence. The Royal College of Psychiatrists (2023) agrees, stating that teenagers with insecure attachment are more inclined to seek affirmation on social media sites, especially when offline support is limited. They also point out that while online connections can momentarily satisfy attachment requirements, uneven feedback can lead to increased emotional instability.</w:t>
      </w:r>
    </w:p>
    <w:p w14:paraId="5A543935"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3: Evaluation of Relevance to older Adults</w:t>
      </w:r>
    </w:p>
    <w:p w14:paraId="6C238F27"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Erikson's theory is particularly relevant in supporting older individuals in health and social care, as it explains the ultimate stage of psychosocial development: Integrity versus despair. Older persons frequently reflect on their accomplishments, which can aid in emotional acceptance and </w:t>
      </w:r>
      <w:r w:rsidRPr="00D26575">
        <w:rPr>
          <w:rFonts w:ascii="Arial" w:hAnsi="Arial" w:cs="Arial"/>
          <w:color w:val="000000" w:themeColor="text1"/>
          <w:sz w:val="22"/>
          <w:szCs w:val="22"/>
        </w:rPr>
        <w:lastRenderedPageBreak/>
        <w:t xml:space="preserve">psychological well-being. In care settings, this approach is implemented through recollection therapy and life review therapies that increase dignity and </w:t>
      </w:r>
      <w:proofErr w:type="spellStart"/>
      <w:r w:rsidRPr="00D26575">
        <w:rPr>
          <w:rFonts w:ascii="Arial" w:hAnsi="Arial" w:cs="Arial"/>
          <w:color w:val="000000" w:themeColor="text1"/>
          <w:sz w:val="22"/>
          <w:szCs w:val="22"/>
        </w:rPr>
        <w:t>minimise</w:t>
      </w:r>
      <w:proofErr w:type="spellEnd"/>
      <w:r w:rsidRPr="00D26575">
        <w:rPr>
          <w:rFonts w:ascii="Arial" w:hAnsi="Arial" w:cs="Arial"/>
          <w:color w:val="000000" w:themeColor="text1"/>
          <w:sz w:val="22"/>
          <w:szCs w:val="22"/>
        </w:rPr>
        <w:t xml:space="preserve"> depression. However, Erikson's model has a disadvantage in that it is stage-based and does not completely account for cultural, economic, or health differences influencing ageing experiences.</w:t>
      </w:r>
    </w:p>
    <w:p w14:paraId="2B37B066"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Bowlby's Attachment Theory is also applicable to elderly persons since attachment requirements persist throughout the lifespan. Older persons in residential care frequently rely on carers as emotional attachment figures, especially following bereavement or loss of freedom. Secure relationship promotes emotional stability and alleviates loneliness. However, the theory may underestimate institutional issues like as staffing levels, care quality, and organisational restrictions, all of which have a substantial impact on well-being in care situations.</w:t>
      </w:r>
    </w:p>
    <w:p w14:paraId="1276FBD2"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Part B: Short Report</w:t>
      </w:r>
    </w:p>
    <w:p w14:paraId="79A754B1"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1: Selected Theory</w:t>
      </w:r>
    </w:p>
    <w:p w14:paraId="23690D5A"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Bowlby's Attachment Theory was chosen for this section because it is particularly relevant to emotional care, connection building, and psychological well-being in residential care settings.</w:t>
      </w:r>
    </w:p>
    <w:p w14:paraId="103203B3"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2: Introduction to the Theory</w:t>
      </w:r>
    </w:p>
    <w:p w14:paraId="69C4A0DF"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Bowlby's Attachment Theory explains how early emotional attachments with carers influence an individual's emotional development, coping strategies, and interpersonal relationships throughout their lives (Bowlby, 1988). The idea distinguishes between secure and insecure attachment types, which affect how people respond to stress, relationships, and separation. Attachment theory is critical in health and social care for </w:t>
      </w:r>
      <w:proofErr w:type="spellStart"/>
      <w:r w:rsidRPr="00D26575">
        <w:rPr>
          <w:rFonts w:ascii="Arial" w:hAnsi="Arial" w:cs="Arial"/>
          <w:color w:val="000000" w:themeColor="text1"/>
          <w:sz w:val="22"/>
          <w:szCs w:val="22"/>
        </w:rPr>
        <w:t>recognising</w:t>
      </w:r>
      <w:proofErr w:type="spellEnd"/>
      <w:r w:rsidRPr="00D26575">
        <w:rPr>
          <w:rFonts w:ascii="Arial" w:hAnsi="Arial" w:cs="Arial"/>
          <w:color w:val="000000" w:themeColor="text1"/>
          <w:sz w:val="22"/>
          <w:szCs w:val="22"/>
        </w:rPr>
        <w:t xml:space="preserve"> emotional needs, especially among older persons in residential care who may be lonely, grieving, or separated from their families.</w:t>
      </w:r>
    </w:p>
    <w:p w14:paraId="375C89B7"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Application in Residential Care Settings</w:t>
      </w:r>
    </w:p>
    <w:p w14:paraId="741C113C"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Attachment Theory can increase well-being in nursing homes by fostering secure, trusting connections between residents and carers. When personnel provide continuous emotional support, reassurance, and empathic communication, residents are more likely to feel safe and valued. This lowers anxiety, increases mood, and boosts general psychological well-being. The theory promotes person-</w:t>
      </w:r>
      <w:proofErr w:type="spellStart"/>
      <w:r w:rsidRPr="00D26575">
        <w:rPr>
          <w:rFonts w:ascii="Arial" w:hAnsi="Arial" w:cs="Arial"/>
          <w:color w:val="000000" w:themeColor="text1"/>
          <w:sz w:val="22"/>
          <w:szCs w:val="22"/>
        </w:rPr>
        <w:t>centred</w:t>
      </w:r>
      <w:proofErr w:type="spellEnd"/>
      <w:r w:rsidRPr="00D26575">
        <w:rPr>
          <w:rFonts w:ascii="Arial" w:hAnsi="Arial" w:cs="Arial"/>
          <w:color w:val="000000" w:themeColor="text1"/>
          <w:sz w:val="22"/>
          <w:szCs w:val="22"/>
        </w:rPr>
        <w:t xml:space="preserve"> care, in which emotional needs are valued alongside physical demands.</w:t>
      </w:r>
    </w:p>
    <w:p w14:paraId="73CE303E"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For example, an older adult who has recently moved into a care home may experience emotional anguish </w:t>
      </w:r>
      <w:proofErr w:type="gramStart"/>
      <w:r w:rsidRPr="00D26575">
        <w:rPr>
          <w:rFonts w:ascii="Arial" w:hAnsi="Arial" w:cs="Arial"/>
          <w:color w:val="000000" w:themeColor="text1"/>
          <w:sz w:val="22"/>
          <w:szCs w:val="22"/>
        </w:rPr>
        <w:t>as a result of</w:t>
      </w:r>
      <w:proofErr w:type="gramEnd"/>
      <w:r w:rsidRPr="00D26575">
        <w:rPr>
          <w:rFonts w:ascii="Arial" w:hAnsi="Arial" w:cs="Arial"/>
          <w:color w:val="000000" w:themeColor="text1"/>
          <w:sz w:val="22"/>
          <w:szCs w:val="22"/>
        </w:rPr>
        <w:t xml:space="preserve"> being separated from family. A steady key worker who offers daily emotional </w:t>
      </w:r>
      <w:r w:rsidRPr="00D26575">
        <w:rPr>
          <w:rFonts w:ascii="Arial" w:hAnsi="Arial" w:cs="Arial"/>
          <w:color w:val="000000" w:themeColor="text1"/>
          <w:sz w:val="22"/>
          <w:szCs w:val="22"/>
        </w:rPr>
        <w:lastRenderedPageBreak/>
        <w:t xml:space="preserve">support and companionship can serve as a secondary attachment figure. Over time, this relationship has the potential to </w:t>
      </w:r>
      <w:proofErr w:type="spellStart"/>
      <w:r w:rsidRPr="00D26575">
        <w:rPr>
          <w:rFonts w:ascii="Arial" w:hAnsi="Arial" w:cs="Arial"/>
          <w:color w:val="000000" w:themeColor="text1"/>
          <w:sz w:val="22"/>
          <w:szCs w:val="22"/>
        </w:rPr>
        <w:t>minimise</w:t>
      </w:r>
      <w:proofErr w:type="spellEnd"/>
      <w:r w:rsidRPr="00D26575">
        <w:rPr>
          <w:rFonts w:ascii="Arial" w:hAnsi="Arial" w:cs="Arial"/>
          <w:color w:val="000000" w:themeColor="text1"/>
          <w:sz w:val="22"/>
          <w:szCs w:val="22"/>
        </w:rPr>
        <w:t xml:space="preserve"> loneliness and increase social interaction in the care home setting.</w:t>
      </w:r>
    </w:p>
    <w:p w14:paraId="481DA7B2"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3: Example Scenario</w:t>
      </w:r>
    </w:p>
    <w:p w14:paraId="34B7242B"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Mrs. A, an 83-year-old resident, just moved into a care home due to worsening health. She first refused to participate in social events, displaying signs of uneasiness and withdrawal. A designated care worker was assigned to her to provide ongoing emotional support, daily discussion, and reassurance. </w:t>
      </w:r>
      <w:proofErr w:type="spellStart"/>
      <w:r w:rsidRPr="00D26575">
        <w:rPr>
          <w:rFonts w:ascii="Arial" w:hAnsi="Arial" w:cs="Arial"/>
          <w:color w:val="000000" w:themeColor="text1"/>
          <w:sz w:val="22"/>
          <w:szCs w:val="22"/>
        </w:rPr>
        <w:t>Mrs</w:t>
      </w:r>
      <w:proofErr w:type="spellEnd"/>
      <w:r w:rsidRPr="00D26575">
        <w:rPr>
          <w:rFonts w:ascii="Arial" w:hAnsi="Arial" w:cs="Arial"/>
          <w:color w:val="000000" w:themeColor="text1"/>
          <w:sz w:val="22"/>
          <w:szCs w:val="22"/>
        </w:rPr>
        <w:t xml:space="preserve"> A gradually gained trust in the carer, began to participate in group activities, and had greater emotional well-being. This shows how attachment-based care might improve psychological adjustment in residential settings.</w:t>
      </w:r>
    </w:p>
    <w:p w14:paraId="70F34A8D"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4: Challenge in Application</w:t>
      </w:r>
    </w:p>
    <w:p w14:paraId="4080079F"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High staff turnover and instability in caregiving relationships are significant challenges when implementing Attachment Theory in care homes. Frequent staff changes can damage emotional relationships, diminish trust, and cause anxiety among residents. This may have a detrimental impact on emotional stability and limit engagement in care tasks.</w:t>
      </w:r>
    </w:p>
    <w:p w14:paraId="0AB1371B" w14:textId="77777777" w:rsidR="004121B3" w:rsidRPr="00D26575" w:rsidRDefault="004121B3" w:rsidP="004121B3">
      <w:pPr>
        <w:spacing w:line="360" w:lineRule="auto"/>
        <w:jc w:val="both"/>
        <w:rPr>
          <w:rFonts w:ascii="Arial" w:hAnsi="Arial" w:cs="Arial"/>
          <w:b/>
          <w:bCs/>
          <w:color w:val="000000" w:themeColor="text1"/>
          <w:sz w:val="22"/>
          <w:szCs w:val="22"/>
        </w:rPr>
      </w:pPr>
      <w:r w:rsidRPr="00D26575">
        <w:rPr>
          <w:rFonts w:ascii="Arial" w:hAnsi="Arial" w:cs="Arial"/>
          <w:b/>
          <w:bCs/>
          <w:color w:val="000000" w:themeColor="text1"/>
          <w:sz w:val="22"/>
          <w:szCs w:val="22"/>
        </w:rPr>
        <w:t>Step 5: Evidence-Based Solution</w:t>
      </w:r>
    </w:p>
    <w:p w14:paraId="4B9BC034" w14:textId="77777777" w:rsidR="004121B3"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color w:val="000000" w:themeColor="text1"/>
          <w:sz w:val="22"/>
          <w:szCs w:val="22"/>
        </w:rPr>
        <w:t>An evidence-based solution is to develop continuity of care models, in which residents are assigned constant key workers or small care teams. According to NICE (2023), continuity of care promotes emotional well-being, lowers worry, and increases trust in care partnerships. Furthermore, relationship-centered care training for staff enhances communication skills and emotional responsiveness, hence enhancing attachment security in residential care settings.</w:t>
      </w:r>
    </w:p>
    <w:p w14:paraId="2F6D0676" w14:textId="312969FA" w:rsidR="004121B3" w:rsidRDefault="004121B3">
      <w:pPr>
        <w:rPr>
          <w:rFonts w:ascii="Arial" w:hAnsi="Arial" w:cs="Arial"/>
          <w:b/>
          <w:bCs/>
          <w:color w:val="000000" w:themeColor="text1"/>
          <w:sz w:val="22"/>
          <w:szCs w:val="22"/>
        </w:rPr>
      </w:pPr>
    </w:p>
    <w:p w14:paraId="2FF5E0C2" w14:textId="77777777" w:rsidR="004121B3" w:rsidRDefault="004121B3">
      <w:pPr>
        <w:rPr>
          <w:rFonts w:ascii="Arial" w:hAnsi="Arial" w:cs="Arial"/>
          <w:b/>
          <w:bCs/>
          <w:color w:val="000000" w:themeColor="text1"/>
          <w:sz w:val="22"/>
          <w:szCs w:val="22"/>
        </w:rPr>
      </w:pPr>
    </w:p>
    <w:p w14:paraId="7D3C39F6" w14:textId="77777777" w:rsidR="004121B3" w:rsidRDefault="004121B3">
      <w:pPr>
        <w:rPr>
          <w:rFonts w:ascii="Arial" w:hAnsi="Arial" w:cs="Arial"/>
          <w:b/>
          <w:bCs/>
          <w:color w:val="000000" w:themeColor="text1"/>
          <w:sz w:val="22"/>
          <w:szCs w:val="22"/>
        </w:rPr>
      </w:pPr>
    </w:p>
    <w:p w14:paraId="340A012F" w14:textId="77777777" w:rsidR="004121B3" w:rsidRDefault="004121B3">
      <w:pPr>
        <w:rPr>
          <w:rFonts w:ascii="Arial" w:hAnsi="Arial" w:cs="Arial"/>
          <w:b/>
          <w:bCs/>
          <w:color w:val="000000" w:themeColor="text1"/>
          <w:sz w:val="22"/>
          <w:szCs w:val="22"/>
        </w:rPr>
      </w:pPr>
    </w:p>
    <w:p w14:paraId="61D3EB72" w14:textId="77777777" w:rsidR="004121B3" w:rsidRDefault="004121B3">
      <w:pPr>
        <w:rPr>
          <w:rFonts w:ascii="Arial" w:hAnsi="Arial" w:cs="Arial"/>
          <w:b/>
          <w:bCs/>
          <w:color w:val="000000" w:themeColor="text1"/>
          <w:sz w:val="22"/>
          <w:szCs w:val="22"/>
        </w:rPr>
      </w:pPr>
    </w:p>
    <w:p w14:paraId="2A27669D" w14:textId="77777777" w:rsidR="004121B3" w:rsidRDefault="004121B3">
      <w:pPr>
        <w:rPr>
          <w:rFonts w:ascii="Arial" w:hAnsi="Arial" w:cs="Arial"/>
          <w:b/>
          <w:bCs/>
          <w:color w:val="000000" w:themeColor="text1"/>
          <w:sz w:val="22"/>
          <w:szCs w:val="22"/>
        </w:rPr>
      </w:pPr>
    </w:p>
    <w:p w14:paraId="2216F045" w14:textId="77777777" w:rsidR="004121B3" w:rsidRDefault="004121B3">
      <w:pPr>
        <w:rPr>
          <w:rFonts w:ascii="Arial" w:hAnsi="Arial" w:cs="Arial"/>
          <w:b/>
          <w:bCs/>
          <w:color w:val="000000" w:themeColor="text1"/>
          <w:sz w:val="22"/>
          <w:szCs w:val="22"/>
        </w:rPr>
      </w:pPr>
    </w:p>
    <w:p w14:paraId="261C9F65" w14:textId="77777777" w:rsidR="004121B3" w:rsidRDefault="004121B3">
      <w:pPr>
        <w:rPr>
          <w:rFonts w:ascii="Arial" w:hAnsi="Arial" w:cs="Arial"/>
          <w:b/>
          <w:bCs/>
          <w:color w:val="000000" w:themeColor="text1"/>
          <w:sz w:val="22"/>
          <w:szCs w:val="22"/>
        </w:rPr>
      </w:pPr>
    </w:p>
    <w:p w14:paraId="00D7E5A7" w14:textId="3F54F089" w:rsidR="00D17F37" w:rsidRPr="00D26575" w:rsidRDefault="004121B3" w:rsidP="004121B3">
      <w:pPr>
        <w:spacing w:line="360" w:lineRule="auto"/>
        <w:jc w:val="both"/>
        <w:rPr>
          <w:rFonts w:ascii="Arial" w:hAnsi="Arial" w:cs="Arial"/>
          <w:color w:val="000000" w:themeColor="text1"/>
          <w:sz w:val="22"/>
          <w:szCs w:val="22"/>
        </w:rPr>
      </w:pPr>
      <w:r w:rsidRPr="00D26575">
        <w:rPr>
          <w:rFonts w:ascii="Arial" w:hAnsi="Arial" w:cs="Arial"/>
          <w:b/>
          <w:bCs/>
          <w:color w:val="000000" w:themeColor="text1"/>
          <w:sz w:val="22"/>
          <w:szCs w:val="22"/>
        </w:rPr>
        <w:lastRenderedPageBreak/>
        <w:t>5.0</w:t>
      </w:r>
      <w:r w:rsidRPr="00D26575">
        <w:rPr>
          <w:rFonts w:ascii="Arial" w:hAnsi="Arial" w:cs="Arial"/>
          <w:b/>
          <w:bCs/>
          <w:color w:val="000000" w:themeColor="text1"/>
          <w:sz w:val="22"/>
          <w:szCs w:val="22"/>
        </w:rPr>
        <w:tab/>
      </w:r>
      <w:r w:rsidR="00E23B93" w:rsidRPr="00D26575">
        <w:rPr>
          <w:rFonts w:ascii="Arial" w:hAnsi="Arial" w:cs="Arial"/>
          <w:b/>
          <w:bCs/>
          <w:color w:val="000000" w:themeColor="text1"/>
          <w:sz w:val="22"/>
          <w:szCs w:val="22"/>
        </w:rPr>
        <w:t>References</w:t>
      </w:r>
    </w:p>
    <w:p w14:paraId="2DCEC774"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American Psychological Association (2024) </w:t>
      </w:r>
      <w:r w:rsidRPr="00D26575">
        <w:rPr>
          <w:rFonts w:ascii="Arial" w:hAnsi="Arial" w:cs="Arial"/>
          <w:i/>
          <w:iCs/>
          <w:color w:val="000000" w:themeColor="text1"/>
          <w:sz w:val="22"/>
          <w:szCs w:val="22"/>
        </w:rPr>
        <w:t>Health Advisory on Social Media Use in Adolescence</w:t>
      </w:r>
      <w:r w:rsidRPr="00D26575">
        <w:rPr>
          <w:rFonts w:ascii="Arial" w:hAnsi="Arial" w:cs="Arial"/>
          <w:color w:val="000000" w:themeColor="text1"/>
          <w:sz w:val="22"/>
          <w:szCs w:val="22"/>
        </w:rPr>
        <w:t xml:space="preserve">. Washington, DC: American Psychological Association. Available at: </w:t>
      </w:r>
      <w:hyperlink r:id="rId8" w:tgtFrame="_new" w:history="1">
        <w:r w:rsidRPr="00D26575">
          <w:rPr>
            <w:rStyle w:val="Hyperlink"/>
            <w:rFonts w:ascii="Arial" w:hAnsi="Arial" w:cs="Arial"/>
            <w:color w:val="000000" w:themeColor="text1"/>
            <w:sz w:val="22"/>
            <w:szCs w:val="22"/>
            <w:u w:val="none"/>
          </w:rPr>
          <w:t>https://www.apa.org</w:t>
        </w:r>
      </w:hyperlink>
      <w:r w:rsidRPr="00D26575">
        <w:rPr>
          <w:rFonts w:ascii="Arial" w:hAnsi="Arial" w:cs="Arial"/>
          <w:color w:val="000000" w:themeColor="text1"/>
          <w:sz w:val="22"/>
          <w:szCs w:val="22"/>
        </w:rPr>
        <w:t xml:space="preserve"> (Accessed: 11 June 2026).</w:t>
      </w:r>
    </w:p>
    <w:p w14:paraId="70C6815B"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British Psychological Society (2023) </w:t>
      </w:r>
      <w:r w:rsidRPr="00D26575">
        <w:rPr>
          <w:rFonts w:ascii="Arial" w:hAnsi="Arial" w:cs="Arial"/>
          <w:i/>
          <w:iCs/>
          <w:color w:val="000000" w:themeColor="text1"/>
          <w:sz w:val="22"/>
          <w:szCs w:val="22"/>
        </w:rPr>
        <w:t>Children, Young People and Digital Technology: Psychological Impacts</w:t>
      </w:r>
      <w:r w:rsidRPr="00D26575">
        <w:rPr>
          <w:rFonts w:ascii="Arial" w:hAnsi="Arial" w:cs="Arial"/>
          <w:color w:val="000000" w:themeColor="text1"/>
          <w:sz w:val="22"/>
          <w:szCs w:val="22"/>
        </w:rPr>
        <w:t xml:space="preserve">. Leicester: British Psychological Society. Available at: </w:t>
      </w:r>
      <w:hyperlink r:id="rId9" w:tgtFrame="_new" w:history="1">
        <w:r w:rsidRPr="00D26575">
          <w:rPr>
            <w:rStyle w:val="Hyperlink"/>
            <w:rFonts w:ascii="Arial" w:hAnsi="Arial" w:cs="Arial"/>
            <w:color w:val="000000" w:themeColor="text1"/>
            <w:sz w:val="22"/>
            <w:szCs w:val="22"/>
            <w:u w:val="none"/>
          </w:rPr>
          <w:t>https://www.bps.org.uk</w:t>
        </w:r>
      </w:hyperlink>
      <w:r w:rsidRPr="00D26575">
        <w:rPr>
          <w:rFonts w:ascii="Arial" w:hAnsi="Arial" w:cs="Arial"/>
          <w:color w:val="000000" w:themeColor="text1"/>
          <w:sz w:val="22"/>
          <w:szCs w:val="22"/>
        </w:rPr>
        <w:t xml:space="preserve"> (Accessed: 11 June 2026).</w:t>
      </w:r>
    </w:p>
    <w:p w14:paraId="0A5D868F"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Bowlby, J. (1988) </w:t>
      </w:r>
      <w:r w:rsidRPr="00D26575">
        <w:rPr>
          <w:rFonts w:ascii="Arial" w:hAnsi="Arial" w:cs="Arial"/>
          <w:i/>
          <w:iCs/>
          <w:color w:val="000000" w:themeColor="text1"/>
          <w:sz w:val="22"/>
          <w:szCs w:val="22"/>
        </w:rPr>
        <w:t>A Secure Base: Parent-Child Attachment and Healthy Human Development</w:t>
      </w:r>
      <w:r w:rsidRPr="00D26575">
        <w:rPr>
          <w:rFonts w:ascii="Arial" w:hAnsi="Arial" w:cs="Arial"/>
          <w:color w:val="000000" w:themeColor="text1"/>
          <w:sz w:val="22"/>
          <w:szCs w:val="22"/>
        </w:rPr>
        <w:t>. London: Routledge.</w:t>
      </w:r>
    </w:p>
    <w:p w14:paraId="40FFD139"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Children’s Commissioner for England (2025) </w:t>
      </w:r>
      <w:r w:rsidRPr="00D26575">
        <w:rPr>
          <w:rFonts w:ascii="Arial" w:hAnsi="Arial" w:cs="Arial"/>
          <w:i/>
          <w:iCs/>
          <w:color w:val="000000" w:themeColor="text1"/>
          <w:sz w:val="22"/>
          <w:szCs w:val="22"/>
        </w:rPr>
        <w:t>The Big Ambition Survey Report 2025</w:t>
      </w:r>
      <w:r w:rsidRPr="00D26575">
        <w:rPr>
          <w:rFonts w:ascii="Arial" w:hAnsi="Arial" w:cs="Arial"/>
          <w:color w:val="000000" w:themeColor="text1"/>
          <w:sz w:val="22"/>
          <w:szCs w:val="22"/>
        </w:rPr>
        <w:t xml:space="preserve">. London: Children’s Commissioner for England. Available at: </w:t>
      </w:r>
      <w:hyperlink r:id="rId10" w:tgtFrame="_new" w:history="1">
        <w:r w:rsidRPr="00D26575">
          <w:rPr>
            <w:rStyle w:val="Hyperlink"/>
            <w:rFonts w:ascii="Arial" w:hAnsi="Arial" w:cs="Arial"/>
            <w:color w:val="000000" w:themeColor="text1"/>
            <w:sz w:val="22"/>
            <w:szCs w:val="22"/>
            <w:u w:val="none"/>
          </w:rPr>
          <w:t>https://www.childrenscommissioner.gov.uk</w:t>
        </w:r>
      </w:hyperlink>
      <w:r w:rsidRPr="00D26575">
        <w:rPr>
          <w:rFonts w:ascii="Arial" w:hAnsi="Arial" w:cs="Arial"/>
          <w:color w:val="000000" w:themeColor="text1"/>
          <w:sz w:val="22"/>
          <w:szCs w:val="22"/>
        </w:rPr>
        <w:t xml:space="preserve"> (Accessed: 11 June 2026).</w:t>
      </w:r>
    </w:p>
    <w:p w14:paraId="310A572B"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Festinger, L. (1954) ‘A theory of social comparison processes’, </w:t>
      </w:r>
      <w:r w:rsidRPr="00D26575">
        <w:rPr>
          <w:rFonts w:ascii="Arial" w:hAnsi="Arial" w:cs="Arial"/>
          <w:i/>
          <w:iCs/>
          <w:color w:val="000000" w:themeColor="text1"/>
          <w:sz w:val="22"/>
          <w:szCs w:val="22"/>
        </w:rPr>
        <w:t>Human Relations</w:t>
      </w:r>
      <w:r w:rsidRPr="00D26575">
        <w:rPr>
          <w:rFonts w:ascii="Arial" w:hAnsi="Arial" w:cs="Arial"/>
          <w:color w:val="000000" w:themeColor="text1"/>
          <w:sz w:val="22"/>
          <w:szCs w:val="22"/>
        </w:rPr>
        <w:t>, 7(2), pp. 117–140.</w:t>
      </w:r>
    </w:p>
    <w:p w14:paraId="74BECFD4"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Livingstone, S. and Sefton-Green, J. (2022) </w:t>
      </w:r>
      <w:r w:rsidRPr="00D26575">
        <w:rPr>
          <w:rFonts w:ascii="Arial" w:hAnsi="Arial" w:cs="Arial"/>
          <w:i/>
          <w:iCs/>
          <w:color w:val="000000" w:themeColor="text1"/>
          <w:sz w:val="22"/>
          <w:szCs w:val="22"/>
        </w:rPr>
        <w:t>The Class: Living and Learning in the Digital Age</w:t>
      </w:r>
      <w:r w:rsidRPr="00D26575">
        <w:rPr>
          <w:rFonts w:ascii="Arial" w:hAnsi="Arial" w:cs="Arial"/>
          <w:color w:val="000000" w:themeColor="text1"/>
          <w:sz w:val="22"/>
          <w:szCs w:val="22"/>
        </w:rPr>
        <w:t xml:space="preserve">. New York: New York University Press. Available at: </w:t>
      </w:r>
      <w:hyperlink r:id="rId11" w:tgtFrame="_new" w:history="1">
        <w:r w:rsidRPr="00D26575">
          <w:rPr>
            <w:rStyle w:val="Hyperlink"/>
            <w:rFonts w:ascii="Arial" w:hAnsi="Arial" w:cs="Arial"/>
            <w:color w:val="000000" w:themeColor="text1"/>
            <w:sz w:val="22"/>
            <w:szCs w:val="22"/>
            <w:u w:val="none"/>
          </w:rPr>
          <w:t>https://nyupress.org</w:t>
        </w:r>
      </w:hyperlink>
      <w:r w:rsidRPr="00D26575">
        <w:rPr>
          <w:rFonts w:ascii="Arial" w:hAnsi="Arial" w:cs="Arial"/>
          <w:color w:val="000000" w:themeColor="text1"/>
          <w:sz w:val="22"/>
          <w:szCs w:val="22"/>
        </w:rPr>
        <w:t xml:space="preserve"> (Accessed: 11 June 2026).</w:t>
      </w:r>
    </w:p>
    <w:p w14:paraId="5737F598"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Mental Health Foundation (2024) </w:t>
      </w:r>
      <w:r w:rsidRPr="00D26575">
        <w:rPr>
          <w:rFonts w:ascii="Arial" w:hAnsi="Arial" w:cs="Arial"/>
          <w:i/>
          <w:iCs/>
          <w:color w:val="000000" w:themeColor="text1"/>
          <w:sz w:val="22"/>
          <w:szCs w:val="22"/>
        </w:rPr>
        <w:t>Body Image and Mental Health in Young People</w:t>
      </w:r>
      <w:r w:rsidRPr="00D26575">
        <w:rPr>
          <w:rFonts w:ascii="Arial" w:hAnsi="Arial" w:cs="Arial"/>
          <w:color w:val="000000" w:themeColor="text1"/>
          <w:sz w:val="22"/>
          <w:szCs w:val="22"/>
        </w:rPr>
        <w:t xml:space="preserve">. London: Mental Health Foundation. Available at: </w:t>
      </w:r>
      <w:hyperlink r:id="rId12" w:tgtFrame="_new" w:history="1">
        <w:r w:rsidRPr="00D26575">
          <w:rPr>
            <w:rStyle w:val="Hyperlink"/>
            <w:rFonts w:ascii="Arial" w:hAnsi="Arial" w:cs="Arial"/>
            <w:color w:val="000000" w:themeColor="text1"/>
            <w:sz w:val="22"/>
            <w:szCs w:val="22"/>
            <w:u w:val="none"/>
          </w:rPr>
          <w:t>https://www.mentalhealth.org.uk</w:t>
        </w:r>
      </w:hyperlink>
      <w:r w:rsidRPr="00D26575">
        <w:rPr>
          <w:rFonts w:ascii="Arial" w:hAnsi="Arial" w:cs="Arial"/>
          <w:color w:val="000000" w:themeColor="text1"/>
          <w:sz w:val="22"/>
          <w:szCs w:val="22"/>
        </w:rPr>
        <w:t xml:space="preserve"> (Accessed: 11 June 2026).</w:t>
      </w:r>
    </w:p>
    <w:p w14:paraId="18D5B28B"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NHS England (2024) </w:t>
      </w:r>
      <w:r w:rsidRPr="00D26575">
        <w:rPr>
          <w:rFonts w:ascii="Arial" w:hAnsi="Arial" w:cs="Arial"/>
          <w:i/>
          <w:iCs/>
          <w:color w:val="000000" w:themeColor="text1"/>
          <w:sz w:val="22"/>
          <w:szCs w:val="22"/>
        </w:rPr>
        <w:t>Children and Young People’s Mental Health Services Report</w:t>
      </w:r>
      <w:r w:rsidRPr="00D26575">
        <w:rPr>
          <w:rFonts w:ascii="Arial" w:hAnsi="Arial" w:cs="Arial"/>
          <w:color w:val="000000" w:themeColor="text1"/>
          <w:sz w:val="22"/>
          <w:szCs w:val="22"/>
        </w:rPr>
        <w:t xml:space="preserve">. London: NHS England. Available at: </w:t>
      </w:r>
      <w:hyperlink r:id="rId13" w:tgtFrame="_new" w:history="1">
        <w:r w:rsidRPr="00D26575">
          <w:rPr>
            <w:rStyle w:val="Hyperlink"/>
            <w:rFonts w:ascii="Arial" w:hAnsi="Arial" w:cs="Arial"/>
            <w:color w:val="000000" w:themeColor="text1"/>
            <w:sz w:val="22"/>
            <w:szCs w:val="22"/>
            <w:u w:val="none"/>
          </w:rPr>
          <w:t>https://www.england.nhs.uk</w:t>
        </w:r>
      </w:hyperlink>
      <w:r w:rsidRPr="00D26575">
        <w:rPr>
          <w:rFonts w:ascii="Arial" w:hAnsi="Arial" w:cs="Arial"/>
          <w:color w:val="000000" w:themeColor="text1"/>
          <w:sz w:val="22"/>
          <w:szCs w:val="22"/>
        </w:rPr>
        <w:t xml:space="preserve"> (Accessed: 11 June 2026).</w:t>
      </w:r>
    </w:p>
    <w:p w14:paraId="592F4EAB"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Nuffield Foundation (2024) </w:t>
      </w:r>
      <w:r w:rsidRPr="00D26575">
        <w:rPr>
          <w:rFonts w:ascii="Arial" w:hAnsi="Arial" w:cs="Arial"/>
          <w:i/>
          <w:iCs/>
          <w:color w:val="000000" w:themeColor="text1"/>
          <w:sz w:val="22"/>
          <w:szCs w:val="22"/>
        </w:rPr>
        <w:t>Sleep, Screen Time and Adolescent Health Report</w:t>
      </w:r>
      <w:r w:rsidRPr="00D26575">
        <w:rPr>
          <w:rFonts w:ascii="Arial" w:hAnsi="Arial" w:cs="Arial"/>
          <w:color w:val="000000" w:themeColor="text1"/>
          <w:sz w:val="22"/>
          <w:szCs w:val="22"/>
        </w:rPr>
        <w:t xml:space="preserve">. London: Nuffield Foundation. Available at: </w:t>
      </w:r>
      <w:hyperlink r:id="rId14" w:tgtFrame="_new" w:history="1">
        <w:r w:rsidRPr="00D26575">
          <w:rPr>
            <w:rStyle w:val="Hyperlink"/>
            <w:rFonts w:ascii="Arial" w:hAnsi="Arial" w:cs="Arial"/>
            <w:color w:val="000000" w:themeColor="text1"/>
            <w:sz w:val="22"/>
            <w:szCs w:val="22"/>
            <w:u w:val="none"/>
          </w:rPr>
          <w:t>https://www.nuffieldfoundation.org</w:t>
        </w:r>
      </w:hyperlink>
      <w:r w:rsidRPr="00D26575">
        <w:rPr>
          <w:rFonts w:ascii="Arial" w:hAnsi="Arial" w:cs="Arial"/>
          <w:color w:val="000000" w:themeColor="text1"/>
          <w:sz w:val="22"/>
          <w:szCs w:val="22"/>
        </w:rPr>
        <w:t xml:space="preserve"> (Accessed: 11 June 2026).</w:t>
      </w:r>
    </w:p>
    <w:p w14:paraId="06E9DD9A"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Odgers, C.L. and Jensen, M.R. (2024) ‘Annual research review: Adolescent mental health in the digital age’, </w:t>
      </w:r>
      <w:r w:rsidRPr="00D26575">
        <w:rPr>
          <w:rFonts w:ascii="Arial" w:hAnsi="Arial" w:cs="Arial"/>
          <w:i/>
          <w:iCs/>
          <w:color w:val="000000" w:themeColor="text1"/>
          <w:sz w:val="22"/>
          <w:szCs w:val="22"/>
        </w:rPr>
        <w:t>Journal of Child Psychology and Psychiatry</w:t>
      </w:r>
      <w:r w:rsidRPr="00D26575">
        <w:rPr>
          <w:rFonts w:ascii="Arial" w:hAnsi="Arial" w:cs="Arial"/>
          <w:color w:val="000000" w:themeColor="text1"/>
          <w:sz w:val="22"/>
          <w:szCs w:val="22"/>
        </w:rPr>
        <w:t xml:space="preserve">, 65(2), pp. 123–145. </w:t>
      </w:r>
      <w:hyperlink r:id="rId15" w:tgtFrame="_new" w:history="1">
        <w:r w:rsidRPr="00D26575">
          <w:rPr>
            <w:rStyle w:val="Hyperlink"/>
            <w:rFonts w:ascii="Arial" w:hAnsi="Arial" w:cs="Arial"/>
            <w:color w:val="000000" w:themeColor="text1"/>
            <w:sz w:val="22"/>
            <w:szCs w:val="22"/>
            <w:u w:val="none"/>
          </w:rPr>
          <w:t>https://doi.org/10.1111/jcpp.13943</w:t>
        </w:r>
      </w:hyperlink>
    </w:p>
    <w:p w14:paraId="54E70A80"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Ofcom (2024) </w:t>
      </w:r>
      <w:r w:rsidRPr="00D26575">
        <w:rPr>
          <w:rFonts w:ascii="Arial" w:hAnsi="Arial" w:cs="Arial"/>
          <w:i/>
          <w:iCs/>
          <w:color w:val="000000" w:themeColor="text1"/>
          <w:sz w:val="22"/>
          <w:szCs w:val="22"/>
        </w:rPr>
        <w:t>Children and Parents: Media Use and Attitudes Report 2024</w:t>
      </w:r>
      <w:r w:rsidRPr="00D26575">
        <w:rPr>
          <w:rFonts w:ascii="Arial" w:hAnsi="Arial" w:cs="Arial"/>
          <w:color w:val="000000" w:themeColor="text1"/>
          <w:sz w:val="22"/>
          <w:szCs w:val="22"/>
        </w:rPr>
        <w:t xml:space="preserve">. London: Office of Communications. Available at: </w:t>
      </w:r>
      <w:hyperlink r:id="rId16" w:tgtFrame="_new" w:history="1">
        <w:r w:rsidRPr="00D26575">
          <w:rPr>
            <w:rStyle w:val="Hyperlink"/>
            <w:rFonts w:ascii="Arial" w:hAnsi="Arial" w:cs="Arial"/>
            <w:color w:val="000000" w:themeColor="text1"/>
            <w:sz w:val="22"/>
            <w:szCs w:val="22"/>
            <w:u w:val="none"/>
          </w:rPr>
          <w:t>https://www.ofcom.org.uk</w:t>
        </w:r>
      </w:hyperlink>
      <w:r w:rsidRPr="00D26575">
        <w:rPr>
          <w:rFonts w:ascii="Arial" w:hAnsi="Arial" w:cs="Arial"/>
          <w:color w:val="000000" w:themeColor="text1"/>
          <w:sz w:val="22"/>
          <w:szCs w:val="22"/>
        </w:rPr>
        <w:t xml:space="preserve"> (Accessed: 11 June 2026).</w:t>
      </w:r>
    </w:p>
    <w:p w14:paraId="3E8ABB20"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Royal College of Psychiatrists (2023) </w:t>
      </w:r>
      <w:r w:rsidRPr="00D26575">
        <w:rPr>
          <w:rFonts w:ascii="Arial" w:hAnsi="Arial" w:cs="Arial"/>
          <w:i/>
          <w:iCs/>
          <w:color w:val="000000" w:themeColor="text1"/>
          <w:sz w:val="22"/>
          <w:szCs w:val="22"/>
        </w:rPr>
        <w:t>Social Media, Screen Time and Young People’s Mental Health</w:t>
      </w:r>
      <w:r w:rsidRPr="00D26575">
        <w:rPr>
          <w:rFonts w:ascii="Arial" w:hAnsi="Arial" w:cs="Arial"/>
          <w:color w:val="000000" w:themeColor="text1"/>
          <w:sz w:val="22"/>
          <w:szCs w:val="22"/>
        </w:rPr>
        <w:t xml:space="preserve">. London: </w:t>
      </w:r>
      <w:proofErr w:type="spellStart"/>
      <w:r w:rsidRPr="00D26575">
        <w:rPr>
          <w:rFonts w:ascii="Arial" w:hAnsi="Arial" w:cs="Arial"/>
          <w:color w:val="000000" w:themeColor="text1"/>
          <w:sz w:val="22"/>
          <w:szCs w:val="22"/>
        </w:rPr>
        <w:t>RCPsych</w:t>
      </w:r>
      <w:proofErr w:type="spellEnd"/>
      <w:r w:rsidRPr="00D26575">
        <w:rPr>
          <w:rFonts w:ascii="Arial" w:hAnsi="Arial" w:cs="Arial"/>
          <w:color w:val="000000" w:themeColor="text1"/>
          <w:sz w:val="22"/>
          <w:szCs w:val="22"/>
        </w:rPr>
        <w:t xml:space="preserve">. Available at: </w:t>
      </w:r>
      <w:hyperlink r:id="rId17" w:tgtFrame="_new" w:history="1">
        <w:r w:rsidRPr="00D26575">
          <w:rPr>
            <w:rStyle w:val="Hyperlink"/>
            <w:rFonts w:ascii="Arial" w:hAnsi="Arial" w:cs="Arial"/>
            <w:color w:val="000000" w:themeColor="text1"/>
            <w:sz w:val="22"/>
            <w:szCs w:val="22"/>
            <w:u w:val="none"/>
          </w:rPr>
          <w:t>https://www.rcpsych.ac.uk</w:t>
        </w:r>
      </w:hyperlink>
      <w:r w:rsidRPr="00D26575">
        <w:rPr>
          <w:rFonts w:ascii="Arial" w:hAnsi="Arial" w:cs="Arial"/>
          <w:color w:val="000000" w:themeColor="text1"/>
          <w:sz w:val="22"/>
          <w:szCs w:val="22"/>
        </w:rPr>
        <w:t xml:space="preserve"> (Accessed: 11 June 2026).</w:t>
      </w:r>
    </w:p>
    <w:p w14:paraId="6B39804E"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Steinberg, L. (2023) </w:t>
      </w:r>
      <w:r w:rsidRPr="00D26575">
        <w:rPr>
          <w:rFonts w:ascii="Arial" w:hAnsi="Arial" w:cs="Arial"/>
          <w:i/>
          <w:iCs/>
          <w:color w:val="000000" w:themeColor="text1"/>
          <w:sz w:val="22"/>
          <w:szCs w:val="22"/>
        </w:rPr>
        <w:t>Adolescence</w:t>
      </w:r>
      <w:r w:rsidRPr="00D26575">
        <w:rPr>
          <w:rFonts w:ascii="Arial" w:hAnsi="Arial" w:cs="Arial"/>
          <w:color w:val="000000" w:themeColor="text1"/>
          <w:sz w:val="22"/>
          <w:szCs w:val="22"/>
        </w:rPr>
        <w:t xml:space="preserve">. 13th </w:t>
      </w:r>
      <w:proofErr w:type="spellStart"/>
      <w:r w:rsidRPr="00D26575">
        <w:rPr>
          <w:rFonts w:ascii="Arial" w:hAnsi="Arial" w:cs="Arial"/>
          <w:color w:val="000000" w:themeColor="text1"/>
          <w:sz w:val="22"/>
          <w:szCs w:val="22"/>
        </w:rPr>
        <w:t>edn</w:t>
      </w:r>
      <w:proofErr w:type="spellEnd"/>
      <w:r w:rsidRPr="00D26575">
        <w:rPr>
          <w:rFonts w:ascii="Arial" w:hAnsi="Arial" w:cs="Arial"/>
          <w:color w:val="000000" w:themeColor="text1"/>
          <w:sz w:val="22"/>
          <w:szCs w:val="22"/>
        </w:rPr>
        <w:t>. New York: McGraw-Hill Education.</w:t>
      </w:r>
    </w:p>
    <w:p w14:paraId="17FC2DB2"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UNESCO (2024) </w:t>
      </w:r>
      <w:r w:rsidRPr="00D26575">
        <w:rPr>
          <w:rFonts w:ascii="Arial" w:hAnsi="Arial" w:cs="Arial"/>
          <w:i/>
          <w:iCs/>
          <w:color w:val="000000" w:themeColor="text1"/>
          <w:sz w:val="22"/>
          <w:szCs w:val="22"/>
        </w:rPr>
        <w:t>Cyberbullying and Online Safety Report</w:t>
      </w:r>
      <w:r w:rsidRPr="00D26575">
        <w:rPr>
          <w:rFonts w:ascii="Arial" w:hAnsi="Arial" w:cs="Arial"/>
          <w:color w:val="000000" w:themeColor="text1"/>
          <w:sz w:val="22"/>
          <w:szCs w:val="22"/>
        </w:rPr>
        <w:t xml:space="preserve">. Paris: United Nations Educational, Scientific and Cultural Organization. Available at: </w:t>
      </w:r>
      <w:hyperlink r:id="rId18" w:tgtFrame="_new" w:history="1">
        <w:r w:rsidRPr="00D26575">
          <w:rPr>
            <w:rStyle w:val="Hyperlink"/>
            <w:rFonts w:ascii="Arial" w:hAnsi="Arial" w:cs="Arial"/>
            <w:color w:val="000000" w:themeColor="text1"/>
            <w:sz w:val="22"/>
            <w:szCs w:val="22"/>
            <w:u w:val="none"/>
          </w:rPr>
          <w:t>https://www.unesco.org</w:t>
        </w:r>
      </w:hyperlink>
      <w:r w:rsidRPr="00D26575">
        <w:rPr>
          <w:rFonts w:ascii="Arial" w:hAnsi="Arial" w:cs="Arial"/>
          <w:color w:val="000000" w:themeColor="text1"/>
          <w:sz w:val="22"/>
          <w:szCs w:val="22"/>
        </w:rPr>
        <w:t xml:space="preserve"> (Accessed: 11 June 2026).</w:t>
      </w:r>
    </w:p>
    <w:p w14:paraId="4071B4CB"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UNICEF (2024) </w:t>
      </w:r>
      <w:r w:rsidRPr="00D26575">
        <w:rPr>
          <w:rFonts w:ascii="Arial" w:hAnsi="Arial" w:cs="Arial"/>
          <w:i/>
          <w:iCs/>
          <w:color w:val="000000" w:themeColor="text1"/>
          <w:sz w:val="22"/>
          <w:szCs w:val="22"/>
        </w:rPr>
        <w:t>The State of the World’s Children: Mental Health and Digital Life</w:t>
      </w:r>
      <w:r w:rsidRPr="00D26575">
        <w:rPr>
          <w:rFonts w:ascii="Arial" w:hAnsi="Arial" w:cs="Arial"/>
          <w:color w:val="000000" w:themeColor="text1"/>
          <w:sz w:val="22"/>
          <w:szCs w:val="22"/>
        </w:rPr>
        <w:t xml:space="preserve">. New York: UNICEF. Available at: </w:t>
      </w:r>
      <w:hyperlink r:id="rId19" w:tgtFrame="_new" w:history="1">
        <w:r w:rsidRPr="00D26575">
          <w:rPr>
            <w:rStyle w:val="Hyperlink"/>
            <w:rFonts w:ascii="Arial" w:hAnsi="Arial" w:cs="Arial"/>
            <w:color w:val="000000" w:themeColor="text1"/>
            <w:sz w:val="22"/>
            <w:szCs w:val="22"/>
            <w:u w:val="none"/>
          </w:rPr>
          <w:t>https://www.unicef.org</w:t>
        </w:r>
      </w:hyperlink>
      <w:r w:rsidRPr="00D26575">
        <w:rPr>
          <w:rFonts w:ascii="Arial" w:hAnsi="Arial" w:cs="Arial"/>
          <w:color w:val="000000" w:themeColor="text1"/>
          <w:sz w:val="22"/>
          <w:szCs w:val="22"/>
        </w:rPr>
        <w:t xml:space="preserve"> (Accessed: 11 June 2026).</w:t>
      </w:r>
    </w:p>
    <w:p w14:paraId="6531B340" w14:textId="77777777" w:rsidR="009C5660"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t xml:space="preserve">World Health Organization (2024) </w:t>
      </w:r>
      <w:r w:rsidRPr="00D26575">
        <w:rPr>
          <w:rFonts w:ascii="Arial" w:hAnsi="Arial" w:cs="Arial"/>
          <w:i/>
          <w:iCs/>
          <w:color w:val="000000" w:themeColor="text1"/>
          <w:sz w:val="22"/>
          <w:szCs w:val="22"/>
        </w:rPr>
        <w:t>Adolescent Mental Health</w:t>
      </w:r>
      <w:r w:rsidRPr="00D26575">
        <w:rPr>
          <w:rFonts w:ascii="Arial" w:hAnsi="Arial" w:cs="Arial"/>
          <w:color w:val="000000" w:themeColor="text1"/>
          <w:sz w:val="22"/>
          <w:szCs w:val="22"/>
        </w:rPr>
        <w:t xml:space="preserve">. Geneva: World Health Organization. Available at: </w:t>
      </w:r>
      <w:hyperlink r:id="rId20" w:tgtFrame="_new" w:history="1">
        <w:r w:rsidRPr="00D26575">
          <w:rPr>
            <w:rStyle w:val="Hyperlink"/>
            <w:rFonts w:ascii="Arial" w:hAnsi="Arial" w:cs="Arial"/>
            <w:color w:val="000000" w:themeColor="text1"/>
            <w:sz w:val="22"/>
            <w:szCs w:val="22"/>
            <w:u w:val="none"/>
          </w:rPr>
          <w:t>https://www.who.int</w:t>
        </w:r>
      </w:hyperlink>
      <w:r w:rsidRPr="00D26575">
        <w:rPr>
          <w:rFonts w:ascii="Arial" w:hAnsi="Arial" w:cs="Arial"/>
          <w:color w:val="000000" w:themeColor="text1"/>
          <w:sz w:val="22"/>
          <w:szCs w:val="22"/>
        </w:rPr>
        <w:t xml:space="preserve"> (Accessed: 11 June 2026).</w:t>
      </w:r>
    </w:p>
    <w:p w14:paraId="079D9EAC" w14:textId="0754FFB8" w:rsidR="00D26575" w:rsidRPr="00D26575" w:rsidRDefault="009C5660" w:rsidP="009C5660">
      <w:pPr>
        <w:spacing w:line="240" w:lineRule="auto"/>
        <w:jc w:val="both"/>
        <w:rPr>
          <w:rFonts w:ascii="Arial" w:hAnsi="Arial" w:cs="Arial"/>
          <w:color w:val="000000" w:themeColor="text1"/>
          <w:sz w:val="22"/>
          <w:szCs w:val="22"/>
        </w:rPr>
      </w:pPr>
      <w:r w:rsidRPr="00D26575">
        <w:rPr>
          <w:rFonts w:ascii="Arial" w:hAnsi="Arial" w:cs="Arial"/>
          <w:color w:val="000000" w:themeColor="text1"/>
          <w:sz w:val="22"/>
          <w:szCs w:val="22"/>
        </w:rPr>
        <w:lastRenderedPageBreak/>
        <w:t xml:space="preserve">Youth Endowment Fund (2024) </w:t>
      </w:r>
      <w:r w:rsidRPr="00D26575">
        <w:rPr>
          <w:rFonts w:ascii="Arial" w:hAnsi="Arial" w:cs="Arial"/>
          <w:i/>
          <w:iCs/>
          <w:color w:val="000000" w:themeColor="text1"/>
          <w:sz w:val="22"/>
          <w:szCs w:val="22"/>
        </w:rPr>
        <w:t>Digital Risk and Youth Wellbeing in the UK</w:t>
      </w:r>
      <w:r w:rsidRPr="00D26575">
        <w:rPr>
          <w:rFonts w:ascii="Arial" w:hAnsi="Arial" w:cs="Arial"/>
          <w:color w:val="000000" w:themeColor="text1"/>
          <w:sz w:val="22"/>
          <w:szCs w:val="22"/>
        </w:rPr>
        <w:t xml:space="preserve">. London: Youth Endowment Fund. Available at: </w:t>
      </w:r>
      <w:hyperlink r:id="rId21" w:tgtFrame="_new" w:history="1">
        <w:r w:rsidRPr="00D26575">
          <w:rPr>
            <w:rStyle w:val="Hyperlink"/>
            <w:rFonts w:ascii="Arial" w:hAnsi="Arial" w:cs="Arial"/>
            <w:color w:val="000000" w:themeColor="text1"/>
            <w:sz w:val="22"/>
            <w:szCs w:val="22"/>
            <w:u w:val="none"/>
          </w:rPr>
          <w:t>https://youthendowmentfund.org.uk</w:t>
        </w:r>
      </w:hyperlink>
      <w:r w:rsidRPr="00D26575">
        <w:rPr>
          <w:rFonts w:ascii="Arial" w:hAnsi="Arial" w:cs="Arial"/>
          <w:color w:val="000000" w:themeColor="text1"/>
          <w:sz w:val="22"/>
          <w:szCs w:val="22"/>
        </w:rPr>
        <w:t xml:space="preserve"> (Accessed: 11 June</w:t>
      </w:r>
      <w:r w:rsidR="004121B3">
        <w:rPr>
          <w:rFonts w:ascii="Arial" w:hAnsi="Arial" w:cs="Arial"/>
          <w:color w:val="000000" w:themeColor="text1"/>
          <w:sz w:val="22"/>
          <w:szCs w:val="22"/>
        </w:rPr>
        <w:t xml:space="preserve"> 2026)</w:t>
      </w:r>
    </w:p>
    <w:p w14:paraId="68B6AFF8" w14:textId="77777777" w:rsidR="00D26575" w:rsidRPr="00D26575" w:rsidRDefault="00D26575" w:rsidP="009C5660">
      <w:pPr>
        <w:spacing w:line="240" w:lineRule="auto"/>
        <w:jc w:val="both"/>
        <w:rPr>
          <w:rFonts w:ascii="Arial" w:hAnsi="Arial" w:cs="Arial"/>
          <w:color w:val="000000" w:themeColor="text1"/>
          <w:sz w:val="22"/>
          <w:szCs w:val="22"/>
        </w:rPr>
      </w:pPr>
    </w:p>
    <w:p w14:paraId="11FCCEA7" w14:textId="77777777" w:rsidR="00D26575" w:rsidRPr="00D26575" w:rsidRDefault="00D26575" w:rsidP="009C5660">
      <w:pPr>
        <w:spacing w:line="240" w:lineRule="auto"/>
        <w:jc w:val="both"/>
        <w:rPr>
          <w:rFonts w:ascii="Arial" w:hAnsi="Arial" w:cs="Arial"/>
          <w:color w:val="000000" w:themeColor="text1"/>
          <w:sz w:val="22"/>
          <w:szCs w:val="22"/>
        </w:rPr>
      </w:pPr>
    </w:p>
    <w:p w14:paraId="07E82241" w14:textId="77777777" w:rsidR="00D26575" w:rsidRPr="00D26575" w:rsidRDefault="00D26575" w:rsidP="009C5660">
      <w:pPr>
        <w:spacing w:line="240" w:lineRule="auto"/>
        <w:jc w:val="both"/>
        <w:rPr>
          <w:rFonts w:ascii="Arial" w:hAnsi="Arial" w:cs="Arial"/>
          <w:color w:val="000000" w:themeColor="text1"/>
          <w:sz w:val="22"/>
          <w:szCs w:val="22"/>
        </w:rPr>
      </w:pPr>
    </w:p>
    <w:p w14:paraId="4B6D9FE4" w14:textId="77777777" w:rsidR="009C5660" w:rsidRPr="00D26575" w:rsidRDefault="009C5660" w:rsidP="009C5660">
      <w:pPr>
        <w:spacing w:line="240" w:lineRule="auto"/>
        <w:jc w:val="both"/>
        <w:rPr>
          <w:rFonts w:ascii="Arial" w:hAnsi="Arial" w:cs="Arial"/>
          <w:color w:val="000000" w:themeColor="text1"/>
          <w:sz w:val="22"/>
          <w:szCs w:val="22"/>
        </w:rPr>
      </w:pPr>
    </w:p>
    <w:sectPr w:rsidR="009C5660" w:rsidRPr="00D26575">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E39B0C" w14:textId="77777777" w:rsidR="00644589" w:rsidRDefault="00644589" w:rsidP="00D26575">
      <w:pPr>
        <w:spacing w:after="0" w:line="240" w:lineRule="auto"/>
      </w:pPr>
      <w:r>
        <w:separator/>
      </w:r>
    </w:p>
  </w:endnote>
  <w:endnote w:type="continuationSeparator" w:id="0">
    <w:p w14:paraId="2C16CA32" w14:textId="77777777" w:rsidR="00644589" w:rsidRDefault="00644589" w:rsidP="00D26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557818852"/>
      <w:docPartObj>
        <w:docPartGallery w:val="Page Numbers (Bottom of Page)"/>
        <w:docPartUnique/>
      </w:docPartObj>
    </w:sdtPr>
    <w:sdtEndPr>
      <w:rPr>
        <w:noProof/>
      </w:rPr>
    </w:sdtEndPr>
    <w:sdtContent>
      <w:p w14:paraId="3F313737" w14:textId="4F208A7B" w:rsidR="00D26575" w:rsidRDefault="00D265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DCE70" w14:textId="77777777" w:rsidR="00D26575" w:rsidRDefault="00D26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AE3865" w14:textId="77777777" w:rsidR="00644589" w:rsidRDefault="00644589" w:rsidP="00D26575">
      <w:pPr>
        <w:spacing w:after="0" w:line="240" w:lineRule="auto"/>
      </w:pPr>
      <w:r>
        <w:separator/>
      </w:r>
    </w:p>
  </w:footnote>
  <w:footnote w:type="continuationSeparator" w:id="0">
    <w:p w14:paraId="6DDDA8A6" w14:textId="77777777" w:rsidR="00644589" w:rsidRDefault="00644589" w:rsidP="00D265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334108"/>
    <w:multiLevelType w:val="multilevel"/>
    <w:tmpl w:val="0A42E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613A8"/>
    <w:multiLevelType w:val="multilevel"/>
    <w:tmpl w:val="6D802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1329860">
    <w:abstractNumId w:val="1"/>
  </w:num>
  <w:num w:numId="2" w16cid:durableId="96693777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F37"/>
    <w:rsid w:val="00027772"/>
    <w:rsid w:val="00062E03"/>
    <w:rsid w:val="0010283E"/>
    <w:rsid w:val="001220BD"/>
    <w:rsid w:val="00171DC0"/>
    <w:rsid w:val="001E7736"/>
    <w:rsid w:val="002C7EA3"/>
    <w:rsid w:val="002D02F1"/>
    <w:rsid w:val="00354018"/>
    <w:rsid w:val="00383A52"/>
    <w:rsid w:val="004121B3"/>
    <w:rsid w:val="004D3FA3"/>
    <w:rsid w:val="005860A1"/>
    <w:rsid w:val="00625E35"/>
    <w:rsid w:val="00644589"/>
    <w:rsid w:val="006E2DDE"/>
    <w:rsid w:val="0086289A"/>
    <w:rsid w:val="008848F5"/>
    <w:rsid w:val="009C5660"/>
    <w:rsid w:val="00B94B7C"/>
    <w:rsid w:val="00C36A13"/>
    <w:rsid w:val="00C7217B"/>
    <w:rsid w:val="00D17F37"/>
    <w:rsid w:val="00D26575"/>
    <w:rsid w:val="00E23B93"/>
    <w:rsid w:val="00EE1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0E652"/>
  <w15:chartTrackingRefBased/>
  <w15:docId w15:val="{48236217-F019-4E83-B2E7-BB0674C0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F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7F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7F3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7F3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7F3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7F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F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F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F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F3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7F3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7F3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7F3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7F3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7F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F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F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F37"/>
    <w:rPr>
      <w:rFonts w:eastAsiaTheme="majorEastAsia" w:cstheme="majorBidi"/>
      <w:color w:val="272727" w:themeColor="text1" w:themeTint="D8"/>
    </w:rPr>
  </w:style>
  <w:style w:type="paragraph" w:styleId="Title">
    <w:name w:val="Title"/>
    <w:basedOn w:val="Normal"/>
    <w:next w:val="Normal"/>
    <w:link w:val="TitleChar"/>
    <w:uiPriority w:val="10"/>
    <w:qFormat/>
    <w:rsid w:val="00D17F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F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F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F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F37"/>
    <w:pPr>
      <w:spacing w:before="160"/>
      <w:jc w:val="center"/>
    </w:pPr>
    <w:rPr>
      <w:i/>
      <w:iCs/>
      <w:color w:val="404040" w:themeColor="text1" w:themeTint="BF"/>
    </w:rPr>
  </w:style>
  <w:style w:type="character" w:customStyle="1" w:styleId="QuoteChar">
    <w:name w:val="Quote Char"/>
    <w:basedOn w:val="DefaultParagraphFont"/>
    <w:link w:val="Quote"/>
    <w:uiPriority w:val="29"/>
    <w:rsid w:val="00D17F37"/>
    <w:rPr>
      <w:i/>
      <w:iCs/>
      <w:color w:val="404040" w:themeColor="text1" w:themeTint="BF"/>
    </w:rPr>
  </w:style>
  <w:style w:type="paragraph" w:styleId="ListParagraph">
    <w:name w:val="List Paragraph"/>
    <w:basedOn w:val="Normal"/>
    <w:uiPriority w:val="34"/>
    <w:qFormat/>
    <w:rsid w:val="00D17F37"/>
    <w:pPr>
      <w:ind w:left="720"/>
      <w:contextualSpacing/>
    </w:pPr>
  </w:style>
  <w:style w:type="character" w:styleId="IntenseEmphasis">
    <w:name w:val="Intense Emphasis"/>
    <w:basedOn w:val="DefaultParagraphFont"/>
    <w:uiPriority w:val="21"/>
    <w:qFormat/>
    <w:rsid w:val="00D17F37"/>
    <w:rPr>
      <w:i/>
      <w:iCs/>
      <w:color w:val="2F5496" w:themeColor="accent1" w:themeShade="BF"/>
    </w:rPr>
  </w:style>
  <w:style w:type="paragraph" w:styleId="IntenseQuote">
    <w:name w:val="Intense Quote"/>
    <w:basedOn w:val="Normal"/>
    <w:next w:val="Normal"/>
    <w:link w:val="IntenseQuoteChar"/>
    <w:uiPriority w:val="30"/>
    <w:qFormat/>
    <w:rsid w:val="00D17F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7F37"/>
    <w:rPr>
      <w:i/>
      <w:iCs/>
      <w:color w:val="2F5496" w:themeColor="accent1" w:themeShade="BF"/>
    </w:rPr>
  </w:style>
  <w:style w:type="character" w:styleId="IntenseReference">
    <w:name w:val="Intense Reference"/>
    <w:basedOn w:val="DefaultParagraphFont"/>
    <w:uiPriority w:val="32"/>
    <w:qFormat/>
    <w:rsid w:val="00D17F37"/>
    <w:rPr>
      <w:b/>
      <w:bCs/>
      <w:smallCaps/>
      <w:color w:val="2F5496" w:themeColor="accent1" w:themeShade="BF"/>
      <w:spacing w:val="5"/>
    </w:rPr>
  </w:style>
  <w:style w:type="paragraph" w:styleId="NoSpacing">
    <w:name w:val="No Spacing"/>
    <w:uiPriority w:val="1"/>
    <w:qFormat/>
    <w:rsid w:val="00D17F37"/>
    <w:pPr>
      <w:spacing w:after="0" w:line="240" w:lineRule="auto"/>
    </w:pPr>
    <w:rPr>
      <w:lang w:val="en-GB"/>
    </w:rPr>
  </w:style>
  <w:style w:type="character" w:styleId="Hyperlink">
    <w:name w:val="Hyperlink"/>
    <w:basedOn w:val="DefaultParagraphFont"/>
    <w:uiPriority w:val="99"/>
    <w:unhideWhenUsed/>
    <w:rsid w:val="00E23B93"/>
    <w:rPr>
      <w:color w:val="0563C1" w:themeColor="hyperlink"/>
      <w:u w:val="single"/>
    </w:rPr>
  </w:style>
  <w:style w:type="character" w:styleId="UnresolvedMention">
    <w:name w:val="Unresolved Mention"/>
    <w:basedOn w:val="DefaultParagraphFont"/>
    <w:uiPriority w:val="99"/>
    <w:semiHidden/>
    <w:unhideWhenUsed/>
    <w:rsid w:val="00E23B93"/>
    <w:rPr>
      <w:color w:val="605E5C"/>
      <w:shd w:val="clear" w:color="auto" w:fill="E1DFDD"/>
    </w:rPr>
  </w:style>
  <w:style w:type="paragraph" w:styleId="Header">
    <w:name w:val="header"/>
    <w:basedOn w:val="Normal"/>
    <w:link w:val="HeaderChar"/>
    <w:uiPriority w:val="99"/>
    <w:unhideWhenUsed/>
    <w:rsid w:val="00D26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575"/>
  </w:style>
  <w:style w:type="paragraph" w:styleId="Footer">
    <w:name w:val="footer"/>
    <w:basedOn w:val="Normal"/>
    <w:link w:val="FooterChar"/>
    <w:uiPriority w:val="99"/>
    <w:unhideWhenUsed/>
    <w:rsid w:val="00D26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 TargetMode="External"/><Relationship Id="rId13" Type="http://schemas.openxmlformats.org/officeDocument/2006/relationships/hyperlink" Target="https://www.england.nhs.uk" TargetMode="External"/><Relationship Id="rId18" Type="http://schemas.openxmlformats.org/officeDocument/2006/relationships/hyperlink" Target="https://www.unesco.org" TargetMode="External"/><Relationship Id="rId3" Type="http://schemas.openxmlformats.org/officeDocument/2006/relationships/settings" Target="settings.xml"/><Relationship Id="rId21" Type="http://schemas.openxmlformats.org/officeDocument/2006/relationships/hyperlink" Target="https://youthendowmentfund.org.uk" TargetMode="External"/><Relationship Id="rId7" Type="http://schemas.openxmlformats.org/officeDocument/2006/relationships/image" Target="media/image1.png"/><Relationship Id="rId12" Type="http://schemas.openxmlformats.org/officeDocument/2006/relationships/hyperlink" Target="https://www.mentalhealth.org.uk" TargetMode="External"/><Relationship Id="rId17" Type="http://schemas.openxmlformats.org/officeDocument/2006/relationships/hyperlink" Target="https://www.rcpsych.ac.uk" TargetMode="External"/><Relationship Id="rId2" Type="http://schemas.openxmlformats.org/officeDocument/2006/relationships/styles" Target="styles.xml"/><Relationship Id="rId16" Type="http://schemas.openxmlformats.org/officeDocument/2006/relationships/hyperlink" Target="https://www.ofcom.org.uk" TargetMode="External"/><Relationship Id="rId20"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yupress.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11/jcpp.13943" TargetMode="External"/><Relationship Id="rId23" Type="http://schemas.openxmlformats.org/officeDocument/2006/relationships/fontTable" Target="fontTable.xml"/><Relationship Id="rId10" Type="http://schemas.openxmlformats.org/officeDocument/2006/relationships/hyperlink" Target="https://www.childrenscommissioner.gov.uk" TargetMode="External"/><Relationship Id="rId19" Type="http://schemas.openxmlformats.org/officeDocument/2006/relationships/hyperlink" Target="https://www.unicef.org" TargetMode="External"/><Relationship Id="rId4" Type="http://schemas.openxmlformats.org/officeDocument/2006/relationships/webSettings" Target="webSettings.xml"/><Relationship Id="rId9" Type="http://schemas.openxmlformats.org/officeDocument/2006/relationships/hyperlink" Target="https://www.bps.org.uk" TargetMode="External"/><Relationship Id="rId14" Type="http://schemas.openxmlformats.org/officeDocument/2006/relationships/hyperlink" Target="https://www.nuffieldfoundation.or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Pages>
  <Words>3421</Words>
  <Characters>19503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Galaus Anniever Malibiran (2508028)</cp:lastModifiedBy>
  <cp:revision>11</cp:revision>
  <dcterms:created xsi:type="dcterms:W3CDTF">2026-07-06T08:17:00Z</dcterms:created>
  <dcterms:modified xsi:type="dcterms:W3CDTF">2026-07-06T08:31:00Z</dcterms:modified>
</cp:coreProperties>
</file>