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157A372" wp14:paraId="55A22295" wp14:textId="29AE998A">
      <w:pPr>
        <w:pStyle w:val="Normal"/>
        <w:spacing w:line="360" w:lineRule="auto"/>
        <w:jc w:val="both"/>
        <w:rPr>
          <w:rFonts w:ascii="Arial" w:hAnsi="Arial" w:eastAsia="Arial" w:cs="Arial"/>
          <w:noProof w:val="0"/>
          <w:sz w:val="24"/>
          <w:szCs w:val="24"/>
          <w:lang w:val="en-GB"/>
        </w:rPr>
      </w:pPr>
      <w:r w:rsidRPr="4157A372" w:rsidR="3B0CF8FC">
        <w:rPr>
          <w:rFonts w:ascii="Arial" w:hAnsi="Arial" w:eastAsia="Arial" w:cs="Arial"/>
          <w:noProof w:val="0"/>
          <w:sz w:val="24"/>
          <w:szCs w:val="24"/>
          <w:lang w:val="en-GB"/>
        </w:rPr>
        <w:t xml:space="preserve">Module: Personnel Resourcing and Development </w:t>
      </w:r>
    </w:p>
    <w:p xmlns:wp14="http://schemas.microsoft.com/office/word/2010/wordml" w:rsidP="4157A372" wp14:paraId="5E5787A5" wp14:textId="38BEA153">
      <w:pPr>
        <w:pStyle w:val="Normal"/>
        <w:spacing w:line="360" w:lineRule="auto"/>
        <w:jc w:val="both"/>
        <w:rPr>
          <w:rFonts w:ascii="Arial" w:hAnsi="Arial" w:eastAsia="Arial" w:cs="Arial"/>
          <w:noProof w:val="0"/>
          <w:sz w:val="24"/>
          <w:szCs w:val="24"/>
          <w:lang w:val="en-GB"/>
        </w:rPr>
      </w:pPr>
      <w:r w:rsidRPr="4157A372" w:rsidR="3B0CF8FC">
        <w:rPr>
          <w:rFonts w:ascii="Arial" w:hAnsi="Arial" w:eastAsia="Arial" w:cs="Arial"/>
          <w:noProof w:val="0"/>
          <w:sz w:val="24"/>
          <w:szCs w:val="24"/>
          <w:lang w:val="en-GB"/>
        </w:rPr>
        <w:t>Module code: BMIH5005</w:t>
      </w:r>
    </w:p>
    <w:p w:rsidR="3B0CF8FC" w:rsidP="4157A372" w:rsidRDefault="3B0CF8FC" w14:paraId="5DA73943" w14:textId="4556BDB7">
      <w:pPr>
        <w:pStyle w:val="Normal"/>
        <w:spacing w:line="360" w:lineRule="auto"/>
        <w:jc w:val="both"/>
        <w:rPr>
          <w:rFonts w:ascii="Arial" w:hAnsi="Arial" w:eastAsia="Arial" w:cs="Arial"/>
          <w:noProof w:val="0"/>
          <w:sz w:val="24"/>
          <w:szCs w:val="24"/>
          <w:lang w:val="en-GB"/>
        </w:rPr>
      </w:pPr>
      <w:r w:rsidRPr="4157A372" w:rsidR="3B0CF8FC">
        <w:rPr>
          <w:rFonts w:ascii="Arial" w:hAnsi="Arial" w:eastAsia="Arial" w:cs="Arial"/>
          <w:noProof w:val="0"/>
          <w:sz w:val="24"/>
          <w:szCs w:val="24"/>
          <w:lang w:val="en-GB"/>
        </w:rPr>
        <w:t xml:space="preserve">Assignment Title: Essay: Discuss how the evolution of </w:t>
      </w:r>
      <w:r w:rsidRPr="4157A372" w:rsidR="38721685">
        <w:rPr>
          <w:rFonts w:ascii="Arial" w:hAnsi="Arial" w:eastAsia="Arial" w:cs="Arial"/>
          <w:noProof w:val="0"/>
          <w:sz w:val="24"/>
          <w:szCs w:val="24"/>
          <w:lang w:val="en-GB"/>
        </w:rPr>
        <w:t>HRM (Human Resource Management)</w:t>
      </w:r>
      <w:r w:rsidRPr="4157A372" w:rsidR="3B0CF8FC">
        <w:rPr>
          <w:rFonts w:ascii="Arial" w:hAnsi="Arial" w:eastAsia="Arial" w:cs="Arial"/>
          <w:noProof w:val="0"/>
          <w:sz w:val="24"/>
          <w:szCs w:val="24"/>
          <w:lang w:val="en-GB"/>
        </w:rPr>
        <w:t xml:space="preserve"> </w:t>
      </w:r>
      <w:r w:rsidRPr="4157A372" w:rsidR="3B0CF8FC">
        <w:rPr>
          <w:rFonts w:ascii="Arial" w:hAnsi="Arial" w:eastAsia="Arial" w:cs="Arial"/>
          <w:noProof w:val="0"/>
          <w:sz w:val="24"/>
          <w:szCs w:val="24"/>
          <w:lang w:val="en-GB"/>
        </w:rPr>
        <w:t>facilitates</w:t>
      </w:r>
      <w:r w:rsidRPr="4157A372" w:rsidR="3B0CF8FC">
        <w:rPr>
          <w:rFonts w:ascii="Arial" w:hAnsi="Arial" w:eastAsia="Arial" w:cs="Arial"/>
          <w:noProof w:val="0"/>
          <w:sz w:val="24"/>
          <w:szCs w:val="24"/>
          <w:lang w:val="en-GB"/>
        </w:rPr>
        <w:t xml:space="preserve"> </w:t>
      </w:r>
      <w:r w:rsidRPr="4157A372" w:rsidR="3B0CF8FC">
        <w:rPr>
          <w:rFonts w:ascii="Arial" w:hAnsi="Arial" w:eastAsia="Arial" w:cs="Arial"/>
          <w:noProof w:val="0"/>
          <w:sz w:val="24"/>
          <w:szCs w:val="24"/>
          <w:lang w:val="en-GB"/>
        </w:rPr>
        <w:t xml:space="preserve">the strategic development of an international hotel brand through workforce planning, </w:t>
      </w:r>
      <w:r w:rsidRPr="4157A372" w:rsidR="4376C673">
        <w:rPr>
          <w:rFonts w:ascii="Arial" w:hAnsi="Arial" w:eastAsia="Arial" w:cs="Arial"/>
          <w:noProof w:val="0"/>
          <w:sz w:val="24"/>
          <w:szCs w:val="24"/>
          <w:lang w:val="en-GB"/>
        </w:rPr>
        <w:t>recruitment,</w:t>
      </w:r>
      <w:r w:rsidRPr="4157A372" w:rsidR="3B0CF8FC">
        <w:rPr>
          <w:rFonts w:ascii="Arial" w:hAnsi="Arial" w:eastAsia="Arial" w:cs="Arial"/>
          <w:noProof w:val="0"/>
          <w:sz w:val="24"/>
          <w:szCs w:val="24"/>
          <w:lang w:val="en-GB"/>
        </w:rPr>
        <w:t xml:space="preserve"> and selection</w:t>
      </w:r>
    </w:p>
    <w:p w:rsidR="2C59EC73" w:rsidP="4157A372" w:rsidRDefault="2C59EC73" w14:paraId="3390165A" w14:textId="4B183A0F">
      <w:pPr>
        <w:pStyle w:val="Normal"/>
        <w:spacing w:line="360" w:lineRule="auto"/>
        <w:jc w:val="both"/>
        <w:rPr>
          <w:rFonts w:ascii="Arial" w:hAnsi="Arial" w:eastAsia="Arial" w:cs="Arial"/>
          <w:noProof w:val="0"/>
          <w:sz w:val="24"/>
          <w:szCs w:val="24"/>
          <w:lang w:val="en-GB"/>
        </w:rPr>
      </w:pPr>
      <w:r w:rsidRPr="4157A372" w:rsidR="2C59EC73">
        <w:rPr>
          <w:rFonts w:ascii="Arial" w:hAnsi="Arial" w:eastAsia="Arial" w:cs="Arial"/>
          <w:noProof w:val="0"/>
          <w:sz w:val="24"/>
          <w:szCs w:val="24"/>
          <w:lang w:val="en-GB"/>
        </w:rPr>
        <w:t>Lecturer: Scott James, Jemma Smith</w:t>
      </w:r>
    </w:p>
    <w:p w:rsidR="2C59EC73" w:rsidP="4157A372" w:rsidRDefault="2C59EC73" w14:paraId="2965A794" w14:textId="1B7BA7E7">
      <w:pPr>
        <w:pStyle w:val="Normal"/>
        <w:spacing w:line="360" w:lineRule="auto"/>
        <w:jc w:val="both"/>
        <w:rPr>
          <w:rFonts w:ascii="Arial" w:hAnsi="Arial" w:eastAsia="Arial" w:cs="Arial"/>
          <w:noProof w:val="0"/>
          <w:sz w:val="24"/>
          <w:szCs w:val="24"/>
          <w:lang w:val="en-GB"/>
        </w:rPr>
      </w:pPr>
      <w:r w:rsidRPr="4157A372" w:rsidR="2C59EC73">
        <w:rPr>
          <w:rFonts w:ascii="Arial" w:hAnsi="Arial" w:eastAsia="Arial" w:cs="Arial"/>
          <w:noProof w:val="0"/>
          <w:sz w:val="24"/>
          <w:szCs w:val="24"/>
          <w:lang w:val="en-GB"/>
        </w:rPr>
        <w:t>Student name: andleeb madeha</w:t>
      </w:r>
    </w:p>
    <w:p w:rsidR="2C59EC73" w:rsidP="4157A372" w:rsidRDefault="2C59EC73" w14:paraId="44BBE038" w14:textId="3DFFC141">
      <w:pPr>
        <w:pStyle w:val="Normal"/>
        <w:spacing w:line="360" w:lineRule="auto"/>
        <w:jc w:val="both"/>
        <w:rPr>
          <w:rFonts w:ascii="Arial" w:hAnsi="Arial" w:eastAsia="Arial" w:cs="Arial"/>
          <w:noProof w:val="0"/>
          <w:sz w:val="24"/>
          <w:szCs w:val="24"/>
          <w:lang w:val="en-GB"/>
        </w:rPr>
      </w:pPr>
      <w:r w:rsidRPr="4157A372" w:rsidR="2C59EC73">
        <w:rPr>
          <w:rFonts w:ascii="Arial" w:hAnsi="Arial" w:eastAsia="Arial" w:cs="Arial"/>
          <w:noProof w:val="0"/>
          <w:sz w:val="24"/>
          <w:szCs w:val="24"/>
          <w:lang w:val="en-GB"/>
        </w:rPr>
        <w:t xml:space="preserve">Student </w:t>
      </w:r>
      <w:r w:rsidRPr="4157A372" w:rsidR="495BE1A1">
        <w:rPr>
          <w:rFonts w:ascii="Arial" w:hAnsi="Arial" w:eastAsia="Arial" w:cs="Arial"/>
          <w:noProof w:val="0"/>
          <w:sz w:val="24"/>
          <w:szCs w:val="24"/>
          <w:lang w:val="en-GB"/>
        </w:rPr>
        <w:t>number:</w:t>
      </w:r>
      <w:r w:rsidRPr="4157A372" w:rsidR="2C59EC73">
        <w:rPr>
          <w:rFonts w:ascii="Arial" w:hAnsi="Arial" w:eastAsia="Arial" w:cs="Arial"/>
          <w:noProof w:val="0"/>
          <w:sz w:val="24"/>
          <w:szCs w:val="24"/>
          <w:lang w:val="en-GB"/>
        </w:rPr>
        <w:t xml:space="preserve"> 2239506</w:t>
      </w:r>
    </w:p>
    <w:p w:rsidR="4157A372" w:rsidP="4157A372" w:rsidRDefault="4157A372" w14:paraId="4A779C9E" w14:textId="536C993A">
      <w:pPr>
        <w:pStyle w:val="Normal"/>
        <w:spacing w:line="360" w:lineRule="auto"/>
        <w:jc w:val="both"/>
        <w:rPr>
          <w:rFonts w:ascii="Arial" w:hAnsi="Arial" w:eastAsia="Arial" w:cs="Arial"/>
          <w:noProof w:val="0"/>
          <w:sz w:val="24"/>
          <w:szCs w:val="24"/>
          <w:lang w:val="en-GB"/>
        </w:rPr>
      </w:pPr>
    </w:p>
    <w:p w:rsidR="4157A372" w:rsidP="4157A372" w:rsidRDefault="4157A372" w14:paraId="4F7ACBC5" w14:textId="534F99AE">
      <w:pPr>
        <w:pStyle w:val="Normal"/>
        <w:spacing w:line="360" w:lineRule="auto"/>
        <w:jc w:val="both"/>
        <w:rPr>
          <w:rFonts w:ascii="Arial" w:hAnsi="Arial" w:eastAsia="Arial" w:cs="Arial"/>
          <w:noProof w:val="0"/>
          <w:sz w:val="24"/>
          <w:szCs w:val="24"/>
          <w:lang w:val="en-GB"/>
        </w:rPr>
      </w:pPr>
    </w:p>
    <w:p w:rsidR="4157A372" w:rsidP="4157A372" w:rsidRDefault="4157A372" w14:paraId="23F7CEC7" w14:textId="3D799411">
      <w:pPr>
        <w:pStyle w:val="Normal"/>
        <w:spacing w:line="360" w:lineRule="auto"/>
        <w:jc w:val="both"/>
        <w:rPr>
          <w:rFonts w:ascii="Arial" w:hAnsi="Arial" w:eastAsia="Arial" w:cs="Arial"/>
          <w:noProof w:val="0"/>
          <w:sz w:val="24"/>
          <w:szCs w:val="24"/>
          <w:lang w:val="en-GB"/>
        </w:rPr>
      </w:pPr>
    </w:p>
    <w:p w:rsidR="4157A372" w:rsidP="4157A372" w:rsidRDefault="4157A372" w14:paraId="2AB8207F" w14:textId="0054367D">
      <w:pPr>
        <w:pStyle w:val="Normal"/>
        <w:spacing w:line="360" w:lineRule="auto"/>
        <w:jc w:val="both"/>
        <w:rPr>
          <w:rFonts w:ascii="Arial" w:hAnsi="Arial" w:eastAsia="Arial" w:cs="Arial"/>
          <w:noProof w:val="0"/>
          <w:sz w:val="24"/>
          <w:szCs w:val="24"/>
          <w:lang w:val="en-GB"/>
        </w:rPr>
      </w:pPr>
    </w:p>
    <w:p w:rsidR="4157A372" w:rsidP="4157A372" w:rsidRDefault="4157A372" w14:paraId="5A289C6A" w14:textId="66FAF310">
      <w:pPr>
        <w:pStyle w:val="Normal"/>
        <w:spacing w:line="360" w:lineRule="auto"/>
        <w:jc w:val="both"/>
        <w:rPr>
          <w:rFonts w:ascii="Arial" w:hAnsi="Arial" w:eastAsia="Arial" w:cs="Arial"/>
          <w:noProof w:val="0"/>
          <w:sz w:val="24"/>
          <w:szCs w:val="24"/>
          <w:lang w:val="en-GB"/>
        </w:rPr>
      </w:pPr>
    </w:p>
    <w:p w:rsidR="4157A372" w:rsidP="4157A372" w:rsidRDefault="4157A372" w14:paraId="5ED74802" w14:textId="73522478">
      <w:pPr>
        <w:pStyle w:val="Normal"/>
        <w:spacing w:line="360" w:lineRule="auto"/>
        <w:jc w:val="both"/>
        <w:rPr>
          <w:rFonts w:ascii="Arial" w:hAnsi="Arial" w:eastAsia="Arial" w:cs="Arial"/>
          <w:noProof w:val="0"/>
          <w:sz w:val="24"/>
          <w:szCs w:val="24"/>
          <w:lang w:val="en-GB"/>
        </w:rPr>
      </w:pPr>
    </w:p>
    <w:p w:rsidR="4157A372" w:rsidP="4157A372" w:rsidRDefault="4157A372" w14:paraId="7296850C" w14:textId="5CC48FFD">
      <w:pPr>
        <w:pStyle w:val="Normal"/>
        <w:spacing w:line="360" w:lineRule="auto"/>
        <w:jc w:val="both"/>
        <w:rPr>
          <w:rFonts w:ascii="Arial" w:hAnsi="Arial" w:eastAsia="Arial" w:cs="Arial"/>
          <w:noProof w:val="0"/>
          <w:sz w:val="24"/>
          <w:szCs w:val="24"/>
          <w:lang w:val="en-GB"/>
        </w:rPr>
      </w:pPr>
    </w:p>
    <w:p w:rsidR="4157A372" w:rsidP="4157A372" w:rsidRDefault="4157A372" w14:paraId="08E4096B" w14:textId="273612E4">
      <w:pPr>
        <w:pStyle w:val="Normal"/>
        <w:spacing w:line="360" w:lineRule="auto"/>
        <w:jc w:val="both"/>
        <w:rPr>
          <w:rFonts w:ascii="Arial" w:hAnsi="Arial" w:eastAsia="Arial" w:cs="Arial"/>
          <w:noProof w:val="0"/>
          <w:sz w:val="24"/>
          <w:szCs w:val="24"/>
          <w:lang w:val="en-GB"/>
        </w:rPr>
      </w:pPr>
    </w:p>
    <w:p w:rsidR="4157A372" w:rsidP="4157A372" w:rsidRDefault="4157A372" w14:paraId="201EB67A" w14:textId="40AC6087">
      <w:pPr>
        <w:pStyle w:val="Normal"/>
        <w:spacing w:line="360" w:lineRule="auto"/>
        <w:jc w:val="both"/>
        <w:rPr>
          <w:rFonts w:ascii="Arial" w:hAnsi="Arial" w:eastAsia="Arial" w:cs="Arial"/>
          <w:noProof w:val="0"/>
          <w:sz w:val="24"/>
          <w:szCs w:val="24"/>
          <w:lang w:val="en-GB"/>
        </w:rPr>
      </w:pPr>
    </w:p>
    <w:p w:rsidR="4157A372" w:rsidP="4157A372" w:rsidRDefault="4157A372" w14:paraId="7DCB63B6" w14:textId="02C8CD8B">
      <w:pPr>
        <w:pStyle w:val="Normal"/>
        <w:spacing w:line="360" w:lineRule="auto"/>
        <w:jc w:val="both"/>
        <w:rPr>
          <w:rFonts w:ascii="Arial" w:hAnsi="Arial" w:eastAsia="Arial" w:cs="Arial"/>
          <w:noProof w:val="0"/>
          <w:sz w:val="24"/>
          <w:szCs w:val="24"/>
          <w:lang w:val="en-GB"/>
        </w:rPr>
      </w:pPr>
    </w:p>
    <w:p w:rsidR="4157A372" w:rsidP="4157A372" w:rsidRDefault="4157A372" w14:paraId="617AD88C" w14:textId="2461A32E">
      <w:pPr>
        <w:pStyle w:val="Normal"/>
        <w:spacing w:line="360" w:lineRule="auto"/>
        <w:jc w:val="both"/>
        <w:rPr>
          <w:rFonts w:ascii="Arial" w:hAnsi="Arial" w:eastAsia="Arial" w:cs="Arial"/>
          <w:noProof w:val="0"/>
          <w:sz w:val="24"/>
          <w:szCs w:val="24"/>
          <w:lang w:val="en-GB"/>
        </w:rPr>
      </w:pPr>
    </w:p>
    <w:p w:rsidR="4157A372" w:rsidP="4157A372" w:rsidRDefault="4157A372" w14:paraId="27E2B869" w14:textId="71A08802">
      <w:pPr>
        <w:pStyle w:val="Normal"/>
        <w:spacing w:line="360" w:lineRule="auto"/>
        <w:jc w:val="both"/>
        <w:rPr>
          <w:rFonts w:ascii="Arial" w:hAnsi="Arial" w:eastAsia="Arial" w:cs="Arial"/>
          <w:noProof w:val="0"/>
          <w:sz w:val="24"/>
          <w:szCs w:val="24"/>
          <w:lang w:val="en-GB"/>
        </w:rPr>
      </w:pPr>
    </w:p>
    <w:p w:rsidR="4157A372" w:rsidP="4157A372" w:rsidRDefault="4157A372" w14:paraId="4B182166" w14:textId="1D9DC358">
      <w:pPr>
        <w:pStyle w:val="Normal"/>
        <w:spacing w:line="360" w:lineRule="auto"/>
        <w:jc w:val="both"/>
        <w:rPr>
          <w:rFonts w:ascii="Arial" w:hAnsi="Arial" w:eastAsia="Arial" w:cs="Arial"/>
          <w:noProof w:val="0"/>
          <w:sz w:val="24"/>
          <w:szCs w:val="24"/>
          <w:lang w:val="en-GB"/>
        </w:rPr>
      </w:pPr>
    </w:p>
    <w:p w:rsidR="4157A372" w:rsidP="4157A372" w:rsidRDefault="4157A372" w14:paraId="79E8E9F0" w14:textId="47E4B47D">
      <w:pPr>
        <w:pStyle w:val="Normal"/>
        <w:spacing w:line="360" w:lineRule="auto"/>
        <w:jc w:val="both"/>
        <w:rPr>
          <w:rFonts w:ascii="Arial" w:hAnsi="Arial" w:eastAsia="Arial" w:cs="Arial"/>
          <w:noProof w:val="0"/>
          <w:sz w:val="24"/>
          <w:szCs w:val="24"/>
          <w:lang w:val="en-GB"/>
        </w:rPr>
      </w:pPr>
    </w:p>
    <w:p w:rsidR="4157A372" w:rsidP="4157A372" w:rsidRDefault="4157A372" w14:paraId="0612E146" w14:textId="3201673D">
      <w:pPr>
        <w:pStyle w:val="Normal"/>
        <w:spacing w:line="360" w:lineRule="auto"/>
        <w:jc w:val="both"/>
        <w:rPr>
          <w:rFonts w:ascii="Arial" w:hAnsi="Arial" w:eastAsia="Arial" w:cs="Arial"/>
          <w:noProof w:val="0"/>
          <w:sz w:val="24"/>
          <w:szCs w:val="24"/>
          <w:lang w:val="en-GB"/>
        </w:rPr>
      </w:pPr>
    </w:p>
    <w:p w:rsidR="4157A372" w:rsidP="4157A372" w:rsidRDefault="4157A372" w14:paraId="11CC1582" w14:textId="4B6F148F">
      <w:pPr>
        <w:pStyle w:val="Normal"/>
        <w:spacing w:line="360" w:lineRule="auto"/>
        <w:jc w:val="both"/>
        <w:rPr>
          <w:rFonts w:ascii="Arial" w:hAnsi="Arial" w:eastAsia="Arial" w:cs="Arial"/>
          <w:noProof w:val="0"/>
          <w:sz w:val="24"/>
          <w:szCs w:val="24"/>
          <w:lang w:val="en-GB"/>
        </w:rPr>
      </w:pPr>
    </w:p>
    <w:p w:rsidR="4157A372" w:rsidP="4157A372" w:rsidRDefault="4157A372" w14:paraId="1309FF27" w14:textId="4F253646">
      <w:pPr>
        <w:pStyle w:val="Normal"/>
        <w:spacing w:line="360" w:lineRule="auto"/>
        <w:jc w:val="both"/>
        <w:rPr>
          <w:rFonts w:ascii="Arial" w:hAnsi="Arial" w:eastAsia="Arial" w:cs="Arial"/>
          <w:noProof w:val="0"/>
          <w:sz w:val="24"/>
          <w:szCs w:val="24"/>
          <w:lang w:val="en-GB"/>
        </w:rPr>
      </w:pPr>
    </w:p>
    <w:p w:rsidR="6EA58649" w:rsidP="4157A372" w:rsidRDefault="6EA58649" w14:paraId="31AB5A1B" w14:textId="4808E17C">
      <w:pPr>
        <w:pStyle w:val="Normal"/>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6EA58649">
        <w:rPr>
          <w:rFonts w:ascii="Arial" w:hAnsi="Arial" w:eastAsia="Arial" w:cs="Arial"/>
          <w:b w:val="0"/>
          <w:bCs w:val="0"/>
          <w:i w:val="0"/>
          <w:iCs w:val="0"/>
          <w:caps w:val="0"/>
          <w:smallCaps w:val="0"/>
          <w:noProof w:val="0"/>
          <w:color w:val="0D0D0D" w:themeColor="text1" w:themeTint="F2" w:themeShade="FF"/>
          <w:sz w:val="24"/>
          <w:szCs w:val="24"/>
          <w:lang w:val="en-GB"/>
        </w:rPr>
        <w:t>Introduction: the</w:t>
      </w:r>
      <w:r w:rsidRPr="4157A372" w:rsidR="7F472DCE">
        <w:rPr>
          <w:rFonts w:ascii="Arial" w:hAnsi="Arial" w:eastAsia="Arial" w:cs="Arial"/>
          <w:b w:val="0"/>
          <w:bCs w:val="0"/>
          <w:i w:val="0"/>
          <w:iCs w:val="0"/>
          <w:caps w:val="0"/>
          <w:smallCaps w:val="0"/>
          <w:noProof w:val="0"/>
          <w:color w:val="0D0D0D" w:themeColor="text1" w:themeTint="F2" w:themeShade="FF"/>
          <w:sz w:val="24"/>
          <w:szCs w:val="24"/>
          <w:lang w:val="en-GB"/>
        </w:rPr>
        <w:t xml:space="preserve"> Human Resource Management (HRM) landscape has undergone significant evolution over the years, transforming from a transactional function to a strategic partner in organizational development. In the context of international hotel brands, the strategic role of HRM becomes paramount due to the diverse workforce, global operations, and competitive market dynamics</w:t>
      </w:r>
      <w:r w:rsidRPr="4157A372" w:rsidR="1000CD17">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4157A372" w:rsidR="7F472DCE">
        <w:rPr>
          <w:rFonts w:ascii="Arial" w:hAnsi="Arial" w:eastAsia="Arial" w:cs="Arial"/>
          <w:b w:val="0"/>
          <w:bCs w:val="0"/>
          <w:i w:val="0"/>
          <w:iCs w:val="0"/>
          <w:caps w:val="0"/>
          <w:smallCaps w:val="0"/>
          <w:noProof w:val="0"/>
          <w:color w:val="0D0D0D" w:themeColor="text1" w:themeTint="F2" w:themeShade="FF"/>
          <w:sz w:val="24"/>
          <w:szCs w:val="24"/>
          <w:lang w:val="en-GB"/>
        </w:rPr>
        <w:t xml:space="preserve">This evolution is particularly crucial for international hotel brands like IHG (InterContinental Hotels Group), where workforce planning, recruitment, and </w:t>
      </w:r>
      <w:r w:rsidRPr="4157A372" w:rsidR="7F472DCE">
        <w:rPr>
          <w:rFonts w:ascii="Arial" w:hAnsi="Arial" w:eastAsia="Arial" w:cs="Arial"/>
          <w:b w:val="0"/>
          <w:bCs w:val="0"/>
          <w:i w:val="0"/>
          <w:iCs w:val="0"/>
          <w:caps w:val="0"/>
          <w:smallCaps w:val="0"/>
          <w:noProof w:val="0"/>
          <w:color w:val="0D0D0D" w:themeColor="text1" w:themeTint="F2" w:themeShade="FF"/>
          <w:sz w:val="24"/>
          <w:szCs w:val="24"/>
          <w:lang w:val="en-GB"/>
        </w:rPr>
        <w:t>selection</w:t>
      </w:r>
      <w:r w:rsidRPr="4157A372" w:rsidR="7F472DCE">
        <w:rPr>
          <w:rFonts w:ascii="Arial" w:hAnsi="Arial" w:eastAsia="Arial" w:cs="Arial"/>
          <w:b w:val="0"/>
          <w:bCs w:val="0"/>
          <w:i w:val="0"/>
          <w:iCs w:val="0"/>
          <w:caps w:val="0"/>
          <w:smallCaps w:val="0"/>
          <w:noProof w:val="0"/>
          <w:color w:val="0D0D0D" w:themeColor="text1" w:themeTint="F2" w:themeShade="FF"/>
          <w:sz w:val="24"/>
          <w:szCs w:val="24"/>
          <w:lang w:val="en-GB"/>
        </w:rPr>
        <w:t xml:space="preserve"> are integral to strategic development. This essay examines how the evolution of HRM facilitates the strategic development of IHG hotel brand through these key processes.</w:t>
      </w:r>
      <w:r w:rsidRPr="4157A372" w:rsidR="4023E155">
        <w:rPr>
          <w:rFonts w:ascii="Arial" w:hAnsi="Arial" w:eastAsia="Arial" w:cs="Arial"/>
          <w:b w:val="0"/>
          <w:bCs w:val="0"/>
          <w:i w:val="0"/>
          <w:iCs w:val="0"/>
          <w:caps w:val="0"/>
          <w:smallCaps w:val="0"/>
          <w:noProof w:val="0"/>
          <w:color w:val="0D0D0D" w:themeColor="text1" w:themeTint="F2" w:themeShade="FF"/>
          <w:sz w:val="24"/>
          <w:szCs w:val="24"/>
          <w:lang w:val="en-GB"/>
        </w:rPr>
        <w:t xml:space="preserve"> As the hospitality industry continues to evolve in response to shifting consumer preferences, technological advancements, and global market dynamics, the role of HRM within organizations like IHG becomes increasingly pivotal. At the heart of this evolution lies the strategic alignment of HRM practices with organizational goals, particularly in the realm of workforce planning, recruitment, and selection.</w:t>
      </w:r>
    </w:p>
    <w:p w:rsidR="277A1AC8" w:rsidP="4157A372" w:rsidRDefault="277A1AC8" w14:paraId="48BA3228" w14:textId="6C8F8B44">
      <w:pPr>
        <w:pStyle w:val="Normal"/>
        <w:shd w:val="clear" w:color="auto" w:fill="FFFFFF" w:themeFill="background1"/>
        <w:spacing w:before="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277A1AC8">
        <w:rPr>
          <w:rFonts w:ascii="Arial" w:hAnsi="Arial" w:eastAsia="Arial" w:cs="Arial"/>
          <w:b w:val="0"/>
          <w:bCs w:val="0"/>
          <w:i w:val="0"/>
          <w:iCs w:val="0"/>
          <w:caps w:val="0"/>
          <w:smallCaps w:val="0"/>
          <w:noProof w:val="0"/>
          <w:color w:val="0D0D0D" w:themeColor="text1" w:themeTint="F2" w:themeShade="FF"/>
          <w:sz w:val="24"/>
          <w:szCs w:val="24"/>
          <w:lang w:val="en-GB"/>
        </w:rPr>
        <w:t>Main body:</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The evolution of Human Resource Management (HRM) within the context of a global hospitality chain like IHG (InterContinental Hotels Group) involves adapting to changes in the industry, technology, workforce demographics, and organizational culture. </w:t>
      </w:r>
      <w:r w:rsidRPr="4157A372" w:rsidR="63152FBD">
        <w:rPr>
          <w:rFonts w:ascii="Arial" w:hAnsi="Arial" w:eastAsia="Arial" w:cs="Arial"/>
          <w:b w:val="0"/>
          <w:bCs w:val="0"/>
          <w:i w:val="0"/>
          <w:iCs w:val="0"/>
          <w:caps w:val="0"/>
          <w:smallCaps w:val="0"/>
          <w:noProof w:val="0"/>
          <w:color w:val="0D0D0D" w:themeColor="text1" w:themeTint="F2" w:themeShade="FF"/>
          <w:sz w:val="24"/>
          <w:szCs w:val="24"/>
          <w:lang w:val="en-GB"/>
        </w:rPr>
        <w:t>Here is</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a general overview of how HRM might evolve within IHG:</w:t>
      </w:r>
    </w:p>
    <w:p w:rsidR="55EA0917" w:rsidP="4157A372" w:rsidRDefault="55EA0917" w14:paraId="43A20FC0" w14:textId="4581B9F9">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Technology Integration</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HRM within IHG would increasingly rely on technology for various functions such as recruitment (using applicant tracking systems), training (</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utilizing</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e-learning platforms), performance management (through digital feedback systems), and employee engagement (via mobile apps or online platforms). Automation of routine tasks would free up </w:t>
      </w:r>
      <w:r w:rsidRPr="4157A372" w:rsidR="3DFBA4DD">
        <w:rPr>
          <w:rFonts w:ascii="Arial" w:hAnsi="Arial" w:eastAsia="Arial" w:cs="Arial"/>
          <w:b w:val="0"/>
          <w:bCs w:val="0"/>
          <w:i w:val="0"/>
          <w:iCs w:val="0"/>
          <w:caps w:val="0"/>
          <w:smallCaps w:val="0"/>
          <w:noProof w:val="0"/>
          <w:color w:val="0D0D0D" w:themeColor="text1" w:themeTint="F2" w:themeShade="FF"/>
          <w:sz w:val="24"/>
          <w:szCs w:val="24"/>
          <w:lang w:val="en-GB"/>
        </w:rPr>
        <w:t>HR (Human Resources)</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personnel for more strategic initiatives.</w:t>
      </w:r>
    </w:p>
    <w:p w:rsidR="55EA0917" w:rsidP="4157A372" w:rsidRDefault="55EA0917" w14:paraId="7404B58C" w14:textId="194094F3">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Global Talent Management</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With operations spanning multiple countries and cultures, IHG's HRM would focus on talent acquisition and management strategies tailored to diverse markets. This might involve localized recruitment efforts, cross-cultural training programs, and initiatives to promote diversity and inclusion.</w:t>
      </w:r>
    </w:p>
    <w:p w:rsidR="55EA0917" w:rsidP="4157A372" w:rsidRDefault="55EA0917" w14:paraId="42FB99B4" w14:textId="0FBC3830">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Employee Experience</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IHG would prioritize enhancing the employee experience to attract and </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retain</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top talent. This could involve initiatives like flexible work arrangements, wellness programs, career development opportunities, and fostering a supportive work culture.</w:t>
      </w:r>
    </w:p>
    <w:p w:rsidR="55EA0917" w:rsidP="4157A372" w:rsidRDefault="55EA0917" w14:paraId="2AC9BBE6" w14:textId="155095EB">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Data-Driven Decision Making</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HRM at IHG would increasingly </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leverage</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data analytics to make informed decisions. This might include workforce planning based on predictive analytics, </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identifying</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trends in employee engagement and turnover, and measuring the impact of HR initiatives on business performance.</w:t>
      </w:r>
    </w:p>
    <w:p w:rsidR="55EA0917" w:rsidP="4157A372" w:rsidRDefault="55EA0917" w14:paraId="08380CC0" w14:textId="4D712C0F">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Agile HR Practices</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In a rapidly changing industry, IHG’s HRM would adopt agile practices to quickly respond to evolving business needs and market dynamics. This might involve cross-functional teams, iterative performance management processes, and a culture of experimentation and learning.</w:t>
      </w:r>
    </w:p>
    <w:p w:rsidR="55EA0917" w:rsidP="4157A372" w:rsidRDefault="55EA0917" w14:paraId="2D05C597" w14:textId="53BBA844">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Leadership Development</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IHG would invest in developing leaders at all levels of the organization to drive innovation, manage change, and foster a culture of excellence. This might include leadership development programs, mentoring initiatives, and succession planning to ensure a pipeline of talent for key roles.</w:t>
      </w:r>
    </w:p>
    <w:p w:rsidR="55EA0917" w:rsidP="4157A372" w:rsidRDefault="55EA0917" w14:paraId="4E89C71A" w14:textId="755FE0F4">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Employer Branding</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HRM at IHG would focus on building and </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a strong employer brand to attract top talent in a competitive market. This might involve showcasing company culture through social media, employer branding campaigns, and employer review </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sites.</w:t>
      </w:r>
    </w:p>
    <w:p w:rsidR="55EA0917" w:rsidP="4157A372" w:rsidRDefault="55EA0917" w14:paraId="63EE39A2" w14:textId="41D3A3E6">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Sustainability and Corporate Social Responsibility (CSR)</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HRM within IHG would align with the company’s commitment to sustainability and CSR. This might involve initiatives such as promoting diversity and inclusion, reducing environmental impact through sustainable practices, and supporting community development programs.</w:t>
      </w:r>
    </w:p>
    <w:p w:rsidR="55EA0917" w:rsidP="4157A372" w:rsidRDefault="55EA0917" w14:paraId="408FACA3" w14:textId="445F75F8">
      <w:pPr>
        <w:shd w:val="clear" w:color="auto" w:fill="FFFFFF" w:themeFill="background1"/>
        <w:spacing w:before="30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Overall, the evolution of HRM within IHG would involve embracing technology, focusing on employee experience and development, </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leveraging</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 xml:space="preserve"> data for decision-making, and aligning HR strategies with the company’s values and business </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4157A372" w:rsidR="55EA0917">
        <w:rPr>
          <w:rFonts w:ascii="Arial" w:hAnsi="Arial" w:eastAsia="Arial" w:cs="Arial"/>
          <w:b w:val="0"/>
          <w:bCs w:val="0"/>
          <w:i w:val="0"/>
          <w:iCs w:val="0"/>
          <w:caps w:val="0"/>
          <w:smallCaps w:val="0"/>
          <w:noProof w:val="0"/>
          <w:color w:val="0D0D0D" w:themeColor="text1" w:themeTint="F2" w:themeShade="FF"/>
          <w:sz w:val="24"/>
          <w:szCs w:val="24"/>
          <w:lang w:val="en-GB"/>
        </w:rPr>
        <w:t>.</w:t>
      </w:r>
    </w:p>
    <w:p w:rsidR="24337DD7" w:rsidP="4157A372" w:rsidRDefault="24337DD7" w14:paraId="284EA8D8" w14:textId="541CCE03">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In the dynamic and competitive hospitality industry, the strategic role of Human Resources (HR) functions is paramount for organizations like IHG (InterContinental Hotels Group). With a global presence and diverse workforce, IHG relies on HR to drive its business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foster employee engagement, and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maintain</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a competitive edge.</w:t>
      </w:r>
    </w:p>
    <w:p w:rsidR="24337DD7" w:rsidP="4157A372" w:rsidRDefault="24337DD7" w14:paraId="3E843683" w14:textId="67C6EEA7">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Talent Acquisition and Management: One of the primary strategic roles of HR in IHG is to attract, select, and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retain</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top talent. HR plays a crucial role in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identifying</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the skills and competencies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required</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for various roles within the organization, aligning recruitment efforts with business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and ensuring a diverse and inclusive workforce. Through targeted recruitment strategies, IHG aims to attract individuals who embody its core values and contribute to its success. Moreover, HR oversees talent management initiatives such as succession planning, leadership development, and performance management to nurture talent and drive organizational growth.</w:t>
      </w:r>
    </w:p>
    <w:p w:rsidR="24337DD7" w:rsidP="4157A372" w:rsidRDefault="24337DD7" w14:paraId="74DC6E99" w14:textId="5C0C0728">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Organizational Culture and Employee Engagement: HR functions at IHG are instrumental in shaping and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the organization's culture, which is characterized by a commitment to excellence, innovation, and guest satisfaction. HR initiatives focus on fostering a positive work environment where employees feel valued, empowered, and motivated to perform at their best. Through employee engagement programs, IHG aims to strengthen the bond between employees and the organization, enhance job satisfaction, and reduce turnover rates. By prioritizing employee well-being, IHG not only improves retention but also enhances guest experiences through the delivery of exceptional service.</w:t>
      </w:r>
    </w:p>
    <w:p w:rsidR="24337DD7" w:rsidP="4157A372" w:rsidRDefault="24337DD7" w14:paraId="5B83DA08" w14:textId="6B3D2FE0">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Learning and Development: Another critical aspect of HR's strategic role in IHG is learning and development. HR functions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are responsible for</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designing and implementing training programs that equip employees with the skills and knowledge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required</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to excel in their roles and adapt to changing market trends. Whether </w:t>
      </w:r>
      <w:r w:rsidRPr="4157A372" w:rsidR="7E353D29">
        <w:rPr>
          <w:rFonts w:ascii="Arial" w:hAnsi="Arial" w:eastAsia="Arial" w:cs="Arial"/>
          <w:b w:val="0"/>
          <w:bCs w:val="0"/>
          <w:i w:val="0"/>
          <w:iCs w:val="0"/>
          <w:caps w:val="0"/>
          <w:smallCaps w:val="0"/>
          <w:noProof w:val="0"/>
          <w:color w:val="0D0D0D" w:themeColor="text1" w:themeTint="F2" w:themeShade="FF"/>
          <w:sz w:val="24"/>
          <w:szCs w:val="24"/>
          <w:lang w:val="en-GB"/>
        </w:rPr>
        <w:t>it is</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frontline staff or senior executives, continuous learning is ingrained in IHG's culture to ensure that employees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remain</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competitive and innovative. Moreover, HR leverages technology and e-learning platforms to provide accessible and flexible learning opportunities, catering to the diverse needs of its workforce.</w:t>
      </w:r>
    </w:p>
    <w:p w:rsidR="24337DD7" w:rsidP="4157A372" w:rsidRDefault="24337DD7" w14:paraId="1D0ED30D" w14:textId="3309AD71">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Employee Relations and Performance Management: HR functions at IHG play a strategic role in managing employee relations and performance. HR professionals act as mediators, ensuring fair treatment and resolving conflicts in the workplace. Moreover, HR oversees performance management systems that provide feedback, recognition, and development opportunities to employees. By aligning individual performance with organizational goals, IHG ensures that employees are motivated to contribute to the company's success and are held accountable for their performance.</w:t>
      </w:r>
    </w:p>
    <w:p w:rsidR="24337DD7" w:rsidP="4157A372" w:rsidRDefault="24337DD7" w14:paraId="57A2F282" w14:textId="0678CBE2">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Strategic Partnerships and Innovation: Beyond traditional HR functions, HR professionals at IHG serve as strategic partners to business leaders, contributing to decision-making processes and driving innovation. By understanding the business landscape and industry trends, HR collaborates with other departments to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identify</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opportunities for growth and competitive advantage. Whether </w:t>
      </w:r>
      <w:r w:rsidRPr="4157A372" w:rsidR="2D089342">
        <w:rPr>
          <w:rFonts w:ascii="Arial" w:hAnsi="Arial" w:eastAsia="Arial" w:cs="Arial"/>
          <w:b w:val="0"/>
          <w:bCs w:val="0"/>
          <w:i w:val="0"/>
          <w:iCs w:val="0"/>
          <w:caps w:val="0"/>
          <w:smallCaps w:val="0"/>
          <w:noProof w:val="0"/>
          <w:color w:val="0D0D0D" w:themeColor="text1" w:themeTint="F2" w:themeShade="FF"/>
          <w:sz w:val="24"/>
          <w:szCs w:val="24"/>
          <w:lang w:val="en-GB"/>
        </w:rPr>
        <w:t>it is</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exploring new markets, launching innovative guest experiences, or implementing sustainability initiatives, HR plays a pivotal role in aligning human capital strategies with organizational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In</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conclusion, the strategic role of HR functions within IHG is multifaceted and integral to the organization's success. From talent acquisition and management to fostering a positive organizational culture, HR plays a pivotal role in driving employee engagement, learning, and performance. By embracing innovation and strategic partnerships, HR at IHG contributes to the company's competitiveness and sustainability in the global hospitality market. As IHG continues to evolve and expand its footprint, HR will remain a key enabler of its strategic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ensuring that the organization attracts, develops, and </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retains</w:t>
      </w:r>
      <w:r w:rsidRPr="4157A372" w:rsidR="24337DD7">
        <w:rPr>
          <w:rFonts w:ascii="Arial" w:hAnsi="Arial" w:eastAsia="Arial" w:cs="Arial"/>
          <w:b w:val="0"/>
          <w:bCs w:val="0"/>
          <w:i w:val="0"/>
          <w:iCs w:val="0"/>
          <w:caps w:val="0"/>
          <w:smallCaps w:val="0"/>
          <w:noProof w:val="0"/>
          <w:color w:val="0D0D0D" w:themeColor="text1" w:themeTint="F2" w:themeShade="FF"/>
          <w:sz w:val="24"/>
          <w:szCs w:val="24"/>
          <w:lang w:val="en-GB"/>
        </w:rPr>
        <w:t xml:space="preserve"> top talent while delivering exceptional guest experiences.</w:t>
      </w:r>
    </w:p>
    <w:p w:rsidR="67122267" w:rsidP="4157A372" w:rsidRDefault="67122267" w14:paraId="551C3B09" w14:textId="04065E70">
      <w:pPr>
        <w:pStyle w:val="Normal"/>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67122267">
        <w:rPr>
          <w:rFonts w:ascii="Arial" w:hAnsi="Arial" w:eastAsia="Arial" w:cs="Arial"/>
          <w:b w:val="0"/>
          <w:bCs w:val="0"/>
          <w:i w:val="0"/>
          <w:iCs w:val="0"/>
          <w:caps w:val="0"/>
          <w:smallCaps w:val="0"/>
          <w:noProof w:val="0"/>
          <w:color w:val="0D0D0D" w:themeColor="text1" w:themeTint="F2" w:themeShade="FF"/>
          <w:sz w:val="24"/>
          <w:szCs w:val="24"/>
          <w:lang w:val="en-GB"/>
        </w:rPr>
        <w:t xml:space="preserve">Strategic Human Resource (HR) planning is essential for organizations like IHG (InterContinental Hotels Group) to align their human capital strategies with business </w:t>
      </w:r>
      <w:r w:rsidRPr="4157A372" w:rsidR="67122267">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4157A372" w:rsidR="67122267">
        <w:rPr>
          <w:rFonts w:ascii="Arial" w:hAnsi="Arial" w:eastAsia="Arial" w:cs="Arial"/>
          <w:b w:val="0"/>
          <w:bCs w:val="0"/>
          <w:i w:val="0"/>
          <w:iCs w:val="0"/>
          <w:caps w:val="0"/>
          <w:smallCaps w:val="0"/>
          <w:noProof w:val="0"/>
          <w:color w:val="0D0D0D" w:themeColor="text1" w:themeTint="F2" w:themeShade="FF"/>
          <w:sz w:val="24"/>
          <w:szCs w:val="24"/>
          <w:lang w:val="en-GB"/>
        </w:rPr>
        <w:t xml:space="preserve"> and ensure long-term success.</w:t>
      </w:r>
    </w:p>
    <w:p w:rsidR="196E0CF3" w:rsidP="4157A372" w:rsidRDefault="196E0CF3" w14:paraId="0BB0E7EE" w14:textId="3E73490D">
      <w:pPr>
        <w:pStyle w:val="Normal"/>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Workforce Analysis: The strategic HR planning process at IHG begins with a comprehensive analysis of the current workforce. HR professionals assess factors such as employee demographics, skills inventory, performance levels, and retention rates across various departments and locations. By understanding the composition and capabilities of the workforce, IHG can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identify</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strengths, gaps, and areas for improvement, enabling informed decision-making in talent management and development initiatives.</w:t>
      </w:r>
    </w:p>
    <w:p w:rsidR="196E0CF3" w:rsidP="4157A372" w:rsidRDefault="196E0CF3" w14:paraId="0AB280AC" w14:textId="58B66492">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Forecasting: Based on workforce analysis and market trends, IHG engages in forecasting to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anticipate</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future human capital needs. HR collaborates with business leaders to project staffing requirements, skill demands, and potential workforce challenges. Factors such as expansion plans, market dynamics, technological advancements, and regulatory changes are considered in forecasting to ensure alignment with IHG's strategic goals and operational realities.</w:t>
      </w:r>
    </w:p>
    <w:p w:rsidR="196E0CF3" w:rsidP="4157A372" w:rsidRDefault="196E0CF3" w14:paraId="673B791A" w14:textId="43675451">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Talent Acquisition: Armed with workforce analysis and forecasts, IHG's HR team devises talent acquisition strategies to attract and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retain</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top talent. This involves sourcing candidates through diverse channels, including job portals, social media, industry networks, and talent pipelines. IHG emphasizes employer branding, </w:t>
      </w:r>
      <w:r w:rsidRPr="4157A372" w:rsidR="0EB47EC4">
        <w:rPr>
          <w:rFonts w:ascii="Arial" w:hAnsi="Arial" w:eastAsia="Arial" w:cs="Arial"/>
          <w:b w:val="0"/>
          <w:bCs w:val="0"/>
          <w:i w:val="0"/>
          <w:iCs w:val="0"/>
          <w:caps w:val="0"/>
          <w:smallCaps w:val="0"/>
          <w:noProof w:val="0"/>
          <w:color w:val="0D0D0D" w:themeColor="text1" w:themeTint="F2" w:themeShade="FF"/>
          <w:sz w:val="24"/>
          <w:szCs w:val="24"/>
          <w:lang w:val="en-GB"/>
        </w:rPr>
        <w:t>highlighting</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its culture, values, and career opportunities to attract candidates who align with its ethos. Furthermore, HR employs rigorous selection processes, including assessments, interviews, and reference checks, to ensure that candidates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possess</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the requisite skills, competencies, and cultural fit.</w:t>
      </w:r>
    </w:p>
    <w:p w:rsidR="196E0CF3" w:rsidP="4157A372" w:rsidRDefault="196E0CF3" w14:paraId="19041954" w14:textId="7D2F4676">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Succession Planning: Succession planning is a critical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component</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of IHG's strategic HR planning process, ensuring continuity and leadership development within the organization. HR collaborates with business leaders to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identify</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key roles and high-potential employees who are groomed for future leadership positions. Succession plans include personalized development paths, mentoring relationships, and stretch assignments to prepare employees for increased responsibilities. By nurturing internal talent pipelines, IHG mitigates risks associated with leadership vacancies and fosters a culture of talent development and retention.</w:t>
      </w:r>
    </w:p>
    <w:p w:rsidR="196E0CF3" w:rsidP="4157A372" w:rsidRDefault="196E0CF3" w14:paraId="2C1DB12B" w14:textId="3DADB052">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Alignment with Business Strategy: Throughout the strategic HR planning process, alignment with IHG's business strategy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remains</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paramount. HR works closely with senior management to ensure that human capital strategies support organizational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whether </w:t>
      </w:r>
      <w:r w:rsidRPr="4157A372" w:rsidR="204C5841">
        <w:rPr>
          <w:rFonts w:ascii="Arial" w:hAnsi="Arial" w:eastAsia="Arial" w:cs="Arial"/>
          <w:b w:val="0"/>
          <w:bCs w:val="0"/>
          <w:i w:val="0"/>
          <w:iCs w:val="0"/>
          <w:caps w:val="0"/>
          <w:smallCaps w:val="0"/>
          <w:noProof w:val="0"/>
          <w:color w:val="0D0D0D" w:themeColor="text1" w:themeTint="F2" w:themeShade="FF"/>
          <w:sz w:val="24"/>
          <w:szCs w:val="24"/>
          <w:lang w:val="en-GB"/>
        </w:rPr>
        <w:t>it is</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enhancing guest experiences, driving revenue growth, expanding into new markets, or promoting sustainability initiatives. By aligning HR practices with business imperatives, IHG maximizes the impact of its human capital investments and enhances overall organizational performance.</w:t>
      </w:r>
    </w:p>
    <w:p w:rsidR="196E0CF3" w:rsidP="4157A372" w:rsidRDefault="196E0CF3" w14:paraId="646990DF" w14:textId="220B7E14">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Continuous Evaluation and Adaptation: Strategic HR planning at IHG is an iterative process that involves continuous evaluation and adaptation. HR regularly reviews workforce metrics, market dynamics, and business priorities to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identify</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emerging trends, challenges, and opportunities. By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leveraging</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data analytics and feedback mechanisms, IHG fine-tunes its HR strategies to address evolving needs and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maintain</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agility in a dynamic hospitality landscape.</w:t>
      </w:r>
    </w:p>
    <w:p w:rsidR="196E0CF3" w:rsidP="4157A372" w:rsidRDefault="196E0CF3" w14:paraId="0B61ED15" w14:textId="79C90D13">
      <w:pPr>
        <w:shd w:val="clear" w:color="auto" w:fill="FFFFFF" w:themeFill="background1"/>
        <w:spacing w:before="30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the strategic HR planning process for IHG hotels is a systematic approach to aligning human capital strategies with business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By conducting workforce analysis, forecasting future needs, prioritizing talent acquisition, and investing in succession planning, IHG ensures that it has the right people in the right roles to drive organizational success. Moreover, by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alignment with business strategy and fostering a culture of continuous evaluation and adaptation, IHG </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remains</w:t>
      </w:r>
      <w:r w:rsidRPr="4157A372" w:rsidR="196E0CF3">
        <w:rPr>
          <w:rFonts w:ascii="Arial" w:hAnsi="Arial" w:eastAsia="Arial" w:cs="Arial"/>
          <w:b w:val="0"/>
          <w:bCs w:val="0"/>
          <w:i w:val="0"/>
          <w:iCs w:val="0"/>
          <w:caps w:val="0"/>
          <w:smallCaps w:val="0"/>
          <w:noProof w:val="0"/>
          <w:color w:val="0D0D0D" w:themeColor="text1" w:themeTint="F2" w:themeShade="FF"/>
          <w:sz w:val="24"/>
          <w:szCs w:val="24"/>
          <w:lang w:val="en-GB"/>
        </w:rPr>
        <w:t xml:space="preserve"> poised to navigate challenges and capitalize on opportunities in the ever-evolving hospitality industry.</w:t>
      </w:r>
    </w:p>
    <w:p w:rsidR="4876876F" w:rsidP="4157A372" w:rsidRDefault="4876876F" w14:paraId="2BC03499" w14:textId="72AA7844">
      <w:pPr>
        <w:pStyle w:val="Normal"/>
        <w:shd w:val="clear" w:color="auto" w:fill="FFFFFF" w:themeFill="background1"/>
        <w:spacing w:before="30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Recruitment and selection are vital components of IHG's human resource management strategy, as they directly </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impact</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 the quality of talent brought into the organization.</w:t>
      </w:r>
    </w:p>
    <w:p w:rsidR="4876876F" w:rsidP="4157A372" w:rsidRDefault="4876876F" w14:paraId="3A1047D6" w14:textId="1E2B0EB4">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Job Analysis and Planning: The recruitment process at IHG begins with a thorough job analysis and planning phase. HR professionals collaborate with hiring managers to define job roles, responsibilities, and qualifications. They </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identify</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 key competencies, skills, and experience </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required</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 for each position, ensuring alignment with IHG's organizational </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 and culture. Additionally, HR conducts market research to understand industry trends, competitive salaries, and candidate preferences, informing recruitment strategies and budget allocations.</w:t>
      </w:r>
    </w:p>
    <w:p w:rsidR="4876876F" w:rsidP="4157A372" w:rsidRDefault="4876876F" w14:paraId="32180342" w14:textId="40404C81">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Screening and Shortlisting: Once applications are received, HR conducts initial screening to assess candidates' suitability for the role. This may involve reviewing resumes, cover letters, and online profiles to evaluate qualifications, experience, and alignment with job requirements. Qualified candidates are then shortlisted for further evaluation, typically through phone screenings or initial interviews. During this stage, HR assesses candidates' communication skills, motivation, and cultural fit with IHG's values and team dynamics.</w:t>
      </w:r>
    </w:p>
    <w:p w:rsidR="4876876F" w:rsidP="4157A372" w:rsidRDefault="4876876F" w14:paraId="0C4DFB60" w14:textId="5F407C91">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Offer and Onboarding: Upon successful completion of the selection process, IHG extends job offers to </w:t>
      </w:r>
      <w:r w:rsidRPr="4157A372" w:rsidR="54B04844">
        <w:rPr>
          <w:rFonts w:ascii="Arial" w:hAnsi="Arial" w:eastAsia="Arial" w:cs="Arial"/>
          <w:b w:val="0"/>
          <w:bCs w:val="0"/>
          <w:i w:val="0"/>
          <w:iCs w:val="0"/>
          <w:caps w:val="0"/>
          <w:smallCaps w:val="0"/>
          <w:noProof w:val="0"/>
          <w:color w:val="0D0D0D" w:themeColor="text1" w:themeTint="F2" w:themeShade="FF"/>
          <w:sz w:val="24"/>
          <w:szCs w:val="24"/>
          <w:lang w:val="en-GB"/>
        </w:rPr>
        <w:t>be selected</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 candidates. HR coordinates the negotiation of terms and conditions, including compensation, benefits, and start dates, while ensuring compliance with legal and regulatory requirements. Once offers are accepted, IHG initiates the onboarding process to integrate new hires into the organization seamlessly. This may involve orientation sessions, training programs, and mentorship opportunities to familiarize employees with IHG's culture, policies, and expectations.</w:t>
      </w:r>
    </w:p>
    <w:p w:rsidR="4876876F" w:rsidP="4157A372" w:rsidRDefault="4876876F" w14:paraId="3C8FE803" w14:textId="661C4E4A">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Continuous Feedback and Improvement: Recruitment and </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selection</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 at IHG are not static processes but evolve through continuous feedback and improvement. HR regularly collects feedback from hiring managers, candidates, and employees to evaluate the effectiveness of recruitment strategies, selection methods, and candidate experiences. Based on insights gained, IHG </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identifies</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 areas for enhancement and implements proactive measures to streamline processes, enhance candidate engagement, and </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optimize</w:t>
      </w:r>
      <w:r w:rsidRPr="4157A372" w:rsidR="4876876F">
        <w:rPr>
          <w:rFonts w:ascii="Arial" w:hAnsi="Arial" w:eastAsia="Arial" w:cs="Arial"/>
          <w:b w:val="0"/>
          <w:bCs w:val="0"/>
          <w:i w:val="0"/>
          <w:iCs w:val="0"/>
          <w:caps w:val="0"/>
          <w:smallCaps w:val="0"/>
          <w:noProof w:val="0"/>
          <w:color w:val="0D0D0D" w:themeColor="text1" w:themeTint="F2" w:themeShade="FF"/>
          <w:sz w:val="24"/>
          <w:szCs w:val="24"/>
          <w:lang w:val="en-GB"/>
        </w:rPr>
        <w:t xml:space="preserve"> the quality of hires.</w:t>
      </w:r>
    </w:p>
    <w:p w:rsidR="186D3C4C" w:rsidP="4157A372" w:rsidRDefault="186D3C4C" w14:paraId="0749F1BD" w14:textId="2F5F8350">
      <w:pPr>
        <w:shd w:val="clear" w:color="auto" w:fill="FFFFFF" w:themeFill="background1"/>
        <w:spacing w:before="30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186D3C4C">
        <w:rPr>
          <w:rFonts w:ascii="Arial" w:hAnsi="Arial" w:eastAsia="Arial" w:cs="Arial"/>
          <w:b w:val="0"/>
          <w:bCs w:val="0"/>
          <w:i w:val="0"/>
          <w:iCs w:val="0"/>
          <w:caps w:val="0"/>
          <w:smallCaps w:val="0"/>
          <w:noProof w:val="0"/>
          <w:color w:val="0D0D0D" w:themeColor="text1" w:themeTint="F2" w:themeShade="FF"/>
          <w:sz w:val="24"/>
          <w:szCs w:val="24"/>
          <w:lang w:val="en-GB"/>
        </w:rPr>
        <w:t xml:space="preserve">In conclusion, the evolution of HRM plays a vital role in </w:t>
      </w:r>
      <w:r w:rsidRPr="4157A372" w:rsidR="186D3C4C">
        <w:rPr>
          <w:rFonts w:ascii="Arial" w:hAnsi="Arial" w:eastAsia="Arial" w:cs="Arial"/>
          <w:b w:val="0"/>
          <w:bCs w:val="0"/>
          <w:i w:val="0"/>
          <w:iCs w:val="0"/>
          <w:caps w:val="0"/>
          <w:smallCaps w:val="0"/>
          <w:noProof w:val="0"/>
          <w:color w:val="0D0D0D" w:themeColor="text1" w:themeTint="F2" w:themeShade="FF"/>
          <w:sz w:val="24"/>
          <w:szCs w:val="24"/>
          <w:lang w:val="en-GB"/>
        </w:rPr>
        <w:t>facilitating</w:t>
      </w:r>
      <w:r w:rsidRPr="4157A372" w:rsidR="186D3C4C">
        <w:rPr>
          <w:rFonts w:ascii="Arial" w:hAnsi="Arial" w:eastAsia="Arial" w:cs="Arial"/>
          <w:b w:val="0"/>
          <w:bCs w:val="0"/>
          <w:i w:val="0"/>
          <w:iCs w:val="0"/>
          <w:caps w:val="0"/>
          <w:smallCaps w:val="0"/>
          <w:noProof w:val="0"/>
          <w:color w:val="0D0D0D" w:themeColor="text1" w:themeTint="F2" w:themeShade="FF"/>
          <w:sz w:val="24"/>
          <w:szCs w:val="24"/>
          <w:lang w:val="en-GB"/>
        </w:rPr>
        <w:t xml:space="preserve"> the strategic development of IHG hotel brand through workforce planning, recruitment, and </w:t>
      </w:r>
      <w:r w:rsidRPr="4157A372" w:rsidR="186D3C4C">
        <w:rPr>
          <w:rFonts w:ascii="Arial" w:hAnsi="Arial" w:eastAsia="Arial" w:cs="Arial"/>
          <w:b w:val="0"/>
          <w:bCs w:val="0"/>
          <w:i w:val="0"/>
          <w:iCs w:val="0"/>
          <w:caps w:val="0"/>
          <w:smallCaps w:val="0"/>
          <w:noProof w:val="0"/>
          <w:color w:val="0D0D0D" w:themeColor="text1" w:themeTint="F2" w:themeShade="FF"/>
          <w:sz w:val="24"/>
          <w:szCs w:val="24"/>
          <w:lang w:val="en-GB"/>
        </w:rPr>
        <w:t>selection</w:t>
      </w:r>
      <w:r w:rsidRPr="4157A372" w:rsidR="186D3C4C">
        <w:rPr>
          <w:rFonts w:ascii="Arial" w:hAnsi="Arial" w:eastAsia="Arial" w:cs="Arial"/>
          <w:b w:val="0"/>
          <w:bCs w:val="0"/>
          <w:i w:val="0"/>
          <w:iCs w:val="0"/>
          <w:caps w:val="0"/>
          <w:smallCaps w:val="0"/>
          <w:noProof w:val="0"/>
          <w:color w:val="0D0D0D" w:themeColor="text1" w:themeTint="F2" w:themeShade="FF"/>
          <w:sz w:val="24"/>
          <w:szCs w:val="24"/>
          <w:lang w:val="en-GB"/>
        </w:rPr>
        <w:t xml:space="preserve">. By aligning human capital with organizational goals, IHG can enhance guest experiences, improve operational efficiency, and differentiate its brand in the competitive hospitality market. As IHG continues to evolve and expand its global footprint, HRM will remain instrumental in driving its success and </w:t>
      </w:r>
      <w:r w:rsidRPr="4157A372" w:rsidR="186D3C4C">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4157A372" w:rsidR="186D3C4C">
        <w:rPr>
          <w:rFonts w:ascii="Arial" w:hAnsi="Arial" w:eastAsia="Arial" w:cs="Arial"/>
          <w:b w:val="0"/>
          <w:bCs w:val="0"/>
          <w:i w:val="0"/>
          <w:iCs w:val="0"/>
          <w:caps w:val="0"/>
          <w:smallCaps w:val="0"/>
          <w:noProof w:val="0"/>
          <w:color w:val="0D0D0D" w:themeColor="text1" w:themeTint="F2" w:themeShade="FF"/>
          <w:sz w:val="24"/>
          <w:szCs w:val="24"/>
          <w:lang w:val="en-GB"/>
        </w:rPr>
        <w:t xml:space="preserve"> its position as a leader in the hospitality industry.</w:t>
      </w:r>
    </w:p>
    <w:p w:rsidR="4D7D97C2" w:rsidP="4157A372" w:rsidRDefault="4D7D97C2" w14:paraId="3E114E5A" w14:textId="1C7C6B20">
      <w:pPr>
        <w:pStyle w:val="Normal"/>
        <w:shd w:val="clear" w:color="auto" w:fill="FFFFFF" w:themeFill="background1"/>
        <w:spacing w:before="30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4D7D97C2">
        <w:rPr>
          <w:rFonts w:ascii="Arial" w:hAnsi="Arial" w:eastAsia="Arial" w:cs="Arial"/>
          <w:b w:val="0"/>
          <w:bCs w:val="0"/>
          <w:i w:val="0"/>
          <w:iCs w:val="0"/>
          <w:caps w:val="0"/>
          <w:smallCaps w:val="0"/>
          <w:noProof w:val="0"/>
          <w:color w:val="0D0D0D" w:themeColor="text1" w:themeTint="F2" w:themeShade="FF"/>
          <w:sz w:val="24"/>
          <w:szCs w:val="24"/>
          <w:lang w:val="en-GB"/>
        </w:rPr>
        <w:t>References:</w:t>
      </w:r>
    </w:p>
    <w:p w:rsidR="4D7D97C2" w:rsidP="4157A372" w:rsidRDefault="4D7D97C2" w14:paraId="26E3963F" w14:textId="73128EB9">
      <w:pPr>
        <w:pStyle w:val="ListParagraph"/>
        <w:numPr>
          <w:ilvl w:val="0"/>
          <w:numId w:val="3"/>
        </w:numPr>
        <w:shd w:val="clear" w:color="auto" w:fill="FFFFFF" w:themeFill="background1"/>
        <w:spacing w:before="30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4D7D97C2">
        <w:rPr>
          <w:rFonts w:ascii="Arial" w:hAnsi="Arial" w:eastAsia="Arial" w:cs="Arial"/>
          <w:b w:val="0"/>
          <w:bCs w:val="0"/>
          <w:i w:val="0"/>
          <w:iCs w:val="0"/>
          <w:caps w:val="0"/>
          <w:smallCaps w:val="0"/>
          <w:noProof w:val="0"/>
          <w:color w:val="0D0D0D" w:themeColor="text1" w:themeTint="F2" w:themeShade="FF"/>
          <w:sz w:val="24"/>
          <w:szCs w:val="24"/>
          <w:lang w:val="en-GB"/>
        </w:rPr>
        <w:t xml:space="preserve">According to Yanqing Lai, </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fr-FR"/>
        </w:rPr>
        <w:t>Cai-Hui (</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fr-FR"/>
        </w:rPr>
        <w:t>Vernoica</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fr-FR"/>
        </w:rPr>
        <w:t xml:space="preserve">) Lin, </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fr-FR"/>
        </w:rPr>
        <w:t xml:space="preserve">George </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fr-FR"/>
        </w:rPr>
        <w:t>Saridakis</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fr-FR"/>
        </w:rPr>
        <w:t xml:space="preserve">, </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fr-FR"/>
        </w:rPr>
        <w:t xml:space="preserve">Yannis </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fr-FR"/>
        </w:rPr>
        <w:t>Georgellis</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fr-FR"/>
        </w:rPr>
        <w:t xml:space="preserve"> </w:t>
      </w:r>
      <w:r w:rsidRPr="4157A372" w:rsidR="3505DA3B">
        <w:rPr>
          <w:rFonts w:ascii="Arial" w:hAnsi="Arial" w:eastAsia="Arial" w:cs="Arial"/>
          <w:b w:val="0"/>
          <w:bCs w:val="0"/>
          <w:i w:val="0"/>
          <w:iCs w:val="0"/>
          <w:caps w:val="0"/>
          <w:smallCaps w:val="0"/>
          <w:noProof w:val="0"/>
          <w:color w:val="0D0D0D" w:themeColor="text1" w:themeTint="F2" w:themeShade="FF"/>
          <w:sz w:val="24"/>
          <w:szCs w:val="24"/>
          <w:lang w:val="en-GB"/>
        </w:rPr>
        <w:t>(8</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en-GB"/>
        </w:rPr>
        <w:t xml:space="preserve"> April 2024)</w:t>
      </w:r>
      <w:r w:rsidRPr="4157A372" w:rsidR="270D0424">
        <w:rPr>
          <w:rFonts w:ascii="Arial" w:hAnsi="Arial" w:eastAsia="Arial" w:cs="Arial"/>
          <w:b w:val="0"/>
          <w:bCs w:val="0"/>
          <w:i w:val="0"/>
          <w:iCs w:val="0"/>
          <w:caps w:val="0"/>
          <w:smallCaps w:val="0"/>
          <w:noProof w:val="0"/>
          <w:color w:val="0D0D0D" w:themeColor="text1" w:themeTint="F2" w:themeShade="FF"/>
          <w:sz w:val="24"/>
          <w:szCs w:val="24"/>
          <w:lang w:val="en-GB"/>
        </w:rPr>
        <w:t>.</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en-GB"/>
        </w:rPr>
        <w:t>https://onlinelibrary.wiley.com/</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en-GB"/>
        </w:rPr>
        <w:t>doi</w:t>
      </w:r>
      <w:r w:rsidRPr="4157A372" w:rsidR="4D7D97C2">
        <w:rPr>
          <w:rFonts w:ascii="Arial" w:hAnsi="Arial" w:eastAsia="Arial" w:cs="Arial"/>
          <w:b w:val="0"/>
          <w:bCs w:val="0"/>
          <w:i w:val="0"/>
          <w:iCs w:val="0"/>
          <w:caps w:val="0"/>
          <w:smallCaps w:val="0"/>
          <w:noProof w:val="0"/>
          <w:color w:val="0D0D0D" w:themeColor="text1" w:themeTint="F2" w:themeShade="FF"/>
          <w:sz w:val="24"/>
          <w:szCs w:val="24"/>
          <w:lang w:val="en-GB"/>
        </w:rPr>
        <w:t>/full/10.1111/1748-8583.12551</w:t>
      </w:r>
    </w:p>
    <w:p w:rsidR="2CEF6866" w:rsidP="4157A372" w:rsidRDefault="2CEF6866" w14:paraId="36D3A990" w14:textId="78A8C02E">
      <w:pPr>
        <w:pStyle w:val="ListParagraph"/>
        <w:numPr>
          <w:ilvl w:val="0"/>
          <w:numId w:val="3"/>
        </w:numPr>
        <w:shd w:val="clear" w:color="auto" w:fill="FFFFFF" w:themeFill="background1"/>
        <w:spacing w:before="30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157A372" w:rsidR="2CEF6866">
        <w:rPr>
          <w:rFonts w:ascii="Arial" w:hAnsi="Arial" w:eastAsia="Arial" w:cs="Arial"/>
          <w:b w:val="0"/>
          <w:bCs w:val="0"/>
          <w:i w:val="0"/>
          <w:iCs w:val="0"/>
          <w:caps w:val="0"/>
          <w:smallCaps w:val="0"/>
          <w:noProof w:val="0"/>
          <w:color w:val="0D0D0D" w:themeColor="text1" w:themeTint="F2" w:themeShade="FF"/>
          <w:sz w:val="24"/>
          <w:szCs w:val="24"/>
          <w:lang w:val="en-GB"/>
        </w:rPr>
        <w:t xml:space="preserve">By </w:t>
      </w:r>
      <w:r w:rsidRPr="4157A372" w:rsidR="0CBDCD56">
        <w:rPr>
          <w:rFonts w:ascii="Arial" w:hAnsi="Arial" w:eastAsia="Arial" w:cs="Arial"/>
          <w:b w:val="0"/>
          <w:bCs w:val="0"/>
          <w:i w:val="0"/>
          <w:iCs w:val="0"/>
          <w:caps w:val="0"/>
          <w:smallCaps w:val="0"/>
          <w:noProof w:val="0"/>
          <w:color w:val="0D0D0D" w:themeColor="text1" w:themeTint="F2" w:themeShade="FF"/>
          <w:sz w:val="24"/>
          <w:szCs w:val="24"/>
          <w:lang w:val="en-GB"/>
        </w:rPr>
        <w:t>Stephanie Funk (1 April 2024)</w:t>
      </w:r>
      <w:r w:rsidRPr="4157A372" w:rsidR="4D324FB6">
        <w:rPr>
          <w:rFonts w:ascii="Arial" w:hAnsi="Arial" w:eastAsia="Arial" w:cs="Arial"/>
          <w:b w:val="0"/>
          <w:bCs w:val="0"/>
          <w:i w:val="0"/>
          <w:iCs w:val="0"/>
          <w:caps w:val="0"/>
          <w:smallCaps w:val="0"/>
          <w:noProof w:val="0"/>
          <w:color w:val="0D0D0D" w:themeColor="text1" w:themeTint="F2" w:themeShade="FF"/>
          <w:sz w:val="24"/>
          <w:szCs w:val="24"/>
          <w:lang w:val="en-GB"/>
        </w:rPr>
        <w:t>.</w:t>
      </w:r>
      <w:hyperlink r:id="R5abb56650a3a4029">
        <w:r w:rsidRPr="4157A372" w:rsidR="0CBDCD56">
          <w:rPr>
            <w:rStyle w:val="Hyperlink"/>
            <w:rFonts w:ascii="Arial" w:hAnsi="Arial" w:eastAsia="Arial" w:cs="Arial"/>
            <w:noProof w:val="0"/>
            <w:lang w:val="en-GB"/>
          </w:rPr>
          <w:t>https://doi.org/10.1111/1748-8583.12550</w:t>
        </w:r>
      </w:hyperlink>
    </w:p>
    <w:p w:rsidR="0CBDCD56" w:rsidP="4157A372" w:rsidRDefault="0CBDCD56" w14:paraId="3B69765A" w14:textId="45C93D1A">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0CBDCD56">
        <w:rPr>
          <w:rFonts w:ascii="Arial" w:hAnsi="Arial" w:eastAsia="Arial" w:cs="Arial"/>
          <w:noProof w:val="0"/>
          <w:lang w:val="en-GB"/>
        </w:rPr>
        <w:t>Maranda Ridgway, Louise Oldridge, Sharon Mavin: (28 March 2024)</w:t>
      </w:r>
      <w:r w:rsidRPr="4157A372" w:rsidR="7BA0A1DD">
        <w:rPr>
          <w:rFonts w:ascii="Arial" w:hAnsi="Arial" w:eastAsia="Arial" w:cs="Arial"/>
          <w:noProof w:val="0"/>
          <w:lang w:val="en-GB"/>
        </w:rPr>
        <w:t>.</w:t>
      </w:r>
      <w:r w:rsidRPr="4157A372" w:rsidR="0CBDCD56">
        <w:rPr>
          <w:rFonts w:ascii="Arial" w:hAnsi="Arial" w:eastAsia="Arial" w:cs="Arial"/>
          <w:noProof w:val="0"/>
          <w:lang w:val="en-GB"/>
        </w:rPr>
        <w:t xml:space="preserve"> </w:t>
      </w:r>
      <w:hyperlink r:id="R8192b708ba3e45ff">
        <w:r w:rsidRPr="4157A372" w:rsidR="0CBDCD56">
          <w:rPr>
            <w:rStyle w:val="Hyperlink"/>
            <w:rFonts w:ascii="Arial" w:hAnsi="Arial" w:eastAsia="Arial" w:cs="Arial"/>
            <w:noProof w:val="0"/>
            <w:lang w:val="en-GB"/>
          </w:rPr>
          <w:t>https://doi.org/10.1111/1748-8583.12549</w:t>
        </w:r>
      </w:hyperlink>
      <w:r w:rsidRPr="4157A372" w:rsidR="0CBDCD56">
        <w:rPr>
          <w:rFonts w:ascii="Arial" w:hAnsi="Arial" w:eastAsia="Arial" w:cs="Arial"/>
          <w:noProof w:val="0"/>
          <w:lang w:val="en-GB"/>
        </w:rPr>
        <w:t xml:space="preserve"> </w:t>
      </w:r>
    </w:p>
    <w:p w:rsidR="0CBDCD56" w:rsidP="4157A372" w:rsidRDefault="0CBDCD56" w14:paraId="1E0FC43D" w14:textId="473461C5">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0CBDCD56">
        <w:rPr>
          <w:rFonts w:ascii="Arial" w:hAnsi="Arial" w:eastAsia="Arial" w:cs="Arial"/>
          <w:noProof w:val="0"/>
          <w:lang w:val="en-GB"/>
        </w:rPr>
        <w:t xml:space="preserve">Author(s) Name: Vandna Maini, Shruti Dhawan (Published: </w:t>
      </w:r>
      <w:r w:rsidRPr="4157A372" w:rsidR="0CBDCD56">
        <w:rPr>
          <w:rFonts w:ascii="Arial" w:hAnsi="Arial" w:eastAsia="Arial" w:cs="Arial"/>
          <w:noProof w:val="0"/>
          <w:lang w:val="en-GB"/>
        </w:rPr>
        <w:t>2023</w:t>
      </w:r>
      <w:r w:rsidRPr="4157A372" w:rsidR="32F66510">
        <w:rPr>
          <w:rFonts w:ascii="Arial" w:hAnsi="Arial" w:eastAsia="Arial" w:cs="Arial"/>
          <w:noProof w:val="0"/>
          <w:lang w:val="en-GB"/>
        </w:rPr>
        <w:t>). http://www.publishingindia.com/jshrm/32/humour-in-classroom-development-and-validation-of-teachers-humour-orientation-scale/32089/87233/</w:t>
      </w:r>
    </w:p>
    <w:p w:rsidR="0CBDCD56" w:rsidP="4157A372" w:rsidRDefault="0CBDCD56" w14:paraId="15227FAC" w14:textId="7EDD1E95">
      <w:pPr>
        <w:pStyle w:val="ListParagraph"/>
        <w:numPr>
          <w:ilvl w:val="0"/>
          <w:numId w:val="3"/>
        </w:numPr>
        <w:spacing w:before="240" w:beforeAutospacing="off" w:after="240" w:afterAutospacing="off" w:line="360" w:lineRule="auto"/>
        <w:jc w:val="both"/>
        <w:rPr>
          <w:rFonts w:ascii="Arial" w:hAnsi="Arial" w:eastAsia="Arial" w:cs="Arial"/>
        </w:rPr>
      </w:pPr>
      <w:r w:rsidRPr="4157A372" w:rsidR="0CBDCD56">
        <w:rPr>
          <w:rFonts w:ascii="Arial" w:hAnsi="Arial" w:eastAsia="Arial" w:cs="Arial"/>
          <w:noProof w:val="0"/>
          <w:lang w:val="en-GB"/>
        </w:rPr>
        <w:t xml:space="preserve">Martin R. Edwards, Elena </w:t>
      </w:r>
      <w:r w:rsidRPr="4157A372" w:rsidR="0CBDCD56">
        <w:rPr>
          <w:rFonts w:ascii="Arial" w:hAnsi="Arial" w:eastAsia="Arial" w:cs="Arial"/>
          <w:noProof w:val="0"/>
          <w:lang w:val="en-GB"/>
        </w:rPr>
        <w:t>Zubielevitch</w:t>
      </w:r>
      <w:r w:rsidRPr="4157A372" w:rsidR="0CBDCD56">
        <w:rPr>
          <w:rFonts w:ascii="Arial" w:hAnsi="Arial" w:eastAsia="Arial" w:cs="Arial"/>
          <w:noProof w:val="0"/>
          <w:lang w:val="en-GB"/>
        </w:rPr>
        <w:t xml:space="preserve">, Tyler Okimoto, Stacey Parker, Frederik </w:t>
      </w:r>
      <w:r w:rsidRPr="4157A372" w:rsidR="0CBDCD56">
        <w:rPr>
          <w:rFonts w:ascii="Arial" w:hAnsi="Arial" w:eastAsia="Arial" w:cs="Arial"/>
          <w:noProof w:val="0"/>
          <w:lang w:val="en-GB"/>
        </w:rPr>
        <w:t>Anseel</w:t>
      </w:r>
      <w:r w:rsidRPr="4157A372" w:rsidR="0CBDCD56">
        <w:rPr>
          <w:rFonts w:ascii="Arial" w:hAnsi="Arial" w:eastAsia="Arial" w:cs="Arial"/>
          <w:noProof w:val="0"/>
          <w:lang w:val="en-GB"/>
        </w:rPr>
        <w:t xml:space="preserve"> </w:t>
      </w:r>
      <w:r w:rsidRPr="4157A372" w:rsidR="509BEC3D">
        <w:rPr>
          <w:rFonts w:ascii="Arial" w:hAnsi="Arial" w:eastAsia="Arial" w:cs="Arial"/>
          <w:noProof w:val="0"/>
          <w:lang w:val="en-GB"/>
        </w:rPr>
        <w:t>(15</w:t>
      </w:r>
      <w:r w:rsidRPr="4157A372" w:rsidR="0CBDCD56">
        <w:rPr>
          <w:rFonts w:ascii="Arial" w:hAnsi="Arial" w:eastAsia="Arial" w:cs="Arial"/>
          <w:noProof w:val="0"/>
          <w:lang w:val="en-GB"/>
        </w:rPr>
        <w:t xml:space="preserve"> April 2024).</w:t>
      </w:r>
      <w:hyperlink r:id="R0ae30d3194d64d50">
        <w:r w:rsidRPr="4157A372" w:rsidR="0CBDCD56">
          <w:rPr>
            <w:rStyle w:val="Hyperlink"/>
            <w:rFonts w:ascii="Arial" w:hAnsi="Arial" w:eastAsia="Arial" w:cs="Arial"/>
            <w:noProof w:val="0"/>
            <w:lang w:val="en-GB"/>
          </w:rPr>
          <w:t>https://doi.org/10.1002/hrm.22218</w:t>
        </w:r>
      </w:hyperlink>
    </w:p>
    <w:p w:rsidR="0CBDCD56" w:rsidP="4157A372" w:rsidRDefault="0CBDCD56" w14:paraId="7B64ABEA" w14:textId="7A2C3181">
      <w:pPr>
        <w:pStyle w:val="ListParagraph"/>
        <w:numPr>
          <w:ilvl w:val="0"/>
          <w:numId w:val="3"/>
        </w:numPr>
        <w:spacing w:before="240" w:beforeAutospacing="off" w:after="240" w:afterAutospacing="off" w:line="360" w:lineRule="auto"/>
        <w:jc w:val="both"/>
        <w:rPr>
          <w:rFonts w:ascii="Arial" w:hAnsi="Arial" w:eastAsia="Arial" w:cs="Arial"/>
        </w:rPr>
      </w:pPr>
      <w:r w:rsidRPr="4157A372" w:rsidR="0CBDCD56">
        <w:rPr>
          <w:rFonts w:ascii="Arial" w:hAnsi="Arial" w:eastAsia="Arial" w:cs="Arial"/>
          <w:noProof w:val="0"/>
          <w:lang w:val="en-GB"/>
        </w:rPr>
        <w:t>Pingshu</w:t>
      </w:r>
      <w:r w:rsidRPr="4157A372" w:rsidR="0CBDCD56">
        <w:rPr>
          <w:rFonts w:ascii="Arial" w:hAnsi="Arial" w:eastAsia="Arial" w:cs="Arial"/>
          <w:noProof w:val="0"/>
          <w:lang w:val="en-GB"/>
        </w:rPr>
        <w:t xml:space="preserve"> Li, </w:t>
      </w:r>
      <w:r w:rsidRPr="4157A372" w:rsidR="0CBDCD56">
        <w:rPr>
          <w:rFonts w:ascii="Arial" w:hAnsi="Arial" w:eastAsia="Arial" w:cs="Arial"/>
          <w:noProof w:val="0"/>
          <w:lang w:val="en-GB"/>
        </w:rPr>
        <w:t>Yuanmei</w:t>
      </w:r>
      <w:r w:rsidRPr="4157A372" w:rsidR="0CBDCD56">
        <w:rPr>
          <w:rFonts w:ascii="Arial" w:hAnsi="Arial" w:eastAsia="Arial" w:cs="Arial"/>
          <w:noProof w:val="0"/>
          <w:lang w:val="en-GB"/>
        </w:rPr>
        <w:t xml:space="preserve"> (Elly) Qu, </w:t>
      </w:r>
      <w:r w:rsidRPr="4157A372" w:rsidR="0CBDCD56">
        <w:rPr>
          <w:rFonts w:ascii="Arial" w:hAnsi="Arial" w:eastAsia="Arial" w:cs="Arial"/>
          <w:noProof w:val="0"/>
          <w:lang w:val="en-GB"/>
        </w:rPr>
        <w:t>Mengwei</w:t>
      </w:r>
      <w:r w:rsidRPr="4157A372" w:rsidR="0CBDCD56">
        <w:rPr>
          <w:rFonts w:ascii="Arial" w:hAnsi="Arial" w:eastAsia="Arial" w:cs="Arial"/>
          <w:noProof w:val="0"/>
          <w:lang w:val="en-GB"/>
        </w:rPr>
        <w:t xml:space="preserve"> Li, Patrick E. Downes, Guofeng </w:t>
      </w:r>
      <w:r w:rsidRPr="4157A372" w:rsidR="7DE791A1">
        <w:rPr>
          <w:rFonts w:ascii="Arial" w:hAnsi="Arial" w:eastAsia="Arial" w:cs="Arial"/>
          <w:noProof w:val="0"/>
          <w:lang w:val="en-GB"/>
        </w:rPr>
        <w:t>Wang (</w:t>
      </w:r>
      <w:r w:rsidRPr="4157A372" w:rsidR="0CBDCD56">
        <w:rPr>
          <w:rFonts w:ascii="Arial" w:hAnsi="Arial" w:eastAsia="Arial" w:cs="Arial"/>
          <w:noProof w:val="0"/>
          <w:lang w:val="en-GB"/>
        </w:rPr>
        <w:t xml:space="preserve">13 April 2024). </w:t>
      </w:r>
      <w:hyperlink r:id="R305dd71719ab4e4e">
        <w:r w:rsidRPr="4157A372" w:rsidR="0CBDCD56">
          <w:rPr>
            <w:rStyle w:val="Hyperlink"/>
            <w:rFonts w:ascii="Arial" w:hAnsi="Arial" w:eastAsia="Arial" w:cs="Arial"/>
            <w:noProof w:val="0"/>
            <w:lang w:val="en-GB"/>
          </w:rPr>
          <w:t>https://doi.org/10.1002/hrm.22222</w:t>
        </w:r>
      </w:hyperlink>
    </w:p>
    <w:p w:rsidR="7B7340BF" w:rsidP="4157A372" w:rsidRDefault="7B7340BF" w14:paraId="17ED2644" w14:textId="62FEFBA5">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7B7340BF">
        <w:rPr>
          <w:rFonts w:ascii="Arial" w:hAnsi="Arial" w:eastAsia="Arial" w:cs="Arial"/>
          <w:noProof w:val="0"/>
          <w:lang w:val="en-GB"/>
        </w:rPr>
        <w:t>Ellen</w:t>
      </w:r>
      <w:r w:rsidRPr="4157A372" w:rsidR="0CBDCD56">
        <w:rPr>
          <w:rFonts w:ascii="Arial" w:hAnsi="Arial" w:eastAsia="Arial" w:cs="Arial"/>
          <w:noProof w:val="0"/>
          <w:lang w:val="en-GB"/>
        </w:rPr>
        <w:t xml:space="preserve"> Ernst </w:t>
      </w:r>
      <w:r w:rsidRPr="4157A372" w:rsidR="0CBDCD56">
        <w:rPr>
          <w:rFonts w:ascii="Arial" w:hAnsi="Arial" w:eastAsia="Arial" w:cs="Arial"/>
          <w:noProof w:val="0"/>
          <w:lang w:val="en-GB"/>
        </w:rPr>
        <w:t>Kossek</w:t>
      </w:r>
      <w:r w:rsidRPr="4157A372" w:rsidR="0CBDCD56">
        <w:rPr>
          <w:rFonts w:ascii="Arial" w:hAnsi="Arial" w:eastAsia="Arial" w:cs="Arial"/>
          <w:noProof w:val="0"/>
          <w:lang w:val="en-GB"/>
        </w:rPr>
        <w:t xml:space="preserve">, Caitlin M. Porter, Lindsay Mechem </w:t>
      </w:r>
      <w:r w:rsidRPr="4157A372" w:rsidR="0CBDCD56">
        <w:rPr>
          <w:rFonts w:ascii="Arial" w:hAnsi="Arial" w:eastAsia="Arial" w:cs="Arial"/>
          <w:noProof w:val="0"/>
          <w:lang w:val="en-GB"/>
        </w:rPr>
        <w:t>Rosokha</w:t>
      </w:r>
      <w:r w:rsidRPr="4157A372" w:rsidR="0CBDCD56">
        <w:rPr>
          <w:rFonts w:ascii="Arial" w:hAnsi="Arial" w:eastAsia="Arial" w:cs="Arial"/>
          <w:noProof w:val="0"/>
          <w:lang w:val="en-GB"/>
        </w:rPr>
        <w:t>, Kelly Schwind Wilson, Deborah E. Rupp, Jared Law-</w:t>
      </w:r>
      <w:r w:rsidRPr="4157A372" w:rsidR="61EF8190">
        <w:rPr>
          <w:rFonts w:ascii="Arial" w:hAnsi="Arial" w:eastAsia="Arial" w:cs="Arial"/>
          <w:noProof w:val="0"/>
          <w:lang w:val="en-GB"/>
        </w:rPr>
        <w:t>Penrose (</w:t>
      </w:r>
      <w:r w:rsidRPr="4157A372" w:rsidR="0CBDCD56">
        <w:rPr>
          <w:rFonts w:ascii="Arial" w:hAnsi="Arial" w:eastAsia="Arial" w:cs="Arial"/>
          <w:noProof w:val="0"/>
          <w:lang w:val="en-GB"/>
        </w:rPr>
        <w:t xml:space="preserve">18 January </w:t>
      </w:r>
      <w:r w:rsidRPr="4157A372" w:rsidR="1B8B7493">
        <w:rPr>
          <w:rFonts w:ascii="Arial" w:hAnsi="Arial" w:eastAsia="Arial" w:cs="Arial"/>
          <w:noProof w:val="0"/>
          <w:lang w:val="en-GB"/>
        </w:rPr>
        <w:t>2024.) https://doi.org/10.1002/hrm.22207</w:t>
      </w:r>
    </w:p>
    <w:p w:rsidR="0CBDCD56" w:rsidP="4157A372" w:rsidRDefault="0CBDCD56" w14:paraId="162A2213" w14:textId="34E4AAC0">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0CBDCD56">
        <w:rPr>
          <w:rFonts w:ascii="Arial" w:hAnsi="Arial" w:eastAsia="Arial" w:cs="Arial"/>
          <w:noProof w:val="0"/>
          <w:lang w:val="en-GB"/>
        </w:rPr>
        <w:t xml:space="preserve">Clint Chadwick, James P. Guthrie, Xuejing Xing, Shan </w:t>
      </w:r>
      <w:r w:rsidRPr="4157A372" w:rsidR="4B7E8045">
        <w:rPr>
          <w:rFonts w:ascii="Arial" w:hAnsi="Arial" w:eastAsia="Arial" w:cs="Arial"/>
          <w:noProof w:val="0"/>
          <w:lang w:val="en-GB"/>
        </w:rPr>
        <w:t>Yan (</w:t>
      </w:r>
      <w:r w:rsidRPr="4157A372" w:rsidR="36217C2A">
        <w:rPr>
          <w:rFonts w:ascii="Arial" w:hAnsi="Arial" w:eastAsia="Arial" w:cs="Arial"/>
          <w:noProof w:val="0"/>
          <w:lang w:val="en-GB"/>
        </w:rPr>
        <w:t>05</w:t>
      </w:r>
      <w:r w:rsidRPr="4157A372" w:rsidR="0CBDCD56">
        <w:rPr>
          <w:rFonts w:ascii="Arial" w:hAnsi="Arial" w:eastAsia="Arial" w:cs="Arial"/>
          <w:noProof w:val="0"/>
          <w:lang w:val="en-GB"/>
        </w:rPr>
        <w:t xml:space="preserve"> March </w:t>
      </w:r>
      <w:r w:rsidRPr="4157A372" w:rsidR="6150A0CE">
        <w:rPr>
          <w:rFonts w:ascii="Arial" w:hAnsi="Arial" w:eastAsia="Arial" w:cs="Arial"/>
          <w:noProof w:val="0"/>
          <w:lang w:val="en-GB"/>
        </w:rPr>
        <w:t>2024</w:t>
      </w:r>
      <w:r w:rsidRPr="4157A372" w:rsidR="27C131D5">
        <w:rPr>
          <w:rFonts w:ascii="Arial" w:hAnsi="Arial" w:eastAsia="Arial" w:cs="Arial"/>
          <w:noProof w:val="0"/>
          <w:lang w:val="en-GB"/>
        </w:rPr>
        <w:t>) https://doi.org/10.1002/hrm.22209</w:t>
      </w:r>
    </w:p>
    <w:p w:rsidR="0CBDCD56" w:rsidP="4157A372" w:rsidRDefault="0CBDCD56" w14:paraId="7F0A6DFE" w14:textId="2B84A27B">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0CBDCD56">
        <w:rPr>
          <w:rFonts w:ascii="Arial" w:hAnsi="Arial" w:eastAsia="Arial" w:cs="Arial"/>
          <w:noProof w:val="0"/>
          <w:lang w:val="en-GB"/>
        </w:rPr>
        <w:t xml:space="preserve">Kyoung Yong Kim, Jake G. Messersmith, Jenna R. Pieper, </w:t>
      </w:r>
      <w:r w:rsidRPr="4157A372" w:rsidR="0CBDCD56">
        <w:rPr>
          <w:rFonts w:ascii="Arial" w:hAnsi="Arial" w:eastAsia="Arial" w:cs="Arial"/>
          <w:noProof w:val="0"/>
          <w:lang w:val="en-GB"/>
        </w:rPr>
        <w:t>Kibok</w:t>
      </w:r>
      <w:r w:rsidRPr="4157A372" w:rsidR="0CBDCD56">
        <w:rPr>
          <w:rFonts w:ascii="Arial" w:hAnsi="Arial" w:eastAsia="Arial" w:cs="Arial"/>
          <w:noProof w:val="0"/>
          <w:lang w:val="en-GB"/>
        </w:rPr>
        <w:t xml:space="preserve"> Baik, Sherry (Qiang) Fu </w:t>
      </w:r>
      <w:r w:rsidRPr="4157A372" w:rsidR="0CBDCD56">
        <w:rPr>
          <w:rFonts w:ascii="Arial" w:hAnsi="Arial" w:eastAsia="Arial" w:cs="Arial"/>
          <w:noProof w:val="0"/>
          <w:lang w:val="en-GB"/>
        </w:rPr>
        <w:t xml:space="preserve">(23 December 2022). </w:t>
      </w:r>
      <w:hyperlink r:id="R26108a5db2184b52">
        <w:r w:rsidRPr="4157A372" w:rsidR="0CBDCD56">
          <w:rPr>
            <w:rStyle w:val="Hyperlink"/>
            <w:rFonts w:ascii="Arial" w:hAnsi="Arial" w:eastAsia="Arial" w:cs="Arial"/>
            <w:noProof w:val="0"/>
            <w:lang w:val="en-GB"/>
          </w:rPr>
          <w:t>https://doi.org/10.1002/hrm.22160</w:t>
        </w:r>
      </w:hyperlink>
    </w:p>
    <w:p w:rsidR="3C071C6D" w:rsidP="4157A372" w:rsidRDefault="3C071C6D" w14:paraId="0E99AE51" w14:textId="1F8DDFE2">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3C071C6D">
        <w:rPr>
          <w:rFonts w:ascii="Arial" w:hAnsi="Arial" w:eastAsia="Arial" w:cs="Arial"/>
          <w:noProof w:val="0"/>
          <w:lang w:val="en-GB"/>
        </w:rPr>
        <w:t>Meng-Long Huo, Zhou Jiang</w:t>
      </w:r>
      <w:r w:rsidRPr="4157A372" w:rsidR="3C071C6D">
        <w:rPr>
          <w:rFonts w:ascii="Arial" w:hAnsi="Arial" w:eastAsia="Arial" w:cs="Arial"/>
          <w:noProof w:val="0"/>
          <w:lang w:val="en-GB"/>
        </w:rPr>
        <w:t xml:space="preserve"> (19 April 2023) </w:t>
      </w:r>
      <w:hyperlink r:id="R52804b970bea4722">
        <w:r w:rsidRPr="4157A372" w:rsidR="3C071C6D">
          <w:rPr>
            <w:rStyle w:val="Hyperlink"/>
            <w:rFonts w:ascii="Arial" w:hAnsi="Arial" w:eastAsia="Arial" w:cs="Arial"/>
            <w:noProof w:val="0"/>
            <w:lang w:val="en-GB"/>
          </w:rPr>
          <w:t>https://doi.org/10.1002/hrm.22167</w:t>
        </w:r>
      </w:hyperlink>
    </w:p>
    <w:p w:rsidR="3C071C6D" w:rsidP="4157A372" w:rsidRDefault="3C071C6D" w14:paraId="2BFF6543" w14:textId="49A64C79">
      <w:pPr>
        <w:pStyle w:val="ListParagraph"/>
        <w:numPr>
          <w:ilvl w:val="0"/>
          <w:numId w:val="3"/>
        </w:numPr>
        <w:spacing w:before="240" w:beforeAutospacing="off" w:after="240" w:afterAutospacing="off" w:line="360" w:lineRule="auto"/>
        <w:jc w:val="both"/>
        <w:rPr>
          <w:rFonts w:ascii="Arial" w:hAnsi="Arial" w:eastAsia="Arial" w:cs="Arial"/>
        </w:rPr>
      </w:pPr>
      <w:r w:rsidRPr="4157A372" w:rsidR="3C071C6D">
        <w:rPr>
          <w:rFonts w:ascii="Arial" w:hAnsi="Arial" w:eastAsia="Arial" w:cs="Arial"/>
          <w:noProof w:val="0"/>
          <w:lang w:val="en-GB"/>
        </w:rPr>
        <w:t>Jongwook</w:t>
      </w:r>
      <w:r w:rsidRPr="4157A372" w:rsidR="3C071C6D">
        <w:rPr>
          <w:rFonts w:ascii="Arial" w:hAnsi="Arial" w:eastAsia="Arial" w:cs="Arial"/>
          <w:noProof w:val="0"/>
          <w:lang w:val="en-GB"/>
        </w:rPr>
        <w:t xml:space="preserve"> Pak, Hossein </w:t>
      </w:r>
      <w:r w:rsidRPr="4157A372" w:rsidR="3C071C6D">
        <w:rPr>
          <w:rFonts w:ascii="Arial" w:hAnsi="Arial" w:eastAsia="Arial" w:cs="Arial"/>
          <w:noProof w:val="0"/>
          <w:lang w:val="en-GB"/>
        </w:rPr>
        <w:t>Heidarian</w:t>
      </w:r>
      <w:r w:rsidRPr="4157A372" w:rsidR="3C071C6D">
        <w:rPr>
          <w:rFonts w:ascii="Arial" w:hAnsi="Arial" w:eastAsia="Arial" w:cs="Arial"/>
          <w:noProof w:val="0"/>
          <w:lang w:val="en-GB"/>
        </w:rPr>
        <w:t xml:space="preserve"> </w:t>
      </w:r>
      <w:r w:rsidRPr="4157A372" w:rsidR="3C071C6D">
        <w:rPr>
          <w:rFonts w:ascii="Arial" w:hAnsi="Arial" w:eastAsia="Arial" w:cs="Arial"/>
          <w:noProof w:val="0"/>
          <w:lang w:val="en-GB"/>
        </w:rPr>
        <w:t>Ghaleh</w:t>
      </w:r>
      <w:r w:rsidRPr="4157A372" w:rsidR="3C071C6D">
        <w:rPr>
          <w:rFonts w:ascii="Arial" w:hAnsi="Arial" w:eastAsia="Arial" w:cs="Arial"/>
          <w:noProof w:val="0"/>
          <w:lang w:val="en-GB"/>
        </w:rPr>
        <w:t xml:space="preserve">, Gholamhossein </w:t>
      </w:r>
      <w:r w:rsidRPr="4157A372" w:rsidR="3C071C6D">
        <w:rPr>
          <w:rFonts w:ascii="Arial" w:hAnsi="Arial" w:eastAsia="Arial" w:cs="Arial"/>
          <w:noProof w:val="0"/>
          <w:lang w:val="en-GB"/>
        </w:rPr>
        <w:t>Mehralian</w:t>
      </w:r>
      <w:r w:rsidRPr="4157A372" w:rsidR="3C071C6D">
        <w:rPr>
          <w:rFonts w:ascii="Arial" w:hAnsi="Arial" w:eastAsia="Arial" w:cs="Arial"/>
          <w:noProof w:val="0"/>
          <w:lang w:val="en-GB"/>
        </w:rPr>
        <w:t xml:space="preserve">( 25 May 2023). </w:t>
      </w:r>
      <w:hyperlink r:id="Rf288d8a06eb54e92">
        <w:r w:rsidRPr="4157A372" w:rsidR="3C071C6D">
          <w:rPr>
            <w:rStyle w:val="Hyperlink"/>
            <w:rFonts w:ascii="Arial" w:hAnsi="Arial" w:eastAsia="Arial" w:cs="Arial"/>
            <w:noProof w:val="0"/>
            <w:lang w:val="en-GB"/>
          </w:rPr>
          <w:t>https://doi.org/10.1002/hrm.22180</w:t>
        </w:r>
      </w:hyperlink>
    </w:p>
    <w:p w:rsidR="3C071C6D" w:rsidP="4157A372" w:rsidRDefault="3C071C6D" w14:paraId="38955634" w14:textId="1F082633">
      <w:pPr>
        <w:pStyle w:val="ListParagraph"/>
        <w:numPr>
          <w:ilvl w:val="0"/>
          <w:numId w:val="3"/>
        </w:numPr>
        <w:spacing w:before="240" w:beforeAutospacing="off" w:after="240" w:afterAutospacing="off" w:line="360" w:lineRule="auto"/>
        <w:jc w:val="both"/>
        <w:rPr>
          <w:rFonts w:ascii="Arial" w:hAnsi="Arial" w:eastAsia="Arial" w:cs="Arial"/>
        </w:rPr>
      </w:pPr>
      <w:r w:rsidRPr="4157A372" w:rsidR="3C071C6D">
        <w:rPr>
          <w:rFonts w:ascii="Arial" w:hAnsi="Arial" w:eastAsia="Arial" w:cs="Arial"/>
          <w:noProof w:val="0"/>
          <w:lang w:val="en-GB"/>
        </w:rPr>
        <w:t>Jinhwan</w:t>
      </w:r>
      <w:r w:rsidRPr="4157A372" w:rsidR="3C071C6D">
        <w:rPr>
          <w:rFonts w:ascii="Arial" w:hAnsi="Arial" w:eastAsia="Arial" w:cs="Arial"/>
          <w:noProof w:val="0"/>
          <w:lang w:val="en-GB"/>
        </w:rPr>
        <w:t xml:space="preserve"> Jo, Clint Chadwick, Joo Hun Han</w:t>
      </w:r>
      <w:r w:rsidRPr="4157A372" w:rsidR="3C071C6D">
        <w:rPr>
          <w:rFonts w:ascii="Arial" w:hAnsi="Arial" w:eastAsia="Arial" w:cs="Arial"/>
          <w:noProof w:val="0"/>
          <w:lang w:val="en-GB"/>
        </w:rPr>
        <w:t xml:space="preserve">14 June 2023) </w:t>
      </w:r>
      <w:hyperlink r:id="R2e4541e343c049b3">
        <w:r w:rsidRPr="4157A372" w:rsidR="3C071C6D">
          <w:rPr>
            <w:rStyle w:val="Hyperlink"/>
            <w:rFonts w:ascii="Arial" w:hAnsi="Arial" w:eastAsia="Arial" w:cs="Arial"/>
            <w:noProof w:val="0"/>
            <w:lang w:val="en-GB"/>
          </w:rPr>
          <w:t>https://doi.org/10.1002/hrm.22184</w:t>
        </w:r>
      </w:hyperlink>
    </w:p>
    <w:p w:rsidR="3C071C6D" w:rsidP="4157A372" w:rsidRDefault="3C071C6D" w14:paraId="33032122" w14:textId="08355A7E">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3C071C6D">
        <w:rPr>
          <w:rFonts w:ascii="Arial" w:hAnsi="Arial" w:eastAsia="Arial" w:cs="Arial"/>
          <w:noProof w:val="0"/>
          <w:lang w:val="en-GB"/>
        </w:rPr>
        <w:t xml:space="preserve">Adam M. Grant and Timothy G. </w:t>
      </w:r>
      <w:r w:rsidRPr="4157A372" w:rsidR="1AA57855">
        <w:rPr>
          <w:rFonts w:ascii="Arial" w:hAnsi="Arial" w:eastAsia="Arial" w:cs="Arial"/>
          <w:noProof w:val="0"/>
          <w:lang w:val="en-GB"/>
        </w:rPr>
        <w:t>Pollock) (</w:t>
      </w:r>
      <w:r w:rsidRPr="4157A372" w:rsidR="3C071C6D">
        <w:rPr>
          <w:rFonts w:ascii="Arial" w:hAnsi="Arial" w:eastAsia="Arial" w:cs="Arial"/>
          <w:noProof w:val="0"/>
          <w:lang w:val="en-GB"/>
        </w:rPr>
        <w:t xml:space="preserve">1 Oct </w:t>
      </w:r>
      <w:r w:rsidRPr="4157A372" w:rsidR="585AC410">
        <w:rPr>
          <w:rFonts w:ascii="Arial" w:hAnsi="Arial" w:eastAsia="Arial" w:cs="Arial"/>
          <w:noProof w:val="0"/>
          <w:lang w:val="en-GB"/>
        </w:rPr>
        <w:t>2011) https://doi.org/10.5465/amj.2011</w:t>
      </w:r>
    </w:p>
    <w:p w:rsidR="3C071C6D" w:rsidP="4157A372" w:rsidRDefault="3C071C6D" w14:paraId="1A451AE4" w14:textId="4F1E64AF">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3C071C6D">
        <w:rPr>
          <w:rFonts w:ascii="Arial" w:hAnsi="Arial" w:eastAsia="Arial" w:cs="Arial"/>
          <w:noProof w:val="0"/>
          <w:lang w:val="en-GB"/>
        </w:rPr>
        <w:t xml:space="preserve"> </w:t>
      </w:r>
      <w:r w:rsidRPr="4157A372" w:rsidR="3C071C6D">
        <w:rPr>
          <w:rFonts w:ascii="Arial" w:hAnsi="Arial" w:eastAsia="Arial" w:cs="Arial"/>
          <w:noProof w:val="0"/>
          <w:lang w:val="en-GB"/>
        </w:rPr>
        <w:t xml:space="preserve">Sarah E. Crozier (16 Jan </w:t>
      </w:r>
      <w:r w:rsidRPr="4157A372" w:rsidR="53895E98">
        <w:rPr>
          <w:rFonts w:ascii="Arial" w:hAnsi="Arial" w:eastAsia="Arial" w:cs="Arial"/>
          <w:noProof w:val="0"/>
          <w:lang w:val="en-GB"/>
        </w:rPr>
        <w:t>2024) https://doi.org/10.1080/09585192.2023.2300033</w:t>
      </w:r>
    </w:p>
    <w:p w:rsidR="3C071C6D" w:rsidP="4157A372" w:rsidRDefault="3C071C6D" w14:paraId="4B5A6610" w14:textId="6694BA96">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3C071C6D">
        <w:rPr>
          <w:rFonts w:ascii="Arial" w:hAnsi="Arial" w:eastAsia="Arial" w:cs="Arial"/>
          <w:noProof w:val="0"/>
          <w:lang w:val="de-DE"/>
        </w:rPr>
        <w:t xml:space="preserve">Lee Martin, Jennifer Gao, Tine Köhler &amp; </w:t>
      </w:r>
      <w:r w:rsidRPr="4157A372" w:rsidR="3C071C6D">
        <w:rPr>
          <w:rFonts w:ascii="Arial" w:hAnsi="Arial" w:eastAsia="Arial" w:cs="Arial"/>
          <w:noProof w:val="0"/>
          <w:lang w:val="de-DE"/>
        </w:rPr>
        <w:t>Yu</w:t>
      </w:r>
      <w:r w:rsidRPr="4157A372" w:rsidR="3C071C6D">
        <w:rPr>
          <w:rFonts w:ascii="Arial" w:hAnsi="Arial" w:eastAsia="Arial" w:cs="Arial"/>
          <w:noProof w:val="0"/>
          <w:lang w:val="de-DE"/>
        </w:rPr>
        <w:t xml:space="preserve"> Zhao</w:t>
      </w:r>
      <w:r w:rsidRPr="4157A372" w:rsidR="49A9C70F">
        <w:rPr>
          <w:rFonts w:ascii="Arial" w:hAnsi="Arial" w:eastAsia="Arial" w:cs="Arial"/>
          <w:noProof w:val="0"/>
          <w:lang w:val="de-DE"/>
        </w:rPr>
        <w:t xml:space="preserve"> </w:t>
      </w:r>
      <w:r w:rsidRPr="4157A372" w:rsidR="3C071C6D">
        <w:rPr>
          <w:rFonts w:ascii="Arial" w:hAnsi="Arial" w:eastAsia="Arial" w:cs="Arial"/>
          <w:noProof w:val="0"/>
          <w:lang w:val="de-DE"/>
        </w:rPr>
        <w:t>Pages: 1577-1601</w:t>
      </w:r>
      <w:r w:rsidRPr="4157A372" w:rsidR="3C071C6D">
        <w:rPr>
          <w:rFonts w:ascii="Arial" w:hAnsi="Arial" w:eastAsia="Arial" w:cs="Arial"/>
          <w:noProof w:val="0"/>
          <w:lang w:val="en-GB"/>
        </w:rPr>
        <w:t>(19 Feb 2024)</w:t>
      </w:r>
    </w:p>
    <w:p w:rsidR="054B3466" w:rsidP="4157A372" w:rsidRDefault="054B3466" w14:paraId="4677B60B" w14:textId="3906DAB4">
      <w:pPr>
        <w:pStyle w:val="ListParagraph"/>
        <w:numPr>
          <w:ilvl w:val="0"/>
          <w:numId w:val="3"/>
        </w:numPr>
        <w:spacing w:before="240" w:beforeAutospacing="off" w:after="240" w:afterAutospacing="off" w:line="360" w:lineRule="auto"/>
        <w:jc w:val="both"/>
        <w:rPr>
          <w:rFonts w:ascii="Arial" w:hAnsi="Arial" w:eastAsia="Arial" w:cs="Arial"/>
        </w:rPr>
      </w:pPr>
      <w:r w:rsidRPr="4157A372" w:rsidR="054B3466">
        <w:rPr>
          <w:rFonts w:ascii="Arial" w:hAnsi="Arial" w:eastAsia="Arial" w:cs="Arial"/>
          <w:noProof w:val="0"/>
          <w:lang w:val="en-GB"/>
        </w:rPr>
        <w:t>Benjamin Musumali (2021)</w:t>
      </w:r>
      <w:hyperlink r:id="R4042fca7f64646d3">
        <w:r w:rsidRPr="4157A372" w:rsidR="054B3466">
          <w:rPr>
            <w:rStyle w:val="Hyperlink"/>
            <w:rFonts w:ascii="Arial" w:hAnsi="Arial" w:eastAsia="Arial" w:cs="Arial"/>
            <w:noProof w:val="0"/>
            <w:lang w:val="en-GB"/>
          </w:rPr>
          <w:t>https://www.researchgate.net/publication/355187857_Exploring_The_Levels_Of_Organization_Effectiveness_-_MBA_Presentation</w:t>
        </w:r>
      </w:hyperlink>
    </w:p>
    <w:p w:rsidR="054B3466" w:rsidP="4157A372" w:rsidRDefault="054B3466" w14:paraId="358D2740" w14:textId="4E3163CD">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054B3466">
        <w:rPr>
          <w:rFonts w:ascii="Arial" w:hAnsi="Arial" w:eastAsia="Arial" w:cs="Arial"/>
          <w:noProof w:val="0"/>
          <w:lang w:val="en-GB"/>
        </w:rPr>
        <w:t>Bowen, D. E., &amp; Ostroff, C. (2019). Integrating HRM and Diversity Climate Perspectives: What Matters Most? International Journal of Human Resource Management, 30(2), 251-272.</w:t>
      </w:r>
    </w:p>
    <w:p w:rsidR="054B3466" w:rsidP="4157A372" w:rsidRDefault="054B3466" w14:paraId="6B823E73" w14:textId="1AEC3C22">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054B3466">
        <w:rPr>
          <w:rFonts w:ascii="Arial" w:hAnsi="Arial" w:eastAsia="Arial" w:cs="Arial"/>
          <w:noProof w:val="0"/>
          <w:lang w:val="en-GB"/>
        </w:rPr>
        <w:t>Badhwar</w:t>
      </w:r>
      <w:r w:rsidRPr="4157A372" w:rsidR="054B3466">
        <w:rPr>
          <w:rFonts w:ascii="Arial" w:hAnsi="Arial" w:eastAsia="Arial" w:cs="Arial"/>
          <w:noProof w:val="0"/>
          <w:lang w:val="en-GB"/>
        </w:rPr>
        <w:t>, P. S., &amp; Varma, A. (Eds.). (2020). Managing Human Resources in Asia-Pacific (2nd ed.). Routledge.</w:t>
      </w:r>
      <w:r w:rsidRPr="4157A372" w:rsidR="054B3466">
        <w:rPr>
          <w:rFonts w:ascii="Arial" w:hAnsi="Arial" w:eastAsia="Arial" w:cs="Arial"/>
          <w:noProof w:val="0"/>
          <w:lang w:val="en-GB"/>
        </w:rPr>
        <w:t xml:space="preserve"> </w:t>
      </w:r>
    </w:p>
    <w:p w:rsidR="054B3466" w:rsidP="4157A372" w:rsidRDefault="054B3466" w14:paraId="3D62F181" w14:textId="56045AAB">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157A372" w:rsidR="054B3466">
        <w:rPr>
          <w:rFonts w:ascii="Arial" w:hAnsi="Arial" w:eastAsia="Arial" w:cs="Arial"/>
          <w:noProof w:val="0"/>
          <w:lang w:val="en-GB"/>
        </w:rPr>
        <w:t>This edited volume focuses on HRM practices in the Asia-Pacific region, providing insights into workforce planning, recruitment, and selection strategies that are relevant to IHG's operations in diverse cultural contexts.</w:t>
      </w:r>
    </w:p>
    <w:p w:rsidR="054B3466" w:rsidP="4157A372" w:rsidRDefault="054B3466" w14:paraId="66DDF463" w14:textId="43E57D91">
      <w:pPr>
        <w:pStyle w:val="ListParagraph"/>
        <w:numPr>
          <w:ilvl w:val="0"/>
          <w:numId w:val="3"/>
        </w:numPr>
        <w:spacing w:line="360" w:lineRule="auto"/>
        <w:jc w:val="both"/>
        <w:rPr>
          <w:rFonts w:ascii="Arial" w:hAnsi="Arial" w:eastAsia="Arial" w:cs="Arial"/>
          <w:noProof w:val="0"/>
          <w:lang w:val="en-GB"/>
        </w:rPr>
      </w:pPr>
      <w:r w:rsidRPr="4157A372" w:rsidR="054B3466">
        <w:rPr>
          <w:rFonts w:ascii="Arial" w:hAnsi="Arial" w:eastAsia="Arial" w:cs="Arial"/>
          <w:noProof w:val="0"/>
          <w:lang w:val="en-GB"/>
        </w:rPr>
        <w:t>Tung, R. L., &amp; Stahl, G. K. (2018). The Tortuous Evolution of the Multinational Corporation. Journal of International Business Studies, 49(7), 981-997.</w:t>
      </w:r>
    </w:p>
    <w:p w:rsidR="4157A372" w:rsidP="4157A372" w:rsidRDefault="4157A372" w14:paraId="22C16296" w14:textId="68B59A46">
      <w:pPr>
        <w:pStyle w:val="Normal"/>
        <w:shd w:val="clear" w:color="auto" w:fill="FFFFFF" w:themeFill="background1"/>
        <w:spacing w:before="240" w:beforeAutospacing="off" w:after="240" w:afterAutospacing="off"/>
        <w:ind w:left="0"/>
        <w:jc w:val="both"/>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4157A372" w:rsidP="4157A372" w:rsidRDefault="4157A372" w14:paraId="64C6D131" w14:textId="4D9137B7">
      <w:pPr>
        <w:pStyle w:val="Normal"/>
        <w:shd w:val="clear" w:color="auto" w:fill="FFFFFF" w:themeFill="background1"/>
        <w:spacing w:before="300" w:beforeAutospacing="off" w:after="0" w:afterAutospacing="off"/>
        <w:jc w:val="both"/>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4157A372" w:rsidP="4157A372" w:rsidRDefault="4157A372" w14:paraId="219D819F" w14:textId="09C57293">
      <w:pPr>
        <w:pStyle w:val="Normal"/>
        <w:shd w:val="clear" w:color="auto" w:fill="FFFFFF" w:themeFill="background1"/>
        <w:spacing w:before="300" w:beforeAutospacing="off" w:after="0" w:afterAutospacing="off"/>
        <w:jc w:val="both"/>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4157A372" w:rsidP="4157A372" w:rsidRDefault="4157A372" w14:paraId="63E8D733" w14:textId="0156839A">
      <w:pPr>
        <w:pStyle w:val="Normal"/>
        <w:shd w:val="clear" w:color="auto" w:fill="FFFFFF" w:themeFill="background1"/>
        <w:spacing w:before="300" w:beforeAutospacing="off" w:after="300" w:afterAutospacing="off"/>
        <w:jc w:val="both"/>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4157A372" w:rsidP="4157A372" w:rsidRDefault="4157A372" w14:paraId="4C05121B" w14:textId="1E3FD87A">
      <w:pPr>
        <w:pStyle w:val="Normal"/>
        <w:shd w:val="clear" w:color="auto" w:fill="FFFFFF" w:themeFill="background1"/>
        <w:spacing w:before="300" w:beforeAutospacing="off" w:after="0" w:afterAutospacing="off"/>
        <w:jc w:val="both"/>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4157A372" w:rsidP="4157A372" w:rsidRDefault="4157A372" w14:paraId="63014383" w14:textId="219475D7">
      <w:pPr>
        <w:pStyle w:val="Normal"/>
        <w:shd w:val="clear" w:color="auto" w:fill="FFFFFF" w:themeFill="background1"/>
        <w:spacing w:before="300" w:beforeAutospacing="off" w:after="300" w:afterAutospacing="off"/>
        <w:jc w:val="both"/>
        <w:rPr>
          <w:rFonts w:ascii="system-ui" w:hAnsi="system-ui" w:eastAsia="system-ui" w:cs="system-ui"/>
          <w:b w:val="0"/>
          <w:bCs w:val="0"/>
          <w:i w:val="0"/>
          <w:iCs w:val="0"/>
          <w:caps w:val="0"/>
          <w:smallCaps w:val="0"/>
          <w:noProof w:val="0"/>
          <w:color w:val="0D0D0D" w:themeColor="text1" w:themeTint="F2"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glN2AD4E95qR+" int2:id="cx5pWFkC">
      <int2:state int2:type="AugLoop_Text_Critique" int2:value="Rejected"/>
    </int2:textHash>
    <int2:textHash int2:hashCode="pF+Pssec2IC8cO" int2:id="TNK0WLqL">
      <int2:state int2:type="AugLoop_Text_Critique" int2:value="Rejected"/>
    </int2:textHash>
    <int2:textHash int2:hashCode="WnJLRJwnXlW4/Q" int2:id="o96kGLbl">
      <int2:state int2:type="AugLoop_Text_Critique" int2:value="Rejected"/>
    </int2:textHash>
    <int2:textHash int2:hashCode="VQDUcrigXiCxon" int2:id="FJuSTArd">
      <int2:state int2:type="AugLoop_Text_Critique" int2:value="Rejected"/>
    </int2:textHash>
    <int2:textHash int2:hashCode="SOVj8UjcBNizHJ" int2:id="qECGfR4w">
      <int2:state int2:type="AugLoop_Text_Critique" int2:value="Rejected"/>
    </int2:textHash>
    <int2:textHash int2:hashCode="wiDa6u1OMMycYz" int2:id="HoclnvfL">
      <int2:state int2:type="AugLoop_Text_Critique" int2:value="Rejected"/>
    </int2:textHash>
    <int2:textHash int2:hashCode="inuRa52Ds73Xjb" int2:id="ZtCg1bop">
      <int2:state int2:type="AugLoop_Text_Critique" int2:value="Rejected"/>
    </int2:textHash>
    <int2:textHash int2:hashCode="22NIxeXL0aeOsx" int2:id="DuYwox4j">
      <int2:state int2:type="AugLoop_Text_Critique" int2:value="Rejected"/>
    </int2:textHash>
    <int2:textHash int2:hashCode="NH/k8ILUFFSsyc" int2:id="DUhw9Qrs">
      <int2:state int2:type="AugLoop_Text_Critique" int2:value="Rejected"/>
    </int2:textHash>
    <int2:textHash int2:hashCode="de66Zeyd8aDmD6" int2:id="x7GpJde9">
      <int2:state int2:type="AugLoop_Text_Critique" int2:value="Rejected"/>
    </int2:textHash>
    <int2:textHash int2:hashCode="Zqio8x5thyZG+j" int2:id="ldGEqjrV">
      <int2:state int2:type="AugLoop_Text_Critique" int2:value="Rejected"/>
    </int2:textHash>
    <int2:textHash int2:hashCode="lbGfijVcOZkI9g" int2:id="ZgwXhkTu">
      <int2:state int2:type="AugLoop_Text_Critique" int2:value="Rejected"/>
    </int2:textHash>
    <int2:textHash int2:hashCode="9BnhgRxGALY1UY" int2:id="AUr3KCzZ">
      <int2:state int2:type="AugLoop_Text_Critique" int2:value="Rejected"/>
    </int2:textHash>
    <int2:textHash int2:hashCode="pN8q79eC+XsiP0" int2:id="1zhWVxzE">
      <int2:state int2:type="AugLoop_Text_Critique" int2:value="Rejected"/>
    </int2:textHash>
    <int2:textHash int2:hashCode="9JLom0ovi4jllW" int2:id="j8lAKUcN">
      <int2:state int2:type="AugLoop_Text_Critique" int2:value="Rejected"/>
    </int2:textHash>
    <int2:textHash int2:hashCode="EjnnKNcUPsLbvv" int2:id="Qo75nXQX">
      <int2:state int2:type="AugLoop_Text_Critique" int2:value="Rejected"/>
    </int2:textHash>
    <int2:textHash int2:hashCode="NVSiajGlNKj7U9" int2:id="BEH1ZRGs">
      <int2:state int2:type="AugLoop_Text_Critique" int2:value="Rejected"/>
    </int2:textHash>
    <int2:textHash int2:hashCode="f720OVgTOEiyXL" int2:id="fFMv4rX2">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9211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a3d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c0969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6CDBF2"/>
    <w:rsid w:val="010CB269"/>
    <w:rsid w:val="05072A7F"/>
    <w:rsid w:val="054B3466"/>
    <w:rsid w:val="057DFA35"/>
    <w:rsid w:val="0580EE95"/>
    <w:rsid w:val="06485B3F"/>
    <w:rsid w:val="08830DCF"/>
    <w:rsid w:val="0995EC71"/>
    <w:rsid w:val="09CEF646"/>
    <w:rsid w:val="09F1A388"/>
    <w:rsid w:val="0B31BCD2"/>
    <w:rsid w:val="0B5BE2E0"/>
    <w:rsid w:val="0CBDCD56"/>
    <w:rsid w:val="0D5B92A9"/>
    <w:rsid w:val="0E94E468"/>
    <w:rsid w:val="0EB47EC4"/>
    <w:rsid w:val="1000CD17"/>
    <w:rsid w:val="122BF3E6"/>
    <w:rsid w:val="1450E7DC"/>
    <w:rsid w:val="14C92B0D"/>
    <w:rsid w:val="172DF622"/>
    <w:rsid w:val="186D3C4C"/>
    <w:rsid w:val="18C607DD"/>
    <w:rsid w:val="196E0CF3"/>
    <w:rsid w:val="1AA57855"/>
    <w:rsid w:val="1B598F06"/>
    <w:rsid w:val="1B8B7493"/>
    <w:rsid w:val="1E473D52"/>
    <w:rsid w:val="1EB2F5B8"/>
    <w:rsid w:val="204C5841"/>
    <w:rsid w:val="204EC619"/>
    <w:rsid w:val="21EA967A"/>
    <w:rsid w:val="236CDBF2"/>
    <w:rsid w:val="23ACF918"/>
    <w:rsid w:val="24337DD7"/>
    <w:rsid w:val="270D0424"/>
    <w:rsid w:val="277A1AC8"/>
    <w:rsid w:val="27C131D5"/>
    <w:rsid w:val="28806A3B"/>
    <w:rsid w:val="290B5B9D"/>
    <w:rsid w:val="2BA880A6"/>
    <w:rsid w:val="2BD4F105"/>
    <w:rsid w:val="2C59EC73"/>
    <w:rsid w:val="2CC3948C"/>
    <w:rsid w:val="2CEF6866"/>
    <w:rsid w:val="2D089342"/>
    <w:rsid w:val="2D445107"/>
    <w:rsid w:val="2F0C91C7"/>
    <w:rsid w:val="2FC8DAF7"/>
    <w:rsid w:val="3011873F"/>
    <w:rsid w:val="32F66510"/>
    <w:rsid w:val="3505DA3B"/>
    <w:rsid w:val="36217C2A"/>
    <w:rsid w:val="38721685"/>
    <w:rsid w:val="3B0CF8FC"/>
    <w:rsid w:val="3BB0EDC9"/>
    <w:rsid w:val="3C071C6D"/>
    <w:rsid w:val="3DFBA4DD"/>
    <w:rsid w:val="3FC7C415"/>
    <w:rsid w:val="3FE06A1F"/>
    <w:rsid w:val="4023E155"/>
    <w:rsid w:val="4157A372"/>
    <w:rsid w:val="4197284A"/>
    <w:rsid w:val="4376C673"/>
    <w:rsid w:val="43AC2D42"/>
    <w:rsid w:val="460E9043"/>
    <w:rsid w:val="47488E02"/>
    <w:rsid w:val="4876876F"/>
    <w:rsid w:val="495BE1A1"/>
    <w:rsid w:val="49A9C70F"/>
    <w:rsid w:val="4B7E8045"/>
    <w:rsid w:val="4D324FB6"/>
    <w:rsid w:val="4D7D97C2"/>
    <w:rsid w:val="4E02ED93"/>
    <w:rsid w:val="509BEC3D"/>
    <w:rsid w:val="535109FB"/>
    <w:rsid w:val="53895E98"/>
    <w:rsid w:val="54B04844"/>
    <w:rsid w:val="54ECDA5C"/>
    <w:rsid w:val="55EA0917"/>
    <w:rsid w:val="57767868"/>
    <w:rsid w:val="585AC410"/>
    <w:rsid w:val="5A36EF65"/>
    <w:rsid w:val="5AC8483E"/>
    <w:rsid w:val="5BD2BFC6"/>
    <w:rsid w:val="6150A0CE"/>
    <w:rsid w:val="61EF8190"/>
    <w:rsid w:val="62A2D0CC"/>
    <w:rsid w:val="63152FBD"/>
    <w:rsid w:val="67122267"/>
    <w:rsid w:val="693CE4C3"/>
    <w:rsid w:val="6C31EC76"/>
    <w:rsid w:val="6D3B7234"/>
    <w:rsid w:val="6DEB6D28"/>
    <w:rsid w:val="6EA58649"/>
    <w:rsid w:val="704150F7"/>
    <w:rsid w:val="71204B63"/>
    <w:rsid w:val="71230DEA"/>
    <w:rsid w:val="72BEDE4B"/>
    <w:rsid w:val="739A1059"/>
    <w:rsid w:val="73D1BCED"/>
    <w:rsid w:val="7459E463"/>
    <w:rsid w:val="78861261"/>
    <w:rsid w:val="79BDA44E"/>
    <w:rsid w:val="7AAC019E"/>
    <w:rsid w:val="7B7340BF"/>
    <w:rsid w:val="7BA0A1DD"/>
    <w:rsid w:val="7DE791A1"/>
    <w:rsid w:val="7E353D29"/>
    <w:rsid w:val="7F472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CDBF2"/>
  <w15:chartTrackingRefBased/>
  <w15:docId w15:val="{B3117B4B-9CEC-4778-94B7-8191D9EE81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11/1748-8583.12550" TargetMode="External" Id="R5abb56650a3a4029" /><Relationship Type="http://schemas.openxmlformats.org/officeDocument/2006/relationships/hyperlink" Target="https://doi.org/10.1111/1748-8583.12549" TargetMode="External" Id="R8192b708ba3e45ff" /><Relationship Type="http://schemas.openxmlformats.org/officeDocument/2006/relationships/hyperlink" Target="https://doi.org/10.1002/hrm.22218" TargetMode="External" Id="R0ae30d3194d64d50" /><Relationship Type="http://schemas.openxmlformats.org/officeDocument/2006/relationships/hyperlink" Target="https://doi.org/10.1002/hrm.22222" TargetMode="External" Id="R305dd71719ab4e4e" /><Relationship Type="http://schemas.openxmlformats.org/officeDocument/2006/relationships/hyperlink" Target="https://doi.org/10.1002/hrm.22160" TargetMode="External" Id="R26108a5db2184b52" /><Relationship Type="http://schemas.openxmlformats.org/officeDocument/2006/relationships/hyperlink" Target="https://doi.org/10.1002/hrm.22167" TargetMode="External" Id="R52804b970bea4722" /><Relationship Type="http://schemas.openxmlformats.org/officeDocument/2006/relationships/hyperlink" Target="https://doi.org/10.1002/hrm.22180" TargetMode="External" Id="Rf288d8a06eb54e92" /><Relationship Type="http://schemas.openxmlformats.org/officeDocument/2006/relationships/hyperlink" Target="https://doi.org/10.1002/hrm.22184" TargetMode="External" Id="R2e4541e343c049b3" /><Relationship Type="http://schemas.openxmlformats.org/officeDocument/2006/relationships/hyperlink" Target="https://www.researchgate.net/publication/355187857_Exploring_The_Levels_Of_Organization_Effectiveness_-_MBA_Presentation" TargetMode="External" Id="R4042fca7f64646d3" /><Relationship Type="http://schemas.microsoft.com/office/2020/10/relationships/intelligence" Target="/word/intelligence2.xml" Id="R10501624f05f4b4d" /><Relationship Type="http://schemas.openxmlformats.org/officeDocument/2006/relationships/numbering" Target="/word/numbering.xml" Id="R6ff9612bbefd43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Andleeb Madeha (2239506)</dc:creator>
  <keywords/>
  <dc:description/>
  <lastModifiedBy>Andleeb Madeha (2239506)</lastModifiedBy>
  <revision>2</revision>
  <dcterms:created xsi:type="dcterms:W3CDTF">2024-04-18T08:23:14.6783600Z</dcterms:created>
  <dcterms:modified xsi:type="dcterms:W3CDTF">2024-04-22T09:11:22.0445284Z</dcterms:modified>
</coreProperties>
</file>