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490C" w:rsidRDefault="003A490C" w:rsidP="003A490C">
      <w:pPr>
        <w:rPr>
          <w:lang w:val="en-US"/>
        </w:rPr>
      </w:pPr>
      <w:r w:rsidRPr="00CA7A1D">
        <w:rPr>
          <w:noProof/>
          <w:lang w:eastAsia="en-GB"/>
        </w:rPr>
        <w:drawing>
          <wp:inline distT="0" distB="0" distL="0" distR="0">
            <wp:extent cx="4026220" cy="1514902"/>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3A490C" w:rsidRDefault="003A490C" w:rsidP="003A490C">
      <w:pPr>
        <w:rPr>
          <w:lang w:val="en-US"/>
        </w:rPr>
      </w:pPr>
    </w:p>
    <w:p w:rsidR="003A490C" w:rsidRDefault="003A490C" w:rsidP="003A490C">
      <w:pPr>
        <w:rPr>
          <w:lang w:val="en-US"/>
        </w:rPr>
      </w:pPr>
    </w:p>
    <w:p w:rsidR="003A490C" w:rsidRDefault="003A490C" w:rsidP="003A490C">
      <w:pPr>
        <w:rPr>
          <w:lang w:val="en-US"/>
        </w:rPr>
      </w:pPr>
    </w:p>
    <w:p w:rsidR="003A490C" w:rsidRDefault="003A490C" w:rsidP="003A490C">
      <w:pPr>
        <w:rPr>
          <w:lang w:val="en-US"/>
        </w:rPr>
      </w:pPr>
    </w:p>
    <w:p w:rsidR="003A490C" w:rsidRPr="00CA7A1D" w:rsidRDefault="003A490C" w:rsidP="003A490C">
      <w:pPr>
        <w:spacing w:after="240"/>
        <w:jc w:val="both"/>
        <w:rPr>
          <w:sz w:val="24"/>
          <w:szCs w:val="24"/>
          <w:lang w:val="en-US"/>
        </w:rPr>
      </w:pPr>
    </w:p>
    <w:p w:rsidR="003A490C" w:rsidRPr="00CA7A1D" w:rsidRDefault="003A490C" w:rsidP="003A490C">
      <w:pPr>
        <w:spacing w:after="240"/>
        <w:jc w:val="center"/>
        <w:rPr>
          <w:b/>
          <w:sz w:val="28"/>
          <w:szCs w:val="28"/>
        </w:rPr>
      </w:pPr>
      <w:r w:rsidRPr="00CA7A1D">
        <w:rPr>
          <w:b/>
          <w:sz w:val="28"/>
          <w:szCs w:val="28"/>
        </w:rPr>
        <w:t>PROGRAM NAME: BA BUSINESS MANAGEMENT</w:t>
      </w:r>
    </w:p>
    <w:p w:rsidR="003A490C" w:rsidRPr="00CA7A1D" w:rsidRDefault="003A490C" w:rsidP="003A490C">
      <w:pPr>
        <w:spacing w:after="240"/>
        <w:jc w:val="center"/>
        <w:rPr>
          <w:b/>
          <w:sz w:val="28"/>
          <w:szCs w:val="28"/>
        </w:rPr>
      </w:pPr>
      <w:r w:rsidRPr="00CA7A1D">
        <w:rPr>
          <w:b/>
          <w:sz w:val="28"/>
          <w:szCs w:val="28"/>
        </w:rPr>
        <w:t xml:space="preserve">MODULE NAME &amp; </w:t>
      </w:r>
      <w:r>
        <w:rPr>
          <w:b/>
          <w:sz w:val="28"/>
          <w:szCs w:val="28"/>
        </w:rPr>
        <w:t>CODE: PROJECT MANAGEMENT (LCBB5005</w:t>
      </w:r>
      <w:r w:rsidRPr="00CA7A1D">
        <w:rPr>
          <w:b/>
          <w:sz w:val="28"/>
          <w:szCs w:val="28"/>
        </w:rPr>
        <w:t>)</w:t>
      </w:r>
    </w:p>
    <w:p w:rsidR="003A490C" w:rsidRPr="00CA7A1D" w:rsidRDefault="00E31A78" w:rsidP="003A490C">
      <w:pPr>
        <w:spacing w:after="240"/>
        <w:jc w:val="center"/>
        <w:rPr>
          <w:b/>
          <w:sz w:val="28"/>
          <w:szCs w:val="28"/>
        </w:rPr>
      </w:pPr>
      <w:r>
        <w:rPr>
          <w:b/>
          <w:sz w:val="28"/>
          <w:szCs w:val="28"/>
        </w:rPr>
        <w:t>ASSIGNMENT TITLE: ASSESSMENT 2</w:t>
      </w:r>
    </w:p>
    <w:p w:rsidR="003A490C" w:rsidRDefault="003A490C" w:rsidP="003A490C">
      <w:pPr>
        <w:spacing w:after="240"/>
        <w:jc w:val="both"/>
        <w:rPr>
          <w:sz w:val="24"/>
          <w:szCs w:val="24"/>
        </w:rPr>
      </w:pPr>
    </w:p>
    <w:p w:rsidR="003A490C" w:rsidRDefault="003A490C" w:rsidP="003A490C">
      <w:pPr>
        <w:spacing w:after="240"/>
        <w:jc w:val="both"/>
        <w:rPr>
          <w:sz w:val="24"/>
          <w:szCs w:val="24"/>
        </w:rPr>
      </w:pPr>
    </w:p>
    <w:p w:rsidR="003A490C" w:rsidRDefault="003A490C" w:rsidP="003A490C">
      <w:pPr>
        <w:spacing w:after="240"/>
        <w:jc w:val="both"/>
        <w:rPr>
          <w:sz w:val="24"/>
          <w:szCs w:val="24"/>
        </w:rPr>
      </w:pPr>
    </w:p>
    <w:p w:rsidR="003A490C" w:rsidRPr="00CA7A1D" w:rsidRDefault="003A490C" w:rsidP="003A490C">
      <w:pPr>
        <w:spacing w:after="240"/>
        <w:jc w:val="both"/>
        <w:rPr>
          <w:sz w:val="24"/>
          <w:szCs w:val="24"/>
        </w:rPr>
      </w:pPr>
      <w:r w:rsidRPr="00CA7A1D">
        <w:rPr>
          <w:sz w:val="24"/>
          <w:szCs w:val="24"/>
        </w:rPr>
        <w:t xml:space="preserve">NAME OF LECTURER: </w:t>
      </w:r>
      <w:r>
        <w:rPr>
          <w:sz w:val="24"/>
          <w:szCs w:val="24"/>
        </w:rPr>
        <w:t>DR MOLLY JACK</w:t>
      </w:r>
    </w:p>
    <w:p w:rsidR="003A490C" w:rsidRPr="00CA7A1D" w:rsidRDefault="003A490C" w:rsidP="003A490C">
      <w:pPr>
        <w:spacing w:after="240"/>
        <w:jc w:val="both"/>
        <w:rPr>
          <w:sz w:val="24"/>
          <w:szCs w:val="24"/>
        </w:rPr>
      </w:pPr>
      <w:r w:rsidRPr="00CA7A1D">
        <w:rPr>
          <w:sz w:val="24"/>
          <w:szCs w:val="24"/>
        </w:rPr>
        <w:t>STUDENT NAME</w:t>
      </w:r>
      <w:r>
        <w:rPr>
          <w:sz w:val="24"/>
          <w:szCs w:val="24"/>
        </w:rPr>
        <w:t xml:space="preserve"> AND NUMBER</w:t>
      </w:r>
      <w:r w:rsidRPr="00CA7A1D">
        <w:rPr>
          <w:sz w:val="24"/>
          <w:szCs w:val="24"/>
        </w:rPr>
        <w:t>: PAVEL BODUSHKI</w:t>
      </w:r>
      <w:r>
        <w:rPr>
          <w:sz w:val="24"/>
          <w:szCs w:val="24"/>
        </w:rPr>
        <w:t xml:space="preserve"> (2023711)</w:t>
      </w:r>
    </w:p>
    <w:p w:rsidR="003A490C" w:rsidRDefault="003A490C" w:rsidP="003A490C">
      <w:pPr>
        <w:spacing w:after="240"/>
        <w:jc w:val="both"/>
        <w:rPr>
          <w:sz w:val="24"/>
          <w:szCs w:val="24"/>
        </w:rPr>
      </w:pPr>
    </w:p>
    <w:p w:rsidR="003A490C" w:rsidRPr="00CA7A1D" w:rsidRDefault="003A490C" w:rsidP="003A490C">
      <w:pPr>
        <w:spacing w:after="240"/>
        <w:jc w:val="both"/>
        <w:rPr>
          <w:sz w:val="24"/>
          <w:szCs w:val="24"/>
        </w:rPr>
      </w:pPr>
    </w:p>
    <w:p w:rsidR="003A490C" w:rsidRPr="00CA7A1D" w:rsidRDefault="003A490C" w:rsidP="003A490C">
      <w:pPr>
        <w:spacing w:after="240"/>
        <w:jc w:val="both"/>
        <w:rPr>
          <w:sz w:val="24"/>
          <w:szCs w:val="24"/>
        </w:rPr>
      </w:pPr>
      <w:r w:rsidRPr="00CA7A1D">
        <w:rPr>
          <w:sz w:val="24"/>
          <w:szCs w:val="24"/>
        </w:rPr>
        <w:t xml:space="preserve">WORD COUNT: </w:t>
      </w:r>
      <w:r>
        <w:rPr>
          <w:sz w:val="24"/>
          <w:szCs w:val="24"/>
        </w:rPr>
        <w:t>2,683</w:t>
      </w:r>
    </w:p>
    <w:p w:rsidR="003A490C" w:rsidRPr="00CA7A1D" w:rsidRDefault="00EE7817" w:rsidP="003A490C">
      <w:pPr>
        <w:spacing w:after="240"/>
        <w:jc w:val="both"/>
        <w:rPr>
          <w:sz w:val="24"/>
          <w:szCs w:val="24"/>
        </w:rPr>
      </w:pPr>
      <w:r>
        <w:rPr>
          <w:sz w:val="24"/>
          <w:szCs w:val="24"/>
        </w:rPr>
        <w:t>SUBMISSION DATE:</w:t>
      </w:r>
      <w:r w:rsidR="00CC1585">
        <w:rPr>
          <w:sz w:val="24"/>
          <w:szCs w:val="24"/>
        </w:rPr>
        <w:t xml:space="preserve"> </w:t>
      </w:r>
      <w:r w:rsidR="007A2F06">
        <w:rPr>
          <w:sz w:val="24"/>
          <w:szCs w:val="24"/>
        </w:rPr>
        <w:t>14</w:t>
      </w:r>
      <w:bookmarkStart w:id="0" w:name="_GoBack"/>
      <w:bookmarkEnd w:id="0"/>
      <w:r w:rsidR="003A490C">
        <w:rPr>
          <w:sz w:val="24"/>
          <w:szCs w:val="24"/>
        </w:rPr>
        <w:t>.09.2022</w:t>
      </w:r>
    </w:p>
    <w:p w:rsidR="007C4D26" w:rsidRDefault="007C4D26" w:rsidP="007C4D26">
      <w:pPr>
        <w:spacing w:after="240"/>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1557818908"/>
        <w:docPartObj>
          <w:docPartGallery w:val="Table of Contents"/>
          <w:docPartUnique/>
        </w:docPartObj>
      </w:sdtPr>
      <w:sdtEndPr/>
      <w:sdtContent>
        <w:p w:rsidR="007C4D26" w:rsidRPr="00D45DAD" w:rsidRDefault="007C4D26" w:rsidP="00D45DAD">
          <w:pPr>
            <w:pStyle w:val="TOCHeading"/>
            <w:spacing w:before="0" w:after="240" w:line="480" w:lineRule="auto"/>
            <w:jc w:val="both"/>
            <w:rPr>
              <w:rFonts w:ascii="Times New Roman" w:hAnsi="Times New Roman" w:cs="Times New Roman"/>
              <w:sz w:val="24"/>
              <w:szCs w:val="24"/>
            </w:rPr>
          </w:pPr>
          <w:r w:rsidRPr="00D45DAD">
            <w:rPr>
              <w:rFonts w:ascii="Times New Roman" w:hAnsi="Times New Roman" w:cs="Times New Roman"/>
            </w:rPr>
            <w:t>Table of Contents</w:t>
          </w:r>
        </w:p>
        <w:p w:rsidR="007C4D26" w:rsidRPr="00D45DAD" w:rsidRDefault="007C4D26" w:rsidP="00D45DAD">
          <w:pPr>
            <w:pStyle w:val="TOC1"/>
            <w:tabs>
              <w:tab w:val="right" w:leader="dot" w:pos="9408"/>
            </w:tabs>
            <w:spacing w:after="240" w:line="480" w:lineRule="auto"/>
            <w:jc w:val="both"/>
            <w:rPr>
              <w:rFonts w:ascii="Times New Roman" w:hAnsi="Times New Roman" w:cs="Times New Roman"/>
              <w:noProof/>
              <w:sz w:val="24"/>
              <w:szCs w:val="24"/>
            </w:rPr>
          </w:pPr>
          <w:r w:rsidRPr="00D45DAD">
            <w:rPr>
              <w:rFonts w:ascii="Times New Roman" w:hAnsi="Times New Roman" w:cs="Times New Roman"/>
              <w:sz w:val="24"/>
              <w:szCs w:val="24"/>
            </w:rPr>
            <w:fldChar w:fldCharType="begin"/>
          </w:r>
          <w:r w:rsidRPr="00D45DAD">
            <w:rPr>
              <w:rFonts w:ascii="Times New Roman" w:hAnsi="Times New Roman" w:cs="Times New Roman"/>
              <w:sz w:val="24"/>
              <w:szCs w:val="24"/>
            </w:rPr>
            <w:instrText xml:space="preserve"> TOC \o "1-3" \h \z \u </w:instrText>
          </w:r>
          <w:r w:rsidRPr="00D45DAD">
            <w:rPr>
              <w:rFonts w:ascii="Times New Roman" w:hAnsi="Times New Roman" w:cs="Times New Roman"/>
              <w:sz w:val="24"/>
              <w:szCs w:val="24"/>
            </w:rPr>
            <w:fldChar w:fldCharType="separate"/>
          </w:r>
          <w:hyperlink w:anchor="_Toc113545672" w:history="1">
            <w:r w:rsidRPr="00D45DAD">
              <w:rPr>
                <w:rStyle w:val="Hyperlink"/>
                <w:rFonts w:ascii="Times New Roman" w:hAnsi="Times New Roman" w:cs="Times New Roman"/>
                <w:noProof/>
                <w:sz w:val="24"/>
                <w:szCs w:val="24"/>
                <w:lang w:val="en-US"/>
              </w:rPr>
              <w:t xml:space="preserve">1 </w:t>
            </w:r>
            <w:r w:rsidRPr="00D45DAD">
              <w:rPr>
                <w:rStyle w:val="Hyperlink"/>
                <w:rFonts w:ascii="Times New Roman" w:hAnsi="Times New Roman" w:cs="Times New Roman"/>
                <w:noProof/>
                <w:sz w:val="24"/>
                <w:szCs w:val="24"/>
              </w:rPr>
              <w:t>Introduction</w:t>
            </w:r>
            <w:r w:rsidRPr="00D45DAD">
              <w:rPr>
                <w:rFonts w:ascii="Times New Roman" w:hAnsi="Times New Roman" w:cs="Times New Roman"/>
                <w:noProof/>
                <w:webHidden/>
                <w:sz w:val="24"/>
                <w:szCs w:val="24"/>
              </w:rPr>
              <w:tab/>
            </w:r>
            <w:r w:rsidRPr="00D45DAD">
              <w:rPr>
                <w:rFonts w:ascii="Times New Roman" w:hAnsi="Times New Roman" w:cs="Times New Roman"/>
                <w:noProof/>
                <w:webHidden/>
                <w:sz w:val="24"/>
                <w:szCs w:val="24"/>
              </w:rPr>
              <w:fldChar w:fldCharType="begin"/>
            </w:r>
            <w:r w:rsidRPr="00D45DAD">
              <w:rPr>
                <w:rFonts w:ascii="Times New Roman" w:hAnsi="Times New Roman" w:cs="Times New Roman"/>
                <w:noProof/>
                <w:webHidden/>
                <w:sz w:val="24"/>
                <w:szCs w:val="24"/>
              </w:rPr>
              <w:instrText xml:space="preserve"> PAGEREF _Toc113545672 \h </w:instrText>
            </w:r>
            <w:r w:rsidRPr="00D45DAD">
              <w:rPr>
                <w:rFonts w:ascii="Times New Roman" w:hAnsi="Times New Roman" w:cs="Times New Roman"/>
                <w:noProof/>
                <w:webHidden/>
                <w:sz w:val="24"/>
                <w:szCs w:val="24"/>
              </w:rPr>
            </w:r>
            <w:r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3</w:t>
            </w:r>
            <w:r w:rsidRPr="00D45DAD">
              <w:rPr>
                <w:rFonts w:ascii="Times New Roman" w:hAnsi="Times New Roman" w:cs="Times New Roman"/>
                <w:noProof/>
                <w:webHidden/>
                <w:sz w:val="24"/>
                <w:szCs w:val="24"/>
              </w:rPr>
              <w:fldChar w:fldCharType="end"/>
            </w:r>
          </w:hyperlink>
        </w:p>
        <w:p w:rsidR="007C4D26" w:rsidRPr="00D45DAD" w:rsidRDefault="002254D3" w:rsidP="00D45DAD">
          <w:pPr>
            <w:pStyle w:val="TOC1"/>
            <w:tabs>
              <w:tab w:val="right" w:leader="dot" w:pos="9408"/>
            </w:tabs>
            <w:spacing w:after="240" w:line="480" w:lineRule="auto"/>
            <w:jc w:val="both"/>
            <w:rPr>
              <w:rFonts w:ascii="Times New Roman" w:hAnsi="Times New Roman" w:cs="Times New Roman"/>
              <w:noProof/>
              <w:sz w:val="24"/>
              <w:szCs w:val="24"/>
            </w:rPr>
          </w:pPr>
          <w:hyperlink w:anchor="_Toc113545673" w:history="1">
            <w:r w:rsidR="007C4D26" w:rsidRPr="00D45DAD">
              <w:rPr>
                <w:rStyle w:val="Hyperlink"/>
                <w:rFonts w:ascii="Times New Roman" w:hAnsi="Times New Roman" w:cs="Times New Roman"/>
                <w:noProof/>
                <w:sz w:val="24"/>
                <w:szCs w:val="24"/>
                <w:lang w:val="en-US"/>
              </w:rPr>
              <w:t xml:space="preserve">2 </w:t>
            </w:r>
            <w:r w:rsidR="007C4D26" w:rsidRPr="00D45DAD">
              <w:rPr>
                <w:rStyle w:val="Hyperlink"/>
                <w:rFonts w:ascii="Times New Roman" w:hAnsi="Times New Roman" w:cs="Times New Roman"/>
                <w:noProof/>
                <w:sz w:val="24"/>
                <w:szCs w:val="24"/>
              </w:rPr>
              <w:t>Main body</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_Toc113545673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3</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2"/>
            <w:tabs>
              <w:tab w:val="right" w:leader="dot" w:pos="9408"/>
            </w:tabs>
            <w:spacing w:after="240" w:line="480" w:lineRule="auto"/>
            <w:jc w:val="both"/>
            <w:rPr>
              <w:rFonts w:ascii="Times New Roman" w:hAnsi="Times New Roman" w:cs="Times New Roman"/>
              <w:noProof/>
              <w:sz w:val="24"/>
              <w:szCs w:val="24"/>
            </w:rPr>
          </w:pPr>
          <w:hyperlink w:anchor="_Toc113545674" w:history="1">
            <w:r w:rsidR="007C4D26" w:rsidRPr="00D45DAD">
              <w:rPr>
                <w:rStyle w:val="Hyperlink"/>
                <w:rFonts w:ascii="Times New Roman" w:hAnsi="Times New Roman" w:cs="Times New Roman"/>
                <w:noProof/>
                <w:sz w:val="24"/>
                <w:szCs w:val="24"/>
              </w:rPr>
              <w:t>2.1 Project evaluation process</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_Toc113545674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3</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2"/>
            <w:tabs>
              <w:tab w:val="right" w:leader="dot" w:pos="9408"/>
            </w:tabs>
            <w:spacing w:after="240" w:line="480" w:lineRule="auto"/>
            <w:jc w:val="both"/>
            <w:rPr>
              <w:rFonts w:ascii="Times New Roman" w:hAnsi="Times New Roman" w:cs="Times New Roman"/>
              <w:noProof/>
              <w:sz w:val="24"/>
              <w:szCs w:val="24"/>
            </w:rPr>
          </w:pPr>
          <w:hyperlink w:anchor="_Toc113545675" w:history="1">
            <w:r w:rsidR="007C4D26" w:rsidRPr="00D45DAD">
              <w:rPr>
                <w:rStyle w:val="Hyperlink"/>
                <w:rFonts w:ascii="Times New Roman" w:hAnsi="Times New Roman" w:cs="Times New Roman"/>
                <w:noProof/>
                <w:sz w:val="24"/>
                <w:szCs w:val="24"/>
              </w:rPr>
              <w:t>2.2 Evaluation of Elizabeth line</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_Toc113545675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4</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3"/>
            <w:tabs>
              <w:tab w:val="right" w:leader="dot" w:pos="9408"/>
            </w:tabs>
            <w:spacing w:after="240" w:line="480" w:lineRule="auto"/>
            <w:jc w:val="both"/>
            <w:rPr>
              <w:rFonts w:ascii="Times New Roman" w:hAnsi="Times New Roman" w:cs="Times New Roman"/>
              <w:noProof/>
              <w:sz w:val="24"/>
              <w:szCs w:val="24"/>
            </w:rPr>
          </w:pPr>
          <w:hyperlink w:anchor="_Toc113545676" w:history="1">
            <w:r w:rsidR="007C4D26" w:rsidRPr="00D45DAD">
              <w:rPr>
                <w:rStyle w:val="Hyperlink"/>
                <w:rFonts w:ascii="Times New Roman" w:hAnsi="Times New Roman" w:cs="Times New Roman"/>
                <w:noProof/>
                <w:sz w:val="24"/>
                <w:szCs w:val="24"/>
                <w:lang w:val="en-US"/>
              </w:rPr>
              <w:t>2.2.1 Costs</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_Toc113545676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4</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3"/>
            <w:tabs>
              <w:tab w:val="right" w:leader="dot" w:pos="9408"/>
            </w:tabs>
            <w:spacing w:after="240" w:line="480" w:lineRule="auto"/>
            <w:jc w:val="both"/>
            <w:rPr>
              <w:rFonts w:ascii="Times New Roman" w:hAnsi="Times New Roman" w:cs="Times New Roman"/>
              <w:noProof/>
              <w:sz w:val="24"/>
              <w:szCs w:val="24"/>
            </w:rPr>
          </w:pPr>
          <w:hyperlink w:anchor="_Toc113545677" w:history="1">
            <w:r w:rsidR="007C4D26" w:rsidRPr="00D45DAD">
              <w:rPr>
                <w:rStyle w:val="Hyperlink"/>
                <w:rFonts w:ascii="Times New Roman" w:hAnsi="Times New Roman" w:cs="Times New Roman"/>
                <w:noProof/>
                <w:sz w:val="24"/>
                <w:szCs w:val="24"/>
                <w:lang w:val="en-US"/>
              </w:rPr>
              <w:t>2.2.2 Time</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_Toc113545677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5</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3"/>
            <w:tabs>
              <w:tab w:val="right" w:leader="dot" w:pos="9408"/>
            </w:tabs>
            <w:spacing w:after="240" w:line="480" w:lineRule="auto"/>
            <w:jc w:val="both"/>
            <w:rPr>
              <w:rFonts w:ascii="Times New Roman" w:hAnsi="Times New Roman" w:cs="Times New Roman"/>
              <w:noProof/>
              <w:sz w:val="24"/>
              <w:szCs w:val="24"/>
            </w:rPr>
          </w:pPr>
          <w:hyperlink w:anchor="_Toc113545678" w:history="1">
            <w:r w:rsidR="007C4D26" w:rsidRPr="00D45DAD">
              <w:rPr>
                <w:rStyle w:val="Hyperlink"/>
                <w:rFonts w:ascii="Times New Roman" w:hAnsi="Times New Roman" w:cs="Times New Roman"/>
                <w:noProof/>
                <w:sz w:val="24"/>
                <w:szCs w:val="24"/>
                <w:lang w:val="en-US"/>
              </w:rPr>
              <w:t>2.2.3 Quality</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_Toc113545678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5</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3"/>
            <w:tabs>
              <w:tab w:val="right" w:leader="dot" w:pos="9408"/>
            </w:tabs>
            <w:spacing w:after="240" w:line="480" w:lineRule="auto"/>
            <w:jc w:val="both"/>
            <w:rPr>
              <w:rFonts w:ascii="Times New Roman" w:hAnsi="Times New Roman" w:cs="Times New Roman"/>
              <w:noProof/>
              <w:sz w:val="24"/>
              <w:szCs w:val="24"/>
            </w:rPr>
          </w:pPr>
          <w:hyperlink w:anchor="_Toc113545679" w:history="1">
            <w:r w:rsidR="007C4D26" w:rsidRPr="00D45DAD">
              <w:rPr>
                <w:rStyle w:val="Hyperlink"/>
                <w:rFonts w:ascii="Times New Roman" w:hAnsi="Times New Roman" w:cs="Times New Roman"/>
                <w:noProof/>
                <w:sz w:val="24"/>
                <w:szCs w:val="24"/>
                <w:lang w:val="en-US"/>
              </w:rPr>
              <w:t>2.2.4 Impact on sustainability</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_Toc113545679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6</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3"/>
            <w:tabs>
              <w:tab w:val="right" w:leader="dot" w:pos="9408"/>
            </w:tabs>
            <w:spacing w:after="240" w:line="480" w:lineRule="auto"/>
            <w:jc w:val="both"/>
            <w:rPr>
              <w:rFonts w:ascii="Times New Roman" w:hAnsi="Times New Roman" w:cs="Times New Roman"/>
              <w:noProof/>
              <w:sz w:val="24"/>
              <w:szCs w:val="24"/>
            </w:rPr>
          </w:pPr>
          <w:hyperlink w:anchor="_Toc113545680" w:history="1">
            <w:r w:rsidR="007C4D26" w:rsidRPr="00D45DAD">
              <w:rPr>
                <w:rStyle w:val="Hyperlink"/>
                <w:rFonts w:ascii="Times New Roman" w:hAnsi="Times New Roman" w:cs="Times New Roman"/>
                <w:noProof/>
                <w:sz w:val="24"/>
                <w:szCs w:val="24"/>
                <w:lang w:val="en-US"/>
              </w:rPr>
              <w:t>2.2.5 Socio-economic impact</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_Toc113545680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7</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2"/>
            <w:tabs>
              <w:tab w:val="right" w:leader="dot" w:pos="9408"/>
            </w:tabs>
            <w:spacing w:after="240" w:line="480" w:lineRule="auto"/>
            <w:jc w:val="both"/>
            <w:rPr>
              <w:rFonts w:ascii="Times New Roman" w:hAnsi="Times New Roman" w:cs="Times New Roman"/>
              <w:noProof/>
              <w:sz w:val="24"/>
              <w:szCs w:val="24"/>
            </w:rPr>
          </w:pPr>
          <w:hyperlink w:anchor="_Toc113545681" w:history="1">
            <w:r w:rsidR="007C4D26" w:rsidRPr="00D45DAD">
              <w:rPr>
                <w:rStyle w:val="Hyperlink"/>
                <w:rFonts w:ascii="Times New Roman" w:hAnsi="Times New Roman" w:cs="Times New Roman"/>
                <w:noProof/>
                <w:sz w:val="24"/>
                <w:szCs w:val="24"/>
              </w:rPr>
              <w:t>2.3 Critical discussion of findings</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_Toc113545681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8</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1"/>
            <w:tabs>
              <w:tab w:val="right" w:leader="dot" w:pos="9408"/>
            </w:tabs>
            <w:spacing w:after="240" w:line="480" w:lineRule="auto"/>
            <w:jc w:val="both"/>
            <w:rPr>
              <w:rFonts w:ascii="Times New Roman" w:hAnsi="Times New Roman" w:cs="Times New Roman"/>
              <w:noProof/>
              <w:sz w:val="24"/>
              <w:szCs w:val="24"/>
            </w:rPr>
          </w:pPr>
          <w:hyperlink w:anchor="_Toc113545682" w:history="1">
            <w:r w:rsidR="007C4D26" w:rsidRPr="00D45DAD">
              <w:rPr>
                <w:rStyle w:val="Hyperlink"/>
                <w:rFonts w:ascii="Times New Roman" w:hAnsi="Times New Roman" w:cs="Times New Roman"/>
                <w:noProof/>
                <w:sz w:val="24"/>
                <w:szCs w:val="24"/>
              </w:rPr>
              <w:t>3 Conclusion</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_Toc113545682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9</w:t>
            </w:r>
            <w:r w:rsidR="007C4D26" w:rsidRPr="00D45DAD">
              <w:rPr>
                <w:rFonts w:ascii="Times New Roman" w:hAnsi="Times New Roman" w:cs="Times New Roman"/>
                <w:noProof/>
                <w:webHidden/>
                <w:sz w:val="24"/>
                <w:szCs w:val="24"/>
              </w:rPr>
              <w:fldChar w:fldCharType="end"/>
            </w:r>
          </w:hyperlink>
        </w:p>
        <w:p w:rsidR="007C4D26" w:rsidRPr="00D45DAD" w:rsidRDefault="002254D3" w:rsidP="00D45DAD">
          <w:pPr>
            <w:pStyle w:val="TOC1"/>
            <w:tabs>
              <w:tab w:val="right" w:leader="dot" w:pos="9408"/>
            </w:tabs>
            <w:spacing w:after="240" w:line="480" w:lineRule="auto"/>
            <w:jc w:val="both"/>
            <w:rPr>
              <w:rFonts w:ascii="Times New Roman" w:hAnsi="Times New Roman" w:cs="Times New Roman"/>
              <w:noProof/>
              <w:sz w:val="24"/>
              <w:szCs w:val="24"/>
            </w:rPr>
          </w:pPr>
          <w:hyperlink w:anchor="_Toc113545683" w:history="1">
            <w:r w:rsidR="007C4D26" w:rsidRPr="00D45DAD">
              <w:rPr>
                <w:rStyle w:val="Hyperlink"/>
                <w:rFonts w:ascii="Times New Roman" w:hAnsi="Times New Roman" w:cs="Times New Roman"/>
                <w:noProof/>
                <w:sz w:val="24"/>
                <w:szCs w:val="24"/>
              </w:rPr>
              <w:t>Reference list</w:t>
            </w:r>
            <w:r w:rsidR="007C4D26" w:rsidRPr="00D45DAD">
              <w:rPr>
                <w:rFonts w:ascii="Times New Roman" w:hAnsi="Times New Roman" w:cs="Times New Roman"/>
                <w:noProof/>
                <w:webHidden/>
                <w:sz w:val="24"/>
                <w:szCs w:val="24"/>
              </w:rPr>
              <w:tab/>
            </w:r>
            <w:r w:rsidR="007C4D26" w:rsidRPr="00D45DAD">
              <w:rPr>
                <w:rFonts w:ascii="Times New Roman" w:hAnsi="Times New Roman" w:cs="Times New Roman"/>
                <w:noProof/>
                <w:webHidden/>
                <w:sz w:val="24"/>
                <w:szCs w:val="24"/>
              </w:rPr>
              <w:fldChar w:fldCharType="begin"/>
            </w:r>
            <w:r w:rsidR="007C4D26" w:rsidRPr="00D45DAD">
              <w:rPr>
                <w:rFonts w:ascii="Times New Roman" w:hAnsi="Times New Roman" w:cs="Times New Roman"/>
                <w:noProof/>
                <w:webHidden/>
                <w:sz w:val="24"/>
                <w:szCs w:val="24"/>
              </w:rPr>
              <w:instrText xml:space="preserve"> PAGEREF _Toc113545683 \h </w:instrText>
            </w:r>
            <w:r w:rsidR="007C4D26" w:rsidRPr="00D45DAD">
              <w:rPr>
                <w:rFonts w:ascii="Times New Roman" w:hAnsi="Times New Roman" w:cs="Times New Roman"/>
                <w:noProof/>
                <w:webHidden/>
                <w:sz w:val="24"/>
                <w:szCs w:val="24"/>
              </w:rPr>
            </w:r>
            <w:r w:rsidR="007C4D26" w:rsidRPr="00D45DAD">
              <w:rPr>
                <w:rFonts w:ascii="Times New Roman" w:hAnsi="Times New Roman" w:cs="Times New Roman"/>
                <w:noProof/>
                <w:webHidden/>
                <w:sz w:val="24"/>
                <w:szCs w:val="24"/>
              </w:rPr>
              <w:fldChar w:fldCharType="separate"/>
            </w:r>
            <w:r w:rsidR="004246DC">
              <w:rPr>
                <w:rFonts w:ascii="Times New Roman" w:hAnsi="Times New Roman" w:cs="Times New Roman"/>
                <w:noProof/>
                <w:webHidden/>
                <w:sz w:val="24"/>
                <w:szCs w:val="24"/>
              </w:rPr>
              <w:t>11</w:t>
            </w:r>
            <w:r w:rsidR="007C4D26" w:rsidRPr="00D45DAD">
              <w:rPr>
                <w:rFonts w:ascii="Times New Roman" w:hAnsi="Times New Roman" w:cs="Times New Roman"/>
                <w:noProof/>
                <w:webHidden/>
                <w:sz w:val="24"/>
                <w:szCs w:val="24"/>
              </w:rPr>
              <w:fldChar w:fldCharType="end"/>
            </w:r>
          </w:hyperlink>
        </w:p>
        <w:p w:rsidR="007C4D26" w:rsidRDefault="007C4D26" w:rsidP="00D45DAD">
          <w:pPr>
            <w:spacing w:after="240" w:line="480" w:lineRule="auto"/>
            <w:jc w:val="both"/>
          </w:pPr>
          <w:r w:rsidRPr="00D45DAD">
            <w:rPr>
              <w:rFonts w:ascii="Times New Roman" w:hAnsi="Times New Roman" w:cs="Times New Roman"/>
              <w:sz w:val="24"/>
              <w:szCs w:val="24"/>
            </w:rPr>
            <w:fldChar w:fldCharType="end"/>
          </w:r>
        </w:p>
      </w:sdtContent>
    </w:sdt>
    <w:p w:rsidR="007C4D26" w:rsidRDefault="007C4D26" w:rsidP="007C4D26">
      <w:pPr>
        <w:spacing w:after="240"/>
        <w:jc w:val="both"/>
        <w:rPr>
          <w:rFonts w:ascii="Times New Roman" w:hAnsi="Times New Roman" w:cs="Times New Roman"/>
          <w:sz w:val="24"/>
          <w:szCs w:val="24"/>
          <w:lang w:val="en-US"/>
        </w:rPr>
      </w:pPr>
    </w:p>
    <w:p w:rsidR="007C4D26" w:rsidRDefault="007C4D26" w:rsidP="007C4D26">
      <w:pPr>
        <w:spacing w:after="240"/>
        <w:jc w:val="both"/>
        <w:rPr>
          <w:rFonts w:ascii="Times New Roman" w:hAnsi="Times New Roman" w:cs="Times New Roman"/>
          <w:sz w:val="24"/>
          <w:szCs w:val="24"/>
          <w:lang w:val="en-US"/>
        </w:rPr>
      </w:pPr>
    </w:p>
    <w:p w:rsidR="007C4D26" w:rsidRPr="007C4D26" w:rsidRDefault="007C4D26" w:rsidP="007C4D26">
      <w:pPr>
        <w:spacing w:after="240"/>
        <w:jc w:val="both"/>
        <w:rPr>
          <w:rFonts w:ascii="Times New Roman" w:hAnsi="Times New Roman" w:cs="Times New Roman"/>
          <w:sz w:val="24"/>
          <w:szCs w:val="24"/>
          <w:lang w:val="en-US"/>
        </w:rPr>
      </w:pPr>
    </w:p>
    <w:p w:rsidR="0037790D" w:rsidRPr="007C4D26" w:rsidRDefault="007C4D26" w:rsidP="007C4D26">
      <w:pPr>
        <w:pStyle w:val="Heading1"/>
        <w:spacing w:before="0" w:after="240"/>
        <w:rPr>
          <w:rFonts w:cs="Times New Roman"/>
          <w:color w:val="000000" w:themeColor="text1"/>
        </w:rPr>
      </w:pPr>
      <w:bookmarkStart w:id="1" w:name="_Toc113545672"/>
      <w:r>
        <w:rPr>
          <w:rFonts w:cs="Times New Roman"/>
          <w:color w:val="000000" w:themeColor="text1"/>
          <w:lang w:val="en-US"/>
        </w:rPr>
        <w:lastRenderedPageBreak/>
        <w:t xml:space="preserve">1 </w:t>
      </w:r>
      <w:r w:rsidR="00CB3664" w:rsidRPr="007C4D26">
        <w:rPr>
          <w:rFonts w:cs="Times New Roman"/>
          <w:color w:val="000000" w:themeColor="text1"/>
        </w:rPr>
        <w:t>Introduction</w:t>
      </w:r>
      <w:bookmarkEnd w:id="1"/>
      <w:r w:rsidR="00CB3664" w:rsidRPr="007C4D26">
        <w:rPr>
          <w:rFonts w:cs="Times New Roman"/>
          <w:color w:val="000000" w:themeColor="text1"/>
        </w:rPr>
        <w:t xml:space="preserve"> </w:t>
      </w:r>
    </w:p>
    <w:p w:rsidR="00C63DDF" w:rsidRPr="007C4D26" w:rsidRDefault="00C63DDF" w:rsidP="00CB3664">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t xml:space="preserve">The report critically evaluates the performance of the Elizabeth Line project. </w:t>
      </w:r>
      <w:r w:rsidR="007F5A68" w:rsidRPr="007C4D26">
        <w:rPr>
          <w:rFonts w:ascii="Times New Roman" w:hAnsi="Times New Roman" w:cs="Times New Roman"/>
          <w:color w:val="000000" w:themeColor="text1"/>
          <w:sz w:val="24"/>
          <w:szCs w:val="24"/>
          <w:lang w:val="en-US"/>
        </w:rPr>
        <w:t>In the previous report, the discussion focused on revealing the key characteristics of the project in terms of budget, scale, timetable, stakeholder</w:t>
      </w:r>
      <w:r w:rsidR="00072AE3" w:rsidRPr="007C4D26">
        <w:rPr>
          <w:rFonts w:ascii="Times New Roman" w:hAnsi="Times New Roman" w:cs="Times New Roman"/>
          <w:color w:val="000000" w:themeColor="text1"/>
          <w:sz w:val="24"/>
          <w:szCs w:val="24"/>
          <w:lang w:val="en-US"/>
        </w:rPr>
        <w:t xml:space="preserve">, </w:t>
      </w:r>
      <w:r w:rsidR="007F5A68" w:rsidRPr="007C4D26">
        <w:rPr>
          <w:rFonts w:ascii="Times New Roman" w:hAnsi="Times New Roman" w:cs="Times New Roman"/>
          <w:color w:val="000000" w:themeColor="text1"/>
          <w:sz w:val="24"/>
          <w:szCs w:val="24"/>
          <w:lang w:val="en-US"/>
        </w:rPr>
        <w:t xml:space="preserve">risk management </w:t>
      </w:r>
      <w:r w:rsidR="00072AE3" w:rsidRPr="007C4D26">
        <w:rPr>
          <w:rFonts w:ascii="Times New Roman" w:hAnsi="Times New Roman" w:cs="Times New Roman"/>
          <w:color w:val="000000" w:themeColor="text1"/>
          <w:sz w:val="24"/>
          <w:szCs w:val="24"/>
          <w:lang w:val="en-US"/>
        </w:rPr>
        <w:t>and others – key elements of the</w:t>
      </w:r>
      <w:r w:rsidR="007F5A68" w:rsidRPr="007C4D26">
        <w:rPr>
          <w:rFonts w:ascii="Times New Roman" w:hAnsi="Times New Roman" w:cs="Times New Roman"/>
          <w:color w:val="000000" w:themeColor="text1"/>
          <w:sz w:val="24"/>
          <w:szCs w:val="24"/>
          <w:lang w:val="en-US"/>
        </w:rPr>
        <w:t xml:space="preserve"> project initiation and implementation processes. In general, t</w:t>
      </w:r>
      <w:r w:rsidRPr="007C4D26">
        <w:rPr>
          <w:rFonts w:ascii="Times New Roman" w:hAnsi="Times New Roman" w:cs="Times New Roman"/>
          <w:color w:val="000000" w:themeColor="text1"/>
          <w:sz w:val="24"/>
          <w:szCs w:val="24"/>
          <w:lang w:val="en-US"/>
        </w:rPr>
        <w:t>he thorough exploration of the project is worth being conducted given its large scale, cost and duration – 13 years of c</w:t>
      </w:r>
      <w:r w:rsidR="009565AB" w:rsidRPr="007C4D26">
        <w:rPr>
          <w:rFonts w:ascii="Times New Roman" w:hAnsi="Times New Roman" w:cs="Times New Roman"/>
          <w:color w:val="000000" w:themeColor="text1"/>
          <w:sz w:val="24"/>
          <w:szCs w:val="24"/>
          <w:lang w:val="en-US"/>
        </w:rPr>
        <w:t>onstruction works and £18.8</w:t>
      </w:r>
      <w:r w:rsidRPr="007C4D26">
        <w:rPr>
          <w:rFonts w:ascii="Times New Roman" w:hAnsi="Times New Roman" w:cs="Times New Roman"/>
          <w:color w:val="000000" w:themeColor="text1"/>
          <w:sz w:val="24"/>
          <w:szCs w:val="24"/>
          <w:lang w:val="en-US"/>
        </w:rPr>
        <w:t xml:space="preserve"> billion in expenses (Edwards, 2022). Moreover, the project has the capacity of serving approximately 200 million people each year and expands across 100 km and 41 stations (TFL, 2022). Thus, the project is intended to play a key role as a part of the transportation network in the London metropolitan area. Considering these key characteristics, the Elizabeth line qualifies as one of the largest infrastructure projects in Europe as a whole. </w:t>
      </w:r>
    </w:p>
    <w:p w:rsidR="002C0136" w:rsidRPr="007C4D26" w:rsidRDefault="00C63DDF" w:rsidP="00CB3664">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t xml:space="preserve">Given the expected impact of the Elizabeth line, as well as the increased risk associated with large-scale projects, the current analysis performs a detailed evaluation of its performance by incorporating a set of criteria. This is a complex process which compares initial project plans with actual performance data. In addition, </w:t>
      </w:r>
      <w:r w:rsidR="00BA366D" w:rsidRPr="007C4D26">
        <w:rPr>
          <w:rFonts w:ascii="Times New Roman" w:hAnsi="Times New Roman" w:cs="Times New Roman"/>
          <w:color w:val="000000" w:themeColor="text1"/>
          <w:sz w:val="24"/>
          <w:szCs w:val="24"/>
          <w:lang w:val="en-US"/>
        </w:rPr>
        <w:t xml:space="preserve">detailed and predominantly quantitative </w:t>
      </w:r>
      <w:r w:rsidRPr="007C4D26">
        <w:rPr>
          <w:rFonts w:ascii="Times New Roman" w:hAnsi="Times New Roman" w:cs="Times New Roman"/>
          <w:color w:val="000000" w:themeColor="text1"/>
          <w:sz w:val="24"/>
          <w:szCs w:val="24"/>
          <w:lang w:val="en-US"/>
        </w:rPr>
        <w:t xml:space="preserve">context information regarding other similar projects is used in order to more objectively evaluate the project’s performance given the industry’s benchmark criteria. </w:t>
      </w:r>
    </w:p>
    <w:p w:rsidR="002C0136" w:rsidRPr="007C4D26" w:rsidRDefault="007C4D26" w:rsidP="00B335C0">
      <w:pPr>
        <w:pStyle w:val="Heading1"/>
        <w:spacing w:before="0" w:after="240"/>
        <w:rPr>
          <w:rFonts w:cs="Times New Roman"/>
          <w:color w:val="000000" w:themeColor="text1"/>
        </w:rPr>
      </w:pPr>
      <w:bookmarkStart w:id="2" w:name="_Toc113545673"/>
      <w:r>
        <w:rPr>
          <w:rFonts w:cs="Times New Roman"/>
          <w:color w:val="000000" w:themeColor="text1"/>
          <w:lang w:val="en-US"/>
        </w:rPr>
        <w:t xml:space="preserve">2 </w:t>
      </w:r>
      <w:r w:rsidR="00B335C0" w:rsidRPr="007C4D26">
        <w:rPr>
          <w:rFonts w:cs="Times New Roman"/>
          <w:color w:val="000000" w:themeColor="text1"/>
        </w:rPr>
        <w:t>Main body</w:t>
      </w:r>
      <w:bookmarkEnd w:id="2"/>
    </w:p>
    <w:p w:rsidR="00B335C0" w:rsidRPr="007C4D26" w:rsidRDefault="007C4D26" w:rsidP="007C4D26">
      <w:pPr>
        <w:pStyle w:val="Heading2"/>
      </w:pPr>
      <w:bookmarkStart w:id="3" w:name="_Toc113545674"/>
      <w:r>
        <w:t xml:space="preserve">2.1 </w:t>
      </w:r>
      <w:r w:rsidR="0095196A" w:rsidRPr="007C4D26">
        <w:t>Project evaluation process</w:t>
      </w:r>
      <w:bookmarkEnd w:id="3"/>
    </w:p>
    <w:p w:rsidR="002C0136" w:rsidRPr="007C4D26" w:rsidRDefault="000D502A" w:rsidP="000D502A">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t xml:space="preserve">Project evaluation is a part of the project management process with specific characteristics and importance for performance. As suggested by Steven et al. (1993), project evaluation incorporates a set of activities, such as identification of key performance indicators and methodology for assessment, determination of measurable incomes, performance of data collection and analysis, as well as drawing evidence-based conclusions and recommendations for additional learning in the future. In this light, the collection of reliable data and the performance of accurate analysis appear to be critically important determinants of the evaluation process’s overall success which largely define the ability to reach valid conclusions, as argued by McNamara (1994). </w:t>
      </w:r>
    </w:p>
    <w:p w:rsidR="00FD0612" w:rsidRPr="007C4D26" w:rsidRDefault="00FD0612" w:rsidP="000D502A">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lastRenderedPageBreak/>
        <w:t>The evaluation process is performed due to its intended benefits for project managers; thereby, improving performance in the future. According to Frechtling (2002), evaluation contributes with information which is necessary for continuous improvement in the future on the basis of understanding the ability to meet specific project-related goals. Moreover, project evaluation tends to deliver new information which had not been initially expected (Frechtling, 2002). It is also argued that project evaluation contributes to an improved stakeholder management, since a considerable part of the assessment process is based on feedback and insights f</w:t>
      </w:r>
      <w:r w:rsidR="00093F1D" w:rsidRPr="007C4D26">
        <w:rPr>
          <w:rFonts w:ascii="Times New Roman" w:hAnsi="Times New Roman" w:cs="Times New Roman"/>
          <w:color w:val="000000" w:themeColor="text1"/>
          <w:sz w:val="24"/>
          <w:szCs w:val="24"/>
          <w:lang w:val="en-US"/>
        </w:rPr>
        <w:t xml:space="preserve">rom various stakeholder groups; thereby, facilitating their contribution and inclusion (Frechtling, 2002). </w:t>
      </w:r>
      <w:r w:rsidRPr="007C4D26">
        <w:rPr>
          <w:rFonts w:ascii="Times New Roman" w:hAnsi="Times New Roman" w:cs="Times New Roman"/>
          <w:color w:val="000000" w:themeColor="text1"/>
          <w:sz w:val="24"/>
          <w:szCs w:val="24"/>
          <w:lang w:val="en-US"/>
        </w:rPr>
        <w:t>As a result</w:t>
      </w:r>
      <w:r w:rsidR="00093F1D" w:rsidRPr="007C4D26">
        <w:rPr>
          <w:rFonts w:ascii="Times New Roman" w:hAnsi="Times New Roman" w:cs="Times New Roman"/>
          <w:color w:val="000000" w:themeColor="text1"/>
          <w:sz w:val="24"/>
          <w:szCs w:val="24"/>
          <w:lang w:val="en-US"/>
        </w:rPr>
        <w:t xml:space="preserve"> of these advantages</w:t>
      </w:r>
      <w:r w:rsidRPr="007C4D26">
        <w:rPr>
          <w:rFonts w:ascii="Times New Roman" w:hAnsi="Times New Roman" w:cs="Times New Roman"/>
          <w:color w:val="000000" w:themeColor="text1"/>
          <w:sz w:val="24"/>
          <w:szCs w:val="24"/>
          <w:lang w:val="en-US"/>
        </w:rPr>
        <w:t xml:space="preserve">, decision-makers are better able to understand the key factors affecting the performance of a project and determining its success or failure – a main factor for a more effective project implementation in the future and management process based on effective monitoring and controlling mechanisms (Banwell et al., 2003). </w:t>
      </w:r>
    </w:p>
    <w:p w:rsidR="00F70FCD" w:rsidRPr="007C4D26" w:rsidRDefault="00A76F53" w:rsidP="00A76F53">
      <w:pPr>
        <w:spacing w:after="240"/>
        <w:jc w:val="both"/>
        <w:rPr>
          <w:color w:val="000000" w:themeColor="text1"/>
          <w:sz w:val="24"/>
          <w:szCs w:val="24"/>
          <w:lang w:val="en-US"/>
        </w:rPr>
      </w:pPr>
      <w:r w:rsidRPr="007C4D26">
        <w:rPr>
          <w:color w:val="000000" w:themeColor="text1"/>
          <w:sz w:val="24"/>
          <w:szCs w:val="24"/>
          <w:lang w:val="en-US"/>
        </w:rPr>
        <w:t>The implementation of appropriate measurements and evaluation criteria has a key role in improving the prospects for profitable outcomes (Gramham, 2006). The performance of a given project depends on a complex set of criteria. On the one hand, decision makers have to pay attention to the traditional core criteria – time, cost and quality (</w:t>
      </w:r>
      <w:r w:rsidR="00B776BB" w:rsidRPr="007C4D26">
        <w:rPr>
          <w:color w:val="000000" w:themeColor="text1"/>
          <w:sz w:val="24"/>
          <w:szCs w:val="24"/>
          <w:lang w:val="en-US"/>
        </w:rPr>
        <w:t>Nhung and Shtembari, 2008</w:t>
      </w:r>
      <w:r w:rsidRPr="007C4D26">
        <w:rPr>
          <w:color w:val="000000" w:themeColor="text1"/>
          <w:sz w:val="24"/>
          <w:szCs w:val="24"/>
          <w:lang w:val="en-US"/>
        </w:rPr>
        <w:t xml:space="preserve">). On the other hand, project’s outcomes may be indirect or having long-term effects on various stakeholders. In this light, the incorporation of different sustainability and social metrics is worth being explored in more details, as well </w:t>
      </w:r>
      <w:r w:rsidR="00B776BB" w:rsidRPr="007C4D26">
        <w:rPr>
          <w:color w:val="000000" w:themeColor="text1"/>
          <w:sz w:val="24"/>
          <w:szCs w:val="24"/>
          <w:lang w:val="en-US"/>
        </w:rPr>
        <w:t>(Nhung and Shtembari, 2008).</w:t>
      </w:r>
      <w:r w:rsidRPr="007C4D26">
        <w:rPr>
          <w:color w:val="000000" w:themeColor="text1"/>
          <w:sz w:val="24"/>
          <w:szCs w:val="24"/>
          <w:lang w:val="en-US"/>
        </w:rPr>
        <w:t xml:space="preserve"> Considering this, the critical evaluation of the Elizabeth line project also reflects various non-economic social and environmental metrics with long-term effects expanding far beyond the actual project implementation schedule. </w:t>
      </w:r>
    </w:p>
    <w:p w:rsidR="00A76F53" w:rsidRPr="007C4D26" w:rsidRDefault="007C4D26" w:rsidP="007C4D26">
      <w:pPr>
        <w:pStyle w:val="Heading2"/>
      </w:pPr>
      <w:bookmarkStart w:id="4" w:name="_Toc113545675"/>
      <w:r>
        <w:t xml:space="preserve">2.2 </w:t>
      </w:r>
      <w:r w:rsidR="00A76F53" w:rsidRPr="007C4D26">
        <w:t>Evaluation of Elizabeth line</w:t>
      </w:r>
      <w:bookmarkEnd w:id="4"/>
    </w:p>
    <w:p w:rsidR="00A76F53" w:rsidRPr="007C4D26" w:rsidRDefault="007C4D26" w:rsidP="007C4D26">
      <w:pPr>
        <w:pStyle w:val="Heading3"/>
        <w:rPr>
          <w:lang w:val="en-US"/>
        </w:rPr>
      </w:pPr>
      <w:bookmarkStart w:id="5" w:name="_Toc113545676"/>
      <w:r>
        <w:rPr>
          <w:lang w:val="en-US"/>
        </w:rPr>
        <w:t xml:space="preserve">2.2.1 </w:t>
      </w:r>
      <w:r w:rsidR="00F11B72" w:rsidRPr="007C4D26">
        <w:rPr>
          <w:lang w:val="en-US"/>
        </w:rPr>
        <w:t>Costs</w:t>
      </w:r>
      <w:bookmarkEnd w:id="5"/>
    </w:p>
    <w:p w:rsidR="002C0136" w:rsidRPr="007C4D26" w:rsidRDefault="0022085E" w:rsidP="0022085E">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t xml:space="preserve">The Elizabeth line project did not perform well enough to meet expectations in the area of cost, which constitutes a core project evaluation factor. At first, the undertaking was estimated to cost a total of £14.8 billion; however, the total final cost of the project reached £18.8 billion, which is comparable to a 27% price increase (Edwards, 2022). Because of this, the process of controlling costs could be considered as quite inadequate which eventually resulted in additional costs of £4 </w:t>
      </w:r>
      <w:r w:rsidRPr="007C4D26">
        <w:rPr>
          <w:rFonts w:ascii="Times New Roman" w:hAnsi="Times New Roman" w:cs="Times New Roman"/>
          <w:color w:val="000000" w:themeColor="text1"/>
          <w:sz w:val="24"/>
          <w:szCs w:val="24"/>
          <w:lang w:val="en-US"/>
        </w:rPr>
        <w:lastRenderedPageBreak/>
        <w:t>billion for taxpayers and investors. The considerable amount exemplifies the potential for even relatively minor cost overruns to arise in the context of large-scale undertakings. As discussed in the previous report, the reasons for the increased expenses included technological challenges, unforeseen expenditures for compensating impacted businesses, the pandemic-induced disruptions and many others (Edwards, 2022).</w:t>
      </w:r>
    </w:p>
    <w:p w:rsidR="00F11B72" w:rsidRPr="007C4D26" w:rsidRDefault="007C4D26" w:rsidP="007C4D26">
      <w:pPr>
        <w:pStyle w:val="Heading3"/>
        <w:rPr>
          <w:lang w:val="en-US"/>
        </w:rPr>
      </w:pPr>
      <w:bookmarkStart w:id="6" w:name="_Toc113545677"/>
      <w:r>
        <w:rPr>
          <w:lang w:val="en-US"/>
        </w:rPr>
        <w:t xml:space="preserve">2.2.2 </w:t>
      </w:r>
      <w:r w:rsidR="00F11B72" w:rsidRPr="007C4D26">
        <w:rPr>
          <w:lang w:val="en-US"/>
        </w:rPr>
        <w:t>Time</w:t>
      </w:r>
      <w:bookmarkEnd w:id="6"/>
    </w:p>
    <w:p w:rsidR="0022085E" w:rsidRPr="007C4D26" w:rsidRDefault="0022085E" w:rsidP="00F70FCD">
      <w:pPr>
        <w:spacing w:after="240"/>
        <w:jc w:val="both"/>
        <w:rPr>
          <w:rFonts w:ascii="Times New Roman" w:hAnsi="Times New Roman" w:cs="Times New Roman"/>
          <w:color w:val="000000" w:themeColor="text1"/>
          <w:sz w:val="24"/>
          <w:szCs w:val="24"/>
          <w:lang w:val="en-US"/>
        </w:rPr>
      </w:pPr>
      <w:r w:rsidRPr="007C4D26">
        <w:rPr>
          <w:rFonts w:ascii="Times New Roman" w:hAnsi="Times New Roman" w:cs="Times New Roman"/>
          <w:color w:val="000000" w:themeColor="text1"/>
          <w:sz w:val="24"/>
          <w:szCs w:val="24"/>
          <w:lang w:val="en-US"/>
        </w:rPr>
        <w:t>The second important critical performance criterion refers to time. The construction on the Elizabeth line began in May 2009 and the original completion date was set for December 2018 (BBC, 2022; Edwards, 2022). In spite of this, the line did not officially begin operating until May of 2022 (Edwards, 2022). This represents a delay of forty-one months. In view of the difference between the anticipated and actual duration of the project (115 vs. 154 months), the real delay reached roughly 34%, making it somewhat more problematic in percentage terms than the cost overruns. The delays were caused by a variety of unforeseeable circumstances, both those linked to the project and those from the outside world. The first significant setback was created by the coalition government's decision to slash financing in 2010 which was then followed by pandemic-induced delays (Tunnicliffe, 2022).  Among the project-related challenges, it is important to mention instances of poor working conditions, as well as a number of tragic accidents and technical challenges with the drilling process (Tunnicliffe, 2022). In addition, inadequate communication among stakeholders was another factor that led to a misunderstanding of the situation as well as a delay in responding appropriately to developing problems.</w:t>
      </w:r>
    </w:p>
    <w:p w:rsidR="00F11B72" w:rsidRPr="007C4D26" w:rsidRDefault="007C4D26" w:rsidP="007C4D26">
      <w:pPr>
        <w:pStyle w:val="Heading3"/>
        <w:rPr>
          <w:lang w:val="en-US"/>
        </w:rPr>
      </w:pPr>
      <w:bookmarkStart w:id="7" w:name="_Toc113545678"/>
      <w:r>
        <w:rPr>
          <w:lang w:val="en-US"/>
        </w:rPr>
        <w:t xml:space="preserve">2.2.3 </w:t>
      </w:r>
      <w:r w:rsidR="00F11B72" w:rsidRPr="007C4D26">
        <w:rPr>
          <w:lang w:val="en-US"/>
        </w:rPr>
        <w:t>Quality</w:t>
      </w:r>
      <w:bookmarkEnd w:id="7"/>
    </w:p>
    <w:p w:rsidR="00F70FCD" w:rsidRPr="007C4D26" w:rsidRDefault="00846AC9" w:rsidP="00F70FCD">
      <w:pPr>
        <w:spacing w:after="240"/>
        <w:jc w:val="both"/>
        <w:rPr>
          <w:color w:val="000000" w:themeColor="text1"/>
          <w:sz w:val="24"/>
          <w:szCs w:val="24"/>
          <w:lang w:val="en-US"/>
        </w:rPr>
      </w:pPr>
      <w:r w:rsidRPr="007C4D26">
        <w:rPr>
          <w:color w:val="000000" w:themeColor="text1"/>
          <w:sz w:val="24"/>
          <w:szCs w:val="24"/>
          <w:lang w:val="en-US"/>
        </w:rPr>
        <w:t xml:space="preserve">Quality is the third key evaluation criterion under consideration. In general, Elizabeth line was completed in compliance with the best quality standards by delivering a travelling experience that is comfortable, low-cost, safe, and exceptionally quick (Duffy, 2022). Quality enhancement is clearly seen by the fact that the amount of time spent travelling between both ends of London has been cut by more than 20 minutes (Duffy, 2022). Furthermore, the enhancements to the infrastructure and stations have had a role in the excellent quality that has been achieved (CrossRail, 2022a). Nevertheless, project quality was negatively impacted due to a number of incidents that resulted in fatalities that occurred during the building phase (Edwards, 2022). This </w:t>
      </w:r>
      <w:r w:rsidRPr="007C4D26">
        <w:rPr>
          <w:color w:val="000000" w:themeColor="text1"/>
          <w:sz w:val="24"/>
          <w:szCs w:val="24"/>
          <w:lang w:val="en-US"/>
        </w:rPr>
        <w:lastRenderedPageBreak/>
        <w:t>highlights the gaps that currently exist in the health and safety protocols, which results in losses of both human life and financial resources.</w:t>
      </w:r>
    </w:p>
    <w:p w:rsidR="00D904F0" w:rsidRPr="007C4D26" w:rsidRDefault="007C4D26" w:rsidP="007C4D26">
      <w:pPr>
        <w:pStyle w:val="Heading3"/>
        <w:rPr>
          <w:lang w:val="en-US"/>
        </w:rPr>
      </w:pPr>
      <w:bookmarkStart w:id="8" w:name="_Toc113545679"/>
      <w:r>
        <w:rPr>
          <w:lang w:val="en-US"/>
        </w:rPr>
        <w:t xml:space="preserve">2.2.4 </w:t>
      </w:r>
      <w:r w:rsidR="00F11B72" w:rsidRPr="007C4D26">
        <w:rPr>
          <w:lang w:val="en-US"/>
        </w:rPr>
        <w:t>Impact on sustainability</w:t>
      </w:r>
      <w:bookmarkEnd w:id="8"/>
      <w:r w:rsidR="00F11B72" w:rsidRPr="007C4D26">
        <w:rPr>
          <w:lang w:val="en-US"/>
        </w:rPr>
        <w:t xml:space="preserve"> </w:t>
      </w:r>
    </w:p>
    <w:p w:rsidR="00D904F0" w:rsidRPr="007C4D26" w:rsidRDefault="006A0FCF" w:rsidP="00F70FCD">
      <w:pPr>
        <w:spacing w:after="240"/>
        <w:jc w:val="both"/>
        <w:rPr>
          <w:color w:val="000000" w:themeColor="text1"/>
          <w:sz w:val="24"/>
          <w:szCs w:val="24"/>
          <w:lang w:val="en-US"/>
        </w:rPr>
      </w:pPr>
      <w:r w:rsidRPr="007C4D26">
        <w:rPr>
          <w:color w:val="000000" w:themeColor="text1"/>
          <w:sz w:val="24"/>
          <w:szCs w:val="24"/>
          <w:lang w:val="en-US"/>
        </w:rPr>
        <w:t>The evaluation of the environmental impact is quite relevant given the goals of the UK to become a carbon neutral economy by year 2050 (</w:t>
      </w:r>
      <w:r w:rsidR="001844B8" w:rsidRPr="007C4D26">
        <w:rPr>
          <w:color w:val="000000" w:themeColor="text1"/>
          <w:sz w:val="24"/>
          <w:szCs w:val="24"/>
          <w:lang w:val="en-US"/>
        </w:rPr>
        <w:t>UK Government, 2022</w:t>
      </w:r>
      <w:r w:rsidRPr="007C4D26">
        <w:rPr>
          <w:color w:val="000000" w:themeColor="text1"/>
          <w:sz w:val="24"/>
          <w:szCs w:val="24"/>
          <w:lang w:val="en-US"/>
        </w:rPr>
        <w:t xml:space="preserve">). </w:t>
      </w:r>
      <w:r w:rsidR="001844B8" w:rsidRPr="007C4D26">
        <w:rPr>
          <w:color w:val="000000" w:themeColor="text1"/>
          <w:sz w:val="24"/>
          <w:szCs w:val="24"/>
          <w:lang w:val="en-US"/>
        </w:rPr>
        <w:t xml:space="preserve">Hence, sustainable development through decarbonisation is considered as a major policy objective and large-scale projects, such as the Elizabeth line, may have a major impact in the field of sustainability. </w:t>
      </w:r>
    </w:p>
    <w:p w:rsidR="00332484" w:rsidRPr="007C4D26" w:rsidRDefault="0056579A" w:rsidP="00F70FCD">
      <w:pPr>
        <w:spacing w:after="240"/>
        <w:jc w:val="both"/>
        <w:rPr>
          <w:color w:val="000000" w:themeColor="text1"/>
          <w:sz w:val="24"/>
          <w:szCs w:val="24"/>
          <w:lang w:val="en-US"/>
        </w:rPr>
      </w:pPr>
      <w:r w:rsidRPr="007C4D26">
        <w:rPr>
          <w:color w:val="000000" w:themeColor="text1"/>
          <w:sz w:val="24"/>
          <w:szCs w:val="24"/>
          <w:lang w:val="en-US"/>
        </w:rPr>
        <w:t xml:space="preserve">Sustainable development; however, is not limited to the management of carbon dioxide emissions. Instead, the focus is expanded to other relevant aspects related to the protection and preservation of the environment. The Elizabeth line in its capacity of a large-scale project required significant natural resources. For example, the project completion needed 140,000 tons of steel and 1 million cubic meters of concrete (Paris et al., 2017). In addition, six million cubic meters of excavated materials was generated over the life of the project (Paris et al., 2017). To a great extent, these outcomes of the project should be considered as quite negative for the environment; however, they cannot be avoided due to their essential importance in the construction process. </w:t>
      </w:r>
    </w:p>
    <w:p w:rsidR="0056579A" w:rsidRPr="007C4D26" w:rsidRDefault="0056579A" w:rsidP="00F70FCD">
      <w:pPr>
        <w:spacing w:after="240"/>
        <w:jc w:val="both"/>
        <w:rPr>
          <w:color w:val="000000" w:themeColor="text1"/>
          <w:sz w:val="24"/>
          <w:szCs w:val="24"/>
          <w:lang w:val="en-US"/>
        </w:rPr>
      </w:pPr>
      <w:r w:rsidRPr="007C4D26">
        <w:rPr>
          <w:color w:val="000000" w:themeColor="text1"/>
          <w:sz w:val="24"/>
          <w:szCs w:val="24"/>
          <w:lang w:val="en-US"/>
        </w:rPr>
        <w:t>Nevertheless, it is important to note that the project managed to incorporate the best practices in order to minimise the adverse impact on the environment. More specifically, 98% of the excavated material was re-used for beneficial purposes, especi</w:t>
      </w:r>
      <w:r w:rsidR="00332484" w:rsidRPr="007C4D26">
        <w:rPr>
          <w:color w:val="000000" w:themeColor="text1"/>
          <w:sz w:val="24"/>
          <w:szCs w:val="24"/>
          <w:lang w:val="en-US"/>
        </w:rPr>
        <w:t xml:space="preserve">ally in the development of a RSPB nature reserve in Wallasea, Essex (Global, 2022). The site is twice the size of the City of London; thereby, showing the significant positive effect of the re-use process </w:t>
      </w:r>
      <w:r w:rsidR="00E761C0" w:rsidRPr="007C4D26">
        <w:rPr>
          <w:color w:val="000000" w:themeColor="text1"/>
          <w:sz w:val="24"/>
          <w:szCs w:val="24"/>
          <w:lang w:val="en-US"/>
        </w:rPr>
        <w:t xml:space="preserve">and ability to deliver benefits for local communities in the affected area </w:t>
      </w:r>
      <w:r w:rsidR="00332484" w:rsidRPr="007C4D26">
        <w:rPr>
          <w:color w:val="000000" w:themeColor="text1"/>
          <w:sz w:val="24"/>
          <w:szCs w:val="24"/>
          <w:lang w:val="en-US"/>
        </w:rPr>
        <w:t xml:space="preserve">(Global, 2022). In addition, the Elizabeth line project </w:t>
      </w:r>
      <w:r w:rsidR="00E761C0" w:rsidRPr="007C4D26">
        <w:rPr>
          <w:color w:val="000000" w:themeColor="text1"/>
          <w:sz w:val="24"/>
          <w:szCs w:val="24"/>
          <w:lang w:val="en-US"/>
        </w:rPr>
        <w:t xml:space="preserve">largely </w:t>
      </w:r>
      <w:r w:rsidR="00332484" w:rsidRPr="007C4D26">
        <w:rPr>
          <w:color w:val="000000" w:themeColor="text1"/>
          <w:sz w:val="24"/>
          <w:szCs w:val="24"/>
          <w:lang w:val="en-US"/>
        </w:rPr>
        <w:t xml:space="preserve">exceeded the initially planned targets in terms of recycling and waste management. More specifically, the project had initially targeted 20% recycling rate; however, it managed to achieve much higher levels of 32% – a major success contributing to sustainable performance (Paris et al., 2017). Moreover, 98% of construction and demolition waste was effectively diverted from landfill; thereby, exceeding the initially plan rate of 95% (Paris et al., 2017). These examples clearly indicate the project’s ability to surpass its initial plans in terms of waste management, </w:t>
      </w:r>
      <w:r w:rsidR="00332484" w:rsidRPr="007C4D26">
        <w:rPr>
          <w:color w:val="000000" w:themeColor="text1"/>
          <w:sz w:val="24"/>
          <w:szCs w:val="24"/>
          <w:lang w:val="en-US"/>
        </w:rPr>
        <w:lastRenderedPageBreak/>
        <w:t xml:space="preserve">recycling and resource use – key aspects showing the advance in environmental protection and effective project implementation process.  </w:t>
      </w:r>
    </w:p>
    <w:p w:rsidR="00171E0C" w:rsidRPr="007C4D26" w:rsidRDefault="00E761C0" w:rsidP="00F70FCD">
      <w:pPr>
        <w:spacing w:after="240"/>
        <w:jc w:val="both"/>
        <w:rPr>
          <w:color w:val="000000" w:themeColor="text1"/>
          <w:sz w:val="24"/>
          <w:szCs w:val="24"/>
          <w:lang w:val="en-US"/>
        </w:rPr>
      </w:pPr>
      <w:r w:rsidRPr="007C4D26">
        <w:rPr>
          <w:color w:val="000000" w:themeColor="text1"/>
          <w:sz w:val="24"/>
          <w:szCs w:val="24"/>
          <w:lang w:val="en-US"/>
        </w:rPr>
        <w:t xml:space="preserve">The evaluation process also considers the management carbon dioxide emissions during the project implementation and post-implementation stages. </w:t>
      </w:r>
      <w:r w:rsidR="00545A6C" w:rsidRPr="007C4D26">
        <w:rPr>
          <w:color w:val="000000" w:themeColor="text1"/>
          <w:sz w:val="24"/>
          <w:szCs w:val="24"/>
          <w:lang w:val="en-US"/>
        </w:rPr>
        <w:t>The negative aspects of the project could be seen from the size of emissions generated during the actual construction stage. According to data by TFL (2018), Elizabeth line project is estimated to have produced approximately 1.7 million tons of carbon dioxide</w:t>
      </w:r>
      <w:r w:rsidR="00684076" w:rsidRPr="007C4D26">
        <w:rPr>
          <w:color w:val="000000" w:themeColor="text1"/>
          <w:sz w:val="24"/>
          <w:szCs w:val="24"/>
          <w:lang w:val="en-US"/>
        </w:rPr>
        <w:t xml:space="preserve">. Although quite significant, the actual amount of carbon dioxide emissions was reduced by 15% in comparison to the initial plan; thereby, indicating the ability to accomplish the project in a better-than-expected fashion (Paris et al., 2017). </w:t>
      </w:r>
    </w:p>
    <w:p w:rsidR="00171E0C" w:rsidRPr="007C4D26" w:rsidRDefault="00684076" w:rsidP="00F70FCD">
      <w:pPr>
        <w:spacing w:after="240"/>
        <w:jc w:val="both"/>
        <w:rPr>
          <w:color w:val="000000" w:themeColor="text1"/>
          <w:sz w:val="24"/>
          <w:szCs w:val="24"/>
        </w:rPr>
      </w:pPr>
      <w:r w:rsidRPr="007C4D26">
        <w:rPr>
          <w:color w:val="000000" w:themeColor="text1"/>
          <w:sz w:val="24"/>
          <w:szCs w:val="24"/>
          <w:lang w:val="en-US"/>
        </w:rPr>
        <w:t xml:space="preserve">During its operational stage; the new line is expected to significantly reduce the number of vehicles on road, as many passengers would switch to public transportation due to its convenience, speed and low cost. Moreover, carbon dioxide reductions are likely to be generated by the replacement of the old diesel trains (TFL, 2018). Elizabeth line also relies on a new generation of trains equipped with energy efficient LED lighting; thereby, being 62% more energy efficient than other trains operating with standard light fittings (Global, 2022). The annual carbon dioxide savings are projected to be within the range between </w:t>
      </w:r>
      <w:r w:rsidRPr="007C4D26">
        <w:rPr>
          <w:color w:val="000000" w:themeColor="text1"/>
          <w:sz w:val="24"/>
          <w:szCs w:val="24"/>
        </w:rPr>
        <w:t xml:space="preserve">70,000 to 225,000 tons per year depending on the number of passengers and other interfering variables (TFL, 2018). Given these expectations, the Elizabeth line could eventually become carbon neutral between 7 and 26 years. This is a positive evaluation considering the expected lifespan of the line extending to a period of 120 years (TFL, 2018). </w:t>
      </w:r>
    </w:p>
    <w:p w:rsidR="00D904F0" w:rsidRPr="007C4D26" w:rsidRDefault="00171E0C" w:rsidP="00F70FCD">
      <w:pPr>
        <w:spacing w:after="240"/>
        <w:jc w:val="both"/>
        <w:rPr>
          <w:color w:val="000000" w:themeColor="text1"/>
          <w:sz w:val="24"/>
          <w:szCs w:val="24"/>
          <w:lang w:val="en-US"/>
        </w:rPr>
      </w:pPr>
      <w:r w:rsidRPr="007C4D26">
        <w:rPr>
          <w:color w:val="000000" w:themeColor="text1"/>
          <w:sz w:val="24"/>
          <w:szCs w:val="24"/>
        </w:rPr>
        <w:t xml:space="preserve">The analysed key performance information clearly shows that the Elizabeth line project was accomplished in a better-than-expected fashion by outperforming all major sustainability targets. The positive evaluation of the project also stems from its capacity to deliver meaningful sustainability improvements in the future. </w:t>
      </w:r>
    </w:p>
    <w:p w:rsidR="00F11B72" w:rsidRPr="007C4D26" w:rsidRDefault="007C4D26" w:rsidP="007C4D26">
      <w:pPr>
        <w:pStyle w:val="Heading3"/>
        <w:rPr>
          <w:lang w:val="en-US"/>
        </w:rPr>
      </w:pPr>
      <w:bookmarkStart w:id="9" w:name="_Toc113545680"/>
      <w:r>
        <w:rPr>
          <w:lang w:val="en-US"/>
        </w:rPr>
        <w:t xml:space="preserve">2.2.5 </w:t>
      </w:r>
      <w:r w:rsidR="00F11B72" w:rsidRPr="007C4D26">
        <w:rPr>
          <w:lang w:val="en-US"/>
        </w:rPr>
        <w:t>Socio-economic impact</w:t>
      </w:r>
      <w:bookmarkEnd w:id="9"/>
      <w:r w:rsidR="00F11B72" w:rsidRPr="007C4D26">
        <w:rPr>
          <w:lang w:val="en-US"/>
        </w:rPr>
        <w:t xml:space="preserve"> </w:t>
      </w:r>
    </w:p>
    <w:p w:rsidR="00F11B72" w:rsidRPr="007C4D26" w:rsidRDefault="009565AB" w:rsidP="00F70FCD">
      <w:pPr>
        <w:spacing w:after="240"/>
        <w:jc w:val="both"/>
        <w:rPr>
          <w:color w:val="000000" w:themeColor="text1"/>
          <w:sz w:val="24"/>
          <w:szCs w:val="24"/>
          <w:lang w:val="en-US"/>
        </w:rPr>
      </w:pPr>
      <w:r w:rsidRPr="007C4D26">
        <w:rPr>
          <w:color w:val="000000" w:themeColor="text1"/>
          <w:sz w:val="24"/>
          <w:szCs w:val="24"/>
          <w:lang w:val="en-US"/>
        </w:rPr>
        <w:t xml:space="preserve">The long-term socio-economic evaluation also adds important remarks regarding the performance of the Elizabeth line project. The first key fact refers to the public and private spending associated with the project and reaching </w:t>
      </w:r>
      <w:r w:rsidRPr="007C4D26">
        <w:rPr>
          <w:rFonts w:cstheme="minorHAnsi"/>
          <w:color w:val="000000" w:themeColor="text1"/>
          <w:sz w:val="24"/>
          <w:szCs w:val="24"/>
          <w:lang w:val="en-US"/>
        </w:rPr>
        <w:t>£</w:t>
      </w:r>
      <w:r w:rsidRPr="007C4D26">
        <w:rPr>
          <w:color w:val="000000" w:themeColor="text1"/>
          <w:sz w:val="24"/>
          <w:szCs w:val="24"/>
          <w:lang w:val="en-US"/>
        </w:rPr>
        <w:t xml:space="preserve">18.8 billion over the course of the project’s lifespan (Edwards, 2022). As earlier discussed, the extra costs of the project could be seen as a negative development </w:t>
      </w:r>
      <w:r w:rsidRPr="007C4D26">
        <w:rPr>
          <w:color w:val="000000" w:themeColor="text1"/>
          <w:sz w:val="24"/>
          <w:szCs w:val="24"/>
          <w:lang w:val="en-US"/>
        </w:rPr>
        <w:lastRenderedPageBreak/>
        <w:t>as additional resources had to be delivered; thereby, exceeding the initially planned costs. Nevertheless, the extra spending could be considered as beneficial for the national gross domestic product, as more resources were delivered to sub-contractors, employees, suppliers and other involved parties. It is also worth noting that the Elizabeth line generated employment for 14,000 people at the peak of the construction process between 2013 and 2015 (CrossRail, 2022</w:t>
      </w:r>
      <w:r w:rsidR="00846AC9" w:rsidRPr="007C4D26">
        <w:rPr>
          <w:color w:val="000000" w:themeColor="text1"/>
          <w:sz w:val="24"/>
          <w:szCs w:val="24"/>
          <w:lang w:val="en-US"/>
        </w:rPr>
        <w:t>b</w:t>
      </w:r>
      <w:r w:rsidRPr="007C4D26">
        <w:rPr>
          <w:color w:val="000000" w:themeColor="text1"/>
          <w:sz w:val="24"/>
          <w:szCs w:val="24"/>
          <w:lang w:val="en-US"/>
        </w:rPr>
        <w:t xml:space="preserve">). Thus, new opportunities for high-paid jobs were delivered, primarily to Londoners. </w:t>
      </w:r>
      <w:r w:rsidR="004863EB" w:rsidRPr="007C4D26">
        <w:rPr>
          <w:color w:val="000000" w:themeColor="text1"/>
          <w:sz w:val="24"/>
          <w:szCs w:val="24"/>
          <w:lang w:val="en-US"/>
        </w:rPr>
        <w:t xml:space="preserve">Moreover, over 4.4 million square feet of commercial space has been developed along the line’s routes and stations; thereby, supporting the development of 362,000 jobs (CrossRail, 2018). </w:t>
      </w:r>
    </w:p>
    <w:p w:rsidR="004863EB" w:rsidRPr="007C4D26" w:rsidRDefault="004863EB" w:rsidP="00F70FCD">
      <w:pPr>
        <w:spacing w:after="240"/>
        <w:jc w:val="both"/>
        <w:rPr>
          <w:color w:val="000000" w:themeColor="text1"/>
          <w:sz w:val="24"/>
          <w:szCs w:val="24"/>
          <w:lang w:val="en-US"/>
        </w:rPr>
      </w:pPr>
      <w:r w:rsidRPr="007C4D26">
        <w:rPr>
          <w:color w:val="000000" w:themeColor="text1"/>
          <w:sz w:val="24"/>
          <w:szCs w:val="24"/>
          <w:lang w:val="en-US"/>
        </w:rPr>
        <w:t xml:space="preserve">The positive socio-economic impact has also been supported by the development of new residential housing. It is expected that 160,000 new homes will be built by year 2026 as a result of the existence of the Elizabeth line (CrossRail, 2018). The total appreciation of the value of existing properties located in close proximity to the Elizabeth line (within 1 km) is expected to be </w:t>
      </w:r>
      <w:r w:rsidRPr="007C4D26">
        <w:rPr>
          <w:rFonts w:cstheme="minorHAnsi"/>
          <w:color w:val="000000" w:themeColor="text1"/>
          <w:sz w:val="24"/>
          <w:szCs w:val="24"/>
          <w:lang w:val="en-US"/>
        </w:rPr>
        <w:t>£</w:t>
      </w:r>
      <w:r w:rsidRPr="007C4D26">
        <w:rPr>
          <w:color w:val="000000" w:themeColor="text1"/>
          <w:sz w:val="24"/>
          <w:szCs w:val="24"/>
          <w:lang w:val="en-US"/>
        </w:rPr>
        <w:t xml:space="preserve">10.6 billion (CrossRail, 2018). Outside London, locations, such as Ealing, Woolwich, Ilford and Romford, have benefitted from improved town centres due to the rejuvenation process related to the construction of the Elizabeth line (CrossRail, 2018). Respectively, the development of new homes and office spaces has attracted new residents; thereby, boosting the economic potential and performance of the affected areas. </w:t>
      </w:r>
    </w:p>
    <w:p w:rsidR="00846AC9" w:rsidRPr="007C4D26" w:rsidRDefault="007C4D26" w:rsidP="007C4D26">
      <w:pPr>
        <w:pStyle w:val="Heading2"/>
      </w:pPr>
      <w:bookmarkStart w:id="10" w:name="_Toc113545681"/>
      <w:r>
        <w:t xml:space="preserve">2.3 </w:t>
      </w:r>
      <w:r w:rsidR="00846AC9" w:rsidRPr="007C4D26">
        <w:t>Critical discussion of findings</w:t>
      </w:r>
      <w:bookmarkEnd w:id="10"/>
    </w:p>
    <w:p w:rsidR="00F96624" w:rsidRPr="007C4D26" w:rsidRDefault="00F96624" w:rsidP="00846AC9">
      <w:pPr>
        <w:spacing w:after="240"/>
        <w:jc w:val="both"/>
        <w:rPr>
          <w:color w:val="000000" w:themeColor="text1"/>
          <w:sz w:val="24"/>
          <w:szCs w:val="24"/>
          <w:lang w:val="en-US"/>
        </w:rPr>
      </w:pPr>
      <w:r w:rsidRPr="007C4D26">
        <w:rPr>
          <w:color w:val="000000" w:themeColor="text1"/>
          <w:sz w:val="24"/>
          <w:szCs w:val="24"/>
          <w:lang w:val="en-US"/>
        </w:rPr>
        <w:t>For the purpose of the critical analysis, it should be mentioned that the project was affected by unique negative developments which could not be seen in advance. The unprecedented CO</w:t>
      </w:r>
      <w:r w:rsidR="003A490C">
        <w:rPr>
          <w:color w:val="000000" w:themeColor="text1"/>
          <w:sz w:val="24"/>
          <w:szCs w:val="24"/>
          <w:lang w:val="en-US"/>
        </w:rPr>
        <w:t xml:space="preserve">VID-19 pandemic in 2020 and 2021 </w:t>
      </w:r>
      <w:r w:rsidRPr="007C4D26">
        <w:rPr>
          <w:color w:val="000000" w:themeColor="text1"/>
          <w:sz w:val="24"/>
          <w:szCs w:val="24"/>
          <w:lang w:val="en-US"/>
        </w:rPr>
        <w:t xml:space="preserve">led to </w:t>
      </w:r>
      <w:r w:rsidR="003A490C">
        <w:rPr>
          <w:color w:val="000000" w:themeColor="text1"/>
          <w:sz w:val="24"/>
          <w:szCs w:val="24"/>
          <w:lang w:val="en-US"/>
        </w:rPr>
        <w:t xml:space="preserve">lengthy </w:t>
      </w:r>
      <w:r w:rsidRPr="007C4D26">
        <w:rPr>
          <w:color w:val="000000" w:themeColor="text1"/>
          <w:sz w:val="24"/>
          <w:szCs w:val="24"/>
          <w:lang w:val="en-US"/>
        </w:rPr>
        <w:t xml:space="preserve">delays and extra costs; thereby, expositing even the most advanced project management methodologies to the risks of once in life events. </w:t>
      </w:r>
    </w:p>
    <w:p w:rsidR="007C4D26" w:rsidRPr="007C4D26" w:rsidRDefault="007C4D26" w:rsidP="00846AC9">
      <w:pPr>
        <w:spacing w:after="240"/>
        <w:jc w:val="both"/>
        <w:rPr>
          <w:color w:val="000000" w:themeColor="text1"/>
          <w:sz w:val="24"/>
          <w:szCs w:val="24"/>
          <w:lang w:val="en-US"/>
        </w:rPr>
      </w:pPr>
      <w:r w:rsidRPr="007C4D26">
        <w:rPr>
          <w:color w:val="000000" w:themeColor="text1"/>
          <w:sz w:val="24"/>
          <w:szCs w:val="24"/>
          <w:lang w:val="en-US"/>
        </w:rPr>
        <w:t xml:space="preserve">Even if excluding the effects of the pandemic, the evaluation of the project shows that existence of internal project management issues with a negative impact on performance - health and safety issues, cost overruns and delays (Edwards, 2022). According to the findings of Issa et al. (2013), 47.3% of projects are completed with some delays, whereas 40.5% face cost overruns. In urban development context, the mean cost overrun is 12.3%, whereas time delays remain quite frequent by reaching a share of 66.4% of all projects (Singh, 2009).  In this light, the outcomes of the Elizabeth line, which include a cost overrun of 27% and a delay of 34%, provide a mixed profile </w:t>
      </w:r>
      <w:r w:rsidRPr="007C4D26">
        <w:rPr>
          <w:color w:val="000000" w:themeColor="text1"/>
          <w:sz w:val="24"/>
          <w:szCs w:val="24"/>
          <w:lang w:val="en-US"/>
        </w:rPr>
        <w:lastRenderedPageBreak/>
        <w:t>against industry benchmark rates.  The Elizabeth line experienced delays but they were shorter than the average sector-specific level. In contrast, the cost overruns were quite considerable and far beyond the average industry-wide levels. </w:t>
      </w:r>
    </w:p>
    <w:p w:rsidR="00846AC9" w:rsidRPr="007C4D26" w:rsidRDefault="00846AC9" w:rsidP="00846AC9">
      <w:pPr>
        <w:spacing w:after="240"/>
        <w:jc w:val="both"/>
        <w:rPr>
          <w:color w:val="000000" w:themeColor="text1"/>
          <w:sz w:val="24"/>
          <w:szCs w:val="24"/>
          <w:lang w:val="en-US"/>
        </w:rPr>
      </w:pPr>
      <w:r w:rsidRPr="007C4D26">
        <w:rPr>
          <w:color w:val="000000" w:themeColor="text1"/>
          <w:sz w:val="24"/>
          <w:szCs w:val="24"/>
          <w:lang w:val="en-US"/>
        </w:rPr>
        <w:t xml:space="preserve">Despite the mixed performance in terms of the core project evaluation criteria – cost, time and quality, the Elizabeth line is suggested to perform quite well in terms of environmental ad socio-economic impact. Thus, the long-term effects from the project are positive and they contribute to a generally favourable assessment of the project in its entirety. </w:t>
      </w:r>
    </w:p>
    <w:p w:rsidR="00F11B72" w:rsidRPr="007C4D26" w:rsidRDefault="007C4D26" w:rsidP="007C4D26">
      <w:pPr>
        <w:pStyle w:val="Heading1"/>
        <w:spacing w:before="0" w:after="240"/>
      </w:pPr>
      <w:bookmarkStart w:id="11" w:name="_Toc113545682"/>
      <w:r>
        <w:t xml:space="preserve">3 </w:t>
      </w:r>
      <w:r w:rsidRPr="007C4D26">
        <w:t>Conclusion</w:t>
      </w:r>
      <w:bookmarkEnd w:id="11"/>
    </w:p>
    <w:p w:rsidR="007C4D26" w:rsidRDefault="003A490C" w:rsidP="007C4D26">
      <w:pPr>
        <w:spacing w:after="240"/>
        <w:jc w:val="both"/>
        <w:rPr>
          <w:color w:val="000000" w:themeColor="text1"/>
          <w:sz w:val="24"/>
          <w:szCs w:val="24"/>
          <w:lang w:val="en-US"/>
        </w:rPr>
      </w:pPr>
      <w:r>
        <w:rPr>
          <w:color w:val="000000" w:themeColor="text1"/>
          <w:sz w:val="24"/>
          <w:szCs w:val="24"/>
          <w:lang w:val="en-US"/>
        </w:rPr>
        <w:t xml:space="preserve">To sum up, the evaluation of the Elizabeth line project shows the complexity of managing large-scale projects. Research findings support the claim for a successful project implementation regardless the experienced challenges during the multi-year project implementation period. In reality, the Elizabeth line was not accomplished precisely as planned; however, the experienced inefficiencies were moderate and partly caused by external factors beyond the control of project managers. Eventually, the project was completed which could be seen as an indication for the ability to adapt to external changes. Moreover, the positive long-term benefits of the project and its superior sustainability-related performance are seen as key benefits which offset the observed imperfections in terms of time and cost control. </w:t>
      </w:r>
    </w:p>
    <w:p w:rsidR="0050198C" w:rsidRDefault="0050198C" w:rsidP="007C4D26">
      <w:pPr>
        <w:spacing w:after="240"/>
        <w:jc w:val="both"/>
        <w:rPr>
          <w:color w:val="000000" w:themeColor="text1"/>
          <w:sz w:val="24"/>
          <w:szCs w:val="24"/>
          <w:lang w:val="en-US"/>
        </w:rPr>
      </w:pPr>
      <w:r>
        <w:rPr>
          <w:color w:val="000000" w:themeColor="text1"/>
          <w:sz w:val="24"/>
          <w:szCs w:val="24"/>
          <w:lang w:val="en-US"/>
        </w:rPr>
        <w:t>A set of relevant recommendations is proposed on the basis of the evidence from the evaluation of Elizabeth line. To begin with, enhanced cost control is necessary in the future given the large cost overruns and accelerating inflation rate in the UK at a rate of 10.1% (Trading Economics, 2022). Long-term projects are more vulnerable to changes in the rate of inflation; hence, they should incorporate assumptions for higher input costs, as well as capital buffers in order to handle unexpected costs. The second area – time management – should be altered accordingly. Decision makers are advised to account for the role of rare events which may have a considerable negative impact on meeting the schedule. Therefore, projects should be extended in terms of planned implementation duration due to the more likely occurrence of pandemics, wars, natural disasters and other rare but impactful events. Third, i</w:t>
      </w:r>
      <w:r w:rsidRPr="0050198C">
        <w:rPr>
          <w:color w:val="000000" w:themeColor="text1"/>
          <w:sz w:val="24"/>
          <w:szCs w:val="24"/>
          <w:lang w:val="en-US"/>
        </w:rPr>
        <w:t>ncreased responsiveness to the external unpredictable environment also requires paradigm changes. Therefore, project managers are urged to adopt more flexible project meth</w:t>
      </w:r>
      <w:r>
        <w:rPr>
          <w:color w:val="000000" w:themeColor="text1"/>
          <w:sz w:val="24"/>
          <w:szCs w:val="24"/>
          <w:lang w:val="en-US"/>
        </w:rPr>
        <w:t xml:space="preserve">ods, time and cost buffers, as well as freedom to rearrange </w:t>
      </w:r>
      <w:r w:rsidRPr="0050198C">
        <w:rPr>
          <w:color w:val="000000" w:themeColor="text1"/>
          <w:sz w:val="24"/>
          <w:szCs w:val="24"/>
          <w:lang w:val="en-US"/>
        </w:rPr>
        <w:t xml:space="preserve">activities </w:t>
      </w:r>
      <w:r>
        <w:rPr>
          <w:color w:val="000000" w:themeColor="text1"/>
          <w:sz w:val="24"/>
          <w:szCs w:val="24"/>
          <w:lang w:val="en-US"/>
        </w:rPr>
        <w:t xml:space="preserve">if </w:t>
      </w:r>
      <w:r>
        <w:rPr>
          <w:color w:val="000000" w:themeColor="text1"/>
          <w:sz w:val="24"/>
          <w:szCs w:val="24"/>
          <w:lang w:val="en-US"/>
        </w:rPr>
        <w:lastRenderedPageBreak/>
        <w:t xml:space="preserve">necessary </w:t>
      </w:r>
      <w:r w:rsidRPr="0050198C">
        <w:rPr>
          <w:color w:val="000000" w:themeColor="text1"/>
          <w:sz w:val="24"/>
          <w:szCs w:val="24"/>
          <w:lang w:val="en-US"/>
        </w:rPr>
        <w:t>- key planning tools which enhance flexibility and prepare to meet risks. </w:t>
      </w:r>
      <w:r>
        <w:rPr>
          <w:color w:val="000000" w:themeColor="text1"/>
          <w:sz w:val="24"/>
          <w:szCs w:val="24"/>
          <w:lang w:val="en-US"/>
        </w:rPr>
        <w:t xml:space="preserve">Last, but not the least, the evidence from the Elizabeth line project also demonstrates the importance of applying holistic criteria in the area of project evaluation. In this light, the narrow focus on cost, time and quality is no longer sufficient, as large-scale projects are likely to have long-term effects and impact on various sustainability and socio-economic fields.  </w:t>
      </w:r>
    </w:p>
    <w:p w:rsidR="00F11B72" w:rsidRDefault="00F11B72"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3A490C" w:rsidRDefault="003A490C" w:rsidP="00F70FCD">
      <w:pPr>
        <w:spacing w:after="240"/>
        <w:jc w:val="both"/>
        <w:rPr>
          <w:color w:val="000000" w:themeColor="text1"/>
          <w:sz w:val="24"/>
          <w:szCs w:val="24"/>
          <w:lang w:val="en-US"/>
        </w:rPr>
      </w:pPr>
    </w:p>
    <w:p w:rsidR="00B335C0" w:rsidRDefault="00B335C0" w:rsidP="00F70FCD">
      <w:pPr>
        <w:spacing w:after="240"/>
        <w:jc w:val="both"/>
        <w:rPr>
          <w:color w:val="000000" w:themeColor="text1"/>
          <w:sz w:val="24"/>
          <w:szCs w:val="24"/>
          <w:lang w:val="en-US"/>
        </w:rPr>
      </w:pPr>
    </w:p>
    <w:p w:rsidR="00CB3664" w:rsidRPr="00CB3664" w:rsidRDefault="00CB3664" w:rsidP="00CB3664">
      <w:pPr>
        <w:pStyle w:val="Heading1"/>
        <w:spacing w:before="0" w:after="240"/>
      </w:pPr>
      <w:bookmarkStart w:id="12" w:name="_Toc113545683"/>
      <w:r w:rsidRPr="00CB3664">
        <w:lastRenderedPageBreak/>
        <w:t>Reference list</w:t>
      </w:r>
      <w:bookmarkEnd w:id="12"/>
    </w:p>
    <w:p w:rsidR="004246DC" w:rsidRPr="00F96624" w:rsidRDefault="004246DC" w:rsidP="00F96624">
      <w:pPr>
        <w:spacing w:after="240"/>
        <w:rPr>
          <w:rFonts w:ascii="Times New Roman" w:hAnsi="Times New Roman" w:cs="Times New Roman"/>
          <w:sz w:val="24"/>
          <w:szCs w:val="24"/>
        </w:rPr>
      </w:pPr>
      <w:r w:rsidRPr="00F96624">
        <w:rPr>
          <w:rFonts w:ascii="Times New Roman" w:hAnsi="Times New Roman" w:cs="Times New Roman"/>
          <w:sz w:val="24"/>
          <w:szCs w:val="24"/>
        </w:rPr>
        <w:t xml:space="preserve">Banwell, L., Ray, K., Coulson, G. and Proud, D. (2003) Evaluation, Impact and Outcomes - the Jubilee project, </w:t>
      </w:r>
      <w:r w:rsidRPr="00F96624">
        <w:rPr>
          <w:rFonts w:ascii="Times New Roman" w:hAnsi="Times New Roman" w:cs="Times New Roman"/>
          <w:i/>
          <w:sz w:val="24"/>
          <w:szCs w:val="24"/>
        </w:rPr>
        <w:t>Performance Measurement and Metrics</w:t>
      </w:r>
      <w:r w:rsidRPr="00F96624">
        <w:rPr>
          <w:rFonts w:ascii="Times New Roman" w:hAnsi="Times New Roman" w:cs="Times New Roman"/>
          <w:sz w:val="24"/>
          <w:szCs w:val="24"/>
        </w:rPr>
        <w:t>, Vol. 4(2), pp. 79-86.</w:t>
      </w:r>
    </w:p>
    <w:p w:rsidR="004246DC" w:rsidRPr="00F96624" w:rsidRDefault="004246DC" w:rsidP="00F96624">
      <w:pPr>
        <w:spacing w:after="240"/>
        <w:rPr>
          <w:sz w:val="24"/>
          <w:szCs w:val="24"/>
          <w:lang w:val="en-US"/>
        </w:rPr>
      </w:pPr>
      <w:r w:rsidRPr="00F96624">
        <w:rPr>
          <w:bCs/>
          <w:sz w:val="24"/>
          <w:szCs w:val="24"/>
        </w:rPr>
        <w:t xml:space="preserve">BBC (2022) </w:t>
      </w:r>
      <w:r w:rsidRPr="00F96624">
        <w:rPr>
          <w:i/>
          <w:sz w:val="24"/>
          <w:szCs w:val="24"/>
          <w:lang w:val="en-US"/>
        </w:rPr>
        <w:t>CrossRail: Elizabeth line confirmed to open on 24 May</w:t>
      </w:r>
      <w:r w:rsidRPr="00F96624">
        <w:rPr>
          <w:sz w:val="24"/>
          <w:szCs w:val="24"/>
          <w:lang w:val="en-US"/>
        </w:rPr>
        <w:t xml:space="preserve">, [online] Available: </w:t>
      </w:r>
      <w:hyperlink r:id="rId9" w:history="1">
        <w:r w:rsidRPr="00F96624">
          <w:rPr>
            <w:rStyle w:val="Hyperlink"/>
            <w:sz w:val="24"/>
            <w:szCs w:val="24"/>
            <w:lang w:val="en-US"/>
          </w:rPr>
          <w:t>https://www.bbc.com/news/uk-england-london-61415714</w:t>
        </w:r>
      </w:hyperlink>
      <w:r w:rsidRPr="00F96624">
        <w:rPr>
          <w:sz w:val="24"/>
          <w:szCs w:val="24"/>
          <w:lang w:val="en-US"/>
        </w:rPr>
        <w:t xml:space="preserve"> [Accessed: 5 September 2022]</w:t>
      </w:r>
    </w:p>
    <w:p w:rsidR="004246DC" w:rsidRPr="00F96624" w:rsidRDefault="004246DC" w:rsidP="00F96624">
      <w:pPr>
        <w:spacing w:after="240"/>
        <w:rPr>
          <w:rFonts w:ascii="Times New Roman" w:hAnsi="Times New Roman" w:cs="Times New Roman"/>
          <w:bCs/>
          <w:sz w:val="24"/>
          <w:szCs w:val="24"/>
          <w:lang w:val="en-US"/>
        </w:rPr>
      </w:pPr>
      <w:r w:rsidRPr="00F96624">
        <w:rPr>
          <w:rFonts w:ascii="Times New Roman" w:hAnsi="Times New Roman" w:cs="Times New Roman"/>
          <w:bCs/>
          <w:sz w:val="24"/>
          <w:szCs w:val="24"/>
          <w:lang w:val="en-US"/>
        </w:rPr>
        <w:t xml:space="preserve">CrossRail (2018) </w:t>
      </w:r>
      <w:r w:rsidRPr="00F96624">
        <w:rPr>
          <w:rFonts w:ascii="Times New Roman" w:hAnsi="Times New Roman" w:cs="Times New Roman"/>
          <w:bCs/>
          <w:i/>
          <w:sz w:val="24"/>
          <w:szCs w:val="24"/>
          <w:lang w:val="en-US"/>
        </w:rPr>
        <w:t>Number of homes and jobs created by delivery of Elizabeth line far exceeds predictions,</w:t>
      </w:r>
      <w:r w:rsidRPr="00F96624">
        <w:rPr>
          <w:rFonts w:ascii="Times New Roman" w:hAnsi="Times New Roman" w:cs="Times New Roman"/>
          <w:bCs/>
          <w:sz w:val="24"/>
          <w:szCs w:val="24"/>
          <w:lang w:val="en-US"/>
        </w:rPr>
        <w:t xml:space="preserve"> [online] Available: </w:t>
      </w:r>
      <w:hyperlink r:id="rId10" w:history="1">
        <w:r w:rsidRPr="00F96624">
          <w:rPr>
            <w:rStyle w:val="Hyperlink"/>
            <w:rFonts w:ascii="Times New Roman" w:hAnsi="Times New Roman" w:cs="Times New Roman"/>
            <w:bCs/>
            <w:sz w:val="24"/>
            <w:szCs w:val="24"/>
            <w:lang w:val="en-US"/>
          </w:rPr>
          <w:t>https://www.crossrail.co.uk/news/articles/number-of-homes-and-jobs-created-by-delivery-of-elizabeth-line-far-exceeds-predictions</w:t>
        </w:r>
      </w:hyperlink>
      <w:r w:rsidRPr="00F96624">
        <w:rPr>
          <w:rFonts w:ascii="Times New Roman" w:hAnsi="Times New Roman" w:cs="Times New Roman"/>
          <w:bCs/>
          <w:sz w:val="24"/>
          <w:szCs w:val="24"/>
          <w:lang w:val="en-US"/>
        </w:rPr>
        <w:t xml:space="preserve"> [Accessed: 7 September 2022]</w:t>
      </w:r>
    </w:p>
    <w:p w:rsidR="004246DC" w:rsidRPr="00F96624" w:rsidRDefault="004246DC" w:rsidP="00F96624">
      <w:pPr>
        <w:spacing w:after="240"/>
        <w:rPr>
          <w:bCs/>
          <w:sz w:val="24"/>
          <w:szCs w:val="24"/>
        </w:rPr>
      </w:pPr>
      <w:r w:rsidRPr="00F96624">
        <w:rPr>
          <w:bCs/>
          <w:sz w:val="24"/>
          <w:szCs w:val="24"/>
        </w:rPr>
        <w:t xml:space="preserve">CrossRail (2022a) </w:t>
      </w:r>
      <w:r w:rsidRPr="00F96624">
        <w:rPr>
          <w:bCs/>
          <w:i/>
          <w:sz w:val="24"/>
          <w:szCs w:val="24"/>
        </w:rPr>
        <w:t>Building the Elizabeth line</w:t>
      </w:r>
      <w:r w:rsidRPr="00F96624">
        <w:rPr>
          <w:bCs/>
          <w:sz w:val="24"/>
          <w:szCs w:val="24"/>
        </w:rPr>
        <w:t xml:space="preserve">, [online] Available: </w:t>
      </w:r>
      <w:hyperlink r:id="rId11" w:anchor=":~:text=When%20fully%20open%2C%20the%20Elizabeth,between%20Paddington%20and%20Abbey%20Wood" w:history="1">
        <w:r w:rsidRPr="00F96624">
          <w:rPr>
            <w:rStyle w:val="Hyperlink"/>
            <w:bCs/>
            <w:sz w:val="24"/>
            <w:szCs w:val="24"/>
          </w:rPr>
          <w:t>https://www.crossrail.co.uk/project/#:~:text=When%20fully%20open%2C%20the%20Elizabeth,between%20Paddington%20and%20Abbey%20Wood</w:t>
        </w:r>
      </w:hyperlink>
      <w:r w:rsidRPr="00F96624">
        <w:rPr>
          <w:bCs/>
          <w:sz w:val="24"/>
          <w:szCs w:val="24"/>
        </w:rPr>
        <w:t xml:space="preserve"> [Accessed: 5 September 2022]</w:t>
      </w:r>
    </w:p>
    <w:p w:rsidR="004246DC" w:rsidRPr="00F96624" w:rsidRDefault="004246DC" w:rsidP="00F96624">
      <w:pPr>
        <w:spacing w:after="240"/>
        <w:rPr>
          <w:rFonts w:ascii="Times New Roman" w:hAnsi="Times New Roman" w:cs="Times New Roman"/>
          <w:bCs/>
          <w:sz w:val="24"/>
          <w:szCs w:val="24"/>
          <w:lang w:val="en-US"/>
        </w:rPr>
      </w:pPr>
      <w:r w:rsidRPr="00F96624">
        <w:rPr>
          <w:rFonts w:ascii="Times New Roman" w:hAnsi="Times New Roman" w:cs="Times New Roman"/>
          <w:bCs/>
          <w:sz w:val="24"/>
          <w:szCs w:val="24"/>
          <w:lang w:val="en-US"/>
        </w:rPr>
        <w:t xml:space="preserve">CrossRail (2022b) </w:t>
      </w:r>
      <w:r w:rsidRPr="00F96624">
        <w:rPr>
          <w:rFonts w:ascii="Times New Roman" w:hAnsi="Times New Roman" w:cs="Times New Roman"/>
          <w:bCs/>
          <w:i/>
          <w:sz w:val="24"/>
          <w:szCs w:val="24"/>
          <w:lang w:val="en-US"/>
        </w:rPr>
        <w:t>CrossRail creating lasting legacy of local jobs for Londoners</w:t>
      </w:r>
      <w:r w:rsidRPr="00F96624">
        <w:rPr>
          <w:rFonts w:ascii="Times New Roman" w:hAnsi="Times New Roman" w:cs="Times New Roman"/>
          <w:bCs/>
          <w:sz w:val="24"/>
          <w:szCs w:val="24"/>
          <w:lang w:val="en-US"/>
        </w:rPr>
        <w:t xml:space="preserve">, [online] Available: </w:t>
      </w:r>
      <w:hyperlink r:id="rId12" w:history="1">
        <w:r w:rsidRPr="00F96624">
          <w:rPr>
            <w:rStyle w:val="Hyperlink"/>
            <w:rFonts w:ascii="Times New Roman" w:hAnsi="Times New Roman" w:cs="Times New Roman"/>
            <w:bCs/>
            <w:sz w:val="24"/>
            <w:szCs w:val="24"/>
            <w:lang w:val="en-US"/>
          </w:rPr>
          <w:t>https://www.crossrail.co.uk/news/articles/crossrail-creating-lasting-legacy-local-jobs-for-londoners</w:t>
        </w:r>
      </w:hyperlink>
      <w:r w:rsidRPr="00F96624">
        <w:rPr>
          <w:rFonts w:ascii="Times New Roman" w:hAnsi="Times New Roman" w:cs="Times New Roman"/>
          <w:bCs/>
          <w:sz w:val="24"/>
          <w:szCs w:val="24"/>
          <w:lang w:val="en-US"/>
        </w:rPr>
        <w:t xml:space="preserve"> [Accessed: 7 September 2022]</w:t>
      </w:r>
    </w:p>
    <w:p w:rsidR="004246DC" w:rsidRPr="00F96624" w:rsidRDefault="004246DC" w:rsidP="00F96624">
      <w:pPr>
        <w:spacing w:after="240"/>
        <w:rPr>
          <w:bCs/>
          <w:sz w:val="24"/>
          <w:szCs w:val="24"/>
          <w:lang w:val="en-US"/>
        </w:rPr>
      </w:pPr>
      <w:r w:rsidRPr="00F96624">
        <w:rPr>
          <w:bCs/>
          <w:sz w:val="24"/>
          <w:szCs w:val="24"/>
        </w:rPr>
        <w:t xml:space="preserve">Duffy, K. (2022) </w:t>
      </w:r>
      <w:r w:rsidRPr="00F96624">
        <w:rPr>
          <w:bCs/>
          <w:i/>
          <w:sz w:val="24"/>
          <w:szCs w:val="24"/>
          <w:lang w:val="en-US"/>
        </w:rPr>
        <w:t>I commuted on London's new $25 billion railway line. It cost me $3, got me to work 20 minutes early, and transformed my journey</w:t>
      </w:r>
      <w:r w:rsidRPr="00F96624">
        <w:rPr>
          <w:bCs/>
          <w:sz w:val="24"/>
          <w:szCs w:val="24"/>
          <w:lang w:val="en-US"/>
        </w:rPr>
        <w:t xml:space="preserve">, [online] Available: </w:t>
      </w:r>
      <w:hyperlink r:id="rId13" w:history="1">
        <w:r w:rsidRPr="00F96624">
          <w:rPr>
            <w:rStyle w:val="Hyperlink"/>
            <w:bCs/>
            <w:sz w:val="24"/>
            <w:szCs w:val="24"/>
            <w:lang w:val="en-US"/>
          </w:rPr>
          <w:t>https://www.businessinsider.com/elizabeth-line-railway-commute-train-cost-arrive-work-early-london-2022-6</w:t>
        </w:r>
      </w:hyperlink>
      <w:r w:rsidRPr="00F96624">
        <w:rPr>
          <w:bCs/>
          <w:sz w:val="24"/>
          <w:szCs w:val="24"/>
          <w:lang w:val="en-US"/>
        </w:rPr>
        <w:t xml:space="preserve"> [Accessed: 5 September 2022]</w:t>
      </w:r>
    </w:p>
    <w:p w:rsidR="004246DC" w:rsidRPr="00F96624" w:rsidRDefault="004246DC" w:rsidP="00F96624">
      <w:pPr>
        <w:spacing w:after="240"/>
        <w:rPr>
          <w:rFonts w:ascii="Times New Roman" w:hAnsi="Times New Roman" w:cs="Times New Roman"/>
          <w:sz w:val="24"/>
          <w:szCs w:val="24"/>
          <w:lang w:val="en-US"/>
        </w:rPr>
      </w:pPr>
      <w:r w:rsidRPr="00F96624">
        <w:rPr>
          <w:rFonts w:ascii="Times New Roman" w:hAnsi="Times New Roman" w:cs="Times New Roman"/>
          <w:sz w:val="24"/>
          <w:szCs w:val="24"/>
        </w:rPr>
        <w:t xml:space="preserve">Edwards, T. (2022) </w:t>
      </w:r>
      <w:r w:rsidRPr="00F96624">
        <w:rPr>
          <w:rFonts w:ascii="Times New Roman" w:hAnsi="Times New Roman" w:cs="Times New Roman"/>
          <w:i/>
          <w:sz w:val="24"/>
          <w:szCs w:val="24"/>
          <w:lang w:val="en-US"/>
        </w:rPr>
        <w:t>Elizabeth line: How the 'perfect' project became a nightmare,</w:t>
      </w:r>
      <w:r w:rsidRPr="00F96624">
        <w:rPr>
          <w:rFonts w:ascii="Times New Roman" w:hAnsi="Times New Roman" w:cs="Times New Roman"/>
          <w:sz w:val="24"/>
          <w:szCs w:val="24"/>
          <w:lang w:val="en-US"/>
        </w:rPr>
        <w:t xml:space="preserve"> [online] Available: </w:t>
      </w:r>
      <w:hyperlink r:id="rId14" w:history="1">
        <w:r w:rsidRPr="00F96624">
          <w:rPr>
            <w:rStyle w:val="Hyperlink"/>
            <w:rFonts w:ascii="Times New Roman" w:hAnsi="Times New Roman" w:cs="Times New Roman"/>
            <w:sz w:val="24"/>
            <w:szCs w:val="24"/>
            <w:lang w:val="en-US"/>
          </w:rPr>
          <w:t>https://www.bbc.com/news/uk-england-london-61409591</w:t>
        </w:r>
      </w:hyperlink>
      <w:r w:rsidRPr="00F96624">
        <w:rPr>
          <w:rFonts w:ascii="Times New Roman" w:hAnsi="Times New Roman" w:cs="Times New Roman"/>
          <w:sz w:val="24"/>
          <w:szCs w:val="24"/>
          <w:lang w:val="en-US"/>
        </w:rPr>
        <w:t xml:space="preserve"> [Accessed: 5 September 2022]</w:t>
      </w:r>
    </w:p>
    <w:p w:rsidR="004246DC" w:rsidRPr="00F96624" w:rsidRDefault="004246DC" w:rsidP="00F96624">
      <w:pPr>
        <w:spacing w:after="240"/>
        <w:rPr>
          <w:rFonts w:ascii="Times New Roman" w:hAnsi="Times New Roman" w:cs="Times New Roman"/>
          <w:sz w:val="24"/>
          <w:szCs w:val="24"/>
        </w:rPr>
      </w:pPr>
      <w:r w:rsidRPr="00F96624">
        <w:rPr>
          <w:rFonts w:ascii="Times New Roman" w:hAnsi="Times New Roman" w:cs="Times New Roman"/>
          <w:sz w:val="24"/>
          <w:szCs w:val="24"/>
        </w:rPr>
        <w:t xml:space="preserve">Frechtling, J. (2002) </w:t>
      </w:r>
      <w:r w:rsidRPr="00F96624">
        <w:rPr>
          <w:rFonts w:ascii="Times New Roman" w:hAnsi="Times New Roman" w:cs="Times New Roman"/>
          <w:i/>
          <w:sz w:val="24"/>
          <w:szCs w:val="24"/>
        </w:rPr>
        <w:t>The 2002 user friendly handbook for project evaluation</w:t>
      </w:r>
      <w:r w:rsidRPr="00F96624">
        <w:rPr>
          <w:rFonts w:ascii="Times New Roman" w:hAnsi="Times New Roman" w:cs="Times New Roman"/>
          <w:sz w:val="24"/>
          <w:szCs w:val="24"/>
        </w:rPr>
        <w:t>. Arlington: National Science Foundation</w:t>
      </w:r>
    </w:p>
    <w:p w:rsidR="004246DC" w:rsidRPr="00F96624" w:rsidRDefault="004246DC" w:rsidP="00F96624">
      <w:pPr>
        <w:spacing w:after="240"/>
        <w:rPr>
          <w:rFonts w:ascii="Times New Roman" w:hAnsi="Times New Roman" w:cs="Times New Roman"/>
          <w:bCs/>
          <w:sz w:val="24"/>
          <w:szCs w:val="24"/>
          <w:lang w:val="en-US"/>
        </w:rPr>
      </w:pPr>
      <w:r w:rsidRPr="00F96624">
        <w:rPr>
          <w:rFonts w:ascii="Times New Roman" w:hAnsi="Times New Roman" w:cs="Times New Roman"/>
          <w:bCs/>
          <w:sz w:val="24"/>
          <w:szCs w:val="24"/>
          <w:lang w:val="en-US"/>
        </w:rPr>
        <w:t xml:space="preserve">Global (2022) </w:t>
      </w:r>
      <w:r w:rsidRPr="00F96624">
        <w:rPr>
          <w:rFonts w:ascii="Times New Roman" w:hAnsi="Times New Roman" w:cs="Times New Roman"/>
          <w:bCs/>
          <w:i/>
          <w:sz w:val="24"/>
          <w:szCs w:val="24"/>
          <w:lang w:val="en-US"/>
        </w:rPr>
        <w:t>Sustainability</w:t>
      </w:r>
      <w:r w:rsidRPr="00F96624">
        <w:rPr>
          <w:rFonts w:ascii="Times New Roman" w:hAnsi="Times New Roman" w:cs="Times New Roman"/>
          <w:bCs/>
          <w:sz w:val="24"/>
          <w:szCs w:val="24"/>
          <w:lang w:val="en-US"/>
        </w:rPr>
        <w:t xml:space="preserve">, [online] Available: </w:t>
      </w:r>
      <w:hyperlink r:id="rId15" w:anchor=":~:text=Reducing%20carbon%20emissions%20and%20promoting,efficient%20than%20standard%20light%20fittings" w:history="1">
        <w:r w:rsidRPr="00F96624">
          <w:rPr>
            <w:rStyle w:val="Hyperlink"/>
            <w:rFonts w:ascii="Times New Roman" w:hAnsi="Times New Roman" w:cs="Times New Roman"/>
            <w:bCs/>
            <w:sz w:val="24"/>
            <w:szCs w:val="24"/>
            <w:lang w:val="en-US"/>
          </w:rPr>
          <w:t>https://global.com/outdoor/rail/tfl-rail-estate-advertising/elizabeth-line-</w:t>
        </w:r>
        <w:r w:rsidRPr="00F96624">
          <w:rPr>
            <w:rStyle w:val="Hyperlink"/>
            <w:rFonts w:ascii="Times New Roman" w:hAnsi="Times New Roman" w:cs="Times New Roman"/>
            <w:bCs/>
            <w:sz w:val="24"/>
            <w:szCs w:val="24"/>
            <w:lang w:val="en-US"/>
          </w:rPr>
          <w:lastRenderedPageBreak/>
          <w:t>advertising/sustainability/#:~:text=Reducing%20carbon%20emissions%20and%20promoting,efficient%20than%20standard%20light%20fittings</w:t>
        </w:r>
      </w:hyperlink>
      <w:r w:rsidRPr="00F96624">
        <w:rPr>
          <w:rFonts w:ascii="Times New Roman" w:hAnsi="Times New Roman" w:cs="Times New Roman"/>
          <w:bCs/>
          <w:sz w:val="24"/>
          <w:szCs w:val="24"/>
          <w:lang w:val="en-US"/>
        </w:rPr>
        <w:t xml:space="preserve"> [Accessed: 7 September 2022]</w:t>
      </w:r>
    </w:p>
    <w:p w:rsidR="004246DC" w:rsidRPr="00F96624" w:rsidRDefault="004246DC" w:rsidP="00F96624">
      <w:pPr>
        <w:spacing w:after="240"/>
        <w:rPr>
          <w:rFonts w:ascii="Times New Roman" w:hAnsi="Times New Roman" w:cs="Times New Roman"/>
          <w:sz w:val="24"/>
          <w:szCs w:val="24"/>
        </w:rPr>
      </w:pPr>
      <w:r w:rsidRPr="00F96624">
        <w:rPr>
          <w:rFonts w:ascii="Times New Roman" w:hAnsi="Times New Roman" w:cs="Times New Roman"/>
          <w:sz w:val="24"/>
          <w:szCs w:val="24"/>
        </w:rPr>
        <w:t xml:space="preserve">Graham, D. (2006) </w:t>
      </w:r>
      <w:r w:rsidRPr="00F96624">
        <w:rPr>
          <w:rFonts w:ascii="Times New Roman" w:hAnsi="Times New Roman" w:cs="Times New Roman"/>
          <w:i/>
          <w:sz w:val="24"/>
          <w:szCs w:val="24"/>
        </w:rPr>
        <w:t>Evaluation Lessons: Green groups must measure gains. Regeneration &amp; Renewal</w:t>
      </w:r>
      <w:r w:rsidRPr="00F96624">
        <w:rPr>
          <w:rFonts w:ascii="Times New Roman" w:hAnsi="Times New Roman" w:cs="Times New Roman"/>
          <w:sz w:val="24"/>
          <w:szCs w:val="24"/>
        </w:rPr>
        <w:t>. Haymarket Business Publications Ltd: London</w:t>
      </w:r>
    </w:p>
    <w:p w:rsidR="004246DC" w:rsidRPr="00F96624" w:rsidRDefault="004246DC" w:rsidP="00F96624">
      <w:pPr>
        <w:spacing w:after="240"/>
        <w:rPr>
          <w:rFonts w:ascii="Times New Roman" w:hAnsi="Times New Roman" w:cs="Times New Roman"/>
          <w:color w:val="000000" w:themeColor="text1"/>
          <w:sz w:val="24"/>
          <w:szCs w:val="24"/>
        </w:rPr>
      </w:pPr>
      <w:r w:rsidRPr="00F96624">
        <w:rPr>
          <w:rFonts w:ascii="Times New Roman" w:hAnsi="Times New Roman" w:cs="Times New Roman"/>
          <w:sz w:val="24"/>
          <w:szCs w:val="24"/>
        </w:rPr>
        <w:t xml:space="preserve">McNamara, J. (1994) </w:t>
      </w:r>
      <w:r w:rsidRPr="00F96624">
        <w:rPr>
          <w:rFonts w:ascii="Times New Roman" w:hAnsi="Times New Roman" w:cs="Times New Roman"/>
          <w:i/>
          <w:sz w:val="24"/>
          <w:szCs w:val="24"/>
        </w:rPr>
        <w:t>Surveys and experiments in education research</w:t>
      </w:r>
      <w:r w:rsidRPr="00F96624">
        <w:rPr>
          <w:rFonts w:ascii="Times New Roman" w:hAnsi="Times New Roman" w:cs="Times New Roman"/>
          <w:sz w:val="24"/>
          <w:szCs w:val="24"/>
        </w:rPr>
        <w:t>. Lancaster. PA: Technomic</w:t>
      </w:r>
    </w:p>
    <w:p w:rsidR="004246DC" w:rsidRPr="00F96624" w:rsidRDefault="004246DC" w:rsidP="00F96624">
      <w:pPr>
        <w:spacing w:after="240"/>
        <w:rPr>
          <w:rFonts w:ascii="Times New Roman" w:hAnsi="Times New Roman" w:cs="Times New Roman"/>
          <w:color w:val="000000" w:themeColor="text1"/>
          <w:sz w:val="24"/>
          <w:szCs w:val="24"/>
        </w:rPr>
      </w:pPr>
      <w:r w:rsidRPr="00F96624">
        <w:rPr>
          <w:rFonts w:ascii="Times New Roman" w:hAnsi="Times New Roman" w:cs="Times New Roman"/>
          <w:color w:val="000000" w:themeColor="text1"/>
          <w:sz w:val="24"/>
          <w:szCs w:val="24"/>
          <w:lang w:val="en-US"/>
        </w:rPr>
        <w:t xml:space="preserve">Nhung, N. and Shtembari, E. (2008) </w:t>
      </w:r>
      <w:r w:rsidRPr="00F96624">
        <w:rPr>
          <w:rFonts w:ascii="Times New Roman" w:hAnsi="Times New Roman" w:cs="Times New Roman"/>
          <w:i/>
          <w:color w:val="000000" w:themeColor="text1"/>
          <w:sz w:val="24"/>
          <w:szCs w:val="24"/>
        </w:rPr>
        <w:t>Key criteria in Project Evaluation: A study of New Service Development</w:t>
      </w:r>
      <w:r w:rsidRPr="00F96624">
        <w:rPr>
          <w:rFonts w:ascii="Times New Roman" w:hAnsi="Times New Roman" w:cs="Times New Roman"/>
          <w:color w:val="000000" w:themeColor="text1"/>
          <w:sz w:val="24"/>
          <w:szCs w:val="24"/>
        </w:rPr>
        <w:t xml:space="preserve">, [online] Available: </w:t>
      </w:r>
      <w:hyperlink r:id="rId16" w:history="1">
        <w:r w:rsidRPr="00F96624">
          <w:rPr>
            <w:rStyle w:val="Hyperlink"/>
            <w:rFonts w:ascii="Times New Roman" w:hAnsi="Times New Roman" w:cs="Times New Roman"/>
            <w:sz w:val="24"/>
            <w:szCs w:val="24"/>
          </w:rPr>
          <w:t>http://www.diva-portal.org/smash/get/diva2:159594/FULLTEXT01.pdf</w:t>
        </w:r>
      </w:hyperlink>
      <w:r w:rsidRPr="00F96624">
        <w:rPr>
          <w:rFonts w:ascii="Times New Roman" w:hAnsi="Times New Roman" w:cs="Times New Roman"/>
          <w:color w:val="000000" w:themeColor="text1"/>
          <w:sz w:val="24"/>
          <w:szCs w:val="24"/>
        </w:rPr>
        <w:t xml:space="preserve"> [Accessed: 7 September 2022]</w:t>
      </w:r>
    </w:p>
    <w:p w:rsidR="004246DC" w:rsidRPr="00F96624" w:rsidRDefault="004246DC" w:rsidP="00F96624">
      <w:pPr>
        <w:spacing w:after="240"/>
        <w:rPr>
          <w:rFonts w:ascii="Times New Roman" w:hAnsi="Times New Roman" w:cs="Times New Roman"/>
          <w:bCs/>
          <w:sz w:val="24"/>
          <w:szCs w:val="24"/>
          <w:lang w:val="en-US"/>
        </w:rPr>
      </w:pPr>
      <w:r w:rsidRPr="00F96624">
        <w:rPr>
          <w:rFonts w:ascii="Times New Roman" w:hAnsi="Times New Roman" w:cs="Times New Roman"/>
          <w:bCs/>
          <w:sz w:val="24"/>
          <w:szCs w:val="24"/>
          <w:lang w:val="en-US"/>
        </w:rPr>
        <w:t xml:space="preserve">Paris, R., Myatt, C. and de Silva, M. (2017) Crossrail project: environmental management during delivery of London’s Elizabeth line, </w:t>
      </w:r>
      <w:r w:rsidRPr="00F96624">
        <w:rPr>
          <w:rFonts w:ascii="Times New Roman" w:hAnsi="Times New Roman" w:cs="Times New Roman"/>
          <w:bCs/>
          <w:i/>
          <w:sz w:val="24"/>
          <w:szCs w:val="24"/>
          <w:lang w:val="en-US"/>
        </w:rPr>
        <w:t>Civil Engineering</w:t>
      </w:r>
      <w:r w:rsidRPr="00F96624">
        <w:rPr>
          <w:rFonts w:ascii="Times New Roman" w:hAnsi="Times New Roman" w:cs="Times New Roman"/>
          <w:bCs/>
          <w:sz w:val="24"/>
          <w:szCs w:val="24"/>
          <w:lang w:val="en-US"/>
        </w:rPr>
        <w:t xml:space="preserve">, Vol. 170(6), pp. 49-55. </w:t>
      </w:r>
    </w:p>
    <w:p w:rsidR="004246DC" w:rsidRDefault="004246DC" w:rsidP="00F96624">
      <w:pPr>
        <w:spacing w:after="240"/>
        <w:rPr>
          <w:rFonts w:ascii="Times New Roman" w:hAnsi="Times New Roman" w:cs="Times New Roman"/>
          <w:sz w:val="24"/>
          <w:szCs w:val="24"/>
        </w:rPr>
      </w:pPr>
      <w:r w:rsidRPr="00F96624">
        <w:rPr>
          <w:rFonts w:ascii="Times New Roman" w:hAnsi="Times New Roman" w:cs="Times New Roman"/>
          <w:sz w:val="24"/>
          <w:szCs w:val="24"/>
        </w:rPr>
        <w:t xml:space="preserve">Stevens, F., Lawrenz, F. and Sharp, L. (1993) </w:t>
      </w:r>
      <w:r w:rsidRPr="00F96624">
        <w:rPr>
          <w:rFonts w:ascii="Times New Roman" w:hAnsi="Times New Roman" w:cs="Times New Roman"/>
          <w:i/>
          <w:sz w:val="24"/>
          <w:szCs w:val="24"/>
        </w:rPr>
        <w:t>User friendly handbook for project management: Science, Mathematics, Engineering and Technology Education</w:t>
      </w:r>
      <w:r w:rsidRPr="00F96624">
        <w:rPr>
          <w:rFonts w:ascii="Times New Roman" w:hAnsi="Times New Roman" w:cs="Times New Roman"/>
          <w:sz w:val="24"/>
          <w:szCs w:val="24"/>
        </w:rPr>
        <w:t>. Washington DC: National Science Foundation</w:t>
      </w:r>
    </w:p>
    <w:p w:rsidR="004246DC" w:rsidRPr="00F96624" w:rsidRDefault="004246DC" w:rsidP="00F96624">
      <w:pPr>
        <w:spacing w:after="240"/>
        <w:rPr>
          <w:rFonts w:ascii="Times New Roman" w:hAnsi="Times New Roman" w:cs="Times New Roman"/>
          <w:sz w:val="24"/>
          <w:szCs w:val="24"/>
        </w:rPr>
      </w:pPr>
      <w:r>
        <w:rPr>
          <w:rFonts w:ascii="Times New Roman" w:hAnsi="Times New Roman" w:cs="Times New Roman"/>
          <w:sz w:val="24"/>
          <w:szCs w:val="24"/>
        </w:rPr>
        <w:t xml:space="preserve">Trading Economics (2022) </w:t>
      </w:r>
      <w:r w:rsidRPr="004246DC">
        <w:rPr>
          <w:rFonts w:ascii="Times New Roman" w:hAnsi="Times New Roman" w:cs="Times New Roman"/>
          <w:i/>
          <w:sz w:val="24"/>
          <w:szCs w:val="24"/>
        </w:rPr>
        <w:t>Inflation Rate</w:t>
      </w:r>
      <w:r>
        <w:rPr>
          <w:rFonts w:ascii="Times New Roman" w:hAnsi="Times New Roman" w:cs="Times New Roman"/>
          <w:sz w:val="24"/>
          <w:szCs w:val="24"/>
        </w:rPr>
        <w:t xml:space="preserve">, [online] Available: </w:t>
      </w:r>
      <w:hyperlink r:id="rId17" w:history="1">
        <w:r w:rsidRPr="00E21A63">
          <w:rPr>
            <w:rStyle w:val="Hyperlink"/>
            <w:rFonts w:ascii="Times New Roman" w:hAnsi="Times New Roman" w:cs="Times New Roman"/>
            <w:sz w:val="24"/>
            <w:szCs w:val="24"/>
          </w:rPr>
          <w:t>https://tradingeconomics.com/country-list/inflation-rate</w:t>
        </w:r>
      </w:hyperlink>
      <w:r>
        <w:rPr>
          <w:rFonts w:ascii="Times New Roman" w:hAnsi="Times New Roman" w:cs="Times New Roman"/>
          <w:sz w:val="24"/>
          <w:szCs w:val="24"/>
        </w:rPr>
        <w:t xml:space="preserve"> [Accessed: 7 September 2022]</w:t>
      </w:r>
    </w:p>
    <w:p w:rsidR="004246DC" w:rsidRPr="00F96624" w:rsidRDefault="004246DC" w:rsidP="00F96624">
      <w:pPr>
        <w:spacing w:after="240"/>
        <w:rPr>
          <w:rFonts w:cs="Times New Roman"/>
          <w:bCs/>
          <w:sz w:val="24"/>
          <w:szCs w:val="24"/>
          <w:lang w:val="en-US"/>
        </w:rPr>
      </w:pPr>
      <w:r w:rsidRPr="00F96624">
        <w:rPr>
          <w:rFonts w:ascii="Times New Roman" w:hAnsi="Times New Roman" w:cs="Times New Roman"/>
          <w:bCs/>
          <w:sz w:val="24"/>
          <w:szCs w:val="24"/>
        </w:rPr>
        <w:t xml:space="preserve">Transport for London (TFL) (2018) </w:t>
      </w:r>
      <w:r w:rsidRPr="00F96624">
        <w:rPr>
          <w:rFonts w:cs="Times New Roman"/>
          <w:bCs/>
          <w:i/>
          <w:sz w:val="24"/>
          <w:szCs w:val="24"/>
          <w:lang w:val="en-US"/>
        </w:rPr>
        <w:t>Entire embodied carbon of the Elizabeth Line</w:t>
      </w:r>
      <w:r w:rsidRPr="00F96624">
        <w:rPr>
          <w:rFonts w:cs="Times New Roman"/>
          <w:bCs/>
          <w:sz w:val="24"/>
          <w:szCs w:val="24"/>
          <w:lang w:val="en-US"/>
        </w:rPr>
        <w:t xml:space="preserve">, [online] Available: </w:t>
      </w:r>
      <w:hyperlink r:id="rId18" w:history="1">
        <w:r w:rsidRPr="00F96624">
          <w:rPr>
            <w:rStyle w:val="Hyperlink"/>
            <w:rFonts w:cs="Times New Roman"/>
            <w:bCs/>
            <w:sz w:val="24"/>
            <w:szCs w:val="24"/>
            <w:lang w:val="en-US"/>
          </w:rPr>
          <w:t>https://tfl.gov.uk/corporate/transparency/freedom-of-information/foi-request-detail?referenceId=FOI-0851-1819</w:t>
        </w:r>
      </w:hyperlink>
      <w:r w:rsidRPr="00F96624">
        <w:rPr>
          <w:rFonts w:cs="Times New Roman"/>
          <w:bCs/>
          <w:sz w:val="24"/>
          <w:szCs w:val="24"/>
          <w:lang w:val="en-US"/>
        </w:rPr>
        <w:t xml:space="preserve"> [Accessed: 7 September 2022]</w:t>
      </w:r>
    </w:p>
    <w:p w:rsidR="004246DC" w:rsidRPr="00F96624" w:rsidRDefault="004246DC" w:rsidP="00F96624">
      <w:pPr>
        <w:spacing w:after="240"/>
        <w:rPr>
          <w:rFonts w:ascii="Times New Roman" w:hAnsi="Times New Roman" w:cs="Times New Roman"/>
          <w:bCs/>
          <w:sz w:val="24"/>
          <w:szCs w:val="24"/>
        </w:rPr>
      </w:pPr>
      <w:r w:rsidRPr="00F96624">
        <w:rPr>
          <w:rFonts w:ascii="Times New Roman" w:hAnsi="Times New Roman" w:cs="Times New Roman"/>
          <w:bCs/>
          <w:sz w:val="24"/>
          <w:szCs w:val="24"/>
        </w:rPr>
        <w:t xml:space="preserve">Transport for London </w:t>
      </w:r>
      <w:r>
        <w:rPr>
          <w:rFonts w:ascii="Times New Roman" w:hAnsi="Times New Roman" w:cs="Times New Roman"/>
          <w:bCs/>
          <w:sz w:val="24"/>
          <w:szCs w:val="24"/>
        </w:rPr>
        <w:t>(</w:t>
      </w:r>
      <w:r w:rsidRPr="00F96624">
        <w:rPr>
          <w:rFonts w:ascii="Times New Roman" w:hAnsi="Times New Roman" w:cs="Times New Roman"/>
          <w:bCs/>
          <w:sz w:val="24"/>
          <w:szCs w:val="24"/>
        </w:rPr>
        <w:t>TFL</w:t>
      </w:r>
      <w:r>
        <w:rPr>
          <w:rFonts w:ascii="Times New Roman" w:hAnsi="Times New Roman" w:cs="Times New Roman"/>
          <w:bCs/>
          <w:sz w:val="24"/>
          <w:szCs w:val="24"/>
        </w:rPr>
        <w:t>)</w:t>
      </w:r>
      <w:r w:rsidRPr="00F96624">
        <w:rPr>
          <w:rFonts w:ascii="Times New Roman" w:hAnsi="Times New Roman" w:cs="Times New Roman"/>
          <w:bCs/>
          <w:sz w:val="24"/>
          <w:szCs w:val="24"/>
        </w:rPr>
        <w:t xml:space="preserve"> (2022) </w:t>
      </w:r>
      <w:r w:rsidRPr="00F96624">
        <w:rPr>
          <w:rFonts w:ascii="Times New Roman" w:hAnsi="Times New Roman" w:cs="Times New Roman"/>
          <w:bCs/>
          <w:i/>
          <w:sz w:val="24"/>
          <w:szCs w:val="24"/>
        </w:rPr>
        <w:t>Elizabeth line – look ahead</w:t>
      </w:r>
      <w:r w:rsidRPr="00F96624">
        <w:rPr>
          <w:rFonts w:ascii="Times New Roman" w:hAnsi="Times New Roman" w:cs="Times New Roman"/>
          <w:bCs/>
          <w:sz w:val="24"/>
          <w:szCs w:val="24"/>
        </w:rPr>
        <w:t xml:space="preserve">, [online] Available: </w:t>
      </w:r>
      <w:hyperlink r:id="rId19" w:history="1">
        <w:r w:rsidRPr="00F96624">
          <w:rPr>
            <w:rStyle w:val="Hyperlink"/>
            <w:rFonts w:ascii="Times New Roman" w:hAnsi="Times New Roman" w:cs="Times New Roman"/>
            <w:bCs/>
            <w:sz w:val="24"/>
            <w:szCs w:val="24"/>
          </w:rPr>
          <w:t>https://tfl.gov.uk/travel-information/improvements-and-projects/elizabeth-line</w:t>
        </w:r>
      </w:hyperlink>
      <w:r w:rsidRPr="00F96624">
        <w:rPr>
          <w:rFonts w:ascii="Times New Roman" w:hAnsi="Times New Roman" w:cs="Times New Roman"/>
          <w:bCs/>
          <w:sz w:val="24"/>
          <w:szCs w:val="24"/>
        </w:rPr>
        <w:t xml:space="preserve"> [Accessed: 5 September 2022]</w:t>
      </w:r>
    </w:p>
    <w:p w:rsidR="004246DC" w:rsidRPr="00F96624" w:rsidRDefault="004246DC" w:rsidP="00F96624">
      <w:pPr>
        <w:spacing w:after="240"/>
        <w:rPr>
          <w:sz w:val="24"/>
          <w:szCs w:val="24"/>
          <w:lang w:val="en-US"/>
        </w:rPr>
      </w:pPr>
      <w:r w:rsidRPr="00F96624">
        <w:rPr>
          <w:sz w:val="24"/>
          <w:szCs w:val="24"/>
          <w:lang w:val="en-US"/>
        </w:rPr>
        <w:t xml:space="preserve">Tunnicliffe (2022) </w:t>
      </w:r>
      <w:r w:rsidRPr="00F96624">
        <w:rPr>
          <w:i/>
          <w:sz w:val="24"/>
          <w:szCs w:val="24"/>
          <w:lang w:val="en-US"/>
        </w:rPr>
        <w:t>A timeline of CrossRail delays</w:t>
      </w:r>
      <w:r w:rsidRPr="00F96624">
        <w:rPr>
          <w:sz w:val="24"/>
          <w:szCs w:val="24"/>
          <w:lang w:val="en-US"/>
        </w:rPr>
        <w:t xml:space="preserve">, [online] Available: </w:t>
      </w:r>
      <w:hyperlink r:id="rId20" w:anchor=":~:text=March%202020%3A%20the%20pandemic%20leads%20to%20further%20delays&amp;text=After%20saying%20that%20costs%20had,of%20the%20Covid%2D19%20pandemic" w:history="1">
        <w:r w:rsidRPr="00F96624">
          <w:rPr>
            <w:rStyle w:val="Hyperlink"/>
            <w:sz w:val="24"/>
            <w:szCs w:val="24"/>
            <w:lang w:val="en-US"/>
          </w:rPr>
          <w:t>https://www.railway-technology.com/analysis/timeline-crossrail-delays/#:~:text=March%202020%3A%20the%20pandemic%20leads%20to%20further%20delays&amp;text=After%20saying%20that%20costs%20had,of%20the%20Covid%2D19%20pandemic</w:t>
        </w:r>
      </w:hyperlink>
      <w:r w:rsidRPr="00F96624">
        <w:rPr>
          <w:sz w:val="24"/>
          <w:szCs w:val="24"/>
          <w:lang w:val="en-US"/>
        </w:rPr>
        <w:t xml:space="preserve"> [Accessed: 5 September 2022]</w:t>
      </w:r>
    </w:p>
    <w:p w:rsidR="004246DC" w:rsidRPr="003A490C" w:rsidRDefault="004246DC" w:rsidP="00F70FCD">
      <w:pPr>
        <w:spacing w:after="240"/>
        <w:rPr>
          <w:rFonts w:ascii="Times New Roman" w:hAnsi="Times New Roman" w:cs="Times New Roman"/>
          <w:bCs/>
          <w:sz w:val="24"/>
          <w:szCs w:val="24"/>
          <w:lang w:val="en-US"/>
        </w:rPr>
      </w:pPr>
      <w:r w:rsidRPr="00F96624">
        <w:rPr>
          <w:rFonts w:ascii="Times New Roman" w:hAnsi="Times New Roman" w:cs="Times New Roman"/>
          <w:bCs/>
          <w:sz w:val="24"/>
          <w:szCs w:val="24"/>
        </w:rPr>
        <w:lastRenderedPageBreak/>
        <w:t xml:space="preserve">UK Government (2022) </w:t>
      </w:r>
      <w:r w:rsidRPr="00F96624">
        <w:rPr>
          <w:rFonts w:ascii="Times New Roman" w:hAnsi="Times New Roman" w:cs="Times New Roman"/>
          <w:bCs/>
          <w:i/>
          <w:sz w:val="24"/>
          <w:szCs w:val="24"/>
          <w:lang w:val="en-US"/>
        </w:rPr>
        <w:t>Policy paper: Net Zero Strategy: Build Back Greener</w:t>
      </w:r>
      <w:r w:rsidRPr="00F96624">
        <w:rPr>
          <w:rFonts w:ascii="Times New Roman" w:hAnsi="Times New Roman" w:cs="Times New Roman"/>
          <w:bCs/>
          <w:sz w:val="24"/>
          <w:szCs w:val="24"/>
          <w:lang w:val="en-US"/>
        </w:rPr>
        <w:t xml:space="preserve">, [online] Available: </w:t>
      </w:r>
      <w:hyperlink r:id="rId21" w:history="1">
        <w:r w:rsidRPr="00F96624">
          <w:rPr>
            <w:rStyle w:val="Hyperlink"/>
            <w:rFonts w:ascii="Times New Roman" w:hAnsi="Times New Roman" w:cs="Times New Roman"/>
            <w:bCs/>
            <w:sz w:val="24"/>
            <w:szCs w:val="24"/>
            <w:lang w:val="en-US"/>
          </w:rPr>
          <w:t>https://www.gov.uk/government/publications/net-zero-strategy</w:t>
        </w:r>
      </w:hyperlink>
      <w:r w:rsidRPr="00F96624">
        <w:rPr>
          <w:rFonts w:ascii="Times New Roman" w:hAnsi="Times New Roman" w:cs="Times New Roman"/>
          <w:bCs/>
          <w:sz w:val="24"/>
          <w:szCs w:val="24"/>
          <w:lang w:val="en-US"/>
        </w:rPr>
        <w:t xml:space="preserve"> [Accessed: 7 September 2022]</w:t>
      </w:r>
    </w:p>
    <w:sectPr w:rsidR="004246DC" w:rsidRPr="003A490C" w:rsidSect="001472F4">
      <w:footerReference w:type="default" r:id="rId22"/>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54D3" w:rsidRDefault="002254D3" w:rsidP="002C0136">
      <w:pPr>
        <w:spacing w:line="240" w:lineRule="auto"/>
      </w:pPr>
      <w:r>
        <w:separator/>
      </w:r>
    </w:p>
  </w:endnote>
  <w:endnote w:type="continuationSeparator" w:id="0">
    <w:p w:rsidR="002254D3" w:rsidRDefault="002254D3" w:rsidP="002C01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7818907"/>
      <w:docPartObj>
        <w:docPartGallery w:val="Page Numbers (Bottom of Page)"/>
        <w:docPartUnique/>
      </w:docPartObj>
    </w:sdtPr>
    <w:sdtEndPr/>
    <w:sdtContent>
      <w:p w:rsidR="007C4D26" w:rsidRDefault="0015167C">
        <w:pPr>
          <w:pStyle w:val="Footer"/>
          <w:jc w:val="right"/>
        </w:pPr>
        <w:r>
          <w:fldChar w:fldCharType="begin"/>
        </w:r>
        <w:r>
          <w:instrText xml:space="preserve"> PAGE   \* MERGEFORMAT </w:instrText>
        </w:r>
        <w:r>
          <w:fldChar w:fldCharType="separate"/>
        </w:r>
        <w:r w:rsidR="007A2F06">
          <w:rPr>
            <w:noProof/>
          </w:rPr>
          <w:t>1</w:t>
        </w:r>
        <w:r>
          <w:rPr>
            <w:noProof/>
          </w:rPr>
          <w:fldChar w:fldCharType="end"/>
        </w:r>
      </w:p>
    </w:sdtContent>
  </w:sdt>
  <w:p w:rsidR="007C4D26" w:rsidRDefault="007C4D2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54D3" w:rsidRDefault="002254D3" w:rsidP="002C0136">
      <w:pPr>
        <w:spacing w:line="240" w:lineRule="auto"/>
      </w:pPr>
      <w:r>
        <w:separator/>
      </w:r>
    </w:p>
  </w:footnote>
  <w:footnote w:type="continuationSeparator" w:id="0">
    <w:p w:rsidR="002254D3" w:rsidRDefault="002254D3" w:rsidP="002C01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15C95"/>
    <w:multiLevelType w:val="multilevel"/>
    <w:tmpl w:val="FBC8DB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92010"/>
    <w:multiLevelType w:val="multilevel"/>
    <w:tmpl w:val="716EE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60299"/>
    <w:multiLevelType w:val="multilevel"/>
    <w:tmpl w:val="9FEA61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1C29FC"/>
    <w:multiLevelType w:val="multilevel"/>
    <w:tmpl w:val="A86007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CF62C4"/>
    <w:multiLevelType w:val="hybridMultilevel"/>
    <w:tmpl w:val="791A3C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842244"/>
    <w:multiLevelType w:val="hybridMultilevel"/>
    <w:tmpl w:val="8EE0BB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88418C"/>
    <w:rsid w:val="00072AE3"/>
    <w:rsid w:val="000833A6"/>
    <w:rsid w:val="00087679"/>
    <w:rsid w:val="00087B2D"/>
    <w:rsid w:val="00093F1D"/>
    <w:rsid w:val="000D0023"/>
    <w:rsid w:val="000D502A"/>
    <w:rsid w:val="001375D1"/>
    <w:rsid w:val="001472F4"/>
    <w:rsid w:val="0015043E"/>
    <w:rsid w:val="0015167C"/>
    <w:rsid w:val="00171E0C"/>
    <w:rsid w:val="0018317D"/>
    <w:rsid w:val="001844B8"/>
    <w:rsid w:val="001B2F1E"/>
    <w:rsid w:val="001D232F"/>
    <w:rsid w:val="0022085E"/>
    <w:rsid w:val="002254D3"/>
    <w:rsid w:val="0025630F"/>
    <w:rsid w:val="002725D7"/>
    <w:rsid w:val="002C0136"/>
    <w:rsid w:val="002C4F74"/>
    <w:rsid w:val="00332484"/>
    <w:rsid w:val="0037790D"/>
    <w:rsid w:val="0039111E"/>
    <w:rsid w:val="003A490C"/>
    <w:rsid w:val="003C58E5"/>
    <w:rsid w:val="004246DC"/>
    <w:rsid w:val="00426023"/>
    <w:rsid w:val="004863EB"/>
    <w:rsid w:val="004A5687"/>
    <w:rsid w:val="0050198C"/>
    <w:rsid w:val="00534ADF"/>
    <w:rsid w:val="00545A6C"/>
    <w:rsid w:val="005622CD"/>
    <w:rsid w:val="0056579A"/>
    <w:rsid w:val="00684076"/>
    <w:rsid w:val="006A0FCF"/>
    <w:rsid w:val="006A7A4E"/>
    <w:rsid w:val="0076458D"/>
    <w:rsid w:val="00776253"/>
    <w:rsid w:val="007A2F06"/>
    <w:rsid w:val="007B3D6D"/>
    <w:rsid w:val="007C4D26"/>
    <w:rsid w:val="007F34B3"/>
    <w:rsid w:val="007F5A68"/>
    <w:rsid w:val="00846AC9"/>
    <w:rsid w:val="00864286"/>
    <w:rsid w:val="0088418C"/>
    <w:rsid w:val="008A5DCA"/>
    <w:rsid w:val="008C3EE1"/>
    <w:rsid w:val="008E236B"/>
    <w:rsid w:val="00922489"/>
    <w:rsid w:val="0095196A"/>
    <w:rsid w:val="009565AB"/>
    <w:rsid w:val="009829DF"/>
    <w:rsid w:val="009C0014"/>
    <w:rsid w:val="009E78CA"/>
    <w:rsid w:val="00A76F53"/>
    <w:rsid w:val="00AC3790"/>
    <w:rsid w:val="00AD02C9"/>
    <w:rsid w:val="00AE407E"/>
    <w:rsid w:val="00B335C0"/>
    <w:rsid w:val="00B537FF"/>
    <w:rsid w:val="00B72D10"/>
    <w:rsid w:val="00B776BB"/>
    <w:rsid w:val="00BA366D"/>
    <w:rsid w:val="00BE2CD5"/>
    <w:rsid w:val="00C63DDF"/>
    <w:rsid w:val="00CB3664"/>
    <w:rsid w:val="00CC1585"/>
    <w:rsid w:val="00D106BA"/>
    <w:rsid w:val="00D45DAD"/>
    <w:rsid w:val="00D904F0"/>
    <w:rsid w:val="00DC20DD"/>
    <w:rsid w:val="00DD465F"/>
    <w:rsid w:val="00E31A78"/>
    <w:rsid w:val="00E761C0"/>
    <w:rsid w:val="00EE7817"/>
    <w:rsid w:val="00EF7165"/>
    <w:rsid w:val="00F11B72"/>
    <w:rsid w:val="00F70FCD"/>
    <w:rsid w:val="00F774AD"/>
    <w:rsid w:val="00F96624"/>
    <w:rsid w:val="00FC215C"/>
    <w:rsid w:val="00FD06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695F0"/>
  <w15:docId w15:val="{CFA6FD8C-9A1E-4A25-91FF-286E668DD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7C4D26"/>
    <w:pPr>
      <w:keepNext/>
      <w:keepLines/>
      <w:spacing w:before="320" w:after="120"/>
      <w:jc w:val="both"/>
      <w:outlineLvl w:val="2"/>
    </w:pPr>
    <w:rPr>
      <w:rFonts w:ascii="Times New Roman" w:eastAsiaTheme="majorEastAsia" w:hAnsi="Times New Roman"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2C0136"/>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2C0136"/>
    <w:rPr>
      <w:lang w:val="en-GB"/>
    </w:rPr>
  </w:style>
  <w:style w:type="paragraph" w:styleId="Footer">
    <w:name w:val="footer"/>
    <w:basedOn w:val="Normal"/>
    <w:link w:val="FooterChar"/>
    <w:uiPriority w:val="99"/>
    <w:unhideWhenUsed/>
    <w:rsid w:val="002C0136"/>
    <w:pPr>
      <w:tabs>
        <w:tab w:val="center" w:pos="4703"/>
        <w:tab w:val="right" w:pos="9406"/>
      </w:tabs>
      <w:spacing w:line="240" w:lineRule="auto"/>
    </w:pPr>
  </w:style>
  <w:style w:type="character" w:customStyle="1" w:styleId="FooterChar">
    <w:name w:val="Footer Char"/>
    <w:basedOn w:val="DefaultParagraphFont"/>
    <w:link w:val="Footer"/>
    <w:uiPriority w:val="99"/>
    <w:rsid w:val="002C0136"/>
    <w:rPr>
      <w:lang w:val="en-GB"/>
    </w:rPr>
  </w:style>
  <w:style w:type="character" w:styleId="Hyperlink">
    <w:name w:val="Hyperlink"/>
    <w:basedOn w:val="DefaultParagraphFont"/>
    <w:uiPriority w:val="99"/>
    <w:unhideWhenUsed/>
    <w:rsid w:val="00B776BB"/>
    <w:rPr>
      <w:color w:val="0000FF" w:themeColor="hyperlink"/>
      <w:u w:val="single"/>
    </w:rPr>
  </w:style>
  <w:style w:type="paragraph" w:customStyle="1" w:styleId="inline">
    <w:name w:val="inline"/>
    <w:basedOn w:val="Normal"/>
    <w:rsid w:val="00332484"/>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7C4D26"/>
    <w:rPr>
      <w:rFonts w:ascii="Times New Roman" w:eastAsiaTheme="majorEastAsia" w:hAnsi="Times New Roman" w:cstheme="majorBidi"/>
      <w:b/>
      <w:bCs/>
      <w:color w:val="000000" w:themeColor="text1"/>
      <w:lang w:val="en-GB"/>
    </w:rPr>
  </w:style>
  <w:style w:type="paragraph" w:styleId="TOC1">
    <w:name w:val="toc 1"/>
    <w:basedOn w:val="Normal"/>
    <w:next w:val="Normal"/>
    <w:autoRedefine/>
    <w:uiPriority w:val="39"/>
    <w:unhideWhenUsed/>
    <w:rsid w:val="007C4D26"/>
    <w:pPr>
      <w:spacing w:after="100"/>
    </w:pPr>
  </w:style>
  <w:style w:type="paragraph" w:styleId="TOC2">
    <w:name w:val="toc 2"/>
    <w:basedOn w:val="Normal"/>
    <w:next w:val="Normal"/>
    <w:autoRedefine/>
    <w:uiPriority w:val="39"/>
    <w:unhideWhenUsed/>
    <w:rsid w:val="007C4D26"/>
    <w:pPr>
      <w:spacing w:after="100"/>
      <w:ind w:left="220"/>
    </w:pPr>
  </w:style>
  <w:style w:type="paragraph" w:styleId="TOC3">
    <w:name w:val="toc 3"/>
    <w:basedOn w:val="Normal"/>
    <w:next w:val="Normal"/>
    <w:autoRedefine/>
    <w:uiPriority w:val="39"/>
    <w:unhideWhenUsed/>
    <w:rsid w:val="007C4D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50345">
      <w:bodyDiv w:val="1"/>
      <w:marLeft w:val="0"/>
      <w:marRight w:val="0"/>
      <w:marTop w:val="0"/>
      <w:marBottom w:val="0"/>
      <w:divBdr>
        <w:top w:val="none" w:sz="0" w:space="0" w:color="auto"/>
        <w:left w:val="none" w:sz="0" w:space="0" w:color="auto"/>
        <w:bottom w:val="none" w:sz="0" w:space="0" w:color="auto"/>
        <w:right w:val="none" w:sz="0" w:space="0" w:color="auto"/>
      </w:divBdr>
    </w:div>
    <w:div w:id="147016680">
      <w:bodyDiv w:val="1"/>
      <w:marLeft w:val="0"/>
      <w:marRight w:val="0"/>
      <w:marTop w:val="0"/>
      <w:marBottom w:val="0"/>
      <w:divBdr>
        <w:top w:val="none" w:sz="0" w:space="0" w:color="auto"/>
        <w:left w:val="none" w:sz="0" w:space="0" w:color="auto"/>
        <w:bottom w:val="none" w:sz="0" w:space="0" w:color="auto"/>
        <w:right w:val="none" w:sz="0" w:space="0" w:color="auto"/>
      </w:divBdr>
    </w:div>
    <w:div w:id="237790812">
      <w:bodyDiv w:val="1"/>
      <w:marLeft w:val="0"/>
      <w:marRight w:val="0"/>
      <w:marTop w:val="0"/>
      <w:marBottom w:val="0"/>
      <w:divBdr>
        <w:top w:val="none" w:sz="0" w:space="0" w:color="auto"/>
        <w:left w:val="none" w:sz="0" w:space="0" w:color="auto"/>
        <w:bottom w:val="none" w:sz="0" w:space="0" w:color="auto"/>
        <w:right w:val="none" w:sz="0" w:space="0" w:color="auto"/>
      </w:divBdr>
    </w:div>
    <w:div w:id="348023058">
      <w:bodyDiv w:val="1"/>
      <w:marLeft w:val="0"/>
      <w:marRight w:val="0"/>
      <w:marTop w:val="0"/>
      <w:marBottom w:val="0"/>
      <w:divBdr>
        <w:top w:val="none" w:sz="0" w:space="0" w:color="auto"/>
        <w:left w:val="none" w:sz="0" w:space="0" w:color="auto"/>
        <w:bottom w:val="none" w:sz="0" w:space="0" w:color="auto"/>
        <w:right w:val="none" w:sz="0" w:space="0" w:color="auto"/>
      </w:divBdr>
    </w:div>
    <w:div w:id="1033923411">
      <w:bodyDiv w:val="1"/>
      <w:marLeft w:val="0"/>
      <w:marRight w:val="0"/>
      <w:marTop w:val="0"/>
      <w:marBottom w:val="0"/>
      <w:divBdr>
        <w:top w:val="none" w:sz="0" w:space="0" w:color="auto"/>
        <w:left w:val="none" w:sz="0" w:space="0" w:color="auto"/>
        <w:bottom w:val="none" w:sz="0" w:space="0" w:color="auto"/>
        <w:right w:val="none" w:sz="0" w:space="0" w:color="auto"/>
      </w:divBdr>
    </w:div>
    <w:div w:id="1171678572">
      <w:bodyDiv w:val="1"/>
      <w:marLeft w:val="0"/>
      <w:marRight w:val="0"/>
      <w:marTop w:val="0"/>
      <w:marBottom w:val="0"/>
      <w:divBdr>
        <w:top w:val="none" w:sz="0" w:space="0" w:color="auto"/>
        <w:left w:val="none" w:sz="0" w:space="0" w:color="auto"/>
        <w:bottom w:val="none" w:sz="0" w:space="0" w:color="auto"/>
        <w:right w:val="none" w:sz="0" w:space="0" w:color="auto"/>
      </w:divBdr>
    </w:div>
    <w:div w:id="1282808673">
      <w:bodyDiv w:val="1"/>
      <w:marLeft w:val="0"/>
      <w:marRight w:val="0"/>
      <w:marTop w:val="0"/>
      <w:marBottom w:val="0"/>
      <w:divBdr>
        <w:top w:val="none" w:sz="0" w:space="0" w:color="auto"/>
        <w:left w:val="none" w:sz="0" w:space="0" w:color="auto"/>
        <w:bottom w:val="none" w:sz="0" w:space="0" w:color="auto"/>
        <w:right w:val="none" w:sz="0" w:space="0" w:color="auto"/>
      </w:divBdr>
    </w:div>
    <w:div w:id="1669869923">
      <w:bodyDiv w:val="1"/>
      <w:marLeft w:val="0"/>
      <w:marRight w:val="0"/>
      <w:marTop w:val="0"/>
      <w:marBottom w:val="0"/>
      <w:divBdr>
        <w:top w:val="none" w:sz="0" w:space="0" w:color="auto"/>
        <w:left w:val="none" w:sz="0" w:space="0" w:color="auto"/>
        <w:bottom w:val="none" w:sz="0" w:space="0" w:color="auto"/>
        <w:right w:val="none" w:sz="0" w:space="0" w:color="auto"/>
      </w:divBdr>
    </w:div>
    <w:div w:id="1828402056">
      <w:bodyDiv w:val="1"/>
      <w:marLeft w:val="0"/>
      <w:marRight w:val="0"/>
      <w:marTop w:val="0"/>
      <w:marBottom w:val="0"/>
      <w:divBdr>
        <w:top w:val="none" w:sz="0" w:space="0" w:color="auto"/>
        <w:left w:val="none" w:sz="0" w:space="0" w:color="auto"/>
        <w:bottom w:val="none" w:sz="0" w:space="0" w:color="auto"/>
        <w:right w:val="none" w:sz="0" w:space="0" w:color="auto"/>
      </w:divBdr>
    </w:div>
    <w:div w:id="2074355357">
      <w:bodyDiv w:val="1"/>
      <w:marLeft w:val="0"/>
      <w:marRight w:val="0"/>
      <w:marTop w:val="0"/>
      <w:marBottom w:val="0"/>
      <w:divBdr>
        <w:top w:val="none" w:sz="0" w:space="0" w:color="auto"/>
        <w:left w:val="none" w:sz="0" w:space="0" w:color="auto"/>
        <w:bottom w:val="none" w:sz="0" w:space="0" w:color="auto"/>
        <w:right w:val="none" w:sz="0" w:space="0" w:color="auto"/>
      </w:divBdr>
    </w:div>
    <w:div w:id="212476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insider.com/elizabeth-line-railway-commute-train-cost-arrive-work-early-london-2022-6" TargetMode="External"/><Relationship Id="rId18" Type="http://schemas.openxmlformats.org/officeDocument/2006/relationships/hyperlink" Target="https://tfl.gov.uk/corporate/transparency/freedom-of-information/foi-request-detail?referenceId=FOI-0851-1819" TargetMode="External"/><Relationship Id="rId3" Type="http://schemas.openxmlformats.org/officeDocument/2006/relationships/styles" Target="styles.xml"/><Relationship Id="rId21" Type="http://schemas.openxmlformats.org/officeDocument/2006/relationships/hyperlink" Target="https://www.gov.uk/government/publications/net-zero-strategy" TargetMode="External"/><Relationship Id="rId7" Type="http://schemas.openxmlformats.org/officeDocument/2006/relationships/endnotes" Target="endnotes.xml"/><Relationship Id="rId12" Type="http://schemas.openxmlformats.org/officeDocument/2006/relationships/hyperlink" Target="https://www.crossrail.co.uk/news/articles/crossrail-creating-lasting-legacy-local-jobs-for-londoners" TargetMode="External"/><Relationship Id="rId17" Type="http://schemas.openxmlformats.org/officeDocument/2006/relationships/hyperlink" Target="https://tradingeconomics.com/country-list/inflation-rate" TargetMode="External"/><Relationship Id="rId2" Type="http://schemas.openxmlformats.org/officeDocument/2006/relationships/numbering" Target="numbering.xml"/><Relationship Id="rId16" Type="http://schemas.openxmlformats.org/officeDocument/2006/relationships/hyperlink" Target="http://www.diva-portal.org/smash/get/diva2:159594/FULLTEXT01.pdf" TargetMode="External"/><Relationship Id="rId20" Type="http://schemas.openxmlformats.org/officeDocument/2006/relationships/hyperlink" Target="https://www.railway-technology.com/analysis/timeline-crossrail-delay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ssrail.co.uk/projec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lobal.com/outdoor/rail/tfl-rail-estate-advertising/elizabeth-line-advertising/sustainability/" TargetMode="External"/><Relationship Id="rId23" Type="http://schemas.openxmlformats.org/officeDocument/2006/relationships/fontTable" Target="fontTable.xml"/><Relationship Id="rId10" Type="http://schemas.openxmlformats.org/officeDocument/2006/relationships/hyperlink" Target="https://www.crossrail.co.uk/news/articles/number-of-homes-and-jobs-created-by-delivery-of-elizabeth-line-far-exceeds-predictions" TargetMode="External"/><Relationship Id="rId19" Type="http://schemas.openxmlformats.org/officeDocument/2006/relationships/hyperlink" Target="https://tfl.gov.uk/travel-information/improvements-and-projects/elizabeth-line" TargetMode="External"/><Relationship Id="rId4" Type="http://schemas.openxmlformats.org/officeDocument/2006/relationships/settings" Target="settings.xml"/><Relationship Id="rId9" Type="http://schemas.openxmlformats.org/officeDocument/2006/relationships/hyperlink" Target="https://www.bbc.com/news/uk-england-london-61415714" TargetMode="External"/><Relationship Id="rId14" Type="http://schemas.openxmlformats.org/officeDocument/2006/relationships/hyperlink" Target="https://www.bbc.com/news/uk-england-london-6140959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3A546C-E999-4609-AF9E-3B68689A2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3034</TotalTime>
  <Pages>13</Pages>
  <Words>3697</Words>
  <Characters>21074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55</cp:revision>
  <dcterms:created xsi:type="dcterms:W3CDTF">2022-09-06T10:49:00Z</dcterms:created>
  <dcterms:modified xsi:type="dcterms:W3CDTF">2022-09-14T06:07:00Z</dcterms:modified>
</cp:coreProperties>
</file>