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5E38F7F" w14:textId="51C9A2AF" w:rsidR="00715990" w:rsidRPr="0087162B" w:rsidRDefault="00715990" w:rsidP="00CB0F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87162B">
        <w:rPr>
          <w:rFonts w:ascii="Arial" w:hAnsi="Arial" w:cs="Arial"/>
          <w:b/>
          <w:bCs/>
          <w:sz w:val="22"/>
        </w:rPr>
        <w:t>BSc (Hons) Health and Social Care</w:t>
      </w:r>
    </w:p>
    <w:p w14:paraId="358C7E62" w14:textId="77777777" w:rsidR="00AD0E8D" w:rsidRPr="0087162B" w:rsidRDefault="00AD0E8D" w:rsidP="00CB0F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7680A4B0" w14:textId="3F72E373" w:rsidR="00715990" w:rsidRPr="0087162B" w:rsidRDefault="00715990" w:rsidP="00CB0FA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87162B">
        <w:rPr>
          <w:rFonts w:ascii="Arial" w:hAnsi="Arial" w:cs="Arial"/>
          <w:b/>
          <w:bCs/>
          <w:sz w:val="22"/>
        </w:rPr>
        <w:t xml:space="preserve">Module: </w:t>
      </w:r>
      <w:r w:rsidR="00AD0E8D" w:rsidRPr="0087162B">
        <w:rPr>
          <w:rFonts w:ascii="Arial" w:hAnsi="Arial" w:cs="Arial"/>
          <w:b/>
          <w:bCs/>
          <w:sz w:val="22"/>
        </w:rPr>
        <w:t>Introduction to Independent Research Skills</w:t>
      </w:r>
      <w:r w:rsidRPr="0087162B">
        <w:rPr>
          <w:rFonts w:ascii="Arial" w:hAnsi="Arial" w:cs="Arial"/>
          <w:b/>
          <w:bCs/>
          <w:sz w:val="22"/>
        </w:rPr>
        <w:t xml:space="preserve"> (BMHP</w:t>
      </w:r>
      <w:r w:rsidR="00AD0E8D" w:rsidRPr="0087162B">
        <w:rPr>
          <w:rFonts w:ascii="Arial" w:hAnsi="Arial" w:cs="Arial"/>
          <w:b/>
          <w:bCs/>
          <w:sz w:val="22"/>
        </w:rPr>
        <w:t>5019</w:t>
      </w:r>
      <w:r w:rsidRPr="0087162B">
        <w:rPr>
          <w:rFonts w:ascii="Arial" w:hAnsi="Arial" w:cs="Arial"/>
          <w:b/>
          <w:bCs/>
          <w:sz w:val="22"/>
        </w:rPr>
        <w:t>)</w:t>
      </w:r>
    </w:p>
    <w:p w14:paraId="3157DF3C" w14:textId="77777777" w:rsidR="00715990" w:rsidRPr="0087162B" w:rsidRDefault="00715990" w:rsidP="00CB0FA2">
      <w:pPr>
        <w:spacing w:line="360" w:lineRule="auto"/>
        <w:jc w:val="center"/>
        <w:rPr>
          <w:rFonts w:ascii="Arial" w:hAnsi="Arial" w:cs="Arial"/>
          <w:sz w:val="22"/>
        </w:rPr>
      </w:pPr>
    </w:p>
    <w:p w14:paraId="08BDA311" w14:textId="63C2E28F" w:rsidR="00041A5A" w:rsidRPr="0087162B" w:rsidRDefault="00715990" w:rsidP="00CB0FA2">
      <w:pPr>
        <w:spacing w:line="360" w:lineRule="auto"/>
        <w:jc w:val="center"/>
        <w:rPr>
          <w:rFonts w:ascii="Arial" w:hAnsi="Arial" w:cs="Arial"/>
          <w:sz w:val="22"/>
        </w:rPr>
      </w:pPr>
      <w:r w:rsidRPr="0087162B">
        <w:rPr>
          <w:rFonts w:ascii="Arial" w:hAnsi="Arial" w:cs="Arial"/>
          <w:b/>
          <w:bCs/>
          <w:sz w:val="22"/>
        </w:rPr>
        <w:t xml:space="preserve">Assessment title: </w:t>
      </w:r>
      <w:r w:rsidR="00AD0E8D" w:rsidRPr="0087162B">
        <w:rPr>
          <w:rFonts w:ascii="Arial" w:hAnsi="Arial" w:cs="Arial"/>
          <w:sz w:val="22"/>
        </w:rPr>
        <w:t>Assessment 1 - Research</w:t>
      </w:r>
      <w:r w:rsidRPr="0087162B">
        <w:rPr>
          <w:rFonts w:ascii="Arial" w:hAnsi="Arial" w:cs="Arial"/>
          <w:sz w:val="22"/>
        </w:rPr>
        <w:t xml:space="preserve"> Proposal</w:t>
      </w:r>
    </w:p>
    <w:p w14:paraId="2EDEAE0B" w14:textId="149B09BE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1AD185BB" w14:textId="77777777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684DDF82" w14:textId="3ED17CCB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  <w:r w:rsidRPr="0087162B">
        <w:rPr>
          <w:rFonts w:ascii="Arial" w:hAnsi="Arial" w:cs="Arial"/>
          <w:b/>
          <w:bCs/>
          <w:sz w:val="22"/>
        </w:rPr>
        <w:t>Student ID</w:t>
      </w:r>
      <w:r w:rsidRPr="0087162B">
        <w:rPr>
          <w:rFonts w:ascii="Arial" w:hAnsi="Arial" w:cs="Arial"/>
          <w:sz w:val="22"/>
        </w:rPr>
        <w:t xml:space="preserve">: </w:t>
      </w:r>
      <w:r w:rsidR="00F1335F">
        <w:rPr>
          <w:rFonts w:ascii="Arial" w:hAnsi="Arial" w:cs="Arial"/>
          <w:sz w:val="22"/>
        </w:rPr>
        <w:t>2333272</w:t>
      </w:r>
    </w:p>
    <w:p w14:paraId="01D5D8DB" w14:textId="03ED09ED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37A27DB3" w14:textId="0ACD18C2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  <w:r w:rsidRPr="0087162B">
        <w:rPr>
          <w:rFonts w:ascii="Arial" w:hAnsi="Arial" w:cs="Arial"/>
          <w:b/>
          <w:bCs/>
          <w:sz w:val="22"/>
        </w:rPr>
        <w:t>Student Name</w:t>
      </w:r>
      <w:r w:rsidRPr="0087162B">
        <w:rPr>
          <w:rFonts w:ascii="Arial" w:hAnsi="Arial" w:cs="Arial"/>
          <w:sz w:val="22"/>
        </w:rPr>
        <w:t xml:space="preserve">: </w:t>
      </w:r>
      <w:r w:rsidR="00F1335F">
        <w:rPr>
          <w:rFonts w:ascii="Arial" w:hAnsi="Arial" w:cs="Arial"/>
          <w:sz w:val="22"/>
        </w:rPr>
        <w:t xml:space="preserve">Cynthia nelson-yeboah </w:t>
      </w:r>
    </w:p>
    <w:p w14:paraId="638A4615" w14:textId="77777777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0B04E018" w14:textId="10449101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  <w:r w:rsidRPr="0087162B">
        <w:rPr>
          <w:rFonts w:ascii="Arial" w:hAnsi="Arial" w:cs="Arial"/>
          <w:b/>
          <w:bCs/>
          <w:sz w:val="22"/>
        </w:rPr>
        <w:t>Date of submission</w:t>
      </w:r>
      <w:r w:rsidRPr="0087162B">
        <w:rPr>
          <w:rFonts w:ascii="Arial" w:hAnsi="Arial" w:cs="Arial"/>
          <w:sz w:val="22"/>
        </w:rPr>
        <w:t xml:space="preserve">: </w:t>
      </w:r>
      <w:r w:rsidR="0056795B" w:rsidRPr="0087162B">
        <w:rPr>
          <w:rFonts w:ascii="Arial" w:hAnsi="Arial" w:cs="Arial"/>
          <w:sz w:val="22"/>
        </w:rPr>
        <w:t>12</w:t>
      </w:r>
      <w:r w:rsidR="0056795B" w:rsidRPr="0087162B">
        <w:rPr>
          <w:rFonts w:ascii="Arial" w:hAnsi="Arial" w:cs="Arial"/>
          <w:sz w:val="22"/>
          <w:vertAlign w:val="superscript"/>
        </w:rPr>
        <w:t>th</w:t>
      </w:r>
      <w:r w:rsidR="0056795B" w:rsidRPr="0087162B">
        <w:rPr>
          <w:rFonts w:ascii="Arial" w:hAnsi="Arial" w:cs="Arial"/>
          <w:sz w:val="22"/>
        </w:rPr>
        <w:t xml:space="preserve"> March, 2026</w:t>
      </w:r>
    </w:p>
    <w:p w14:paraId="19AA26A9" w14:textId="2F99F205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3FE66E60" w14:textId="296D2BB7" w:rsidR="00FF5B70" w:rsidRPr="0087162B" w:rsidRDefault="00FF5B70" w:rsidP="00CB0FA2">
      <w:pPr>
        <w:spacing w:line="360" w:lineRule="auto"/>
        <w:jc w:val="both"/>
        <w:rPr>
          <w:rFonts w:ascii="Arial" w:hAnsi="Arial" w:cs="Arial"/>
          <w:b/>
          <w:bCs/>
          <w:sz w:val="22"/>
        </w:rPr>
      </w:pPr>
      <w:r w:rsidRPr="0087162B">
        <w:rPr>
          <w:rFonts w:ascii="Arial" w:hAnsi="Arial" w:cs="Arial"/>
          <w:b/>
          <w:bCs/>
          <w:sz w:val="22"/>
        </w:rPr>
        <w:t>Word count</w:t>
      </w:r>
      <w:r w:rsidRPr="0087162B">
        <w:rPr>
          <w:rFonts w:ascii="Arial" w:hAnsi="Arial" w:cs="Arial"/>
          <w:sz w:val="22"/>
        </w:rPr>
        <w:t xml:space="preserve">: </w:t>
      </w:r>
      <w:r w:rsidR="0040680F">
        <w:rPr>
          <w:rFonts w:ascii="Arial" w:hAnsi="Arial" w:cs="Arial"/>
          <w:sz w:val="22"/>
        </w:rPr>
        <w:t>424</w:t>
      </w:r>
      <w:r w:rsidR="008276F3">
        <w:rPr>
          <w:rFonts w:ascii="Arial" w:hAnsi="Arial" w:cs="Arial"/>
          <w:sz w:val="22"/>
        </w:rPr>
        <w:t xml:space="preserve"> Words</w:t>
      </w:r>
    </w:p>
    <w:p w14:paraId="5BD313B6" w14:textId="4BA804DC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07CF3A4D" w14:textId="4AAF8C7D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  <w:r w:rsidRPr="0087162B">
        <w:rPr>
          <w:rFonts w:ascii="Arial" w:hAnsi="Arial" w:cs="Arial"/>
          <w:sz w:val="22"/>
        </w:rPr>
        <w:br w:type="page"/>
      </w:r>
    </w:p>
    <w:p w14:paraId="75E7FD5C" w14:textId="19E855F6" w:rsidR="00545684" w:rsidRPr="0087162B" w:rsidRDefault="00AD0E8D" w:rsidP="00CB0FA2">
      <w:pPr>
        <w:pStyle w:val="Heading1"/>
      </w:pPr>
      <w:r w:rsidRPr="0087162B">
        <w:lastRenderedPageBreak/>
        <w:t>Research</w:t>
      </w:r>
      <w:r w:rsidR="00545684" w:rsidRPr="0087162B">
        <w:t xml:space="preserve"> </w:t>
      </w:r>
      <w:r w:rsidR="000B7CD5" w:rsidRPr="0087162B">
        <w:t>P</w:t>
      </w:r>
      <w:r w:rsidR="00545684" w:rsidRPr="0087162B">
        <w:t>roposal</w:t>
      </w:r>
    </w:p>
    <w:p w14:paraId="6630FBCE" w14:textId="0038F936" w:rsidR="00D769F0" w:rsidRPr="0087162B" w:rsidRDefault="00D769F0" w:rsidP="00CB0FA2">
      <w:pPr>
        <w:spacing w:line="360" w:lineRule="auto"/>
        <w:jc w:val="both"/>
        <w:rPr>
          <w:sz w:val="22"/>
        </w:rPr>
      </w:pPr>
    </w:p>
    <w:p w14:paraId="24BD4B42" w14:textId="1FE4699D" w:rsidR="00D769F0" w:rsidRPr="0087162B" w:rsidRDefault="00AD0E8D" w:rsidP="0087162B">
      <w:pPr>
        <w:pStyle w:val="Heading2"/>
      </w:pPr>
      <w:r w:rsidRPr="0087162B">
        <w:rPr>
          <w:b/>
        </w:rPr>
        <w:t>Topic</w:t>
      </w:r>
      <w:r w:rsidR="00D769F0" w:rsidRPr="0087162B">
        <w:rPr>
          <w:b/>
        </w:rPr>
        <w:t>:</w:t>
      </w:r>
      <w:r w:rsidR="0096390F" w:rsidRPr="0087162B">
        <w:t xml:space="preserve"> The impact of telehealth on access to primary care services in the UK</w:t>
      </w:r>
    </w:p>
    <w:p w14:paraId="03FD30D3" w14:textId="475F3855" w:rsidR="00715990" w:rsidRPr="0087162B" w:rsidRDefault="0071599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4C6858D8" w14:textId="675E7C5D" w:rsidR="00784670" w:rsidRPr="0087162B" w:rsidRDefault="00FF5B70" w:rsidP="0087162B">
      <w:pPr>
        <w:pStyle w:val="Heading2"/>
      </w:pPr>
      <w:r w:rsidRPr="0087162B">
        <w:rPr>
          <w:b/>
        </w:rPr>
        <w:t>1</w:t>
      </w:r>
      <w:r w:rsidR="00784670" w:rsidRPr="0087162B">
        <w:rPr>
          <w:b/>
        </w:rPr>
        <w:t xml:space="preserve">) </w:t>
      </w:r>
      <w:r w:rsidR="00AD0E8D" w:rsidRPr="0087162B">
        <w:rPr>
          <w:b/>
        </w:rPr>
        <w:t>Review question</w:t>
      </w:r>
      <w:r w:rsidR="00784670" w:rsidRPr="0087162B">
        <w:rPr>
          <w:b/>
        </w:rPr>
        <w:t>:</w:t>
      </w:r>
      <w:r w:rsidR="0056795B" w:rsidRPr="0087162B">
        <w:t xml:space="preserve"> What is known from existing peer-reviewed literature about the impact of telehealth on access to primary care services in UK health practice?</w:t>
      </w:r>
    </w:p>
    <w:p w14:paraId="2ED5ED87" w14:textId="77777777" w:rsidR="0056795B" w:rsidRPr="0087162B" w:rsidRDefault="0056795B" w:rsidP="00CB0FA2">
      <w:pPr>
        <w:jc w:val="both"/>
      </w:pPr>
    </w:p>
    <w:p w14:paraId="364B9D45" w14:textId="502ED231" w:rsidR="008E44FE" w:rsidRPr="0087162B" w:rsidRDefault="00FF5B70" w:rsidP="0087162B">
      <w:pPr>
        <w:pStyle w:val="Heading2"/>
      </w:pPr>
      <w:r w:rsidRPr="0087162B">
        <w:rPr>
          <w:b/>
        </w:rPr>
        <w:t>2</w:t>
      </w:r>
      <w:r w:rsidR="00784670" w:rsidRPr="0087162B">
        <w:rPr>
          <w:b/>
        </w:rPr>
        <w:t>) O</w:t>
      </w:r>
      <w:r w:rsidR="00545684" w:rsidRPr="0087162B">
        <w:rPr>
          <w:b/>
        </w:rPr>
        <w:t>bjectives:</w:t>
      </w:r>
      <w:r w:rsidR="008E44FE" w:rsidRPr="0087162B">
        <w:t xml:space="preserve"> The study aims to </w:t>
      </w:r>
    </w:p>
    <w:p w14:paraId="081E81BA" w14:textId="77777777" w:rsidR="008E44FE" w:rsidRPr="0087162B" w:rsidRDefault="008E44FE" w:rsidP="0087162B">
      <w:pPr>
        <w:pStyle w:val="Heading2"/>
        <w:numPr>
          <w:ilvl w:val="0"/>
          <w:numId w:val="2"/>
        </w:numPr>
      </w:pPr>
      <w:r w:rsidRPr="0087162B">
        <w:t xml:space="preserve">map existing evidence about telehealth services which UK primary care facilities currently use. </w:t>
      </w:r>
    </w:p>
    <w:p w14:paraId="27AE7FCA" w14:textId="77777777" w:rsidR="008E44FE" w:rsidRPr="0087162B" w:rsidRDefault="008E44FE" w:rsidP="0087162B">
      <w:pPr>
        <w:pStyle w:val="Heading2"/>
        <w:numPr>
          <w:ilvl w:val="0"/>
          <w:numId w:val="2"/>
        </w:numPr>
      </w:pPr>
      <w:r w:rsidRPr="0087162B">
        <w:t xml:space="preserve">determine which benefits and telehealth challenges have been documented to show their effects on patient access. </w:t>
      </w:r>
    </w:p>
    <w:p w14:paraId="6E231FA1" w14:textId="77777777" w:rsidR="008E44FE" w:rsidRPr="0087162B" w:rsidRDefault="008E44FE" w:rsidP="0087162B">
      <w:pPr>
        <w:pStyle w:val="Heading2"/>
        <w:numPr>
          <w:ilvl w:val="0"/>
          <w:numId w:val="2"/>
        </w:numPr>
      </w:pPr>
      <w:r w:rsidRPr="0087162B">
        <w:t xml:space="preserve">examine how telehealth technology impacts various population groups which include older adults and people living in rural areas. </w:t>
      </w:r>
    </w:p>
    <w:p w14:paraId="4DE92F51" w14:textId="6BAE7E41" w:rsidR="00041A5A" w:rsidRPr="0087162B" w:rsidRDefault="008E44FE" w:rsidP="0087162B">
      <w:pPr>
        <w:pStyle w:val="Heading2"/>
        <w:numPr>
          <w:ilvl w:val="0"/>
          <w:numId w:val="2"/>
        </w:numPr>
      </w:pPr>
      <w:r w:rsidRPr="0087162B">
        <w:t>identify literature gaps which researchers can use to develop future studies and practical applications.</w:t>
      </w:r>
    </w:p>
    <w:p w14:paraId="202E7668" w14:textId="77777777" w:rsidR="00CB0FA2" w:rsidRPr="0087162B" w:rsidRDefault="00CB0FA2" w:rsidP="00CB0FA2">
      <w:pPr>
        <w:jc w:val="both"/>
      </w:pPr>
    </w:p>
    <w:p w14:paraId="6C2C5A7E" w14:textId="3EF0DF3C" w:rsidR="00CB0FA2" w:rsidRPr="0087162B" w:rsidRDefault="00FF5B70" w:rsidP="0087162B">
      <w:pPr>
        <w:pStyle w:val="Heading2"/>
      </w:pPr>
      <w:r w:rsidRPr="0087162B">
        <w:rPr>
          <w:b/>
        </w:rPr>
        <w:t>3</w:t>
      </w:r>
      <w:r w:rsidR="008E5015" w:rsidRPr="0087162B">
        <w:rPr>
          <w:b/>
        </w:rPr>
        <w:t xml:space="preserve">) </w:t>
      </w:r>
      <w:r w:rsidR="00AD0E8D" w:rsidRPr="0087162B">
        <w:rPr>
          <w:b/>
        </w:rPr>
        <w:t>Rationale</w:t>
      </w:r>
      <w:r w:rsidR="00545684" w:rsidRPr="0087162B">
        <w:rPr>
          <w:b/>
        </w:rPr>
        <w:t>:</w:t>
      </w:r>
      <w:r w:rsidR="00CB0FA2" w:rsidRPr="0087162B">
        <w:t xml:space="preserve"> Telehealth has become a central feature of UK healthcar</w:t>
      </w:r>
      <w:r w:rsidR="00356637" w:rsidRPr="0087162B">
        <w:t>e delivery which gained speed</w:t>
      </w:r>
      <w:r w:rsidR="00CB0FA2" w:rsidRPr="0087162B">
        <w:t xml:space="preserve"> during the COVID-19 pandemic. The National Health Service</w:t>
      </w:r>
      <w:r w:rsidR="00356637" w:rsidRPr="0087162B">
        <w:t xml:space="preserve"> (NHS)</w:t>
      </w:r>
      <w:r w:rsidR="00CB0FA2" w:rsidRPr="0087162B">
        <w:t xml:space="preserve"> implemented remote consultations at an accelerated pace to continue delivering services while protecting people from infection. </w:t>
      </w:r>
      <w:r w:rsidR="00D408F6" w:rsidRPr="0087162B">
        <w:t>The NHS England (2019) report</w:t>
      </w:r>
      <w:r w:rsidR="00CB0FA2" w:rsidRPr="0087162B">
        <w:t xml:space="preserve"> shows that millions of GP appointments now occur through remote delivery each year in the United Kingdom. The convenience of telehealth enables patients to travel less dis</w:t>
      </w:r>
      <w:r w:rsidR="00D408F6" w:rsidRPr="0087162B">
        <w:t xml:space="preserve">tance yet digital exclusion, </w:t>
      </w:r>
      <w:r w:rsidR="00CB0FA2" w:rsidRPr="0087162B">
        <w:t>pat</w:t>
      </w:r>
      <w:r w:rsidR="00D408F6" w:rsidRPr="0087162B">
        <w:t xml:space="preserve">ient safety issues and </w:t>
      </w:r>
      <w:r w:rsidR="00CB0FA2" w:rsidRPr="0087162B">
        <w:t>care continuity still create major problems (Greenhalgh et al., 2020).</w:t>
      </w:r>
    </w:p>
    <w:p w14:paraId="7C988955" w14:textId="77777777" w:rsidR="00CB0FA2" w:rsidRPr="0087162B" w:rsidRDefault="00CB0FA2" w:rsidP="0087162B">
      <w:pPr>
        <w:pStyle w:val="Heading2"/>
      </w:pPr>
    </w:p>
    <w:p w14:paraId="3AC96963" w14:textId="7F1316DD" w:rsidR="00545684" w:rsidRPr="0087162B" w:rsidRDefault="00CB0FA2" w:rsidP="0087162B">
      <w:pPr>
        <w:pStyle w:val="Heading2"/>
      </w:pPr>
      <w:r w:rsidRPr="0087162B">
        <w:t>Digital exclusion creates significant</w:t>
      </w:r>
      <w:r w:rsidR="00105279" w:rsidRPr="0087162B">
        <w:t xml:space="preserve"> challenges for older adults,</w:t>
      </w:r>
      <w:r w:rsidRPr="0087162B">
        <w:t xml:space="preserve"> low-income families and people who lack digital skills because it increases health disparities according to Watts </w:t>
      </w:r>
      <w:r w:rsidR="00105279" w:rsidRPr="0087162B">
        <w:t>(</w:t>
      </w:r>
      <w:r w:rsidRPr="0087162B">
        <w:t>2020</w:t>
      </w:r>
      <w:r w:rsidR="00105279" w:rsidRPr="0087162B">
        <w:t>)</w:t>
      </w:r>
      <w:r w:rsidRPr="0087162B">
        <w:t>. The UK government maintains its commitment to digital transformation through multiple funding projects which include th</w:t>
      </w:r>
      <w:r w:rsidR="008F026B" w:rsidRPr="0087162B">
        <w:t>e NHS Long Term Plan. This topic</w:t>
      </w:r>
      <w:r w:rsidRPr="0087162B">
        <w:t xml:space="preserve"> demonstrates importance for health and social care professionals because digital skills and accessible services have become essential elements of their work. A sc</w:t>
      </w:r>
      <w:r w:rsidR="008F026B" w:rsidRPr="0087162B">
        <w:t>oping review helps</w:t>
      </w:r>
      <w:r w:rsidRPr="0087162B">
        <w:t xml:space="preserve"> to assess all existing evidence while showing important conceptual elements within contemporary studies.</w:t>
      </w:r>
    </w:p>
    <w:p w14:paraId="123E060D" w14:textId="779C77FB" w:rsidR="00545684" w:rsidRPr="0087162B" w:rsidRDefault="00545684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48B3D1A4" w14:textId="77777777" w:rsidR="00041A5A" w:rsidRPr="0087162B" w:rsidRDefault="00041A5A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2D8EFB08" w14:textId="77777777" w:rsidR="0087162B" w:rsidRPr="0087162B" w:rsidRDefault="00FF5B70" w:rsidP="0087162B">
      <w:pPr>
        <w:pStyle w:val="Heading2"/>
      </w:pPr>
      <w:r w:rsidRPr="0087162B">
        <w:rPr>
          <w:b/>
        </w:rPr>
        <w:lastRenderedPageBreak/>
        <w:t>4</w:t>
      </w:r>
      <w:r w:rsidR="008E5015" w:rsidRPr="0087162B">
        <w:rPr>
          <w:b/>
        </w:rPr>
        <w:t xml:space="preserve">) </w:t>
      </w:r>
      <w:r w:rsidR="00545684" w:rsidRPr="0087162B">
        <w:rPr>
          <w:b/>
        </w:rPr>
        <w:t>Methods:</w:t>
      </w:r>
      <w:r w:rsidR="0087162B" w:rsidRPr="0087162B">
        <w:t xml:space="preserve"> </w:t>
      </w:r>
      <w:r w:rsidR="00EF7EBD" w:rsidRPr="0087162B">
        <w:t>The report</w:t>
      </w:r>
      <w:r w:rsidR="001A3943" w:rsidRPr="0087162B">
        <w:t xml:space="preserve"> will implement a scoping review methodology which follows the framework established by </w:t>
      </w:r>
      <w:r w:rsidR="00EF7EBD" w:rsidRPr="0087162B">
        <w:t>Levac et. al. (2010). Electronic database including</w:t>
      </w:r>
      <w:r w:rsidR="001A3943" w:rsidRPr="0087162B">
        <w:t xml:space="preserve"> CINAHL, PubMed, MEDLINE, and Google Scholar </w:t>
      </w:r>
      <w:r w:rsidR="00EF7EBD" w:rsidRPr="0087162B">
        <w:t xml:space="preserve">will be searched </w:t>
      </w:r>
      <w:r w:rsidR="001A3943" w:rsidRPr="0087162B">
        <w:t xml:space="preserve">to find peer-reviewed articles which </w:t>
      </w:r>
      <w:r w:rsidR="00EF7EBD" w:rsidRPr="0087162B">
        <w:t>were published between 2010</w:t>
      </w:r>
      <w:r w:rsidR="001A3943" w:rsidRPr="0087162B">
        <w:t xml:space="preserve"> and </w:t>
      </w:r>
      <w:r w:rsidR="00EF7EBD" w:rsidRPr="0087162B">
        <w:t>2025. S</w:t>
      </w:r>
      <w:r w:rsidR="001A3943" w:rsidRPr="0087162B">
        <w:t>earch terms</w:t>
      </w:r>
      <w:r w:rsidR="00EF7EBD" w:rsidRPr="0087162B">
        <w:t xml:space="preserve"> include</w:t>
      </w:r>
      <w:r w:rsidR="001A3943" w:rsidRPr="0087162B">
        <w:t xml:space="preserve"> "telehealth" "remote consultation" "primary care" "</w:t>
      </w:r>
      <w:r w:rsidR="00EF7EBD" w:rsidRPr="0087162B">
        <w:t>access" and "UK"</w:t>
      </w:r>
      <w:r w:rsidR="001A3943" w:rsidRPr="0087162B">
        <w:t>.</w:t>
      </w:r>
    </w:p>
    <w:p w14:paraId="0889C495" w14:textId="77777777" w:rsidR="0087162B" w:rsidRPr="0087162B" w:rsidRDefault="0087162B" w:rsidP="0087162B">
      <w:pPr>
        <w:pStyle w:val="Heading2"/>
      </w:pPr>
    </w:p>
    <w:p w14:paraId="21F335C2" w14:textId="64AE29E3" w:rsidR="0087162B" w:rsidRPr="0087162B" w:rsidRDefault="001A3943" w:rsidP="0087162B">
      <w:pPr>
        <w:pStyle w:val="Heading2"/>
      </w:pPr>
      <w:r w:rsidRPr="0087162B">
        <w:t>Inclusion criteria: peer-reviewed primary or secondary research studies focused on UK primary care. Exclusion criteria: non-UK studies, opinion pieces, and non-English publications.</w:t>
      </w:r>
    </w:p>
    <w:p w14:paraId="66F40BAF" w14:textId="77777777" w:rsidR="0087162B" w:rsidRPr="0087162B" w:rsidRDefault="0087162B" w:rsidP="0087162B">
      <w:pPr>
        <w:pStyle w:val="Heading2"/>
      </w:pPr>
    </w:p>
    <w:p w14:paraId="08437629" w14:textId="245608E5" w:rsidR="0061260B" w:rsidRPr="0087162B" w:rsidRDefault="00EF7EBD" w:rsidP="0087162B">
      <w:pPr>
        <w:pStyle w:val="Heading2"/>
      </w:pPr>
      <w:r w:rsidRPr="0087162B">
        <w:t xml:space="preserve">The research </w:t>
      </w:r>
      <w:r w:rsidR="001A3943" w:rsidRPr="0087162B">
        <w:t>will use t</w:t>
      </w:r>
      <w:r w:rsidRPr="0087162B">
        <w:t>hematic analysis</w:t>
      </w:r>
      <w:r w:rsidR="0040680F">
        <w:t xml:space="preserve"> to identify recurring patterns related to</w:t>
      </w:r>
      <w:r w:rsidRPr="0087162B">
        <w:t xml:space="preserve"> access, </w:t>
      </w:r>
      <w:r w:rsidR="0040680F">
        <w:t>benefits and barriers</w:t>
      </w:r>
      <w:r w:rsidR="001A3943" w:rsidRPr="0087162B">
        <w:t>.</w:t>
      </w:r>
    </w:p>
    <w:p w14:paraId="6B5F907E" w14:textId="77777777" w:rsidR="0087162B" w:rsidRPr="0087162B" w:rsidRDefault="0087162B" w:rsidP="0087162B"/>
    <w:p w14:paraId="64C3045A" w14:textId="04A14D31" w:rsidR="0061260B" w:rsidRPr="0087162B" w:rsidRDefault="00FF5B70" w:rsidP="0087162B">
      <w:pPr>
        <w:pStyle w:val="Heading2"/>
        <w:rPr>
          <w:b/>
        </w:rPr>
      </w:pPr>
      <w:r w:rsidRPr="0087162B">
        <w:rPr>
          <w:b/>
        </w:rPr>
        <w:t>5</w:t>
      </w:r>
      <w:r w:rsidR="0061260B" w:rsidRPr="0087162B">
        <w:rPr>
          <w:b/>
        </w:rPr>
        <w:t xml:space="preserve">) </w:t>
      </w:r>
      <w:r w:rsidR="00AD0E8D" w:rsidRPr="0087162B">
        <w:rPr>
          <w:b/>
        </w:rPr>
        <w:t>Ethical considerations</w:t>
      </w:r>
      <w:r w:rsidR="00260277" w:rsidRPr="0087162B">
        <w:rPr>
          <w:b/>
        </w:rPr>
        <w:t>:</w:t>
      </w:r>
      <w:r w:rsidR="0087162B">
        <w:rPr>
          <w:b/>
        </w:rPr>
        <w:t xml:space="preserve"> </w:t>
      </w:r>
      <w:r w:rsidR="0087162B" w:rsidRPr="0087162B">
        <w:t xml:space="preserve">As this research involves secondary analysis of published studies, formal NHS ethical approval </w:t>
      </w:r>
      <w:r w:rsidR="007D0DCB">
        <w:t>is not required. The research</w:t>
      </w:r>
      <w:r w:rsidR="0087162B" w:rsidRPr="0087162B">
        <w:t xml:space="preserve"> will adhere to three ethical principles which</w:t>
      </w:r>
      <w:r w:rsidR="007D0DCB">
        <w:t xml:space="preserve"> include academic integrity, </w:t>
      </w:r>
      <w:r w:rsidR="0087162B" w:rsidRPr="0087162B">
        <w:t>accurate representation of findings an</w:t>
      </w:r>
      <w:r w:rsidR="007D0DCB">
        <w:t>d proper referencing. The report</w:t>
      </w:r>
      <w:r w:rsidR="0087162B" w:rsidRPr="0087162B">
        <w:t xml:space="preserve"> will present its findings in an unbiased manner which will help maintain objectivity throughout the process.</w:t>
      </w:r>
    </w:p>
    <w:p w14:paraId="32C49FA8" w14:textId="77777777" w:rsidR="00260277" w:rsidRPr="0087162B" w:rsidRDefault="00260277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376E10FA" w14:textId="77777777" w:rsidR="00260277" w:rsidRPr="0087162B" w:rsidRDefault="00260277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44ED918B" w14:textId="77777777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602D39AC" w14:textId="44AF797D" w:rsidR="00545684" w:rsidRPr="0087162B" w:rsidRDefault="00545684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7D7C2A82" w14:textId="1F77B7A9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4ECDA0BD" w14:textId="77777777" w:rsidR="00FF5B70" w:rsidRPr="0087162B" w:rsidRDefault="00FF5B70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449212CA" w14:textId="77777777" w:rsidR="00545684" w:rsidRPr="0087162B" w:rsidRDefault="00545684" w:rsidP="00CB0FA2">
      <w:pPr>
        <w:spacing w:line="360" w:lineRule="auto"/>
        <w:jc w:val="both"/>
        <w:rPr>
          <w:rFonts w:ascii="Arial" w:hAnsi="Arial" w:cs="Arial"/>
          <w:sz w:val="22"/>
        </w:rPr>
      </w:pPr>
      <w:r w:rsidRPr="0087162B">
        <w:rPr>
          <w:rFonts w:ascii="Arial" w:hAnsi="Arial" w:cs="Arial"/>
          <w:sz w:val="22"/>
        </w:rPr>
        <w:br w:type="page"/>
      </w:r>
    </w:p>
    <w:sdt>
      <w:sdtPr>
        <w:rPr>
          <w:rFonts w:ascii="Times New Roman" w:eastAsiaTheme="minorHAnsi" w:hAnsi="Times New Roman" w:cstheme="minorBidi"/>
          <w:b w:val="0"/>
          <w:sz w:val="24"/>
        </w:rPr>
        <w:id w:val="1687248790"/>
        <w:docPartObj>
          <w:docPartGallery w:val="Bibliographies"/>
          <w:docPartUnique/>
        </w:docPartObj>
      </w:sdtPr>
      <w:sdtEndPr/>
      <w:sdtContent>
        <w:p w14:paraId="567B0940" w14:textId="74AE75EC" w:rsidR="0040680F" w:rsidRPr="0040680F" w:rsidRDefault="0040680F" w:rsidP="0040680F">
          <w:pPr>
            <w:pStyle w:val="Heading1"/>
            <w:rPr>
              <w:rFonts w:cs="Arial"/>
            </w:rPr>
          </w:pPr>
          <w:r w:rsidRPr="0040680F">
            <w:rPr>
              <w:rFonts w:cs="Arial"/>
            </w:rPr>
            <w:t>References</w:t>
          </w:r>
        </w:p>
        <w:sdt>
          <w:sdtPr>
            <w:rPr>
              <w:rFonts w:ascii="Arial" w:hAnsi="Arial" w:cs="Arial"/>
              <w:sz w:val="22"/>
            </w:rPr>
            <w:id w:val="-573587230"/>
            <w:bibliography/>
          </w:sdtPr>
          <w:sdtEndPr>
            <w:rPr>
              <w:rFonts w:ascii="Times New Roman" w:hAnsi="Times New Roman" w:cstheme="minorBidi"/>
              <w:sz w:val="24"/>
            </w:rPr>
          </w:sdtEndPr>
          <w:sdtContent>
            <w:p w14:paraId="5CD5D801" w14:textId="77777777" w:rsidR="0040680F" w:rsidRPr="0040680F" w:rsidRDefault="0040680F" w:rsidP="0040680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</w:rPr>
              </w:pPr>
              <w:r w:rsidRPr="0040680F">
                <w:rPr>
                  <w:rFonts w:ascii="Arial" w:hAnsi="Arial" w:cs="Arial"/>
                  <w:sz w:val="22"/>
                </w:rPr>
                <w:fldChar w:fldCharType="begin"/>
              </w:r>
              <w:r w:rsidRPr="0040680F">
                <w:rPr>
                  <w:rFonts w:ascii="Arial" w:hAnsi="Arial" w:cs="Arial"/>
                  <w:sz w:val="22"/>
                </w:rPr>
                <w:instrText xml:space="preserve"> BIBLIOGRAPHY </w:instrText>
              </w:r>
              <w:r w:rsidRPr="0040680F">
                <w:rPr>
                  <w:rFonts w:ascii="Arial" w:hAnsi="Arial" w:cs="Arial"/>
                  <w:sz w:val="22"/>
                </w:rPr>
                <w:fldChar w:fldCharType="separate"/>
              </w:r>
              <w:r w:rsidRPr="0040680F">
                <w:rPr>
                  <w:rFonts w:ascii="Arial" w:hAnsi="Arial" w:cs="Arial"/>
                  <w:noProof/>
                  <w:sz w:val="22"/>
                </w:rPr>
                <w:t xml:space="preserve">Greenhalgh, T., Wherton, J., Shaw, S. and Morrison, C., 2020. Video consultations for COVID-19. </w:t>
              </w:r>
              <w:r w:rsidRPr="0040680F">
                <w:rPr>
                  <w:rFonts w:ascii="Arial" w:hAnsi="Arial" w:cs="Arial"/>
                  <w:i/>
                  <w:iCs/>
                  <w:noProof/>
                  <w:sz w:val="22"/>
                </w:rPr>
                <w:t>BMJ, 368, m998..</w:t>
              </w:r>
            </w:p>
            <w:p w14:paraId="12CC76C8" w14:textId="77777777" w:rsidR="0040680F" w:rsidRPr="0040680F" w:rsidRDefault="0040680F" w:rsidP="0040680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</w:rPr>
              </w:pPr>
              <w:r w:rsidRPr="0040680F">
                <w:rPr>
                  <w:rFonts w:ascii="Arial" w:hAnsi="Arial" w:cs="Arial"/>
                  <w:noProof/>
                  <w:sz w:val="22"/>
                </w:rPr>
                <w:t xml:space="preserve">Levac, D., Colquhoun, H. and O’Brien, K.K. , 2010. Scoping studies: advancing the methodology. </w:t>
              </w:r>
              <w:r w:rsidRPr="0040680F">
                <w:rPr>
                  <w:rFonts w:ascii="Arial" w:hAnsi="Arial" w:cs="Arial"/>
                  <w:i/>
                  <w:iCs/>
                  <w:noProof/>
                  <w:sz w:val="22"/>
                </w:rPr>
                <w:t xml:space="preserve">Implementation Science, </w:t>
              </w:r>
              <w:r w:rsidRPr="0040680F">
                <w:rPr>
                  <w:rFonts w:ascii="Arial" w:hAnsi="Arial" w:cs="Arial"/>
                  <w:noProof/>
                  <w:sz w:val="22"/>
                </w:rPr>
                <w:t>5(69).</w:t>
              </w:r>
            </w:p>
            <w:p w14:paraId="48F59705" w14:textId="77777777" w:rsidR="0040680F" w:rsidRPr="0040680F" w:rsidRDefault="0040680F" w:rsidP="0040680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</w:rPr>
              </w:pPr>
              <w:r w:rsidRPr="0040680F">
                <w:rPr>
                  <w:rFonts w:ascii="Arial" w:hAnsi="Arial" w:cs="Arial"/>
                  <w:noProof/>
                  <w:sz w:val="22"/>
                </w:rPr>
                <w:t xml:space="preserve">NHS England , 2019. </w:t>
              </w:r>
              <w:r w:rsidRPr="0040680F">
                <w:rPr>
                  <w:rFonts w:ascii="Arial" w:hAnsi="Arial" w:cs="Arial"/>
                  <w:i/>
                  <w:iCs/>
                  <w:noProof/>
                  <w:sz w:val="22"/>
                </w:rPr>
                <w:t xml:space="preserve">Digital First Primary Care: Policy consultation on patient registration, funding and contracting rules. </w:t>
              </w:r>
              <w:r w:rsidRPr="0040680F">
                <w:rPr>
                  <w:rFonts w:ascii="Arial" w:hAnsi="Arial" w:cs="Arial"/>
                  <w:noProof/>
                  <w:sz w:val="22"/>
                </w:rPr>
                <w:t xml:space="preserve">[Online] </w:t>
              </w:r>
              <w:r w:rsidRPr="0040680F">
                <w:rPr>
                  <w:rFonts w:ascii="Arial" w:hAnsi="Arial" w:cs="Arial"/>
                  <w:noProof/>
                  <w:sz w:val="22"/>
                </w:rPr>
                <w:br/>
                <w:t xml:space="preserve">Available at: </w:t>
              </w:r>
              <w:r w:rsidRPr="0040680F">
                <w:rPr>
                  <w:rFonts w:ascii="Arial" w:hAnsi="Arial" w:cs="Arial"/>
                  <w:noProof/>
                  <w:sz w:val="22"/>
                  <w:u w:val="single"/>
                </w:rPr>
                <w:t>https://www.england.nhs.uk/wp-content/uploads/2019/06/digital-first-primary-care-consultation.pdf</w:t>
              </w:r>
              <w:r w:rsidRPr="0040680F">
                <w:rPr>
                  <w:rFonts w:ascii="Arial" w:hAnsi="Arial" w:cs="Arial"/>
                  <w:noProof/>
                  <w:sz w:val="22"/>
                </w:rPr>
                <w:br/>
                <w:t>[Accessed 3rd March 2026].</w:t>
              </w:r>
            </w:p>
            <w:p w14:paraId="10AF75C8" w14:textId="77777777" w:rsidR="0040680F" w:rsidRPr="0040680F" w:rsidRDefault="0040680F" w:rsidP="0040680F">
              <w:pPr>
                <w:pStyle w:val="Bibliography"/>
                <w:spacing w:line="360" w:lineRule="auto"/>
                <w:rPr>
                  <w:rFonts w:ascii="Arial" w:hAnsi="Arial" w:cs="Arial"/>
                  <w:noProof/>
                  <w:sz w:val="22"/>
                </w:rPr>
              </w:pPr>
              <w:r w:rsidRPr="0040680F">
                <w:rPr>
                  <w:rFonts w:ascii="Arial" w:hAnsi="Arial" w:cs="Arial"/>
                  <w:noProof/>
                  <w:sz w:val="22"/>
                </w:rPr>
                <w:t xml:space="preserve">Watts, G., 2020. COVID-19 and the digital divide in the UK. </w:t>
              </w:r>
              <w:r w:rsidRPr="0040680F">
                <w:rPr>
                  <w:rFonts w:ascii="Arial" w:hAnsi="Arial" w:cs="Arial"/>
                  <w:i/>
                  <w:iCs/>
                  <w:noProof/>
                  <w:sz w:val="22"/>
                </w:rPr>
                <w:t xml:space="preserve">Lancet Digital Health, </w:t>
              </w:r>
              <w:r w:rsidRPr="0040680F">
                <w:rPr>
                  <w:rFonts w:ascii="Arial" w:hAnsi="Arial" w:cs="Arial"/>
                  <w:noProof/>
                  <w:sz w:val="22"/>
                </w:rPr>
                <w:t>2(8), p. e395–e396.</w:t>
              </w:r>
            </w:p>
            <w:p w14:paraId="491ECFF0" w14:textId="402F6124" w:rsidR="0040680F" w:rsidRDefault="0040680F" w:rsidP="0040680F">
              <w:pPr>
                <w:spacing w:line="360" w:lineRule="auto"/>
              </w:pPr>
              <w:r w:rsidRPr="0040680F">
                <w:rPr>
                  <w:rFonts w:ascii="Arial" w:hAnsi="Arial" w:cs="Arial"/>
                  <w:b/>
                  <w:bCs/>
                  <w:noProof/>
                  <w:sz w:val="22"/>
                </w:rPr>
                <w:fldChar w:fldCharType="end"/>
              </w:r>
            </w:p>
          </w:sdtContent>
        </w:sdt>
      </w:sdtContent>
    </w:sdt>
    <w:p w14:paraId="76C49C21" w14:textId="77777777" w:rsidR="0040680F" w:rsidRPr="0040680F" w:rsidRDefault="0040680F" w:rsidP="0040680F"/>
    <w:p w14:paraId="754CEB55" w14:textId="77777777" w:rsidR="00545684" w:rsidRPr="0087162B" w:rsidRDefault="00545684" w:rsidP="00CB0FA2">
      <w:pPr>
        <w:spacing w:line="360" w:lineRule="auto"/>
        <w:jc w:val="both"/>
        <w:rPr>
          <w:rFonts w:ascii="Arial" w:hAnsi="Arial" w:cs="Arial"/>
          <w:sz w:val="22"/>
        </w:rPr>
      </w:pPr>
    </w:p>
    <w:p w14:paraId="5BC91157" w14:textId="77777777" w:rsidR="00545684" w:rsidRPr="0087162B" w:rsidRDefault="00545684" w:rsidP="00CB0FA2">
      <w:pPr>
        <w:spacing w:line="360" w:lineRule="auto"/>
        <w:jc w:val="both"/>
        <w:rPr>
          <w:rFonts w:ascii="Arial" w:hAnsi="Arial" w:cs="Arial"/>
          <w:sz w:val="22"/>
        </w:rPr>
      </w:pPr>
    </w:p>
    <w:sectPr w:rsidR="00545684" w:rsidRPr="0087162B" w:rsidSect="00041A5A">
      <w:footerReference w:type="default" r:id="rId8"/>
      <w:pgSz w:w="11906" w:h="16838" w:code="9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539C787" w14:textId="77777777" w:rsidR="00FD1BDA" w:rsidRDefault="00FD1BDA" w:rsidP="00545684">
      <w:pPr>
        <w:spacing w:after="0" w:line="240" w:lineRule="auto"/>
      </w:pPr>
      <w:r>
        <w:separator/>
      </w:r>
    </w:p>
  </w:endnote>
  <w:endnote w:type="continuationSeparator" w:id="0">
    <w:p w14:paraId="6AEBED57" w14:textId="77777777" w:rsidR="00FD1BDA" w:rsidRDefault="00FD1BDA" w:rsidP="0054568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507048174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4459FC94" w14:textId="56E6C1D2" w:rsidR="00545684" w:rsidRPr="00AD0E8D" w:rsidRDefault="00545684">
        <w:pPr>
          <w:pStyle w:val="Footer"/>
          <w:jc w:val="center"/>
          <w:rPr>
            <w:rFonts w:ascii="Arial" w:hAnsi="Arial" w:cs="Arial"/>
            <w:sz w:val="22"/>
          </w:rPr>
        </w:pPr>
        <w:r w:rsidRPr="00AD0E8D">
          <w:rPr>
            <w:rFonts w:ascii="Arial" w:hAnsi="Arial" w:cs="Arial"/>
            <w:sz w:val="22"/>
          </w:rPr>
          <w:fldChar w:fldCharType="begin"/>
        </w:r>
        <w:r w:rsidRPr="00AD0E8D">
          <w:rPr>
            <w:rFonts w:ascii="Arial" w:hAnsi="Arial" w:cs="Arial"/>
            <w:sz w:val="22"/>
          </w:rPr>
          <w:instrText xml:space="preserve"> PAGE   \* MERGEFORMAT </w:instrText>
        </w:r>
        <w:r w:rsidRPr="00AD0E8D">
          <w:rPr>
            <w:rFonts w:ascii="Arial" w:hAnsi="Arial" w:cs="Arial"/>
            <w:sz w:val="22"/>
          </w:rPr>
          <w:fldChar w:fldCharType="separate"/>
        </w:r>
        <w:r w:rsidR="0040680F">
          <w:rPr>
            <w:rFonts w:ascii="Arial" w:hAnsi="Arial" w:cs="Arial"/>
            <w:noProof/>
            <w:sz w:val="22"/>
          </w:rPr>
          <w:t>2</w:t>
        </w:r>
        <w:r w:rsidRPr="00AD0E8D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0C825DF6" w14:textId="77777777" w:rsidR="00545684" w:rsidRDefault="005456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962D13" w14:textId="77777777" w:rsidR="00FD1BDA" w:rsidRDefault="00FD1BDA" w:rsidP="00545684">
      <w:pPr>
        <w:spacing w:after="0" w:line="240" w:lineRule="auto"/>
      </w:pPr>
      <w:r>
        <w:separator/>
      </w:r>
    </w:p>
  </w:footnote>
  <w:footnote w:type="continuationSeparator" w:id="0">
    <w:p w14:paraId="137C88EC" w14:textId="77777777" w:rsidR="00FD1BDA" w:rsidRDefault="00FD1BDA" w:rsidP="0054568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B194F37"/>
    <w:multiLevelType w:val="hybridMultilevel"/>
    <w:tmpl w:val="85D8315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FA41052"/>
    <w:multiLevelType w:val="hybridMultilevel"/>
    <w:tmpl w:val="D556EB6E"/>
    <w:lvl w:ilvl="0" w:tplc="EBFE2320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73332840">
    <w:abstractNumId w:val="1"/>
  </w:num>
  <w:num w:numId="2" w16cid:durableId="166743477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15990"/>
    <w:rsid w:val="00041A5A"/>
    <w:rsid w:val="000A5161"/>
    <w:rsid w:val="000B7CD5"/>
    <w:rsid w:val="00105279"/>
    <w:rsid w:val="001A3943"/>
    <w:rsid w:val="00216C85"/>
    <w:rsid w:val="00260277"/>
    <w:rsid w:val="00273EDD"/>
    <w:rsid w:val="002A15DA"/>
    <w:rsid w:val="002C3965"/>
    <w:rsid w:val="00321C4C"/>
    <w:rsid w:val="00356637"/>
    <w:rsid w:val="003A220F"/>
    <w:rsid w:val="003B5B7F"/>
    <w:rsid w:val="0040680F"/>
    <w:rsid w:val="004903AA"/>
    <w:rsid w:val="004E6C3B"/>
    <w:rsid w:val="00545684"/>
    <w:rsid w:val="0056795B"/>
    <w:rsid w:val="0061260B"/>
    <w:rsid w:val="00715990"/>
    <w:rsid w:val="00784670"/>
    <w:rsid w:val="007D0DCB"/>
    <w:rsid w:val="008276F3"/>
    <w:rsid w:val="00866B7B"/>
    <w:rsid w:val="0087162B"/>
    <w:rsid w:val="008E44FE"/>
    <w:rsid w:val="008E5015"/>
    <w:rsid w:val="008F026B"/>
    <w:rsid w:val="0096390F"/>
    <w:rsid w:val="009D1D1E"/>
    <w:rsid w:val="00A035FD"/>
    <w:rsid w:val="00AD0E8D"/>
    <w:rsid w:val="00AF1049"/>
    <w:rsid w:val="00CB0FA2"/>
    <w:rsid w:val="00D408F6"/>
    <w:rsid w:val="00D769F0"/>
    <w:rsid w:val="00E614D4"/>
    <w:rsid w:val="00E654A8"/>
    <w:rsid w:val="00EF7EBD"/>
    <w:rsid w:val="00F1335F"/>
    <w:rsid w:val="00F278D4"/>
    <w:rsid w:val="00FD1BDA"/>
    <w:rsid w:val="00FF5B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C00B62"/>
  <w15:chartTrackingRefBased/>
  <w15:docId w15:val="{CAABA8F5-0C7C-4625-9176-F71A31CE54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CB0FA2"/>
    <w:pPr>
      <w:keepNext/>
      <w:keepLines/>
      <w:spacing w:before="240" w:after="0" w:line="360" w:lineRule="auto"/>
      <w:jc w:val="center"/>
      <w:outlineLvl w:val="0"/>
    </w:pPr>
    <w:rPr>
      <w:rFonts w:ascii="Arial" w:eastAsiaTheme="majorEastAsia" w:hAnsi="Arial" w:cstheme="majorBidi"/>
      <w:b/>
      <w:sz w:val="2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87162B"/>
    <w:pPr>
      <w:keepNext/>
      <w:keepLines/>
      <w:spacing w:before="40" w:after="0" w:line="360" w:lineRule="auto"/>
      <w:jc w:val="both"/>
      <w:outlineLvl w:val="1"/>
    </w:pPr>
    <w:rPr>
      <w:rFonts w:ascii="Arial" w:eastAsiaTheme="majorEastAsia" w:hAnsi="Arial" w:cs="Arial"/>
      <w:bCs/>
      <w:sz w:val="22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B0FA2"/>
    <w:rPr>
      <w:rFonts w:ascii="Arial" w:eastAsiaTheme="majorEastAsia" w:hAnsi="Arial" w:cstheme="majorBidi"/>
      <w:b/>
      <w:sz w:val="22"/>
    </w:rPr>
  </w:style>
  <w:style w:type="character" w:customStyle="1" w:styleId="Heading2Char">
    <w:name w:val="Heading 2 Char"/>
    <w:basedOn w:val="DefaultParagraphFont"/>
    <w:link w:val="Heading2"/>
    <w:uiPriority w:val="9"/>
    <w:rsid w:val="0087162B"/>
    <w:rPr>
      <w:rFonts w:ascii="Arial" w:eastAsiaTheme="majorEastAsia" w:hAnsi="Arial" w:cs="Arial"/>
      <w:bCs/>
      <w:sz w:val="22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15990"/>
    <w:pPr>
      <w:spacing w:after="0" w:line="240" w:lineRule="auto"/>
    </w:pPr>
    <w:rPr>
      <w:rFonts w:asciiTheme="minorHAnsi" w:hAnsiTheme="minorHAnsi"/>
      <w:szCs w:val="24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45684"/>
  </w:style>
  <w:style w:type="paragraph" w:styleId="Footer">
    <w:name w:val="footer"/>
    <w:basedOn w:val="Normal"/>
    <w:link w:val="FooterChar"/>
    <w:uiPriority w:val="99"/>
    <w:unhideWhenUsed/>
    <w:rsid w:val="0054568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45684"/>
  </w:style>
  <w:style w:type="paragraph" w:styleId="Bibliography">
    <w:name w:val="Bibliography"/>
    <w:basedOn w:val="Normal"/>
    <w:next w:val="Normal"/>
    <w:uiPriority w:val="37"/>
    <w:unhideWhenUsed/>
    <w:rsid w:val="0040680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041978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NHS192</b:Tag>
    <b:SourceType>InternetSite</b:SourceType>
    <b:Guid>{42895A43-6F63-41B2-93CD-43390F77A2F5}</b:Guid>
    <b:Author>
      <b:Author>
        <b:Corporate>NHS England </b:Corporate>
      </b:Author>
    </b:Author>
    <b:Title>Digital First Primary Care: Policy consultation on patient registration, funding and contracting rules</b:Title>
    <b:Year>2019</b:Year>
    <b:YearAccessed>2026</b:YearAccessed>
    <b:MonthAccessed>March</b:MonthAccessed>
    <b:DayAccessed>3rd</b:DayAccessed>
    <b:URL>https://www.england.nhs.uk/wp-content/uploads/2019/06/digital-first-primary-care-consultation.pdf</b:URL>
    <b:RefOrder>1</b:RefOrder>
  </b:Source>
  <b:Source>
    <b:Tag>Gre20</b:Tag>
    <b:SourceType>JournalArticle</b:SourceType>
    <b:Guid>{659A0DAC-AF43-413F-9DCE-D3F36B42ACE2}</b:Guid>
    <b:Title>Video consultations for COVID-19</b:Title>
    <b:Year>2020</b:Year>
    <b:Author>
      <b:Author>
        <b:Corporate>Greenhalgh, T., Wherton, J., Shaw, S. and Morrison, C.</b:Corporate>
      </b:Author>
    </b:Author>
    <b:JournalName>BMJ, 368, m998.</b:JournalName>
    <b:RefOrder>2</b:RefOrder>
  </b:Source>
  <b:Source>
    <b:Tag>Wat20</b:Tag>
    <b:SourceType>JournalArticle</b:SourceType>
    <b:Guid>{7820FDBF-6A97-4710-848D-AA81D51FC0E4}</b:Guid>
    <b:Author>
      <b:Author>
        <b:NameList>
          <b:Person>
            <b:Last>Watts</b:Last>
            <b:First>G.</b:First>
          </b:Person>
        </b:NameList>
      </b:Author>
    </b:Author>
    <b:Title>COVID-19 and the digital divide in the UK</b:Title>
    <b:JournalName>Lancet Digital Health</b:JournalName>
    <b:Year>2020</b:Year>
    <b:Pages>e395–e396</b:Pages>
    <b:Volume>2</b:Volume>
    <b:Issue>8</b:Issue>
    <b:RefOrder>3</b:RefOrder>
  </b:Source>
  <b:Source>
    <b:Tag>Lev10</b:Tag>
    <b:SourceType>JournalArticle</b:SourceType>
    <b:Guid>{24B9B1CD-CA79-4630-96EC-97B98AB26DD0}</b:Guid>
    <b:Author>
      <b:Author>
        <b:Corporate>Levac, D., Colquhoun, H. and O’Brien, K.K. </b:Corporate>
      </b:Author>
    </b:Author>
    <b:Title>Scoping studies: advancing the methodology</b:Title>
    <b:JournalName>Implementation Science</b:JournalName>
    <b:Year>2010</b:Year>
    <b:Volume>5</b:Volume>
    <b:Issue>69</b:Issue>
    <b:RefOrder>4</b:RefOrder>
  </b:Source>
</b:Sources>
</file>

<file path=customXml/itemProps1.xml><?xml version="1.0" encoding="utf-8"?>
<ds:datastoreItem xmlns:ds="http://schemas.openxmlformats.org/officeDocument/2006/customXml" ds:itemID="{600CD04D-4D7D-489D-A552-1300B51267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4</Pages>
  <Words>599</Words>
  <Characters>3415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4006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cynthia nelson-yeboah</cp:lastModifiedBy>
  <cp:revision>2</cp:revision>
  <dcterms:created xsi:type="dcterms:W3CDTF">2026-03-04T11:28:00Z</dcterms:created>
  <dcterms:modified xsi:type="dcterms:W3CDTF">2026-03-04T11:28:00Z</dcterms:modified>
</cp:coreProperties>
</file>