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DDFD6" w14:textId="0033ACB0" w:rsidR="00BF4DD0" w:rsidRPr="00630BD0" w:rsidRDefault="00BF4DD0" w:rsidP="00630BD0">
      <w:pPr>
        <w:pStyle w:val="NormalWeb"/>
        <w:spacing w:before="0" w:beforeAutospacing="0" w:after="0" w:afterAutospacing="0" w:line="480" w:lineRule="auto"/>
        <w:jc w:val="center"/>
        <w:rPr>
          <w:b/>
          <w:bCs/>
          <w:color w:val="1C1E29"/>
        </w:rPr>
      </w:pPr>
      <w:r w:rsidRPr="00630BD0">
        <w:rPr>
          <w:b/>
          <w:bCs/>
          <w:color w:val="1C1E29"/>
        </w:rPr>
        <w:t>Method</w:t>
      </w:r>
    </w:p>
    <w:p w14:paraId="75F0E49D" w14:textId="712D1E38" w:rsidR="00BF4DD0" w:rsidRDefault="00BF4DD0" w:rsidP="00BF4DD0">
      <w:pPr>
        <w:pStyle w:val="NormalWeb"/>
        <w:spacing w:before="0" w:beforeAutospacing="0" w:after="0" w:afterAutospacing="0" w:line="480" w:lineRule="auto"/>
        <w:rPr>
          <w:color w:val="1C1E29"/>
        </w:rPr>
      </w:pPr>
      <w:r>
        <w:rPr>
          <w:rStyle w:val="Emphasis"/>
          <w:color w:val="1C1E29"/>
        </w:rPr>
        <w:t>Participant</w:t>
      </w:r>
      <w:r w:rsidR="00B8193A">
        <w:rPr>
          <w:rStyle w:val="Emphasis"/>
          <w:color w:val="1C1E29"/>
        </w:rPr>
        <w:t>s</w:t>
      </w:r>
      <w:bookmarkStart w:id="0" w:name="_GoBack"/>
      <w:bookmarkEnd w:id="0"/>
      <w:r>
        <w:rPr>
          <w:rStyle w:val="Emphasis"/>
          <w:color w:val="1C1E29"/>
        </w:rPr>
        <w:t> </w:t>
      </w:r>
    </w:p>
    <w:p w14:paraId="357F4D01" w14:textId="6F70DDA8" w:rsidR="00BF4DD0" w:rsidRDefault="007133B4" w:rsidP="00630BD0">
      <w:pPr>
        <w:pStyle w:val="NormalWeb"/>
        <w:spacing w:before="0" w:beforeAutospacing="0" w:after="0" w:afterAutospacing="0" w:line="480" w:lineRule="auto"/>
        <w:ind w:firstLine="720"/>
        <w:rPr>
          <w:color w:val="1C1E29"/>
        </w:rPr>
      </w:pPr>
      <w:r>
        <w:rPr>
          <w:color w:val="1C1E29"/>
        </w:rPr>
        <w:t>‘</w:t>
      </w:r>
      <w:r w:rsidR="00BF4DD0">
        <w:rPr>
          <w:color w:val="1C1E29"/>
        </w:rPr>
        <w:t>Amount</w:t>
      </w:r>
      <w:r>
        <w:rPr>
          <w:color w:val="1C1E29"/>
        </w:rPr>
        <w:t>’</w:t>
      </w:r>
      <w:r w:rsidR="00BF4DD0">
        <w:rPr>
          <w:color w:val="1C1E29"/>
        </w:rPr>
        <w:t xml:space="preserve"> (0F,0M) participants’ consisting of students studying one of the Psychology degree programmes at the University of Wales Trinity S</w:t>
      </w:r>
      <w:r w:rsidR="00904B99">
        <w:rPr>
          <w:color w:val="1C1E29"/>
        </w:rPr>
        <w:t>aint</w:t>
      </w:r>
      <w:r w:rsidR="00BF4DD0">
        <w:rPr>
          <w:color w:val="1C1E29"/>
        </w:rPr>
        <w:t xml:space="preserve"> David were recruited through the universities EMS. All those who participated in the study received a single credit towards their course work. The recruitment requirements of the study meant only those with normal or corrected to normal vision and hearing were eligible to sign up and take part. All participants were also required to be over the age of 18. Participants age ranged from 00-00, </w:t>
      </w:r>
      <w:r w:rsidR="00BF4DD0">
        <w:rPr>
          <w:rStyle w:val="Emphasis"/>
          <w:color w:val="1C1E29"/>
        </w:rPr>
        <w:t>SD (0.00), M (0.00).</w:t>
      </w:r>
    </w:p>
    <w:p w14:paraId="6FB9DD7A" w14:textId="77777777" w:rsidR="00BF4DD0" w:rsidRDefault="00BF4DD0" w:rsidP="00BF4DD0">
      <w:pPr>
        <w:pStyle w:val="NormalWeb"/>
        <w:spacing w:before="0" w:beforeAutospacing="0" w:after="0" w:afterAutospacing="0" w:line="480" w:lineRule="auto"/>
        <w:rPr>
          <w:color w:val="1C1E29"/>
        </w:rPr>
      </w:pPr>
    </w:p>
    <w:p w14:paraId="4872816A" w14:textId="77777777" w:rsidR="00BF4DD0" w:rsidRDefault="00BF4DD0" w:rsidP="00BF4DD0">
      <w:pPr>
        <w:pStyle w:val="NormalWeb"/>
        <w:spacing w:before="0" w:beforeAutospacing="0" w:after="0" w:afterAutospacing="0" w:line="480" w:lineRule="auto"/>
        <w:rPr>
          <w:color w:val="1C1E29"/>
        </w:rPr>
      </w:pPr>
      <w:r>
        <w:rPr>
          <w:rStyle w:val="Emphasis"/>
          <w:color w:val="1C1E29"/>
        </w:rPr>
        <w:t>Design</w:t>
      </w:r>
    </w:p>
    <w:p w14:paraId="6BDB8F27" w14:textId="11969368" w:rsidR="00BF4DD0" w:rsidRDefault="00BF4DD0" w:rsidP="007133B4">
      <w:pPr>
        <w:pStyle w:val="NormalWeb"/>
        <w:spacing w:before="0" w:beforeAutospacing="0" w:after="0" w:afterAutospacing="0" w:line="480" w:lineRule="auto"/>
        <w:ind w:firstLine="720"/>
        <w:rPr>
          <w:color w:val="1C1E29"/>
        </w:rPr>
      </w:pPr>
      <w:r>
        <w:rPr>
          <w:color w:val="1C1E29"/>
        </w:rPr>
        <w:t>An experimental design, 2x2 within-subjects ANOVA was carried out. The first IV was the visual load task, with two levels: high and low. The second IV was the auditory task, with two levels: tone change or no tone change. Participants were required to take part in a series of high and low visual load tasks presented on a computer. These involved an array of different letters from the alphabet being presented on the screen for a total of 3 seconds each with participants identifying a single letter from a further 11 letters</w:t>
      </w:r>
      <w:r w:rsidR="00904B99">
        <w:rPr>
          <w:color w:val="1C1E29"/>
        </w:rPr>
        <w:t>,</w:t>
      </w:r>
      <w:r>
        <w:rPr>
          <w:color w:val="1C1E29"/>
        </w:rPr>
        <w:t xml:space="preserve"> which were repeated 5 times each in the high condition and 5 additional letters in total in the low condition. The high load trials included many letters and the low load trials included few letters. The size of the letter and the surrounding letters were the same in both high and low conditions. The similarity of the letters differed in each condition. The high load condition had similar-looking letters whilst the low load condition had different letters. Each visual condition consisted of 20 trials given a total of 40 trials overall. On half of both conditions the target letter, an X, was present and on the other half of both conditions the target was absent (See, for example, Appendix.?.). Further to this</w:t>
      </w:r>
      <w:r w:rsidR="00904B99">
        <w:rPr>
          <w:color w:val="1C1E29"/>
        </w:rPr>
        <w:t>,</w:t>
      </w:r>
      <w:r>
        <w:rPr>
          <w:color w:val="1C1E29"/>
        </w:rPr>
        <w:t xml:space="preserve"> during half of the high and low visual load </w:t>
      </w:r>
      <w:r>
        <w:rPr>
          <w:color w:val="1C1E29"/>
        </w:rPr>
        <w:lastRenderedPageBreak/>
        <w:t xml:space="preserve">conditions, participants were presented with a continuous tone and on the other half of both conditions exposed to a gradual tone change through a set of headphone (see, for example, Appendix.?.). Immediately after each trial was presented a further two questions were </w:t>
      </w:r>
      <w:r w:rsidR="00904B99">
        <w:rPr>
          <w:color w:val="1C1E29"/>
        </w:rPr>
        <w:t>depicted</w:t>
      </w:r>
      <w:r>
        <w:rPr>
          <w:color w:val="1C1E29"/>
        </w:rPr>
        <w:t xml:space="preserve"> one at a time which asked participants to denote yes or no as to whether the target letter was present and to denote yes or no as to whether the tone changed (see, for example, Appendix.?.). To denote either yes or no, the computer keyboard was slightly altered with a sticker covering the buttons which recorded the participants' response, with a circular green sticker covering the button used for yes and a red circular sticker covering the button recording a no response. The DV was detection accuracy with both the continuous tone and the tone change. The experiment was presented through Superlab and all data was collected through Superlab </w:t>
      </w:r>
      <w:r w:rsidR="00697A59">
        <w:rPr>
          <w:color w:val="1C1E29"/>
        </w:rPr>
        <w:t>(Superlab, 2008</w:t>
      </w:r>
      <w:r>
        <w:rPr>
          <w:color w:val="1C1E29"/>
        </w:rPr>
        <w:t>) and analysed through SPSS (Pallant, 2013). The yes</w:t>
      </w:r>
      <w:r w:rsidR="00904B99">
        <w:rPr>
          <w:color w:val="1C1E29"/>
        </w:rPr>
        <w:t>/</w:t>
      </w:r>
      <w:r>
        <w:rPr>
          <w:color w:val="1C1E29"/>
        </w:rPr>
        <w:t xml:space="preserve"> no target identification task was </w:t>
      </w:r>
      <w:r w:rsidR="00904B99">
        <w:rPr>
          <w:color w:val="1C1E29"/>
        </w:rPr>
        <w:t>measured,</w:t>
      </w:r>
      <w:r>
        <w:rPr>
          <w:color w:val="1C1E29"/>
        </w:rPr>
        <w:t xml:space="preserve"> and the yes</w:t>
      </w:r>
      <w:r w:rsidR="00904B99">
        <w:rPr>
          <w:color w:val="1C1E29"/>
        </w:rPr>
        <w:t xml:space="preserve">/ </w:t>
      </w:r>
      <w:r>
        <w:rPr>
          <w:color w:val="1C1E29"/>
        </w:rPr>
        <w:t xml:space="preserve">no tone change identification task was measured. The main ANOVA output displayed the main effect of the visual load task on tone change detection accuracy, the main effect of tone change, or no tone change on detection accuracy and the </w:t>
      </w:r>
      <w:r w:rsidR="00904B99">
        <w:rPr>
          <w:color w:val="1C1E29"/>
        </w:rPr>
        <w:t>interaction</w:t>
      </w:r>
      <w:r>
        <w:rPr>
          <w:color w:val="1C1E29"/>
        </w:rPr>
        <w:t>. </w:t>
      </w:r>
    </w:p>
    <w:p w14:paraId="2DFBFBF8" w14:textId="77777777" w:rsidR="00904B99" w:rsidRDefault="00904B99" w:rsidP="00BF4DD0">
      <w:pPr>
        <w:pStyle w:val="NormalWeb"/>
        <w:spacing w:before="0" w:beforeAutospacing="0" w:after="0" w:afterAutospacing="0" w:line="480" w:lineRule="auto"/>
        <w:rPr>
          <w:color w:val="1C1E29"/>
        </w:rPr>
      </w:pPr>
    </w:p>
    <w:p w14:paraId="5050F3DE" w14:textId="4CA869C2" w:rsidR="00904B99" w:rsidRPr="00904B99" w:rsidRDefault="00BF4DD0" w:rsidP="00BF4DD0">
      <w:pPr>
        <w:pStyle w:val="NormalWeb"/>
        <w:spacing w:before="0" w:beforeAutospacing="0" w:after="0" w:afterAutospacing="0" w:line="480" w:lineRule="auto"/>
        <w:rPr>
          <w:i/>
          <w:iCs/>
          <w:color w:val="1C1E29"/>
        </w:rPr>
      </w:pPr>
      <w:r>
        <w:rPr>
          <w:rStyle w:val="Emphasis"/>
          <w:color w:val="1C1E29"/>
        </w:rPr>
        <w:t>Materials</w:t>
      </w:r>
    </w:p>
    <w:p w14:paraId="60095D87" w14:textId="0AFE02A5" w:rsidR="00BF4DD0" w:rsidRDefault="00BF4DD0" w:rsidP="007133B4">
      <w:pPr>
        <w:pStyle w:val="NormalWeb"/>
        <w:spacing w:before="0" w:beforeAutospacing="0" w:after="0" w:afterAutospacing="0" w:line="480" w:lineRule="auto"/>
        <w:ind w:firstLine="720"/>
        <w:rPr>
          <w:color w:val="1C1E29"/>
        </w:rPr>
      </w:pPr>
      <w:r>
        <w:rPr>
          <w:color w:val="1C1E29"/>
        </w:rPr>
        <w:t xml:space="preserve">The materials used to conduct this study included a consent form allotted on a single paper-based word document. This detailed the procedure that the participant would encounter. The length of time the study would take to complete. The participants right to withdraw any time from the study. Their right to </w:t>
      </w:r>
      <w:r w:rsidR="00904B99">
        <w:rPr>
          <w:color w:val="1C1E29"/>
        </w:rPr>
        <w:t>confidentiality</w:t>
      </w:r>
      <w:r>
        <w:rPr>
          <w:color w:val="1C1E29"/>
        </w:rPr>
        <w:t xml:space="preserve"> and anonymity following the Data Protection Act 2018 and a signature place with a statement exclaiming the participant had understood and agreed to participate (See, Appendix.?.). A computer, keyboard, one set of headphones and Superlab software (Superlab, 20</w:t>
      </w:r>
      <w:r w:rsidR="00697A59">
        <w:rPr>
          <w:color w:val="1C1E29"/>
        </w:rPr>
        <w:t>08</w:t>
      </w:r>
      <w:r>
        <w:rPr>
          <w:color w:val="1C1E29"/>
        </w:rPr>
        <w:t xml:space="preserve">). Two circular 5mm stickers, one red and one green in colour. </w:t>
      </w:r>
      <w:r w:rsidR="00697903">
        <w:rPr>
          <w:color w:val="1C1E29"/>
        </w:rPr>
        <w:t xml:space="preserve">The task stimuli consisted of a </w:t>
      </w:r>
      <w:r>
        <w:rPr>
          <w:color w:val="1C1E29"/>
        </w:rPr>
        <w:t xml:space="preserve">welcome statement </w:t>
      </w:r>
      <w:r w:rsidR="00697903">
        <w:rPr>
          <w:color w:val="1C1E29"/>
        </w:rPr>
        <w:t>that was</w:t>
      </w:r>
      <w:r>
        <w:rPr>
          <w:color w:val="1C1E29"/>
        </w:rPr>
        <w:t xml:space="preserve"> </w:t>
      </w:r>
      <w:r>
        <w:rPr>
          <w:color w:val="1C1E29"/>
        </w:rPr>
        <w:lastRenderedPageBreak/>
        <w:t xml:space="preserve">presented on Superlab which welcomed and thanked participants for taking part (See, Appendix.?.). An instructions page also presented on Superlab, outlining the tasks i.e. searching for an X throughout 40 trials whilst listening to a tone on a set of headphone and answering two yes/no response questions after each trial relating to the visual and auditory elements respectively. This page also explained which keys on the keyboard </w:t>
      </w:r>
      <w:r w:rsidR="00697903">
        <w:rPr>
          <w:color w:val="1C1E29"/>
        </w:rPr>
        <w:t>re</w:t>
      </w:r>
      <w:r>
        <w:rPr>
          <w:color w:val="1C1E29"/>
        </w:rPr>
        <w:t xml:space="preserve">presented yes and no (See, Appendix.?.). </w:t>
      </w:r>
      <w:r w:rsidR="00697903">
        <w:rPr>
          <w:color w:val="1C1E29"/>
        </w:rPr>
        <w:t xml:space="preserve">A visual search task containing </w:t>
      </w:r>
      <w:r>
        <w:rPr>
          <w:color w:val="1C1E29"/>
        </w:rPr>
        <w:t xml:space="preserve">20 high visual load sets and 20 low visual load sets. Each high visual load set contained 11 individual letters from the alphabet which were repeated 5 times each and randomly spaced and distributed on a single word document and uploaded to Superlab. These letters included Z, L, M, K, H, E, F, N, W, Y and V (See, Appendix.?.). These letters were selected as they comprised a similar structure to the target letter X. The target letter was presented on 10 of the high visual load sets (See, Appendix.?.). Each low visual load set consisted of only 5 of the same letters been presented again form the alphabet and also randomly spaced on a single word document and uploaded to Superlab, differing this time in structure similarity to the target letter X. These letters included B, O, S, C, D, G, R, U, T and J (See, for example, Appendix.?.). The target letter X was also only present on 10 of these sets (See, for example, Appendix.?.). Two yes/ no answer questions, one relating to the visual search task and one the tone detection task (See, Appendix.?.) and two sound files created using a tone generating App (Frequency Sound Generator, 2017) which played for three seconds each. These consisted of one continuous tone at a frequency of 440 Hz and a gradually changing tone starting at 440Hz and finishing at 880Hz (see, Appendix). An end of study page was also presented after the final trial on Superlab (See, Appendix.?.). Finally, a paper-based debrief form presented on a single page word document. This form contained details of the </w:t>
      </w:r>
      <w:r w:rsidR="00697903">
        <w:rPr>
          <w:color w:val="1C1E29"/>
        </w:rPr>
        <w:t>purpose</w:t>
      </w:r>
      <w:r>
        <w:rPr>
          <w:color w:val="1C1E29"/>
        </w:rPr>
        <w:t xml:space="preserve"> of the study. A reminder of their right to withdraw and the contact details of the study researcher and academic supervisor</w:t>
      </w:r>
      <w:r w:rsidR="00697903">
        <w:rPr>
          <w:color w:val="1C1E29"/>
        </w:rPr>
        <w:t>,</w:t>
      </w:r>
      <w:r>
        <w:rPr>
          <w:color w:val="1C1E29"/>
        </w:rPr>
        <w:t xml:space="preserve"> </w:t>
      </w:r>
      <w:r>
        <w:rPr>
          <w:color w:val="1C1E29"/>
        </w:rPr>
        <w:lastRenderedPageBreak/>
        <w:t xml:space="preserve">with instructions to contact them with any inquiries that may </w:t>
      </w:r>
      <w:r w:rsidR="00697903">
        <w:rPr>
          <w:color w:val="1C1E29"/>
        </w:rPr>
        <w:t xml:space="preserve">have </w:t>
      </w:r>
      <w:r>
        <w:rPr>
          <w:color w:val="1C1E29"/>
        </w:rPr>
        <w:t>arise</w:t>
      </w:r>
      <w:r w:rsidR="00697903">
        <w:rPr>
          <w:color w:val="1C1E29"/>
        </w:rPr>
        <w:t>n</w:t>
      </w:r>
      <w:r>
        <w:rPr>
          <w:color w:val="1C1E29"/>
        </w:rPr>
        <w:t xml:space="preserve"> (See, Appendix.?.).   </w:t>
      </w:r>
    </w:p>
    <w:p w14:paraId="6255EBAB" w14:textId="77777777" w:rsidR="00BF4DD0" w:rsidRDefault="00BF4DD0" w:rsidP="00BF4DD0">
      <w:pPr>
        <w:pStyle w:val="NormalWeb"/>
        <w:spacing w:before="0" w:beforeAutospacing="0" w:after="0" w:afterAutospacing="0" w:line="480" w:lineRule="auto"/>
        <w:rPr>
          <w:color w:val="1C1E29"/>
        </w:rPr>
      </w:pPr>
      <w:r>
        <w:rPr>
          <w:rStyle w:val="Emphasis"/>
          <w:color w:val="1C1E29"/>
        </w:rPr>
        <w:t>Procedure</w:t>
      </w:r>
    </w:p>
    <w:p w14:paraId="153EE0FB" w14:textId="10F8694A" w:rsidR="00BF4DD0" w:rsidRDefault="00BF4DD0" w:rsidP="007133B4">
      <w:pPr>
        <w:pStyle w:val="NormalWeb"/>
        <w:spacing w:before="0" w:beforeAutospacing="0" w:after="0" w:afterAutospacing="0" w:line="480" w:lineRule="auto"/>
        <w:ind w:firstLine="720"/>
        <w:rPr>
          <w:color w:val="1C1E29"/>
        </w:rPr>
      </w:pPr>
      <w:r>
        <w:rPr>
          <w:color w:val="1C1E29"/>
        </w:rPr>
        <w:t xml:space="preserve">A pilot study was conducted prior to the release of the study to the universities EMS. Two participants were recruited through verbal invitation. The pilot study revealed a weakness with (Maybe insert something yet to be revealed here) and this was amended by (insert what it might be here). Participants were recruited through the universities EMS and given an allocated location to participate. Only participants with normal or corrected to normal vision and hearing were invited to participate as both tasks in this study involved participants completing trials investigating these two modalities. It was deemed appropriate to have exclusion criteria to mediate severe differentiating abilities as possible extraneous variables. Upon arrival, participants were brought by the researcher to the lab room and asked to sit in a chair which was facing a table with a computer screen, keyboard and set of headphones on it. They were then handed a consent form and asked to take a moment alone to read and then sign if they wished to participate. This was immediately collected by the researcher once signed and stored separately to any other data collected at the time in accordance with </w:t>
      </w:r>
      <w:r w:rsidR="00102B5B">
        <w:rPr>
          <w:color w:val="1C1E29"/>
        </w:rPr>
        <w:t xml:space="preserve">The </w:t>
      </w:r>
      <w:r>
        <w:rPr>
          <w:color w:val="1C1E29"/>
        </w:rPr>
        <w:t>U</w:t>
      </w:r>
      <w:r w:rsidR="00102B5B">
        <w:rPr>
          <w:color w:val="1C1E29"/>
        </w:rPr>
        <w:t xml:space="preserve">niversity of </w:t>
      </w:r>
      <w:r>
        <w:rPr>
          <w:color w:val="1C1E29"/>
        </w:rPr>
        <w:t>W</w:t>
      </w:r>
      <w:r w:rsidR="00102B5B">
        <w:rPr>
          <w:color w:val="1C1E29"/>
        </w:rPr>
        <w:t xml:space="preserve">ales </w:t>
      </w:r>
      <w:r>
        <w:rPr>
          <w:color w:val="1C1E29"/>
        </w:rPr>
        <w:t>T</w:t>
      </w:r>
      <w:r w:rsidR="00102B5B">
        <w:rPr>
          <w:color w:val="1C1E29"/>
        </w:rPr>
        <w:t xml:space="preserve">rinity </w:t>
      </w:r>
      <w:r>
        <w:rPr>
          <w:color w:val="1C1E29"/>
        </w:rPr>
        <w:t>S</w:t>
      </w:r>
      <w:r w:rsidR="00102B5B">
        <w:rPr>
          <w:color w:val="1C1E29"/>
        </w:rPr>
        <w:t xml:space="preserve">aint </w:t>
      </w:r>
      <w:r>
        <w:rPr>
          <w:color w:val="1C1E29"/>
        </w:rPr>
        <w:t>D</w:t>
      </w:r>
      <w:r w:rsidR="00102B5B">
        <w:rPr>
          <w:color w:val="1C1E29"/>
        </w:rPr>
        <w:t>avid</w:t>
      </w:r>
      <w:r>
        <w:rPr>
          <w:color w:val="1C1E29"/>
        </w:rPr>
        <w:t>’</w:t>
      </w:r>
      <w:r w:rsidR="00102B5B">
        <w:rPr>
          <w:color w:val="1C1E29"/>
        </w:rPr>
        <w:t>s</w:t>
      </w:r>
      <w:r>
        <w:rPr>
          <w:color w:val="1C1E29"/>
        </w:rPr>
        <w:t xml:space="preserve"> and </w:t>
      </w:r>
      <w:r w:rsidR="00102B5B">
        <w:rPr>
          <w:color w:val="1C1E29"/>
        </w:rPr>
        <w:t xml:space="preserve">The </w:t>
      </w:r>
      <w:r>
        <w:rPr>
          <w:color w:val="1C1E29"/>
        </w:rPr>
        <w:t>B</w:t>
      </w:r>
      <w:r w:rsidR="00102B5B">
        <w:rPr>
          <w:color w:val="1C1E29"/>
        </w:rPr>
        <w:t xml:space="preserve">ritish Psychology Society’s </w:t>
      </w:r>
      <w:r>
        <w:rPr>
          <w:color w:val="1C1E29"/>
        </w:rPr>
        <w:t>code of conduct</w:t>
      </w:r>
      <w:r w:rsidR="00102B5B">
        <w:rPr>
          <w:color w:val="1C1E29"/>
        </w:rPr>
        <w:t xml:space="preserve"> (2018)</w:t>
      </w:r>
      <w:r>
        <w:rPr>
          <w:color w:val="1C1E29"/>
        </w:rPr>
        <w:t xml:space="preserve">. Participants were then directed to the welcome page of the study on Superlab software on the computer screen by the researcher and told that the researcher was at hand in a room close to the participant if there were any issues with the study. Participants were then left to continue with the study alone. Once participants </w:t>
      </w:r>
      <w:r w:rsidR="00697903">
        <w:rPr>
          <w:color w:val="1C1E29"/>
        </w:rPr>
        <w:t xml:space="preserve">had </w:t>
      </w:r>
      <w:r>
        <w:rPr>
          <w:color w:val="1C1E29"/>
        </w:rPr>
        <w:t>re</w:t>
      </w:r>
      <w:r w:rsidR="00697903">
        <w:rPr>
          <w:color w:val="1C1E29"/>
        </w:rPr>
        <w:t>d</w:t>
      </w:r>
      <w:r>
        <w:rPr>
          <w:color w:val="1C1E29"/>
        </w:rPr>
        <w:t xml:space="preserve"> the welcome page, they were then indicated to press the space bar on the keyboard which immediately brought them to the instructions page. The instructions page directed them to utilise the headphones </w:t>
      </w:r>
      <w:r w:rsidR="00697903">
        <w:rPr>
          <w:color w:val="1C1E29"/>
        </w:rPr>
        <w:t>present</w:t>
      </w:r>
      <w:r>
        <w:rPr>
          <w:color w:val="1C1E29"/>
        </w:rPr>
        <w:t xml:space="preserve"> and explained that they were going to be presented with 40 visual search tasks with their aim being to identify a target letter (The letter X) amongst an </w:t>
      </w:r>
      <w:r>
        <w:rPr>
          <w:color w:val="1C1E29"/>
        </w:rPr>
        <w:lastRenderedPageBreak/>
        <w:t>array of other letters ranging from easy to difficult whilst listening to a tone simultaneously</w:t>
      </w:r>
      <w:r w:rsidR="00697903">
        <w:rPr>
          <w:color w:val="1C1E29"/>
        </w:rPr>
        <w:t>, furthermore,</w:t>
      </w:r>
      <w:r>
        <w:rPr>
          <w:color w:val="1C1E29"/>
        </w:rPr>
        <w:t xml:space="preserve"> trials would occur for three seconds each and then</w:t>
      </w:r>
      <w:r w:rsidR="00697903">
        <w:rPr>
          <w:color w:val="1C1E29"/>
        </w:rPr>
        <w:t xml:space="preserve"> they were required to</w:t>
      </w:r>
      <w:r>
        <w:rPr>
          <w:color w:val="1C1E29"/>
        </w:rPr>
        <w:t xml:space="preserve"> answer two yes/no questions after each trial by pressing either the button on the keyboard covered by a green sticker for yes or a red sticker for no. </w:t>
      </w:r>
      <w:r w:rsidR="006E05C6">
        <w:rPr>
          <w:color w:val="1C1E29"/>
        </w:rPr>
        <w:t>T</w:t>
      </w:r>
      <w:r>
        <w:rPr>
          <w:color w:val="1C1E29"/>
        </w:rPr>
        <w:t>he responses made by the participant</w:t>
      </w:r>
      <w:r w:rsidR="006E05C6">
        <w:rPr>
          <w:color w:val="1C1E29"/>
        </w:rPr>
        <w:t>s’</w:t>
      </w:r>
      <w:r>
        <w:rPr>
          <w:color w:val="1C1E29"/>
        </w:rPr>
        <w:t xml:space="preserve"> on the keyboard were recorded by the Superlab software. Once all 40 trials were completed the study ended by presenting participants with a page which explained the study was over and asked them to inform the researcher. The researcher then handed them the debrief information form</w:t>
      </w:r>
      <w:r w:rsidR="006E05C6">
        <w:rPr>
          <w:color w:val="1C1E29"/>
        </w:rPr>
        <w:t xml:space="preserve"> and</w:t>
      </w:r>
      <w:r>
        <w:rPr>
          <w:color w:val="1C1E29"/>
        </w:rPr>
        <w:t xml:space="preserve"> thanked the participant for their time. Relaying to each participant one final time that if they had any inquiries, they had on the debrief form the propose of the study and the contact information of the researcher and the academic supervisor. The researcher then securely stored the data collected by participants immediately after each participant completed this procedure under </w:t>
      </w:r>
      <w:r w:rsidR="00102B5B">
        <w:rPr>
          <w:color w:val="1C1E29"/>
        </w:rPr>
        <w:t>T</w:t>
      </w:r>
      <w:r>
        <w:rPr>
          <w:color w:val="1C1E29"/>
        </w:rPr>
        <w:t>he Data Protection Act 2018</w:t>
      </w:r>
      <w:r w:rsidR="00102B5B">
        <w:rPr>
          <w:color w:val="1C1E29"/>
        </w:rPr>
        <w:t xml:space="preserve">, The </w:t>
      </w:r>
      <w:r>
        <w:rPr>
          <w:color w:val="1C1E29"/>
        </w:rPr>
        <w:t>U</w:t>
      </w:r>
      <w:r w:rsidR="00102B5B">
        <w:rPr>
          <w:color w:val="1C1E29"/>
        </w:rPr>
        <w:t xml:space="preserve">niversity of </w:t>
      </w:r>
      <w:r>
        <w:rPr>
          <w:color w:val="1C1E29"/>
        </w:rPr>
        <w:t>W</w:t>
      </w:r>
      <w:r w:rsidR="00102B5B">
        <w:rPr>
          <w:color w:val="1C1E29"/>
        </w:rPr>
        <w:t xml:space="preserve">ales </w:t>
      </w:r>
      <w:r>
        <w:rPr>
          <w:color w:val="1C1E29"/>
        </w:rPr>
        <w:t>T</w:t>
      </w:r>
      <w:r w:rsidR="00102B5B">
        <w:rPr>
          <w:color w:val="1C1E29"/>
        </w:rPr>
        <w:t xml:space="preserve">rinity </w:t>
      </w:r>
      <w:r>
        <w:rPr>
          <w:color w:val="1C1E29"/>
        </w:rPr>
        <w:t>S</w:t>
      </w:r>
      <w:r w:rsidR="00102B5B">
        <w:rPr>
          <w:color w:val="1C1E29"/>
        </w:rPr>
        <w:t xml:space="preserve">aint </w:t>
      </w:r>
      <w:proofErr w:type="spellStart"/>
      <w:r>
        <w:rPr>
          <w:color w:val="1C1E29"/>
        </w:rPr>
        <w:t>D</w:t>
      </w:r>
      <w:r w:rsidR="00102B5B">
        <w:rPr>
          <w:color w:val="1C1E29"/>
        </w:rPr>
        <w:t>aivid</w:t>
      </w:r>
      <w:r>
        <w:rPr>
          <w:color w:val="1C1E29"/>
        </w:rPr>
        <w:t>s</w:t>
      </w:r>
      <w:proofErr w:type="spellEnd"/>
      <w:r>
        <w:rPr>
          <w:color w:val="1C1E29"/>
        </w:rPr>
        <w:t>’ code of conduct</w:t>
      </w:r>
      <w:r w:rsidR="00102B5B">
        <w:rPr>
          <w:color w:val="1C1E29"/>
        </w:rPr>
        <w:t xml:space="preserve"> and ethical guidelines of The British Psychological Society (2018)</w:t>
      </w:r>
      <w:r>
        <w:rPr>
          <w:color w:val="1C1E29"/>
        </w:rPr>
        <w:t>. </w:t>
      </w:r>
    </w:p>
    <w:p w14:paraId="3F0287A1" w14:textId="24EBF74E" w:rsidR="005D58D8" w:rsidRDefault="005D58D8">
      <w:pPr>
        <w:rPr>
          <w:rFonts w:ascii="Times New Roman" w:hAnsi="Times New Roman" w:cs="Times New Roman"/>
          <w:sz w:val="24"/>
          <w:szCs w:val="24"/>
        </w:rPr>
      </w:pPr>
    </w:p>
    <w:p w14:paraId="0B7B2064" w14:textId="0D964086" w:rsidR="00102B5B" w:rsidRDefault="00102B5B">
      <w:pPr>
        <w:rPr>
          <w:rFonts w:ascii="Times New Roman" w:hAnsi="Times New Roman" w:cs="Times New Roman"/>
          <w:sz w:val="24"/>
          <w:szCs w:val="24"/>
        </w:rPr>
      </w:pPr>
    </w:p>
    <w:p w14:paraId="5835FDE4" w14:textId="2A59E9EC" w:rsidR="00102B5B" w:rsidRDefault="00102B5B">
      <w:pPr>
        <w:rPr>
          <w:rFonts w:ascii="Times New Roman" w:hAnsi="Times New Roman" w:cs="Times New Roman"/>
          <w:sz w:val="24"/>
          <w:szCs w:val="24"/>
        </w:rPr>
      </w:pPr>
    </w:p>
    <w:p w14:paraId="566FD142" w14:textId="1ABBB89B" w:rsidR="00102B5B" w:rsidRDefault="00102B5B">
      <w:pPr>
        <w:rPr>
          <w:rFonts w:ascii="Times New Roman" w:hAnsi="Times New Roman" w:cs="Times New Roman"/>
          <w:sz w:val="24"/>
          <w:szCs w:val="24"/>
        </w:rPr>
      </w:pPr>
    </w:p>
    <w:p w14:paraId="2EA5CDCE" w14:textId="29D513DB" w:rsidR="00102B5B" w:rsidRDefault="00102B5B">
      <w:pPr>
        <w:rPr>
          <w:rFonts w:ascii="Times New Roman" w:hAnsi="Times New Roman" w:cs="Times New Roman"/>
          <w:sz w:val="24"/>
          <w:szCs w:val="24"/>
        </w:rPr>
      </w:pPr>
    </w:p>
    <w:p w14:paraId="6E677EFD" w14:textId="137FA63A" w:rsidR="00102B5B" w:rsidRDefault="00102B5B">
      <w:pPr>
        <w:rPr>
          <w:rFonts w:ascii="Times New Roman" w:hAnsi="Times New Roman" w:cs="Times New Roman"/>
          <w:sz w:val="24"/>
          <w:szCs w:val="24"/>
        </w:rPr>
      </w:pPr>
    </w:p>
    <w:p w14:paraId="2318AB5B" w14:textId="047282F3" w:rsidR="00102B5B" w:rsidRDefault="00102B5B">
      <w:pPr>
        <w:rPr>
          <w:rFonts w:ascii="Times New Roman" w:hAnsi="Times New Roman" w:cs="Times New Roman"/>
          <w:sz w:val="24"/>
          <w:szCs w:val="24"/>
        </w:rPr>
      </w:pPr>
    </w:p>
    <w:p w14:paraId="3816634B" w14:textId="4DEC04DE" w:rsidR="00102B5B" w:rsidRDefault="00102B5B">
      <w:pPr>
        <w:rPr>
          <w:rFonts w:ascii="Times New Roman" w:hAnsi="Times New Roman" w:cs="Times New Roman"/>
          <w:sz w:val="24"/>
          <w:szCs w:val="24"/>
        </w:rPr>
      </w:pPr>
    </w:p>
    <w:p w14:paraId="7283A391" w14:textId="3F26F999" w:rsidR="00102B5B" w:rsidRDefault="00102B5B">
      <w:pPr>
        <w:rPr>
          <w:rFonts w:ascii="Times New Roman" w:hAnsi="Times New Roman" w:cs="Times New Roman"/>
          <w:sz w:val="24"/>
          <w:szCs w:val="24"/>
        </w:rPr>
      </w:pPr>
    </w:p>
    <w:p w14:paraId="5542293D" w14:textId="6634EE03" w:rsidR="00102B5B" w:rsidRDefault="00102B5B">
      <w:pPr>
        <w:rPr>
          <w:rFonts w:ascii="Times New Roman" w:hAnsi="Times New Roman" w:cs="Times New Roman"/>
          <w:sz w:val="24"/>
          <w:szCs w:val="24"/>
        </w:rPr>
      </w:pPr>
    </w:p>
    <w:p w14:paraId="179BD5AA" w14:textId="506095CD" w:rsidR="00102B5B" w:rsidRDefault="00102B5B">
      <w:pPr>
        <w:rPr>
          <w:rFonts w:ascii="Times New Roman" w:hAnsi="Times New Roman" w:cs="Times New Roman"/>
          <w:sz w:val="24"/>
          <w:szCs w:val="24"/>
        </w:rPr>
      </w:pPr>
    </w:p>
    <w:p w14:paraId="245FB869" w14:textId="07324CF2" w:rsidR="00102B5B" w:rsidRDefault="00102B5B">
      <w:pPr>
        <w:rPr>
          <w:rFonts w:ascii="Times New Roman" w:hAnsi="Times New Roman" w:cs="Times New Roman"/>
          <w:sz w:val="24"/>
          <w:szCs w:val="24"/>
        </w:rPr>
      </w:pPr>
    </w:p>
    <w:p w14:paraId="2FBE8741" w14:textId="3B5789F4" w:rsidR="00102B5B" w:rsidRDefault="00102B5B">
      <w:pPr>
        <w:rPr>
          <w:rFonts w:ascii="Times New Roman" w:hAnsi="Times New Roman" w:cs="Times New Roman"/>
          <w:sz w:val="24"/>
          <w:szCs w:val="24"/>
        </w:rPr>
      </w:pPr>
    </w:p>
    <w:p w14:paraId="2854181B" w14:textId="3D2D7BB5" w:rsidR="00102B5B" w:rsidRDefault="00102B5B">
      <w:pPr>
        <w:rPr>
          <w:rFonts w:ascii="Times New Roman" w:hAnsi="Times New Roman" w:cs="Times New Roman"/>
          <w:sz w:val="24"/>
          <w:szCs w:val="24"/>
        </w:rPr>
      </w:pPr>
    </w:p>
    <w:p w14:paraId="0D0313FE" w14:textId="2456A6A9" w:rsidR="00102B5B" w:rsidRDefault="00102B5B" w:rsidP="00102B5B">
      <w:pPr>
        <w:jc w:val="center"/>
        <w:rPr>
          <w:rFonts w:ascii="Times New Roman" w:hAnsi="Times New Roman" w:cs="Times New Roman"/>
          <w:b/>
          <w:bCs/>
          <w:sz w:val="24"/>
          <w:szCs w:val="24"/>
        </w:rPr>
      </w:pPr>
      <w:r w:rsidRPr="00102B5B">
        <w:rPr>
          <w:rFonts w:ascii="Times New Roman" w:hAnsi="Times New Roman" w:cs="Times New Roman"/>
          <w:b/>
          <w:bCs/>
          <w:sz w:val="24"/>
          <w:szCs w:val="24"/>
        </w:rPr>
        <w:lastRenderedPageBreak/>
        <w:t>References</w:t>
      </w:r>
    </w:p>
    <w:p w14:paraId="0C36ECF2" w14:textId="77777777" w:rsidR="00697A59" w:rsidRDefault="00697A59" w:rsidP="00102B5B">
      <w:pPr>
        <w:rPr>
          <w:rFonts w:ascii="Times New Roman" w:hAnsi="Times New Roman" w:cs="Times New Roman"/>
          <w:b/>
          <w:bCs/>
          <w:sz w:val="24"/>
          <w:szCs w:val="24"/>
        </w:rPr>
      </w:pPr>
    </w:p>
    <w:p w14:paraId="43E6E3DF" w14:textId="77777777" w:rsidR="00697A59" w:rsidRDefault="00697A59" w:rsidP="00697A59">
      <w:pPr>
        <w:spacing w:line="480" w:lineRule="auto"/>
        <w:rPr>
          <w:rFonts w:ascii="Times New Roman" w:hAnsi="Times New Roman" w:cs="Times New Roman"/>
          <w:sz w:val="24"/>
          <w:szCs w:val="24"/>
        </w:rPr>
      </w:pPr>
      <w:r w:rsidRPr="00697A59">
        <w:rPr>
          <w:rFonts w:ascii="Times New Roman" w:hAnsi="Times New Roman" w:cs="Times New Roman"/>
          <w:sz w:val="24"/>
          <w:szCs w:val="24"/>
        </w:rPr>
        <w:t>http://www.bps.org.uk/sites/default/files/documents/code_of_human_research_ethics.pdf</w:t>
      </w:r>
    </w:p>
    <w:p w14:paraId="0BC0BEC7" w14:textId="77777777" w:rsidR="00697A59" w:rsidRPr="00697A59" w:rsidRDefault="00697A59" w:rsidP="00697A59">
      <w:pPr>
        <w:spacing w:line="480" w:lineRule="auto"/>
        <w:ind w:left="720" w:hanging="720"/>
        <w:rPr>
          <w:rFonts w:ascii="Times New Roman" w:hAnsi="Times New Roman" w:cs="Times New Roman"/>
          <w:sz w:val="24"/>
          <w:szCs w:val="24"/>
        </w:rPr>
      </w:pPr>
      <w:r w:rsidRPr="00697A59">
        <w:rPr>
          <w:rFonts w:ascii="Times New Roman" w:hAnsi="Times New Roman" w:cs="Times New Roman"/>
          <w:sz w:val="24"/>
          <w:szCs w:val="24"/>
        </w:rPr>
        <w:t>https://www.uwtsd.ac.uk/media/uwtsd-website/content-assets/documents/research/research-ethics-integrity-code-practice.pdf</w:t>
      </w:r>
    </w:p>
    <w:p w14:paraId="7C6386D2" w14:textId="77777777" w:rsidR="00697A59" w:rsidRDefault="00697A59" w:rsidP="00697A59">
      <w:pPr>
        <w:spacing w:line="480" w:lineRule="auto"/>
        <w:rPr>
          <w:rFonts w:ascii="Times New Roman" w:hAnsi="Times New Roman" w:cs="Times New Roman"/>
          <w:sz w:val="24"/>
          <w:szCs w:val="24"/>
        </w:rPr>
      </w:pPr>
      <w:r w:rsidRPr="00697A59">
        <w:rPr>
          <w:rFonts w:ascii="Times New Roman" w:hAnsi="Times New Roman" w:cs="Times New Roman"/>
          <w:sz w:val="24"/>
          <w:szCs w:val="24"/>
        </w:rPr>
        <w:t>Pallant, J. (2013). </w:t>
      </w:r>
      <w:r w:rsidRPr="00697A59">
        <w:rPr>
          <w:rFonts w:ascii="Times New Roman" w:hAnsi="Times New Roman" w:cs="Times New Roman"/>
          <w:i/>
          <w:iCs/>
          <w:sz w:val="24"/>
          <w:szCs w:val="24"/>
        </w:rPr>
        <w:t>SPSS survival manual</w:t>
      </w:r>
      <w:r w:rsidRPr="00697A59">
        <w:rPr>
          <w:rFonts w:ascii="Times New Roman" w:hAnsi="Times New Roman" w:cs="Times New Roman"/>
          <w:sz w:val="24"/>
          <w:szCs w:val="24"/>
        </w:rPr>
        <w:t>. McGraw-Hill Education (UK).</w:t>
      </w:r>
    </w:p>
    <w:p w14:paraId="11381EC7" w14:textId="77777777" w:rsidR="00697A59" w:rsidRDefault="00697A59" w:rsidP="00697A59">
      <w:pPr>
        <w:spacing w:line="480" w:lineRule="auto"/>
        <w:ind w:left="720" w:hanging="720"/>
        <w:rPr>
          <w:rFonts w:ascii="Times New Roman" w:hAnsi="Times New Roman" w:cs="Times New Roman"/>
          <w:sz w:val="24"/>
          <w:szCs w:val="24"/>
        </w:rPr>
      </w:pPr>
      <w:r w:rsidRPr="00906DDB">
        <w:rPr>
          <w:rFonts w:ascii="Times New Roman" w:hAnsi="Times New Roman" w:cs="Times New Roman"/>
          <w:b/>
          <w:bCs/>
          <w:sz w:val="24"/>
          <w:szCs w:val="24"/>
        </w:rPr>
        <w:t> </w:t>
      </w:r>
      <w:proofErr w:type="spellStart"/>
      <w:r w:rsidRPr="00697A59">
        <w:rPr>
          <w:rFonts w:ascii="Times New Roman" w:hAnsi="Times New Roman" w:cs="Times New Roman"/>
          <w:sz w:val="24"/>
          <w:szCs w:val="24"/>
        </w:rPr>
        <w:t>SuperLab</w:t>
      </w:r>
      <w:proofErr w:type="spellEnd"/>
      <w:r w:rsidRPr="00697A59">
        <w:rPr>
          <w:rFonts w:ascii="Times New Roman" w:hAnsi="Times New Roman" w:cs="Times New Roman"/>
          <w:sz w:val="24"/>
          <w:szCs w:val="24"/>
        </w:rPr>
        <w:t xml:space="preserve"> Pro Version 2.02</w:t>
      </w:r>
      <w:r w:rsidRPr="00697A59">
        <w:rPr>
          <w:rFonts w:ascii="Times New Roman" w:hAnsi="Times New Roman" w:cs="Times New Roman"/>
          <w:sz w:val="24"/>
          <w:szCs w:val="24"/>
        </w:rPr>
        <w:t xml:space="preserve"> (2008).</w:t>
      </w:r>
      <w:r w:rsidRPr="00697A59">
        <w:rPr>
          <w:rFonts w:ascii="Times New Roman" w:hAnsi="Times New Roman" w:cs="Times New Roman"/>
          <w:sz w:val="24"/>
          <w:szCs w:val="24"/>
        </w:rPr>
        <w:t xml:space="preserve"> </w:t>
      </w:r>
      <w:proofErr w:type="spellStart"/>
      <w:r w:rsidRPr="00697A59">
        <w:rPr>
          <w:rFonts w:ascii="Times New Roman" w:hAnsi="Times New Roman" w:cs="Times New Roman"/>
          <w:sz w:val="24"/>
          <w:szCs w:val="24"/>
        </w:rPr>
        <w:t>Cedrus</w:t>
      </w:r>
      <w:proofErr w:type="spellEnd"/>
      <w:r w:rsidRPr="00697A59">
        <w:rPr>
          <w:rFonts w:ascii="Times New Roman" w:hAnsi="Times New Roman" w:cs="Times New Roman"/>
          <w:sz w:val="24"/>
          <w:szCs w:val="24"/>
        </w:rPr>
        <w:t xml:space="preserve"> </w:t>
      </w:r>
      <w:proofErr w:type="spellStart"/>
      <w:proofErr w:type="gramStart"/>
      <w:r w:rsidRPr="00697A59">
        <w:rPr>
          <w:rFonts w:ascii="Times New Roman" w:hAnsi="Times New Roman" w:cs="Times New Roman"/>
          <w:sz w:val="24"/>
          <w:szCs w:val="24"/>
        </w:rPr>
        <w:t>Corporation;DirectRT</w:t>
      </w:r>
      <w:proofErr w:type="spellEnd"/>
      <w:proofErr w:type="gramEnd"/>
      <w:r w:rsidRPr="00697A59">
        <w:rPr>
          <w:rFonts w:ascii="Times New Roman" w:hAnsi="Times New Roman" w:cs="Times New Roman"/>
          <w:sz w:val="24"/>
          <w:szCs w:val="24"/>
        </w:rPr>
        <w:t xml:space="preserve"> Version 2008.1.13; </w:t>
      </w:r>
      <w:proofErr w:type="spellStart"/>
      <w:r w:rsidRPr="00697A59">
        <w:rPr>
          <w:rFonts w:ascii="Times New Roman" w:hAnsi="Times New Roman" w:cs="Times New Roman"/>
          <w:i/>
          <w:iCs/>
          <w:sz w:val="24"/>
          <w:szCs w:val="24"/>
        </w:rPr>
        <w:t>Empirisoft</w:t>
      </w:r>
      <w:proofErr w:type="spellEnd"/>
      <w:r w:rsidRPr="00697A59">
        <w:rPr>
          <w:rFonts w:ascii="Times New Roman" w:hAnsi="Times New Roman" w:cs="Times New Roman"/>
          <w:i/>
          <w:iCs/>
          <w:sz w:val="24"/>
          <w:szCs w:val="24"/>
        </w:rPr>
        <w:t xml:space="preserve"> Corporation</w:t>
      </w:r>
      <w:r w:rsidRPr="00697A59">
        <w:rPr>
          <w:rFonts w:ascii="Times New Roman" w:hAnsi="Times New Roman" w:cs="Times New Roman"/>
          <w:sz w:val="24"/>
          <w:szCs w:val="24"/>
        </w:rPr>
        <w:t>; New York, NY</w:t>
      </w:r>
      <w:r>
        <w:rPr>
          <w:rFonts w:ascii="Times New Roman" w:hAnsi="Times New Roman" w:cs="Times New Roman"/>
          <w:sz w:val="24"/>
          <w:szCs w:val="24"/>
        </w:rPr>
        <w:t>.</w:t>
      </w:r>
    </w:p>
    <w:p w14:paraId="31016EC4" w14:textId="77777777" w:rsidR="00697A59" w:rsidRPr="00906DDB" w:rsidRDefault="00697A59" w:rsidP="00697A59">
      <w:pPr>
        <w:spacing w:line="480" w:lineRule="auto"/>
        <w:ind w:left="720" w:hanging="720"/>
        <w:rPr>
          <w:rFonts w:ascii="Times New Roman" w:hAnsi="Times New Roman" w:cs="Times New Roman"/>
          <w:sz w:val="24"/>
          <w:szCs w:val="24"/>
        </w:rPr>
      </w:pPr>
      <w:r w:rsidRPr="00906DDB">
        <w:rPr>
          <w:rFonts w:ascii="Times New Roman" w:hAnsi="Times New Roman" w:cs="Times New Roman"/>
          <w:sz w:val="24"/>
          <w:szCs w:val="24"/>
        </w:rPr>
        <w:t>The British Psychological Society (2018). </w:t>
      </w:r>
      <w:r w:rsidRPr="00906DDB">
        <w:rPr>
          <w:rFonts w:ascii="Times New Roman" w:hAnsi="Times New Roman" w:cs="Times New Roman"/>
          <w:i/>
          <w:iCs/>
          <w:sz w:val="24"/>
          <w:szCs w:val="24"/>
        </w:rPr>
        <w:t>Code of Ethics and Conduct</w:t>
      </w:r>
      <w:r w:rsidRPr="00906DDB">
        <w:rPr>
          <w:rFonts w:ascii="Times New Roman" w:hAnsi="Times New Roman" w:cs="Times New Roman"/>
          <w:sz w:val="24"/>
          <w:szCs w:val="24"/>
        </w:rPr>
        <w:t xml:space="preserve">. [online] Leicester: The British Psychological Society. Available at: https://www.bps.org.uk/sites/bps.org.uk/files/Policy%20-%20Files/Code%20of%20Ethics%20and%20Conduct%20(2018).pdf [Accessed </w:t>
      </w:r>
      <w:r>
        <w:rPr>
          <w:rFonts w:ascii="Times New Roman" w:hAnsi="Times New Roman" w:cs="Times New Roman"/>
          <w:sz w:val="24"/>
          <w:szCs w:val="24"/>
        </w:rPr>
        <w:t>04 December</w:t>
      </w:r>
      <w:r w:rsidRPr="00906DDB">
        <w:rPr>
          <w:rFonts w:ascii="Times New Roman" w:hAnsi="Times New Roman" w:cs="Times New Roman"/>
          <w:sz w:val="24"/>
          <w:szCs w:val="24"/>
        </w:rPr>
        <w:t xml:space="preserve"> 201</w:t>
      </w:r>
      <w:r>
        <w:rPr>
          <w:rFonts w:ascii="Times New Roman" w:hAnsi="Times New Roman" w:cs="Times New Roman"/>
          <w:sz w:val="24"/>
          <w:szCs w:val="24"/>
        </w:rPr>
        <w:t>9</w:t>
      </w:r>
      <w:r w:rsidRPr="00906DDB">
        <w:rPr>
          <w:rFonts w:ascii="Times New Roman" w:hAnsi="Times New Roman" w:cs="Times New Roman"/>
          <w:sz w:val="24"/>
          <w:szCs w:val="24"/>
        </w:rPr>
        <w:t>].</w:t>
      </w:r>
    </w:p>
    <w:sectPr w:rsidR="00697A59" w:rsidRPr="00906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34FF"/>
    <w:multiLevelType w:val="hybridMultilevel"/>
    <w:tmpl w:val="C75A6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8D8"/>
    <w:rsid w:val="000A28E7"/>
    <w:rsid w:val="00102B5B"/>
    <w:rsid w:val="0025181B"/>
    <w:rsid w:val="003B2BE8"/>
    <w:rsid w:val="004443D0"/>
    <w:rsid w:val="004604AC"/>
    <w:rsid w:val="0049728E"/>
    <w:rsid w:val="004A2F73"/>
    <w:rsid w:val="005D58D8"/>
    <w:rsid w:val="00630BD0"/>
    <w:rsid w:val="00697903"/>
    <w:rsid w:val="00697A59"/>
    <w:rsid w:val="006A79DA"/>
    <w:rsid w:val="006E05C6"/>
    <w:rsid w:val="00711A12"/>
    <w:rsid w:val="007133B4"/>
    <w:rsid w:val="00735B4E"/>
    <w:rsid w:val="00751E44"/>
    <w:rsid w:val="00753BBB"/>
    <w:rsid w:val="00852FFD"/>
    <w:rsid w:val="00866D9E"/>
    <w:rsid w:val="00904B99"/>
    <w:rsid w:val="00906DDB"/>
    <w:rsid w:val="009E13FD"/>
    <w:rsid w:val="009E5ACF"/>
    <w:rsid w:val="00A92D48"/>
    <w:rsid w:val="00AC056C"/>
    <w:rsid w:val="00B231DC"/>
    <w:rsid w:val="00B60CFD"/>
    <w:rsid w:val="00B75873"/>
    <w:rsid w:val="00B8193A"/>
    <w:rsid w:val="00BB0E13"/>
    <w:rsid w:val="00BB2BF8"/>
    <w:rsid w:val="00BD44D9"/>
    <w:rsid w:val="00BF4DD0"/>
    <w:rsid w:val="00C07E02"/>
    <w:rsid w:val="00CF30C5"/>
    <w:rsid w:val="00D42FCC"/>
    <w:rsid w:val="00D918C3"/>
    <w:rsid w:val="00EB1858"/>
    <w:rsid w:val="00EB753B"/>
    <w:rsid w:val="00F2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B130"/>
  <w15:chartTrackingRefBased/>
  <w15:docId w15:val="{99269462-E19F-4007-9E42-263A66070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4D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4D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2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6</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dc:creator>
  <cp:keywords/>
  <dc:description/>
  <cp:lastModifiedBy>Stacey Loftus</cp:lastModifiedBy>
  <cp:revision>7</cp:revision>
  <dcterms:created xsi:type="dcterms:W3CDTF">2019-12-04T12:22:00Z</dcterms:created>
  <dcterms:modified xsi:type="dcterms:W3CDTF">2019-12-04T20:56:00Z</dcterms:modified>
</cp:coreProperties>
</file>