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2A02" w14:textId="77777777" w:rsidR="008946EB" w:rsidRPr="008946EB" w:rsidRDefault="008946EB" w:rsidP="008946EB">
      <w:pPr>
        <w:rPr>
          <w:rFonts w:ascii="ADLaM Display" w:hAnsi="ADLaM Display" w:cs="ADLaM Display"/>
          <w:b/>
          <w:bCs/>
          <w:sz w:val="36"/>
          <w:szCs w:val="36"/>
        </w:rPr>
      </w:pPr>
      <w:r w:rsidRPr="008946EB">
        <w:rPr>
          <w:rFonts w:ascii="ADLaM Display" w:hAnsi="ADLaM Display" w:cs="ADLaM Display"/>
          <w:b/>
          <w:bCs/>
          <w:sz w:val="36"/>
          <w:szCs w:val="36"/>
        </w:rPr>
        <w:t>Children &amp; young people in a digital world: seeing the whole picture (through a Welsh lens)</w:t>
      </w:r>
    </w:p>
    <w:p w14:paraId="1BE15649" w14:textId="3F3EEAFE" w:rsidR="008946EB" w:rsidRPr="008946EB" w:rsidRDefault="008946EB" w:rsidP="008946EB">
      <w:pPr>
        <w:rPr>
          <w:rFonts w:ascii="ADLaM Display" w:hAnsi="ADLaM Display" w:cs="ADLaM Display"/>
          <w:sz w:val="24"/>
          <w:szCs w:val="24"/>
        </w:rPr>
      </w:pPr>
      <w:r w:rsidRPr="008946EB">
        <w:rPr>
          <w:rFonts w:ascii="ADLaM Display" w:hAnsi="ADLaM Display" w:cs="ADLaM Display"/>
          <w:i/>
          <w:iCs/>
          <w:sz w:val="24"/>
          <w:szCs w:val="24"/>
        </w:rPr>
        <w:t>“It’s not about counting minutes; it’s about the quality of digital interactions and what they displace—sleep, movement, social time.”</w:t>
      </w:r>
      <w:r w:rsidRPr="008946EB">
        <w:rPr>
          <w:rFonts w:ascii="ADLaM Display" w:hAnsi="ADLaM Display" w:cs="ADLaM Display"/>
          <w:sz w:val="24"/>
          <w:szCs w:val="24"/>
        </w:rPr>
        <w:t xml:space="preserve"> (RCPCH; AAP)</w:t>
      </w:r>
    </w:p>
    <w:p w14:paraId="2EB7F3E8" w14:textId="6BC9EAC3" w:rsidR="008946EB" w:rsidRPr="008946EB" w:rsidRDefault="008946EB" w:rsidP="008946EB">
      <w:pPr>
        <w:rPr>
          <w:rFonts w:ascii="ADLaM Display" w:hAnsi="ADLaM Display" w:cs="ADLaM Display"/>
          <w:sz w:val="24"/>
          <w:szCs w:val="24"/>
        </w:rPr>
      </w:pPr>
      <w:r>
        <w:rPr>
          <w:rFonts w:ascii="ADLaM Display" w:hAnsi="ADLaM Display" w:cs="ADLaM Display"/>
          <w:noProof/>
          <w:sz w:val="24"/>
          <w:szCs w:val="24"/>
        </w:rPr>
        <w:drawing>
          <wp:anchor distT="0" distB="0" distL="114300" distR="114300" simplePos="0" relativeHeight="251654656" behindDoc="0" locked="0" layoutInCell="1" allowOverlap="1" wp14:anchorId="71BCD677" wp14:editId="36E1BF5C">
            <wp:simplePos x="0" y="0"/>
            <wp:positionH relativeFrom="column">
              <wp:posOffset>2689860</wp:posOffset>
            </wp:positionH>
            <wp:positionV relativeFrom="paragraph">
              <wp:posOffset>151130</wp:posOffset>
            </wp:positionV>
            <wp:extent cx="2720340" cy="1813560"/>
            <wp:effectExtent l="0" t="0" r="0" b="0"/>
            <wp:wrapSquare wrapText="bothSides"/>
            <wp:docPr id="1674084441" name="Picture 1" descr="A group of kids using de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084441" name="Picture 1" descr="A group of kids using devices"/>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20340" cy="1813560"/>
                    </a:xfrm>
                    <a:prstGeom prst="rect">
                      <a:avLst/>
                    </a:prstGeom>
                  </pic:spPr>
                </pic:pic>
              </a:graphicData>
            </a:graphic>
            <wp14:sizeRelH relativeFrom="margin">
              <wp14:pctWidth>0</wp14:pctWidth>
            </wp14:sizeRelH>
            <wp14:sizeRelV relativeFrom="margin">
              <wp14:pctHeight>0</wp14:pctHeight>
            </wp14:sizeRelV>
          </wp:anchor>
        </w:drawing>
      </w:r>
      <w:r w:rsidRPr="008946EB">
        <w:rPr>
          <w:rFonts w:ascii="ADLaM Display" w:hAnsi="ADLaM Display" w:cs="ADLaM Display"/>
          <w:sz w:val="24"/>
          <w:szCs w:val="24"/>
        </w:rPr>
        <w:t xml:space="preserve">We all know the digital world is where our learners </w:t>
      </w:r>
      <w:r w:rsidRPr="008946EB">
        <w:rPr>
          <w:rFonts w:ascii="ADLaM Display" w:hAnsi="ADLaM Display" w:cs="ADLaM Display"/>
          <w:i/>
          <w:iCs/>
          <w:sz w:val="24"/>
          <w:szCs w:val="24"/>
        </w:rPr>
        <w:t>live</w:t>
      </w:r>
      <w:r w:rsidRPr="008946EB">
        <w:rPr>
          <w:rFonts w:ascii="ADLaM Display" w:hAnsi="ADLaM Display" w:cs="ADLaM Display"/>
          <w:sz w:val="24"/>
          <w:szCs w:val="24"/>
        </w:rPr>
        <w:t xml:space="preserve"> as much as where they learn. </w:t>
      </w:r>
      <w:r>
        <w:rPr>
          <w:rFonts w:ascii="ADLaM Display" w:hAnsi="ADLaM Display" w:cs="ADLaM Display"/>
          <w:sz w:val="24"/>
          <w:szCs w:val="24"/>
        </w:rPr>
        <w:t>Short-form</w:t>
      </w:r>
      <w:r w:rsidRPr="008946EB">
        <w:rPr>
          <w:rFonts w:ascii="ADLaM Display" w:hAnsi="ADLaM Display" w:cs="ADLaM Display"/>
          <w:sz w:val="24"/>
          <w:szCs w:val="24"/>
        </w:rPr>
        <w:t xml:space="preserve"> videos, messages in group chats, and creative posts are woven into daily life. In the UK, almost all 8–</w:t>
      </w:r>
      <w:r>
        <w:rPr>
          <w:rFonts w:ascii="ADLaM Display" w:hAnsi="ADLaM Display" w:cs="ADLaM Display"/>
          <w:sz w:val="24"/>
          <w:szCs w:val="24"/>
        </w:rPr>
        <w:t>17-year-olds</w:t>
      </w:r>
      <w:r w:rsidRPr="008946EB">
        <w:rPr>
          <w:rFonts w:ascii="ADLaM Display" w:hAnsi="ADLaM Display" w:cs="ADLaM Display"/>
          <w:sz w:val="24"/>
          <w:szCs w:val="24"/>
        </w:rPr>
        <w:t xml:space="preserve"> go online regularly, </w:t>
      </w:r>
      <w:r>
        <w:rPr>
          <w:rFonts w:ascii="ADLaM Display" w:hAnsi="ADLaM Display" w:cs="ADLaM Display"/>
          <w:sz w:val="24"/>
          <w:szCs w:val="24"/>
        </w:rPr>
        <w:t>creating and sharing their own content—both opportunities and risks</w:t>
      </w:r>
      <w:r w:rsidRPr="008946EB">
        <w:rPr>
          <w:rFonts w:ascii="ADLaM Display" w:hAnsi="ADLaM Display" w:cs="ADLaM Display"/>
          <w:sz w:val="24"/>
          <w:szCs w:val="24"/>
        </w:rPr>
        <w:t xml:space="preserve"> (Ofcom, 2024). </w:t>
      </w:r>
      <w:hyperlink r:id="rId6" w:tgtFrame="_blank" w:history="1">
        <w:r w:rsidRPr="008946EB">
          <w:rPr>
            <w:rStyle w:val="Hyperlink"/>
            <w:rFonts w:ascii="ADLaM Display" w:hAnsi="ADLaM Display" w:cs="ADLaM Display"/>
            <w:sz w:val="24"/>
            <w:szCs w:val="24"/>
          </w:rPr>
          <w:t>(Ofcom 2024 report)</w:t>
        </w:r>
      </w:hyperlink>
      <w:r w:rsidRPr="008946EB">
        <w:rPr>
          <w:rFonts w:ascii="ADLaM Display" w:hAnsi="ADLaM Display" w:cs="ADLaM Display"/>
          <w:sz w:val="24"/>
          <w:szCs w:val="24"/>
        </w:rPr>
        <w:t xml:space="preserve"> </w:t>
      </w:r>
      <w:hyperlink r:id="rId7" w:tgtFrame="_blank" w:history="1">
        <w:r w:rsidRPr="008946EB">
          <w:rPr>
            <w:rStyle w:val="Hyperlink"/>
            <w:rFonts w:ascii="ADLaM Display" w:hAnsi="ADLaM Display" w:cs="ADLaM Display"/>
            <w:sz w:val="24"/>
            <w:szCs w:val="24"/>
          </w:rPr>
          <w:t>(Think</w:t>
        </w:r>
        <w:r w:rsidRPr="008946EB">
          <w:rPr>
            <w:rStyle w:val="Hyperlink"/>
            <w:rFonts w:ascii="ADLaM Display" w:hAnsi="ADLaM Display" w:cs="ADLaM Display"/>
            <w:sz w:val="24"/>
            <w:szCs w:val="24"/>
          </w:rPr>
          <w:noBreakHyphen/>
          <w:t>Bank summary)</w:t>
        </w:r>
      </w:hyperlink>
    </w:p>
    <w:p w14:paraId="6214C666" w14:textId="77777777"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pict w14:anchorId="7DBC5EB5">
          <v:rect id="_x0000_i1073" style="width:0;height:1.5pt" o:hralign="center" o:hrstd="t" o:hr="t" fillcolor="#a0a0a0" stroked="f"/>
        </w:pict>
      </w:r>
    </w:p>
    <w:p w14:paraId="520C1CF5" w14:textId="57D801F2"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t>A friendly theory to make sense of it all: Bronfenbrenner’s bioecological model</w:t>
      </w:r>
    </w:p>
    <w:p w14:paraId="35BFBE0B" w14:textId="14CF810D" w:rsidR="008946EB" w:rsidRPr="008946EB" w:rsidRDefault="003827D0" w:rsidP="008946EB">
      <w:pPr>
        <w:rPr>
          <w:rFonts w:ascii="ADLaM Display" w:hAnsi="ADLaM Display" w:cs="ADLaM Display"/>
          <w:sz w:val="24"/>
          <w:szCs w:val="24"/>
        </w:rPr>
      </w:pPr>
      <w:r>
        <w:rPr>
          <w:rFonts w:ascii="ADLaM Display" w:hAnsi="ADLaM Display" w:cs="ADLaM Display"/>
          <w:noProof/>
          <w:sz w:val="24"/>
          <w:szCs w:val="24"/>
        </w:rPr>
        <w:drawing>
          <wp:anchor distT="0" distB="0" distL="114300" distR="114300" simplePos="0" relativeHeight="251656704" behindDoc="0" locked="0" layoutInCell="1" allowOverlap="1" wp14:anchorId="1A55D102" wp14:editId="64E14CC6">
            <wp:simplePos x="0" y="0"/>
            <wp:positionH relativeFrom="column">
              <wp:posOffset>0</wp:posOffset>
            </wp:positionH>
            <wp:positionV relativeFrom="paragraph">
              <wp:posOffset>657860</wp:posOffset>
            </wp:positionV>
            <wp:extent cx="2575560" cy="1717040"/>
            <wp:effectExtent l="0" t="0" r="0" b="0"/>
            <wp:wrapSquare wrapText="bothSides"/>
            <wp:docPr id="111133829" name="Picture 3" descr="A cartoon of a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33829" name="Picture 3" descr="A cartoon of a chil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5560" cy="1717040"/>
                    </a:xfrm>
                    <a:prstGeom prst="rect">
                      <a:avLst/>
                    </a:prstGeom>
                  </pic:spPr>
                </pic:pic>
              </a:graphicData>
            </a:graphic>
          </wp:anchor>
        </w:drawing>
      </w:r>
      <w:r w:rsidR="008946EB" w:rsidRPr="008946EB">
        <w:rPr>
          <w:rFonts w:ascii="ADLaM Display" w:hAnsi="ADLaM Display" w:cs="ADLaM Display"/>
          <w:sz w:val="24"/>
          <w:szCs w:val="24"/>
        </w:rPr>
        <w:t xml:space="preserve">Here’s the helpful bit: Bronfenbrenner explains child development as dynamic interactions between the child and layers of their environment—microsystem (home, class, online communities), mesosystem (home–school–platform links), </w:t>
      </w:r>
      <w:proofErr w:type="spellStart"/>
      <w:r w:rsidR="008946EB" w:rsidRPr="008946EB">
        <w:rPr>
          <w:rFonts w:ascii="ADLaM Display" w:hAnsi="ADLaM Display" w:cs="ADLaM Display"/>
          <w:sz w:val="24"/>
          <w:szCs w:val="24"/>
        </w:rPr>
        <w:t>exosystem</w:t>
      </w:r>
      <w:proofErr w:type="spellEnd"/>
      <w:r w:rsidR="008946EB" w:rsidRPr="008946EB">
        <w:rPr>
          <w:rFonts w:ascii="ADLaM Display" w:hAnsi="ADLaM Display" w:cs="ADLaM Display"/>
          <w:sz w:val="24"/>
          <w:szCs w:val="24"/>
        </w:rPr>
        <w:t xml:space="preserve"> (regulators and platform policies), macrosystem (culture and national policy), and chronosystem (time and life transitions). </w:t>
      </w:r>
      <w:r w:rsidR="008946EB">
        <w:rPr>
          <w:rFonts w:ascii="ADLaM Display" w:hAnsi="ADLaM Display" w:cs="ADLaM Display"/>
          <w:sz w:val="24"/>
          <w:szCs w:val="24"/>
        </w:rPr>
        <w:t>Recent research even recognises</w:t>
      </w:r>
      <w:r w:rsidR="008946EB" w:rsidRPr="008946EB">
        <w:rPr>
          <w:rFonts w:ascii="ADLaM Display" w:hAnsi="ADLaM Display" w:cs="ADLaM Display"/>
          <w:sz w:val="24"/>
          <w:szCs w:val="24"/>
        </w:rPr>
        <w:t xml:space="preserve"> virtual microsystems (social media, gaming platforms) as real developmental settings. </w:t>
      </w:r>
      <w:hyperlink r:id="rId9" w:tgtFrame="_blank" w:history="1">
        <w:r w:rsidR="008946EB" w:rsidRPr="008946EB">
          <w:rPr>
            <w:rStyle w:val="Hyperlink"/>
            <w:rFonts w:ascii="ADLaM Display" w:hAnsi="ADLaM Display" w:cs="ADLaM Display"/>
            <w:sz w:val="24"/>
            <w:szCs w:val="24"/>
          </w:rPr>
          <w:t>(</w:t>
        </w:r>
        <w:proofErr w:type="spellStart"/>
        <w:r w:rsidR="008946EB" w:rsidRPr="008946EB">
          <w:rPr>
            <w:rStyle w:val="Hyperlink"/>
            <w:rFonts w:ascii="ADLaM Display" w:hAnsi="ADLaM Display" w:cs="ADLaM Display"/>
            <w:sz w:val="24"/>
            <w:szCs w:val="24"/>
          </w:rPr>
          <w:t>SimplyPsychology</w:t>
        </w:r>
        <w:proofErr w:type="spellEnd"/>
        <w:r w:rsidR="008946EB" w:rsidRPr="008946EB">
          <w:rPr>
            <w:rStyle w:val="Hyperlink"/>
            <w:rFonts w:ascii="ADLaM Display" w:hAnsi="ADLaM Display" w:cs="ADLaM Display"/>
            <w:sz w:val="24"/>
            <w:szCs w:val="24"/>
          </w:rPr>
          <w:t xml:space="preserve"> overview)</w:t>
        </w:r>
      </w:hyperlink>
      <w:r w:rsidR="008946EB" w:rsidRPr="008946EB">
        <w:rPr>
          <w:rFonts w:ascii="ADLaM Display" w:hAnsi="ADLaM Display" w:cs="ADLaM Display"/>
          <w:sz w:val="24"/>
          <w:szCs w:val="24"/>
        </w:rPr>
        <w:t xml:space="preserve"> </w:t>
      </w:r>
      <w:hyperlink r:id="rId10" w:tgtFrame="_blank" w:history="1">
        <w:r w:rsidR="008946EB" w:rsidRPr="008946EB">
          <w:rPr>
            <w:rStyle w:val="Hyperlink"/>
            <w:rFonts w:ascii="ADLaM Display" w:hAnsi="ADLaM Display" w:cs="ADLaM Display"/>
            <w:sz w:val="24"/>
            <w:szCs w:val="24"/>
          </w:rPr>
          <w:t>(Frontiers review)</w:t>
        </w:r>
      </w:hyperlink>
    </w:p>
    <w:p w14:paraId="17EA7A13" w14:textId="12B22FB5"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t xml:space="preserve">Why it matters for classrooms in Wales: the quality of </w:t>
      </w:r>
      <w:r w:rsidRPr="008946EB">
        <w:rPr>
          <w:rFonts w:ascii="ADLaM Display" w:hAnsi="ADLaM Display" w:cs="ADLaM Display"/>
          <w:i/>
          <w:iCs/>
          <w:sz w:val="24"/>
          <w:szCs w:val="24"/>
        </w:rPr>
        <w:t>proximal processes</w:t>
      </w:r>
      <w:r w:rsidRPr="008946EB">
        <w:rPr>
          <w:rFonts w:ascii="ADLaM Display" w:hAnsi="ADLaM Display" w:cs="ADLaM Display"/>
          <w:sz w:val="24"/>
          <w:szCs w:val="24"/>
        </w:rPr>
        <w:t>—the repeated, meaningful interactions learners have in those online spaces—drives growth. So, our job isn’t only to restrict</w:t>
      </w:r>
      <w:r>
        <w:rPr>
          <w:rFonts w:ascii="ADLaM Display" w:hAnsi="ADLaM Display" w:cs="ADLaM Display"/>
          <w:sz w:val="24"/>
          <w:szCs w:val="24"/>
        </w:rPr>
        <w:t xml:space="preserve"> but also to shape those processes through scaffolded, creative, and safe activities</w:t>
      </w:r>
      <w:r w:rsidRPr="008946EB">
        <w:rPr>
          <w:rFonts w:ascii="ADLaM Display" w:hAnsi="ADLaM Display" w:cs="ADLaM Display"/>
          <w:sz w:val="24"/>
          <w:szCs w:val="24"/>
        </w:rPr>
        <w:t>.</w:t>
      </w:r>
    </w:p>
    <w:p w14:paraId="1959E8B9" w14:textId="77777777"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pict w14:anchorId="3E8A2F41">
          <v:rect id="_x0000_i1074" style="width:0;height:1.5pt" o:hralign="center" o:hrstd="t" o:hr="t" fillcolor="#a0a0a0" stroked="f"/>
        </w:pict>
      </w:r>
    </w:p>
    <w:p w14:paraId="2941AF11" w14:textId="33B8BB62" w:rsidR="008946EB" w:rsidRPr="008946EB" w:rsidRDefault="008946EB" w:rsidP="008946EB">
      <w:pPr>
        <w:rPr>
          <w:rFonts w:ascii="ADLaM Display" w:hAnsi="ADLaM Display" w:cs="ADLaM Display"/>
          <w:sz w:val="28"/>
          <w:szCs w:val="28"/>
        </w:rPr>
      </w:pPr>
      <w:r w:rsidRPr="008946EB">
        <w:rPr>
          <w:rFonts w:ascii="ADLaM Display" w:hAnsi="ADLaM Display" w:cs="ADLaM Display"/>
          <w:sz w:val="28"/>
          <w:szCs w:val="28"/>
        </w:rPr>
        <w:t>The upside: learning, creativity, voice</w:t>
      </w:r>
    </w:p>
    <w:p w14:paraId="57E5D8F2" w14:textId="2C930374" w:rsidR="008946EB" w:rsidRPr="008946EB" w:rsidRDefault="003827D0" w:rsidP="008946EB">
      <w:pPr>
        <w:numPr>
          <w:ilvl w:val="0"/>
          <w:numId w:val="1"/>
        </w:numPr>
        <w:rPr>
          <w:rFonts w:ascii="ADLaM Display" w:hAnsi="ADLaM Display" w:cs="ADLaM Display"/>
          <w:sz w:val="24"/>
          <w:szCs w:val="24"/>
        </w:rPr>
      </w:pPr>
      <w:r>
        <w:rPr>
          <w:rFonts w:ascii="ADLaM Display" w:hAnsi="ADLaM Display" w:cs="ADLaM Display"/>
          <w:noProof/>
          <w:sz w:val="28"/>
          <w:szCs w:val="28"/>
        </w:rPr>
        <w:lastRenderedPageBreak/>
        <w:drawing>
          <wp:anchor distT="0" distB="0" distL="114300" distR="114300" simplePos="0" relativeHeight="251661824" behindDoc="0" locked="0" layoutInCell="1" allowOverlap="1" wp14:anchorId="0D4DDD59" wp14:editId="741F03CA">
            <wp:simplePos x="0" y="0"/>
            <wp:positionH relativeFrom="column">
              <wp:posOffset>3802380</wp:posOffset>
            </wp:positionH>
            <wp:positionV relativeFrom="paragraph">
              <wp:posOffset>891540</wp:posOffset>
            </wp:positionV>
            <wp:extent cx="1924685" cy="1283335"/>
            <wp:effectExtent l="0" t="0" r="0" b="0"/>
            <wp:wrapSquare wrapText="bothSides"/>
            <wp:docPr id="1439652657" name="Picture 4" descr="A group of icons with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652657" name="Picture 4" descr="A group of icons with tex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24685" cy="1283335"/>
                    </a:xfrm>
                    <a:prstGeom prst="rect">
                      <a:avLst/>
                    </a:prstGeom>
                  </pic:spPr>
                </pic:pic>
              </a:graphicData>
            </a:graphic>
            <wp14:sizeRelH relativeFrom="margin">
              <wp14:pctWidth>0</wp14:pctWidth>
            </wp14:sizeRelH>
            <wp14:sizeRelV relativeFrom="margin">
              <wp14:pctHeight>0</wp14:pctHeight>
            </wp14:sizeRelV>
          </wp:anchor>
        </w:drawing>
      </w:r>
      <w:r w:rsidR="008946EB" w:rsidRPr="008946EB">
        <w:rPr>
          <w:rFonts w:ascii="ADLaM Display" w:hAnsi="ADLaM Display" w:cs="ADLaM Display"/>
          <w:sz w:val="24"/>
          <w:szCs w:val="24"/>
        </w:rPr>
        <w:t xml:space="preserve">Learning gains when tech is purposeful. </w:t>
      </w:r>
      <w:r w:rsidR="008946EB">
        <w:rPr>
          <w:rFonts w:ascii="ADLaM Display" w:hAnsi="ADLaM Display" w:cs="ADLaM Display"/>
          <w:sz w:val="24"/>
          <w:szCs w:val="24"/>
        </w:rPr>
        <w:t>Meta-analysis</w:t>
      </w:r>
      <w:r w:rsidR="008946EB" w:rsidRPr="008946EB">
        <w:rPr>
          <w:rFonts w:ascii="ADLaM Display" w:hAnsi="ADLaM Display" w:cs="ADLaM Display"/>
          <w:sz w:val="24"/>
          <w:szCs w:val="24"/>
        </w:rPr>
        <w:t xml:space="preserve"> shows </w:t>
      </w:r>
      <w:r w:rsidR="008946EB">
        <w:rPr>
          <w:rFonts w:ascii="ADLaM Display" w:hAnsi="ADLaM Display" w:cs="ADLaM Display"/>
          <w:sz w:val="24"/>
          <w:szCs w:val="24"/>
        </w:rPr>
        <w:t>that digital technology can enhance deep learning—especially in blended approaches (offline planning, online production, and structured feedback) —</w:t>
      </w:r>
      <w:r w:rsidR="008946EB" w:rsidRPr="008946EB">
        <w:rPr>
          <w:rFonts w:ascii="ADLaM Display" w:hAnsi="ADLaM Display" w:cs="ADLaM Display"/>
          <w:sz w:val="24"/>
          <w:szCs w:val="24"/>
        </w:rPr>
        <w:t xml:space="preserve">with explicit guidance and collaboration. </w:t>
      </w:r>
      <w:hyperlink r:id="rId12" w:tgtFrame="_blank" w:history="1">
        <w:r w:rsidR="008946EB" w:rsidRPr="008946EB">
          <w:rPr>
            <w:rStyle w:val="Hyperlink"/>
            <w:rFonts w:ascii="ADLaM Display" w:hAnsi="ADLaM Display" w:cs="ADLaM Display"/>
            <w:sz w:val="24"/>
            <w:szCs w:val="24"/>
          </w:rPr>
          <w:t>(Wu, 2023/24)</w:t>
        </w:r>
      </w:hyperlink>
      <w:r w:rsidR="008946EB" w:rsidRPr="008946EB">
        <w:rPr>
          <w:rFonts w:ascii="ADLaM Display" w:hAnsi="ADLaM Display" w:cs="ADLaM Display"/>
          <w:sz w:val="24"/>
          <w:szCs w:val="24"/>
        </w:rPr>
        <w:t xml:space="preserve"> </w:t>
      </w:r>
      <w:hyperlink r:id="rId13" w:tgtFrame="_blank" w:history="1">
        <w:r w:rsidR="008946EB" w:rsidRPr="008946EB">
          <w:rPr>
            <w:rStyle w:val="Hyperlink"/>
            <w:rFonts w:ascii="ADLaM Display" w:hAnsi="ADLaM Display" w:cs="ADLaM Display"/>
            <w:sz w:val="24"/>
            <w:szCs w:val="24"/>
          </w:rPr>
          <w:t>(Hattie, 2023)</w:t>
        </w:r>
      </w:hyperlink>
    </w:p>
    <w:p w14:paraId="27C0977A" w14:textId="4DB1799B" w:rsidR="008946EB" w:rsidRPr="008946EB" w:rsidRDefault="008946EB" w:rsidP="008946EB">
      <w:pPr>
        <w:numPr>
          <w:ilvl w:val="0"/>
          <w:numId w:val="1"/>
        </w:numPr>
        <w:rPr>
          <w:rFonts w:ascii="ADLaM Display" w:hAnsi="ADLaM Display" w:cs="ADLaM Display"/>
          <w:sz w:val="24"/>
          <w:szCs w:val="24"/>
        </w:rPr>
      </w:pPr>
      <w:r w:rsidRPr="008946EB">
        <w:rPr>
          <w:rFonts w:ascii="ADLaM Display" w:hAnsi="ADLaM Display" w:cs="ADLaM Display"/>
          <w:sz w:val="24"/>
          <w:szCs w:val="24"/>
        </w:rPr>
        <w:t xml:space="preserve">Agency as producers. A substantial share of young people </w:t>
      </w:r>
      <w:r w:rsidRPr="008946EB">
        <w:rPr>
          <w:rFonts w:ascii="ADLaM Display" w:hAnsi="ADLaM Display" w:cs="ADLaM Display"/>
          <w:sz w:val="24"/>
          <w:szCs w:val="24"/>
        </w:rPr>
        <w:t>publishes</w:t>
      </w:r>
      <w:r w:rsidRPr="008946EB">
        <w:rPr>
          <w:rFonts w:ascii="ADLaM Display" w:hAnsi="ADLaM Display" w:cs="ADLaM Display"/>
          <w:sz w:val="24"/>
          <w:szCs w:val="24"/>
        </w:rPr>
        <w:t xml:space="preserve"> videos or podcasts, building multimodal composition, audience awareness, and (if taught) copyright literacy. </w:t>
      </w:r>
      <w:hyperlink r:id="rId14" w:tgtFrame="_blank" w:history="1">
        <w:r w:rsidRPr="008946EB">
          <w:rPr>
            <w:rStyle w:val="Hyperlink"/>
            <w:rFonts w:ascii="ADLaM Display" w:hAnsi="ADLaM Display" w:cs="ADLaM Display"/>
            <w:sz w:val="24"/>
            <w:szCs w:val="24"/>
          </w:rPr>
          <w:t>(Ofcom 2024)</w:t>
        </w:r>
      </w:hyperlink>
      <w:r w:rsidRPr="008946EB">
        <w:rPr>
          <w:rFonts w:ascii="ADLaM Display" w:hAnsi="ADLaM Display" w:cs="ADLaM Display"/>
          <w:sz w:val="24"/>
          <w:szCs w:val="24"/>
        </w:rPr>
        <w:t xml:space="preserve"> </w:t>
      </w:r>
      <w:hyperlink r:id="rId15" w:tgtFrame="_blank" w:history="1">
        <w:r w:rsidRPr="008946EB">
          <w:rPr>
            <w:rStyle w:val="Hyperlink"/>
            <w:rFonts w:ascii="ADLaM Display" w:hAnsi="ADLaM Display" w:cs="ADLaM Display"/>
            <w:sz w:val="24"/>
            <w:szCs w:val="24"/>
          </w:rPr>
          <w:t>(National College guide)</w:t>
        </w:r>
      </w:hyperlink>
    </w:p>
    <w:p w14:paraId="227FFBD0" w14:textId="1A01E8A6"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t xml:space="preserve"> </w:t>
      </w:r>
      <w:r w:rsidRPr="008946EB">
        <w:rPr>
          <w:rFonts w:ascii="ADLaM Display" w:hAnsi="ADLaM Display" w:cs="ADLaM Display"/>
          <w:i/>
          <w:iCs/>
          <w:sz w:val="24"/>
          <w:szCs w:val="24"/>
        </w:rPr>
        <w:t>“Design the digital tasks you actually want learners to repeat—create–review–publish cycles with peer feedback.”</w:t>
      </w:r>
      <w:r w:rsidRPr="008946EB">
        <w:rPr>
          <w:rFonts w:ascii="ADLaM Display" w:hAnsi="ADLaM Display" w:cs="ADLaM Display"/>
          <w:sz w:val="24"/>
          <w:szCs w:val="24"/>
        </w:rPr>
        <w:t xml:space="preserve"> (Bioecological proximal processes)</w:t>
      </w:r>
    </w:p>
    <w:p w14:paraId="22EC21E5" w14:textId="77777777"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pict w14:anchorId="5643A0DC">
          <v:rect id="_x0000_i1075" style="width:0;height:1.5pt" o:hralign="center" o:hrstd="t" o:hr="t" fillcolor="#a0a0a0" stroked="f"/>
        </w:pict>
      </w:r>
    </w:p>
    <w:p w14:paraId="57DD2508" w14:textId="77777777" w:rsidR="008946EB" w:rsidRPr="008946EB" w:rsidRDefault="008946EB" w:rsidP="008946EB">
      <w:pPr>
        <w:rPr>
          <w:rFonts w:ascii="ADLaM Display" w:hAnsi="ADLaM Display" w:cs="ADLaM Display"/>
          <w:sz w:val="28"/>
          <w:szCs w:val="28"/>
        </w:rPr>
      </w:pPr>
      <w:r w:rsidRPr="008946EB">
        <w:rPr>
          <w:rFonts w:ascii="ADLaM Display" w:hAnsi="ADLaM Display" w:cs="ADLaM Display"/>
          <w:sz w:val="28"/>
          <w:szCs w:val="28"/>
        </w:rPr>
        <w:t>The downside: risk, wellbeing and a lot of headlines</w:t>
      </w:r>
    </w:p>
    <w:p w14:paraId="59E291C0" w14:textId="77777777" w:rsidR="008946EB" w:rsidRPr="008946EB" w:rsidRDefault="008946EB" w:rsidP="008946EB">
      <w:pPr>
        <w:numPr>
          <w:ilvl w:val="0"/>
          <w:numId w:val="2"/>
        </w:numPr>
        <w:rPr>
          <w:rFonts w:ascii="ADLaM Display" w:hAnsi="ADLaM Display" w:cs="ADLaM Display"/>
          <w:sz w:val="24"/>
          <w:szCs w:val="24"/>
        </w:rPr>
      </w:pPr>
      <w:r w:rsidRPr="008946EB">
        <w:rPr>
          <w:rFonts w:ascii="ADLaM Display" w:hAnsi="ADLaM Display" w:cs="ADLaM Display"/>
          <w:sz w:val="24"/>
          <w:szCs w:val="24"/>
        </w:rPr>
        <w:t>Harm exposure, mis/disinformation, commerce. Most children will encounter some online risks (bullying, scams, harmful content). KCSIE 2025 explicitly adds misinformation/disinformation to online</w:t>
      </w:r>
      <w:r w:rsidRPr="008946EB">
        <w:rPr>
          <w:rFonts w:ascii="ADLaM Display" w:hAnsi="ADLaM Display" w:cs="ADLaM Display"/>
          <w:sz w:val="24"/>
          <w:szCs w:val="24"/>
        </w:rPr>
        <w:noBreakHyphen/>
        <w:t xml:space="preserve">safety risk categories—worth tracking even from Wales. </w:t>
      </w:r>
      <w:hyperlink r:id="rId16" w:tgtFrame="_blank" w:history="1">
        <w:r w:rsidRPr="008946EB">
          <w:rPr>
            <w:rStyle w:val="Hyperlink"/>
            <w:rFonts w:ascii="ADLaM Display" w:hAnsi="ADLaM Display" w:cs="ADLaM Display"/>
            <w:sz w:val="24"/>
            <w:szCs w:val="24"/>
          </w:rPr>
          <w:t>(Ofcom 2024)</w:t>
        </w:r>
      </w:hyperlink>
      <w:r w:rsidRPr="008946EB">
        <w:rPr>
          <w:rFonts w:ascii="ADLaM Display" w:hAnsi="ADLaM Display" w:cs="ADLaM Display"/>
          <w:sz w:val="24"/>
          <w:szCs w:val="24"/>
        </w:rPr>
        <w:t xml:space="preserve"> </w:t>
      </w:r>
      <w:hyperlink r:id="rId17" w:tgtFrame="_blank" w:history="1">
        <w:r w:rsidRPr="008946EB">
          <w:rPr>
            <w:rStyle w:val="Hyperlink"/>
            <w:rFonts w:ascii="ADLaM Display" w:hAnsi="ADLaM Display" w:cs="ADLaM Display"/>
            <w:sz w:val="24"/>
            <w:szCs w:val="24"/>
          </w:rPr>
          <w:t>(KCSIE 2025)</w:t>
        </w:r>
      </w:hyperlink>
    </w:p>
    <w:p w14:paraId="63FE5787" w14:textId="62FB6F1F" w:rsidR="008946EB" w:rsidRPr="008946EB" w:rsidRDefault="008946EB" w:rsidP="008946EB">
      <w:pPr>
        <w:numPr>
          <w:ilvl w:val="0"/>
          <w:numId w:val="2"/>
        </w:numPr>
        <w:rPr>
          <w:rFonts w:ascii="ADLaM Display" w:hAnsi="ADLaM Display" w:cs="ADLaM Display"/>
          <w:sz w:val="24"/>
          <w:szCs w:val="24"/>
        </w:rPr>
      </w:pPr>
      <w:r w:rsidRPr="008946EB">
        <w:rPr>
          <w:rFonts w:ascii="ADLaM Display" w:hAnsi="ADLaM Display" w:cs="ADLaM Display"/>
          <w:sz w:val="24"/>
          <w:szCs w:val="24"/>
        </w:rPr>
        <w:t xml:space="preserve">Screen time—nuance beats panic. UK paediatric guidance avoids a universal “safe hour count”, emphasising quality and displacement (sleep, movement, social time), with </w:t>
      </w:r>
      <w:r>
        <w:rPr>
          <w:rFonts w:ascii="ADLaM Display" w:hAnsi="ADLaM Display" w:cs="ADLaM Display"/>
          <w:sz w:val="24"/>
          <w:szCs w:val="24"/>
        </w:rPr>
        <w:t>common-sense routines such as</w:t>
      </w:r>
      <w:r w:rsidRPr="008946EB">
        <w:rPr>
          <w:rFonts w:ascii="ADLaM Display" w:hAnsi="ADLaM Display" w:cs="ADLaM Display"/>
          <w:sz w:val="24"/>
          <w:szCs w:val="24"/>
        </w:rPr>
        <w:t xml:space="preserve"> “screens off an hour before bed.” Recent US data link ≥4 hours of </w:t>
      </w:r>
      <w:r>
        <w:rPr>
          <w:rFonts w:ascii="ADLaM Display" w:hAnsi="ADLaM Display" w:cs="ADLaM Display"/>
          <w:sz w:val="24"/>
          <w:szCs w:val="24"/>
        </w:rPr>
        <w:t>non-school</w:t>
      </w:r>
      <w:r w:rsidRPr="008946EB">
        <w:rPr>
          <w:rFonts w:ascii="ADLaM Display" w:hAnsi="ADLaM Display" w:cs="ADLaM Display"/>
          <w:sz w:val="24"/>
          <w:szCs w:val="24"/>
        </w:rPr>
        <w:t xml:space="preserve"> daily screen time with poorer sleep and more anxiety/depressive symptoms—</w:t>
      </w:r>
      <w:r>
        <w:rPr>
          <w:rFonts w:ascii="ADLaM Display" w:hAnsi="ADLaM Display" w:cs="ADLaM Display"/>
          <w:sz w:val="24"/>
          <w:szCs w:val="24"/>
        </w:rPr>
        <w:t>proper</w:t>
      </w:r>
      <w:r w:rsidRPr="008946EB">
        <w:rPr>
          <w:rFonts w:ascii="ADLaM Display" w:hAnsi="ADLaM Display" w:cs="ADLaM Display"/>
          <w:sz w:val="24"/>
          <w:szCs w:val="24"/>
        </w:rPr>
        <w:t xml:space="preserve"> caution, but context is everything. </w:t>
      </w:r>
      <w:hyperlink r:id="rId18" w:tgtFrame="_blank" w:history="1">
        <w:r w:rsidRPr="008946EB">
          <w:rPr>
            <w:rStyle w:val="Hyperlink"/>
            <w:rFonts w:ascii="ADLaM Display" w:hAnsi="ADLaM Display" w:cs="ADLaM Display"/>
            <w:sz w:val="24"/>
            <w:szCs w:val="24"/>
          </w:rPr>
          <w:t>(RCPCH factsheet &amp; guide)</w:t>
        </w:r>
      </w:hyperlink>
      <w:r w:rsidRPr="008946EB">
        <w:rPr>
          <w:rFonts w:ascii="ADLaM Display" w:hAnsi="ADLaM Display" w:cs="ADLaM Display"/>
          <w:sz w:val="24"/>
          <w:szCs w:val="24"/>
        </w:rPr>
        <w:t xml:space="preserve"> </w:t>
      </w:r>
      <w:hyperlink r:id="rId19" w:tgtFrame="_blank" w:history="1">
        <w:r w:rsidRPr="008946EB">
          <w:rPr>
            <w:rStyle w:val="Hyperlink"/>
            <w:rFonts w:ascii="ADLaM Display" w:hAnsi="ADLaM Display" w:cs="ADLaM Display"/>
            <w:sz w:val="24"/>
            <w:szCs w:val="24"/>
          </w:rPr>
          <w:t>(CDC/NCHS data briefs, 2024–25)</w:t>
        </w:r>
      </w:hyperlink>
      <w:r w:rsidRPr="008946EB">
        <w:rPr>
          <w:rFonts w:ascii="ADLaM Display" w:hAnsi="ADLaM Display" w:cs="ADLaM Display"/>
          <w:sz w:val="24"/>
          <w:szCs w:val="24"/>
        </w:rPr>
        <w:t xml:space="preserve"> </w:t>
      </w:r>
      <w:hyperlink r:id="rId20" w:tgtFrame="_blank" w:history="1">
        <w:r w:rsidRPr="008946EB">
          <w:rPr>
            <w:rStyle w:val="Hyperlink"/>
            <w:rFonts w:ascii="ADLaM Display" w:hAnsi="ADLaM Display" w:cs="ADLaM Display"/>
            <w:sz w:val="24"/>
            <w:szCs w:val="24"/>
          </w:rPr>
          <w:t>(AAP updated guidance, 2025)</w:t>
        </w:r>
      </w:hyperlink>
    </w:p>
    <w:p w14:paraId="2F70BBA6" w14:textId="252FD4B9" w:rsidR="008946EB" w:rsidRPr="008946EB" w:rsidRDefault="008946EB" w:rsidP="008946EB">
      <w:pPr>
        <w:numPr>
          <w:ilvl w:val="0"/>
          <w:numId w:val="2"/>
        </w:numPr>
        <w:rPr>
          <w:rFonts w:ascii="ADLaM Display" w:hAnsi="ADLaM Display" w:cs="ADLaM Display"/>
          <w:sz w:val="24"/>
          <w:szCs w:val="24"/>
        </w:rPr>
      </w:pPr>
      <w:r w:rsidRPr="008946EB">
        <w:rPr>
          <w:rFonts w:ascii="ADLaM Display" w:hAnsi="ADLaM Display" w:cs="ADLaM Display"/>
          <w:sz w:val="24"/>
          <w:szCs w:val="24"/>
        </w:rPr>
        <w:t xml:space="preserve">Mental health and social media—mixed evidence. </w:t>
      </w:r>
      <w:r>
        <w:rPr>
          <w:rFonts w:ascii="ADLaM Display" w:hAnsi="ADLaM Display" w:cs="ADLaM Display"/>
          <w:sz w:val="24"/>
          <w:szCs w:val="24"/>
        </w:rPr>
        <w:t>Extensive</w:t>
      </w:r>
      <w:r w:rsidRPr="008946EB">
        <w:rPr>
          <w:rFonts w:ascii="ADLaM Display" w:hAnsi="ADLaM Display" w:cs="ADLaM Display"/>
          <w:sz w:val="24"/>
          <w:szCs w:val="24"/>
        </w:rPr>
        <w:t xml:space="preserve"> international analyses from the Oxford Internet Institute find small, inconsistent </w:t>
      </w:r>
      <w:r>
        <w:rPr>
          <w:rFonts w:ascii="ADLaM Display" w:hAnsi="ADLaM Display" w:cs="ADLaM Display"/>
          <w:sz w:val="24"/>
          <w:szCs w:val="24"/>
        </w:rPr>
        <w:t>population-level</w:t>
      </w:r>
      <w:r w:rsidRPr="008946EB">
        <w:rPr>
          <w:rFonts w:ascii="ADLaM Display" w:hAnsi="ADLaM Display" w:cs="ADLaM Display"/>
          <w:sz w:val="24"/>
          <w:szCs w:val="24"/>
        </w:rPr>
        <w:t xml:space="preserve"> associations between internet use and psychological harm; researchers still call for better platform data to study mechanisms. </w:t>
      </w:r>
      <w:hyperlink r:id="rId21" w:tgtFrame="_blank" w:history="1">
        <w:r w:rsidRPr="008946EB">
          <w:rPr>
            <w:rStyle w:val="Hyperlink"/>
            <w:rFonts w:ascii="ADLaM Display" w:hAnsi="ADLaM Display" w:cs="ADLaM Display"/>
            <w:sz w:val="24"/>
            <w:szCs w:val="24"/>
          </w:rPr>
          <w:t>(Oxford Internet Institute 2023)</w:t>
        </w:r>
      </w:hyperlink>
      <w:r w:rsidRPr="008946EB">
        <w:rPr>
          <w:rFonts w:ascii="ADLaM Display" w:hAnsi="ADLaM Display" w:cs="ADLaM Display"/>
          <w:sz w:val="24"/>
          <w:szCs w:val="24"/>
        </w:rPr>
        <w:t xml:space="preserve"> </w:t>
      </w:r>
      <w:hyperlink r:id="rId22" w:tgtFrame="_blank" w:history="1">
        <w:r w:rsidRPr="008946EB">
          <w:rPr>
            <w:rStyle w:val="Hyperlink"/>
            <w:rFonts w:ascii="ADLaM Display" w:hAnsi="ADLaM Display" w:cs="ADLaM Display"/>
            <w:sz w:val="24"/>
            <w:szCs w:val="24"/>
          </w:rPr>
          <w:t>(TechCrunch analysis)</w:t>
        </w:r>
      </w:hyperlink>
    </w:p>
    <w:p w14:paraId="12DB8E79" w14:textId="77777777"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t xml:space="preserve">Takeaway: apply the bioecological lens—what matters is the </w:t>
      </w:r>
      <w:r w:rsidRPr="008946EB">
        <w:rPr>
          <w:rFonts w:ascii="ADLaM Display" w:hAnsi="ADLaM Display" w:cs="ADLaM Display"/>
          <w:i/>
          <w:iCs/>
          <w:sz w:val="24"/>
          <w:szCs w:val="24"/>
        </w:rPr>
        <w:t>fit</w:t>
      </w:r>
      <w:r w:rsidRPr="008946EB">
        <w:rPr>
          <w:rFonts w:ascii="ADLaM Display" w:hAnsi="ADLaM Display" w:cs="ADLaM Display"/>
          <w:sz w:val="24"/>
          <w:szCs w:val="24"/>
        </w:rPr>
        <w:t xml:space="preserve"> across home routines, school safeguards, platform design, and developmental timing.</w:t>
      </w:r>
    </w:p>
    <w:p w14:paraId="0BF57028" w14:textId="77777777"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lastRenderedPageBreak/>
        <w:pict w14:anchorId="7B7F065D">
          <v:rect id="_x0000_i1076" style="width:0;height:1.5pt" o:hralign="center" o:hrstd="t" o:hr="t" fillcolor="#a0a0a0" stroked="f"/>
        </w:pict>
      </w:r>
    </w:p>
    <w:p w14:paraId="61DC6AD9" w14:textId="77777777" w:rsidR="008946EB" w:rsidRPr="008946EB" w:rsidRDefault="008946EB" w:rsidP="008946EB">
      <w:pPr>
        <w:rPr>
          <w:rFonts w:ascii="ADLaM Display" w:hAnsi="ADLaM Display" w:cs="ADLaM Display"/>
          <w:sz w:val="28"/>
          <w:szCs w:val="28"/>
        </w:rPr>
      </w:pPr>
      <w:r w:rsidRPr="008946EB">
        <w:rPr>
          <w:rFonts w:ascii="ADLaM Display" w:hAnsi="ADLaM Display" w:cs="ADLaM Display"/>
          <w:sz w:val="28"/>
          <w:szCs w:val="28"/>
        </w:rPr>
        <w:t>The policy layer: how the macro/</w:t>
      </w:r>
      <w:proofErr w:type="spellStart"/>
      <w:r w:rsidRPr="008946EB">
        <w:rPr>
          <w:rFonts w:ascii="ADLaM Display" w:hAnsi="ADLaM Display" w:cs="ADLaM Display"/>
          <w:sz w:val="28"/>
          <w:szCs w:val="28"/>
        </w:rPr>
        <w:t>exo</w:t>
      </w:r>
      <w:proofErr w:type="spellEnd"/>
      <w:r w:rsidRPr="008946EB">
        <w:rPr>
          <w:rFonts w:ascii="ADLaM Display" w:hAnsi="ADLaM Display" w:cs="ADLaM Display"/>
          <w:sz w:val="28"/>
          <w:szCs w:val="28"/>
        </w:rPr>
        <w:t xml:space="preserve"> systems support safety and literacy</w:t>
      </w:r>
    </w:p>
    <w:p w14:paraId="5FFBE923" w14:textId="675F14EF" w:rsidR="008946EB" w:rsidRPr="008946EB" w:rsidRDefault="008946EB" w:rsidP="008946EB">
      <w:pPr>
        <w:numPr>
          <w:ilvl w:val="0"/>
          <w:numId w:val="3"/>
        </w:numPr>
        <w:rPr>
          <w:rFonts w:ascii="ADLaM Display" w:hAnsi="ADLaM Display" w:cs="ADLaM Display"/>
          <w:sz w:val="24"/>
          <w:szCs w:val="24"/>
        </w:rPr>
      </w:pPr>
      <w:r w:rsidRPr="008946EB">
        <w:rPr>
          <w:rFonts w:ascii="ADLaM Display" w:hAnsi="ADLaM Display" w:cs="ADLaM Display"/>
          <w:sz w:val="24"/>
          <w:szCs w:val="24"/>
        </w:rPr>
        <w:t xml:space="preserve">Curriculum for Wales – Digital Competence Framework (DCF). Digital competence is a mandatory </w:t>
      </w:r>
      <w:r>
        <w:rPr>
          <w:rFonts w:ascii="ADLaM Display" w:hAnsi="ADLaM Display" w:cs="ADLaM Display"/>
          <w:sz w:val="24"/>
          <w:szCs w:val="24"/>
        </w:rPr>
        <w:t>cross-curricular</w:t>
      </w:r>
      <w:r w:rsidRPr="008946EB">
        <w:rPr>
          <w:rFonts w:ascii="ADLaM Display" w:hAnsi="ADLaM Display" w:cs="ADLaM Display"/>
          <w:sz w:val="24"/>
          <w:szCs w:val="24"/>
        </w:rPr>
        <w:t xml:space="preserve"> responsibility (citizenship, online behaviour/cyberbullying, identity, health &amp; wellbeing). It’s a whole</w:t>
      </w:r>
      <w:r w:rsidRPr="008946EB">
        <w:rPr>
          <w:rFonts w:ascii="ADLaM Display" w:hAnsi="ADLaM Display" w:cs="ADLaM Display"/>
          <w:sz w:val="24"/>
          <w:szCs w:val="24"/>
        </w:rPr>
        <w:noBreakHyphen/>
        <w:t xml:space="preserve">school endeavour, not an ICT </w:t>
      </w:r>
      <w:r>
        <w:rPr>
          <w:rFonts w:ascii="ADLaM Display" w:hAnsi="ADLaM Display" w:cs="ADLaM Display"/>
          <w:sz w:val="24"/>
          <w:szCs w:val="24"/>
        </w:rPr>
        <w:t>add-on</w:t>
      </w:r>
      <w:r w:rsidRPr="008946EB">
        <w:rPr>
          <w:rFonts w:ascii="ADLaM Display" w:hAnsi="ADLaM Display" w:cs="ADLaM Display"/>
          <w:sz w:val="24"/>
          <w:szCs w:val="24"/>
        </w:rPr>
        <w:t xml:space="preserve">. </w:t>
      </w:r>
      <w:hyperlink r:id="rId23" w:tgtFrame="_blank" w:history="1">
        <w:r w:rsidRPr="008946EB">
          <w:rPr>
            <w:rStyle w:val="Hyperlink"/>
            <w:rFonts w:ascii="ADLaM Display" w:hAnsi="ADLaM Display" w:cs="ADLaM Display"/>
            <w:sz w:val="24"/>
            <w:szCs w:val="24"/>
          </w:rPr>
          <w:t>(Hwb DCF)</w:t>
        </w:r>
      </w:hyperlink>
      <w:r w:rsidRPr="008946EB">
        <w:rPr>
          <w:rFonts w:ascii="ADLaM Display" w:hAnsi="ADLaM Display" w:cs="ADLaM Display"/>
          <w:sz w:val="24"/>
          <w:szCs w:val="24"/>
        </w:rPr>
        <w:t xml:space="preserve"> </w:t>
      </w:r>
      <w:hyperlink r:id="rId24" w:tgtFrame="_blank" w:history="1">
        <w:r w:rsidRPr="008946EB">
          <w:rPr>
            <w:rStyle w:val="Hyperlink"/>
            <w:rFonts w:ascii="ADLaM Display" w:hAnsi="ADLaM Display" w:cs="ADLaM Display"/>
            <w:sz w:val="24"/>
            <w:szCs w:val="24"/>
          </w:rPr>
          <w:t>(DCF guidance)</w:t>
        </w:r>
      </w:hyperlink>
    </w:p>
    <w:p w14:paraId="5E2BC98A" w14:textId="77777777" w:rsidR="008946EB" w:rsidRPr="008946EB" w:rsidRDefault="008946EB" w:rsidP="008946EB">
      <w:pPr>
        <w:numPr>
          <w:ilvl w:val="0"/>
          <w:numId w:val="3"/>
        </w:numPr>
        <w:rPr>
          <w:rFonts w:ascii="ADLaM Display" w:hAnsi="ADLaM Display" w:cs="ADLaM Display"/>
          <w:sz w:val="24"/>
          <w:szCs w:val="24"/>
        </w:rPr>
      </w:pPr>
      <w:r w:rsidRPr="008946EB">
        <w:rPr>
          <w:rFonts w:ascii="ADLaM Display" w:hAnsi="ADLaM Display" w:cs="ADLaM Display"/>
          <w:sz w:val="24"/>
          <w:szCs w:val="24"/>
        </w:rPr>
        <w:t>UKCIS Education for a Connected World (2020). Eight practical strands (Self</w:t>
      </w:r>
      <w:r w:rsidRPr="008946EB">
        <w:rPr>
          <w:rFonts w:ascii="ADLaM Display" w:hAnsi="ADLaM Display" w:cs="ADLaM Display"/>
          <w:sz w:val="24"/>
          <w:szCs w:val="24"/>
        </w:rPr>
        <w:noBreakHyphen/>
        <w:t xml:space="preserve">image &amp; Identity, Online relationships, Reputation, Bullying, Managing information, Health &amp; lifestyle, Privacy &amp; security, Copyright &amp; ownership) for progression EY–KS4. </w:t>
      </w:r>
      <w:hyperlink r:id="rId25" w:tgtFrame="_blank" w:history="1">
        <w:r w:rsidRPr="008946EB">
          <w:rPr>
            <w:rStyle w:val="Hyperlink"/>
            <w:rFonts w:ascii="ADLaM Display" w:hAnsi="ADLaM Display" w:cs="ADLaM Display"/>
            <w:sz w:val="24"/>
            <w:szCs w:val="24"/>
          </w:rPr>
          <w:t>(UKCIS framework)</w:t>
        </w:r>
      </w:hyperlink>
    </w:p>
    <w:p w14:paraId="50DFAD91" w14:textId="6C837C9C" w:rsidR="008946EB" w:rsidRPr="008946EB" w:rsidRDefault="008946EB" w:rsidP="008946EB">
      <w:pPr>
        <w:numPr>
          <w:ilvl w:val="0"/>
          <w:numId w:val="3"/>
        </w:numPr>
        <w:rPr>
          <w:rFonts w:ascii="ADLaM Display" w:hAnsi="ADLaM Display" w:cs="ADLaM Display"/>
          <w:sz w:val="24"/>
          <w:szCs w:val="24"/>
        </w:rPr>
      </w:pPr>
      <w:r w:rsidRPr="008946EB">
        <w:rPr>
          <w:rFonts w:ascii="ADLaM Display" w:hAnsi="ADLaM Display" w:cs="ADLaM Display"/>
          <w:sz w:val="24"/>
          <w:szCs w:val="24"/>
        </w:rPr>
        <w:t xml:space="preserve">Online Safety Act 2023 (UK). </w:t>
      </w:r>
      <w:r>
        <w:rPr>
          <w:rFonts w:ascii="ADLaM Display" w:hAnsi="ADLaM Display" w:cs="ADLaM Display"/>
          <w:sz w:val="24"/>
          <w:szCs w:val="24"/>
        </w:rPr>
        <w:t>The strongest protections are for children; platforms must assess risk, enforce age verification, address illegal content, and mitigate harm</w:t>
      </w:r>
      <w:r w:rsidRPr="008946EB">
        <w:rPr>
          <w:rFonts w:ascii="ADLaM Display" w:hAnsi="ADLaM Display" w:cs="ADLaM Display"/>
          <w:sz w:val="24"/>
          <w:szCs w:val="24"/>
        </w:rPr>
        <w:t xml:space="preserve">. Ofcom’s children’s codes (published April 2025) set timelines and measures. </w:t>
      </w:r>
      <w:hyperlink r:id="rId26" w:tgtFrame="_blank" w:history="1">
        <w:r w:rsidRPr="008946EB">
          <w:rPr>
            <w:rStyle w:val="Hyperlink"/>
            <w:rFonts w:ascii="ADLaM Display" w:hAnsi="ADLaM Display" w:cs="ADLaM Display"/>
            <w:sz w:val="24"/>
            <w:szCs w:val="24"/>
          </w:rPr>
          <w:t>(OSA explainer)</w:t>
        </w:r>
      </w:hyperlink>
      <w:r w:rsidRPr="008946EB">
        <w:rPr>
          <w:rFonts w:ascii="ADLaM Display" w:hAnsi="ADLaM Display" w:cs="ADLaM Display"/>
          <w:sz w:val="24"/>
          <w:szCs w:val="24"/>
        </w:rPr>
        <w:t xml:space="preserve"> </w:t>
      </w:r>
      <w:hyperlink r:id="rId27" w:tgtFrame="_blank" w:history="1">
        <w:r w:rsidRPr="008946EB">
          <w:rPr>
            <w:rStyle w:val="Hyperlink"/>
            <w:rFonts w:ascii="ADLaM Display" w:hAnsi="ADLaM Display" w:cs="ADLaM Display"/>
            <w:sz w:val="24"/>
            <w:szCs w:val="24"/>
          </w:rPr>
          <w:t>(Ofcom decisions summary, 2025)</w:t>
        </w:r>
      </w:hyperlink>
    </w:p>
    <w:p w14:paraId="301265E0" w14:textId="77777777"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pict w14:anchorId="532413F2">
          <v:rect id="_x0000_i1077" style="width:0;height:1.5pt" o:hralign="center" o:hrstd="t" o:hr="t" fillcolor="#a0a0a0" stroked="f"/>
        </w:pict>
      </w:r>
    </w:p>
    <w:p w14:paraId="4CDAFFD1" w14:textId="60373BFB" w:rsidR="008946EB" w:rsidRPr="008946EB" w:rsidRDefault="008946EB" w:rsidP="008946EB">
      <w:pPr>
        <w:rPr>
          <w:rFonts w:ascii="ADLaM Display" w:hAnsi="ADLaM Display" w:cs="ADLaM Display"/>
          <w:sz w:val="28"/>
          <w:szCs w:val="28"/>
        </w:rPr>
      </w:pPr>
      <w:r w:rsidRPr="003827D0">
        <w:rPr>
          <w:rFonts w:ascii="ADLaM Display" w:hAnsi="ADLaM Display" w:cs="ADLaM Display"/>
          <w:sz w:val="28"/>
          <w:szCs w:val="28"/>
        </w:rPr>
        <w:t>Classroom-ready</w:t>
      </w:r>
      <w:r w:rsidRPr="008946EB">
        <w:rPr>
          <w:rFonts w:ascii="ADLaM Display" w:hAnsi="ADLaM Display" w:cs="ADLaM Display"/>
          <w:sz w:val="28"/>
          <w:szCs w:val="28"/>
        </w:rPr>
        <w:t xml:space="preserve"> moves (linked to DCF &amp; UKCIS)</w:t>
      </w:r>
    </w:p>
    <w:p w14:paraId="0894CCAC" w14:textId="641EE714" w:rsidR="008946EB" w:rsidRPr="008946EB" w:rsidRDefault="008946EB" w:rsidP="008946EB">
      <w:pPr>
        <w:numPr>
          <w:ilvl w:val="0"/>
          <w:numId w:val="4"/>
        </w:numPr>
        <w:rPr>
          <w:rFonts w:ascii="ADLaM Display" w:hAnsi="ADLaM Display" w:cs="ADLaM Display"/>
          <w:sz w:val="24"/>
          <w:szCs w:val="24"/>
        </w:rPr>
      </w:pPr>
      <w:r w:rsidRPr="008946EB">
        <w:rPr>
          <w:rFonts w:ascii="ADLaM Display" w:hAnsi="ADLaM Display" w:cs="ADLaM Display"/>
          <w:sz w:val="24"/>
          <w:szCs w:val="24"/>
        </w:rPr>
        <w:t>Reputation &amp; identity (Upper KS2/KS3).</w:t>
      </w:r>
      <w:r w:rsidRPr="008946EB">
        <w:rPr>
          <w:rFonts w:ascii="ADLaM Display" w:hAnsi="ADLaM Display" w:cs="ADLaM Display"/>
          <w:sz w:val="24"/>
          <w:szCs w:val="24"/>
        </w:rPr>
        <w:br/>
        <w:t xml:space="preserve">Learners audit their digital footprint, storyboard how a post travels, and </w:t>
      </w:r>
      <w:r>
        <w:rPr>
          <w:rFonts w:ascii="ADLaM Display" w:hAnsi="ADLaM Display" w:cs="ADLaM Display"/>
          <w:sz w:val="24"/>
          <w:szCs w:val="24"/>
        </w:rPr>
        <w:t>co-author</w:t>
      </w:r>
      <w:r w:rsidRPr="008946EB">
        <w:rPr>
          <w:rFonts w:ascii="ADLaM Display" w:hAnsi="ADLaM Display" w:cs="ADLaM Display"/>
          <w:sz w:val="24"/>
          <w:szCs w:val="24"/>
        </w:rPr>
        <w:t xml:space="preserve"> a class charter on identity/reputation. </w:t>
      </w:r>
      <w:r w:rsidRPr="008946EB">
        <w:rPr>
          <w:rFonts w:ascii="ADLaM Display" w:hAnsi="ADLaM Display" w:cs="ADLaM Display"/>
          <w:i/>
          <w:iCs/>
          <w:sz w:val="24"/>
          <w:szCs w:val="24"/>
        </w:rPr>
        <w:t xml:space="preserve">(UKCIS: </w:t>
      </w:r>
      <w:r>
        <w:rPr>
          <w:rFonts w:ascii="ADLaM Display" w:hAnsi="ADLaM Display" w:cs="ADLaM Display"/>
          <w:i/>
          <w:iCs/>
          <w:sz w:val="24"/>
          <w:szCs w:val="24"/>
        </w:rPr>
        <w:t>Self-image</w:t>
      </w:r>
      <w:r w:rsidRPr="008946EB">
        <w:rPr>
          <w:rFonts w:ascii="ADLaM Display" w:hAnsi="ADLaM Display" w:cs="ADLaM Display"/>
          <w:i/>
          <w:iCs/>
          <w:sz w:val="24"/>
          <w:szCs w:val="24"/>
        </w:rPr>
        <w:t xml:space="preserve"> &amp; identity; Online reputation. DCF: Citizenship.)</w:t>
      </w:r>
      <w:r w:rsidRPr="008946EB">
        <w:rPr>
          <w:rFonts w:ascii="ADLaM Display" w:hAnsi="ADLaM Display" w:cs="ADLaM Display"/>
          <w:sz w:val="24"/>
          <w:szCs w:val="24"/>
        </w:rPr>
        <w:t xml:space="preserve"> </w:t>
      </w:r>
      <w:hyperlink r:id="rId28" w:tgtFrame="_blank" w:history="1">
        <w:r w:rsidRPr="008946EB">
          <w:rPr>
            <w:rStyle w:val="Hyperlink"/>
            <w:rFonts w:ascii="ADLaM Display" w:hAnsi="ADLaM Display" w:cs="ADLaM Display"/>
            <w:sz w:val="24"/>
            <w:szCs w:val="24"/>
          </w:rPr>
          <w:t>(UKCIS framework)</w:t>
        </w:r>
      </w:hyperlink>
      <w:r w:rsidRPr="008946EB">
        <w:rPr>
          <w:rFonts w:ascii="ADLaM Display" w:hAnsi="ADLaM Display" w:cs="ADLaM Display"/>
          <w:sz w:val="24"/>
          <w:szCs w:val="24"/>
        </w:rPr>
        <w:t xml:space="preserve"> </w:t>
      </w:r>
      <w:hyperlink r:id="rId29" w:tgtFrame="_blank" w:history="1">
        <w:r w:rsidRPr="008946EB">
          <w:rPr>
            <w:rStyle w:val="Hyperlink"/>
            <w:rFonts w:ascii="ADLaM Display" w:hAnsi="ADLaM Display" w:cs="ADLaM Display"/>
            <w:sz w:val="24"/>
            <w:szCs w:val="24"/>
          </w:rPr>
          <w:t>(Hwb DCF)</w:t>
        </w:r>
      </w:hyperlink>
    </w:p>
    <w:p w14:paraId="4F7C8A7F" w14:textId="1093E467" w:rsidR="008946EB" w:rsidRPr="008946EB" w:rsidRDefault="003827D0" w:rsidP="008946EB">
      <w:pPr>
        <w:numPr>
          <w:ilvl w:val="0"/>
          <w:numId w:val="4"/>
        </w:numPr>
        <w:rPr>
          <w:rFonts w:ascii="ADLaM Display" w:hAnsi="ADLaM Display" w:cs="ADLaM Display"/>
          <w:sz w:val="24"/>
          <w:szCs w:val="24"/>
        </w:rPr>
      </w:pPr>
      <w:r>
        <w:rPr>
          <w:rFonts w:ascii="ADLaM Display" w:hAnsi="ADLaM Display" w:cs="ADLaM Display"/>
          <w:noProof/>
          <w:sz w:val="24"/>
          <w:szCs w:val="24"/>
        </w:rPr>
        <w:drawing>
          <wp:anchor distT="0" distB="0" distL="114300" distR="114300" simplePos="0" relativeHeight="251663872" behindDoc="0" locked="0" layoutInCell="1" allowOverlap="1" wp14:anchorId="20E0C3FC" wp14:editId="6557CB4C">
            <wp:simplePos x="0" y="0"/>
            <wp:positionH relativeFrom="column">
              <wp:posOffset>289560</wp:posOffset>
            </wp:positionH>
            <wp:positionV relativeFrom="paragraph">
              <wp:posOffset>294005</wp:posOffset>
            </wp:positionV>
            <wp:extent cx="2576195" cy="1717675"/>
            <wp:effectExtent l="0" t="0" r="0" b="0"/>
            <wp:wrapSquare wrapText="bothSides"/>
            <wp:docPr id="265024618" name="Picture 5" descr="A group of icons with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024618" name="Picture 5" descr="A group of icons with tex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76195" cy="1717675"/>
                    </a:xfrm>
                    <a:prstGeom prst="rect">
                      <a:avLst/>
                    </a:prstGeom>
                  </pic:spPr>
                </pic:pic>
              </a:graphicData>
            </a:graphic>
          </wp:anchor>
        </w:drawing>
      </w:r>
      <w:r w:rsidR="008946EB" w:rsidRPr="008946EB">
        <w:rPr>
          <w:rFonts w:ascii="ADLaM Display" w:hAnsi="ADLaM Display" w:cs="ADLaM Display"/>
          <w:sz w:val="24"/>
          <w:szCs w:val="24"/>
        </w:rPr>
        <w:t>Evidence sleuths: mis/disinformation (KS3/KS4).</w:t>
      </w:r>
      <w:r w:rsidR="008946EB" w:rsidRPr="008946EB">
        <w:rPr>
          <w:rFonts w:ascii="ADLaM Display" w:hAnsi="ADLaM Display" w:cs="ADLaM Display"/>
          <w:sz w:val="24"/>
          <w:szCs w:val="24"/>
        </w:rPr>
        <w:br/>
        <w:t xml:space="preserve">Teach lateral reading, source triangulation, and bias prompts; compare a viral clip with primary data. </w:t>
      </w:r>
      <w:r w:rsidR="008946EB" w:rsidRPr="008946EB">
        <w:rPr>
          <w:rFonts w:ascii="ADLaM Display" w:hAnsi="ADLaM Display" w:cs="ADLaM Display"/>
          <w:i/>
          <w:iCs/>
          <w:sz w:val="24"/>
          <w:szCs w:val="24"/>
        </w:rPr>
        <w:t>(UKCIS: Managing online information; KCSIE 2025 risk categories.)</w:t>
      </w:r>
      <w:r w:rsidR="008946EB" w:rsidRPr="008946EB">
        <w:rPr>
          <w:rFonts w:ascii="ADLaM Display" w:hAnsi="ADLaM Display" w:cs="ADLaM Display"/>
          <w:sz w:val="24"/>
          <w:szCs w:val="24"/>
        </w:rPr>
        <w:t xml:space="preserve"> </w:t>
      </w:r>
      <w:hyperlink r:id="rId31" w:tgtFrame="_blank" w:history="1">
        <w:r w:rsidR="008946EB" w:rsidRPr="008946EB">
          <w:rPr>
            <w:rStyle w:val="Hyperlink"/>
            <w:rFonts w:ascii="ADLaM Display" w:hAnsi="ADLaM Display" w:cs="ADLaM Display"/>
            <w:sz w:val="24"/>
            <w:szCs w:val="24"/>
          </w:rPr>
          <w:t>(UKCIS)</w:t>
        </w:r>
      </w:hyperlink>
      <w:r w:rsidR="008946EB" w:rsidRPr="008946EB">
        <w:rPr>
          <w:rFonts w:ascii="ADLaM Display" w:hAnsi="ADLaM Display" w:cs="ADLaM Display"/>
          <w:sz w:val="24"/>
          <w:szCs w:val="24"/>
        </w:rPr>
        <w:t xml:space="preserve"> </w:t>
      </w:r>
      <w:hyperlink r:id="rId32" w:tgtFrame="_blank" w:history="1">
        <w:r w:rsidR="008946EB" w:rsidRPr="008946EB">
          <w:rPr>
            <w:rStyle w:val="Hyperlink"/>
            <w:rFonts w:ascii="ADLaM Display" w:hAnsi="ADLaM Display" w:cs="ADLaM Display"/>
            <w:sz w:val="24"/>
            <w:szCs w:val="24"/>
          </w:rPr>
          <w:t>(KCSIE 2025)</w:t>
        </w:r>
      </w:hyperlink>
    </w:p>
    <w:p w14:paraId="77DA03D3" w14:textId="77777777" w:rsidR="008946EB" w:rsidRPr="008946EB" w:rsidRDefault="008946EB" w:rsidP="008946EB">
      <w:pPr>
        <w:numPr>
          <w:ilvl w:val="0"/>
          <w:numId w:val="4"/>
        </w:numPr>
        <w:rPr>
          <w:rFonts w:ascii="ADLaM Display" w:hAnsi="ADLaM Display" w:cs="ADLaM Display"/>
          <w:sz w:val="24"/>
          <w:szCs w:val="24"/>
        </w:rPr>
      </w:pPr>
      <w:r w:rsidRPr="008946EB">
        <w:rPr>
          <w:rFonts w:ascii="ADLaM Display" w:hAnsi="ADLaM Display" w:cs="ADLaM Display"/>
          <w:sz w:val="24"/>
          <w:szCs w:val="24"/>
        </w:rPr>
        <w:t>Copyright &amp; ownership through creation (KS2).</w:t>
      </w:r>
      <w:r w:rsidRPr="008946EB">
        <w:rPr>
          <w:rFonts w:ascii="ADLaM Display" w:hAnsi="ADLaM Display" w:cs="ADLaM Display"/>
          <w:sz w:val="24"/>
          <w:szCs w:val="24"/>
        </w:rPr>
        <w:br/>
        <w:t xml:space="preserve">Publish a short podcast with Creative Commons music and proper attributions; assess with a rubric including IP/permissions. </w:t>
      </w:r>
      <w:r w:rsidRPr="008946EB">
        <w:rPr>
          <w:rFonts w:ascii="ADLaM Display" w:hAnsi="ADLaM Display" w:cs="ADLaM Display"/>
          <w:i/>
          <w:iCs/>
          <w:sz w:val="24"/>
          <w:szCs w:val="24"/>
        </w:rPr>
        <w:t>(UKCIS: Copyright &amp; ownership; DCF: Producing.)</w:t>
      </w:r>
      <w:r w:rsidRPr="008946EB">
        <w:rPr>
          <w:rFonts w:ascii="ADLaM Display" w:hAnsi="ADLaM Display" w:cs="ADLaM Display"/>
          <w:sz w:val="24"/>
          <w:szCs w:val="24"/>
        </w:rPr>
        <w:t xml:space="preserve"> </w:t>
      </w:r>
      <w:hyperlink r:id="rId33" w:tgtFrame="_blank" w:history="1">
        <w:r w:rsidRPr="008946EB">
          <w:rPr>
            <w:rStyle w:val="Hyperlink"/>
            <w:rFonts w:ascii="ADLaM Display" w:hAnsi="ADLaM Display" w:cs="ADLaM Display"/>
            <w:sz w:val="24"/>
            <w:szCs w:val="24"/>
          </w:rPr>
          <w:t>(UKCIS)</w:t>
        </w:r>
      </w:hyperlink>
      <w:r w:rsidRPr="008946EB">
        <w:rPr>
          <w:rFonts w:ascii="ADLaM Display" w:hAnsi="ADLaM Display" w:cs="ADLaM Display"/>
          <w:sz w:val="24"/>
          <w:szCs w:val="24"/>
        </w:rPr>
        <w:t xml:space="preserve"> </w:t>
      </w:r>
      <w:hyperlink r:id="rId34" w:tgtFrame="_blank" w:history="1">
        <w:r w:rsidRPr="008946EB">
          <w:rPr>
            <w:rStyle w:val="Hyperlink"/>
            <w:rFonts w:ascii="ADLaM Display" w:hAnsi="ADLaM Display" w:cs="ADLaM Display"/>
            <w:sz w:val="24"/>
            <w:szCs w:val="24"/>
          </w:rPr>
          <w:t>(Hwb DCF)</w:t>
        </w:r>
      </w:hyperlink>
    </w:p>
    <w:p w14:paraId="01D19FC1" w14:textId="5E6FFBAE" w:rsidR="008946EB" w:rsidRPr="008946EB" w:rsidRDefault="008946EB" w:rsidP="008946EB">
      <w:pPr>
        <w:numPr>
          <w:ilvl w:val="0"/>
          <w:numId w:val="4"/>
        </w:numPr>
        <w:rPr>
          <w:rFonts w:ascii="ADLaM Display" w:hAnsi="ADLaM Display" w:cs="ADLaM Display"/>
          <w:sz w:val="24"/>
          <w:szCs w:val="24"/>
        </w:rPr>
      </w:pPr>
      <w:r w:rsidRPr="008946EB">
        <w:rPr>
          <w:rFonts w:ascii="ADLaM Display" w:hAnsi="ADLaM Display" w:cs="ADLaM Display"/>
          <w:sz w:val="24"/>
          <w:szCs w:val="24"/>
        </w:rPr>
        <w:lastRenderedPageBreak/>
        <w:t>Healthy digital habits (FP/KS2).</w:t>
      </w:r>
      <w:r w:rsidRPr="008946EB">
        <w:rPr>
          <w:rFonts w:ascii="ADLaM Display" w:hAnsi="ADLaM Display" w:cs="ADLaM Display"/>
          <w:sz w:val="24"/>
          <w:szCs w:val="24"/>
        </w:rPr>
        <w:br/>
      </w:r>
      <w:r>
        <w:rPr>
          <w:rFonts w:ascii="ADLaM Display" w:hAnsi="ADLaM Display" w:cs="ADLaM Display"/>
          <w:sz w:val="24"/>
          <w:szCs w:val="24"/>
        </w:rPr>
        <w:t>Co-design class routines: device-free</w:t>
      </w:r>
      <w:r w:rsidRPr="008946EB">
        <w:rPr>
          <w:rFonts w:ascii="ADLaM Display" w:hAnsi="ADLaM Display" w:cs="ADLaM Display"/>
          <w:sz w:val="24"/>
          <w:szCs w:val="24"/>
        </w:rPr>
        <w:t xml:space="preserve"> meals, screens off before sleep, movement breaks; explain </w:t>
      </w:r>
      <w:r w:rsidRPr="008946EB">
        <w:rPr>
          <w:rFonts w:ascii="ADLaM Display" w:hAnsi="ADLaM Display" w:cs="ADLaM Display"/>
          <w:i/>
          <w:iCs/>
          <w:sz w:val="24"/>
          <w:szCs w:val="24"/>
        </w:rPr>
        <w:t>why</w:t>
      </w:r>
      <w:r w:rsidRPr="008946EB">
        <w:rPr>
          <w:rFonts w:ascii="ADLaM Display" w:hAnsi="ADLaM Display" w:cs="ADLaM Display"/>
          <w:sz w:val="24"/>
          <w:szCs w:val="24"/>
        </w:rPr>
        <w:t xml:space="preserve">—protect sleep, balance sedentary time. </w:t>
      </w:r>
      <w:r w:rsidRPr="008946EB">
        <w:rPr>
          <w:rFonts w:ascii="ADLaM Display" w:hAnsi="ADLaM Display" w:cs="ADLaM Display"/>
          <w:i/>
          <w:iCs/>
          <w:sz w:val="24"/>
          <w:szCs w:val="24"/>
        </w:rPr>
        <w:t>(RCPCH/AAP guidance.)</w:t>
      </w:r>
      <w:r w:rsidRPr="008946EB">
        <w:rPr>
          <w:rFonts w:ascii="ADLaM Display" w:hAnsi="ADLaM Display" w:cs="ADLaM Display"/>
          <w:sz w:val="24"/>
          <w:szCs w:val="24"/>
        </w:rPr>
        <w:t xml:space="preserve"> </w:t>
      </w:r>
      <w:hyperlink r:id="rId35" w:tgtFrame="_blank" w:history="1">
        <w:r w:rsidRPr="008946EB">
          <w:rPr>
            <w:rStyle w:val="Hyperlink"/>
            <w:rFonts w:ascii="ADLaM Display" w:hAnsi="ADLaM Display" w:cs="ADLaM Display"/>
            <w:sz w:val="24"/>
            <w:szCs w:val="24"/>
          </w:rPr>
          <w:t>(RCPCH guide)</w:t>
        </w:r>
      </w:hyperlink>
      <w:r w:rsidRPr="008946EB">
        <w:rPr>
          <w:rFonts w:ascii="ADLaM Display" w:hAnsi="ADLaM Display" w:cs="ADLaM Display"/>
          <w:sz w:val="24"/>
          <w:szCs w:val="24"/>
        </w:rPr>
        <w:t xml:space="preserve"> </w:t>
      </w:r>
      <w:hyperlink r:id="rId36" w:tgtFrame="_blank" w:history="1">
        <w:r w:rsidRPr="008946EB">
          <w:rPr>
            <w:rStyle w:val="Hyperlink"/>
            <w:rFonts w:ascii="ADLaM Display" w:hAnsi="ADLaM Display" w:cs="ADLaM Display"/>
            <w:sz w:val="24"/>
            <w:szCs w:val="24"/>
          </w:rPr>
          <w:t>(AAP 2025)</w:t>
        </w:r>
      </w:hyperlink>
    </w:p>
    <w:p w14:paraId="61EA6A61" w14:textId="6862AB76" w:rsidR="008946EB" w:rsidRPr="008946EB" w:rsidRDefault="008946EB" w:rsidP="008946EB">
      <w:pPr>
        <w:numPr>
          <w:ilvl w:val="0"/>
          <w:numId w:val="4"/>
        </w:numPr>
        <w:rPr>
          <w:rFonts w:ascii="ADLaM Display" w:hAnsi="ADLaM Display" w:cs="ADLaM Display"/>
          <w:sz w:val="24"/>
          <w:szCs w:val="24"/>
        </w:rPr>
      </w:pPr>
      <w:r w:rsidRPr="008946EB">
        <w:rPr>
          <w:rFonts w:ascii="ADLaM Display" w:hAnsi="ADLaM Display" w:cs="ADLaM Display"/>
          <w:sz w:val="24"/>
          <w:szCs w:val="24"/>
        </w:rPr>
        <w:t>Blended creation cycles (all phases).</w:t>
      </w:r>
      <w:r w:rsidRPr="008946EB">
        <w:rPr>
          <w:rFonts w:ascii="ADLaM Display" w:hAnsi="ADLaM Display" w:cs="ADLaM Display"/>
          <w:sz w:val="24"/>
          <w:szCs w:val="24"/>
        </w:rPr>
        <w:br/>
        <w:t>Plan</w:t>
      </w:r>
      <w:r>
        <w:rPr>
          <w:rFonts w:ascii="ADLaM Display" w:hAnsi="ADLaM Display" w:cs="ADLaM Display"/>
          <w:sz w:val="24"/>
          <w:szCs w:val="24"/>
        </w:rPr>
        <w:t xml:space="preserve">, create, review, and </w:t>
      </w:r>
      <w:r w:rsidRPr="008946EB">
        <w:rPr>
          <w:rFonts w:ascii="ADLaM Display" w:hAnsi="ADLaM Display" w:cs="ADLaM Display"/>
          <w:sz w:val="24"/>
          <w:szCs w:val="24"/>
        </w:rPr>
        <w:t>publish cycles (offline planning</w:t>
      </w:r>
      <w:r>
        <w:rPr>
          <w:rFonts w:ascii="ADLaM Display" w:hAnsi="ADLaM Display" w:cs="ADLaM Display"/>
          <w:sz w:val="24"/>
          <w:szCs w:val="24"/>
        </w:rPr>
        <w:t>, online production, and</w:t>
      </w:r>
      <w:r w:rsidRPr="008946EB">
        <w:rPr>
          <w:rFonts w:ascii="ADLaM Display" w:hAnsi="ADLaM Display" w:cs="ADLaM Display"/>
          <w:sz w:val="24"/>
          <w:szCs w:val="24"/>
        </w:rPr>
        <w:t xml:space="preserve"> peer critique). Evidence suggests stronger deep learning when tech is guided, collaborative, and blended. </w:t>
      </w:r>
      <w:hyperlink r:id="rId37" w:tgtFrame="_blank" w:history="1">
        <w:r w:rsidRPr="008946EB">
          <w:rPr>
            <w:rStyle w:val="Hyperlink"/>
            <w:rFonts w:ascii="ADLaM Display" w:hAnsi="ADLaM Display" w:cs="ADLaM Display"/>
            <w:sz w:val="24"/>
            <w:szCs w:val="24"/>
          </w:rPr>
          <w:t>(Wu, 2023/24)</w:t>
        </w:r>
      </w:hyperlink>
      <w:r w:rsidRPr="008946EB">
        <w:rPr>
          <w:rFonts w:ascii="ADLaM Display" w:hAnsi="ADLaM Display" w:cs="ADLaM Display"/>
          <w:sz w:val="24"/>
          <w:szCs w:val="24"/>
        </w:rPr>
        <w:t xml:space="preserve"> </w:t>
      </w:r>
      <w:hyperlink r:id="rId38" w:tgtFrame="_blank" w:history="1">
        <w:r w:rsidRPr="008946EB">
          <w:rPr>
            <w:rStyle w:val="Hyperlink"/>
            <w:rFonts w:ascii="ADLaM Display" w:hAnsi="ADLaM Display" w:cs="ADLaM Display"/>
            <w:sz w:val="24"/>
            <w:szCs w:val="24"/>
          </w:rPr>
          <w:t>(Hattie, 2023)</w:t>
        </w:r>
      </w:hyperlink>
    </w:p>
    <w:p w14:paraId="78FFFF14" w14:textId="77777777"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pict w14:anchorId="2A1E15FD">
          <v:rect id="_x0000_i1078" style="width:0;height:1.5pt" o:hralign="center" o:hrstd="t" o:hr="t" fillcolor="#a0a0a0" stroked="f"/>
        </w:pict>
      </w:r>
    </w:p>
    <w:p w14:paraId="0FE98C11" w14:textId="2A661C2A"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t xml:space="preserve">What this means for </w:t>
      </w:r>
      <w:proofErr w:type="spellStart"/>
      <w:r w:rsidRPr="008946EB">
        <w:rPr>
          <w:rFonts w:ascii="ADLaM Display" w:hAnsi="ADLaM Display" w:cs="ADLaM Display"/>
          <w:sz w:val="24"/>
          <w:szCs w:val="24"/>
        </w:rPr>
        <w:t>Brynmill</w:t>
      </w:r>
      <w:proofErr w:type="spellEnd"/>
      <w:r w:rsidRPr="008946EB">
        <w:rPr>
          <w:rFonts w:ascii="ADLaM Display" w:hAnsi="ADLaM Display" w:cs="ADLaM Display"/>
          <w:sz w:val="24"/>
          <w:szCs w:val="24"/>
        </w:rPr>
        <w:t xml:space="preserve"> Primary (practical, </w:t>
      </w:r>
      <w:r>
        <w:rPr>
          <w:rFonts w:ascii="ADLaM Display" w:hAnsi="ADLaM Display" w:cs="ADLaM Display"/>
          <w:sz w:val="24"/>
          <w:szCs w:val="24"/>
        </w:rPr>
        <w:t>Wales-specific</w:t>
      </w:r>
      <w:r w:rsidRPr="008946EB">
        <w:rPr>
          <w:rFonts w:ascii="ADLaM Display" w:hAnsi="ADLaM Display" w:cs="ADLaM Display"/>
          <w:sz w:val="24"/>
          <w:szCs w:val="24"/>
        </w:rPr>
        <w:t>)</w:t>
      </w:r>
    </w:p>
    <w:p w14:paraId="0DAF2DF0" w14:textId="77777777"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t>1) Make DCF visible in every area.</w:t>
      </w:r>
      <w:r w:rsidRPr="008946EB">
        <w:rPr>
          <w:rFonts w:ascii="ADLaM Display" w:hAnsi="ADLaM Display" w:cs="ADLaM Display"/>
          <w:sz w:val="24"/>
          <w:szCs w:val="24"/>
        </w:rPr>
        <w:br/>
        <w:t xml:space="preserve">Map ongoing projects (e.g., inquiry in humanities, science investigations) to DCF </w:t>
      </w:r>
      <w:r w:rsidRPr="008946EB">
        <w:rPr>
          <w:rFonts w:ascii="ADLaM Display" w:hAnsi="ADLaM Display" w:cs="ADLaM Display"/>
          <w:i/>
          <w:iCs/>
          <w:sz w:val="24"/>
          <w:szCs w:val="24"/>
        </w:rPr>
        <w:t>Citizenship</w:t>
      </w:r>
      <w:r w:rsidRPr="008946EB">
        <w:rPr>
          <w:rFonts w:ascii="ADLaM Display" w:hAnsi="ADLaM Display" w:cs="ADLaM Display"/>
          <w:sz w:val="24"/>
          <w:szCs w:val="24"/>
        </w:rPr>
        <w:t xml:space="preserve"> and </w:t>
      </w:r>
      <w:r w:rsidRPr="008946EB">
        <w:rPr>
          <w:rFonts w:ascii="ADLaM Display" w:hAnsi="ADLaM Display" w:cs="ADLaM Display"/>
          <w:i/>
          <w:iCs/>
          <w:sz w:val="24"/>
          <w:szCs w:val="24"/>
        </w:rPr>
        <w:t>Interacting &amp; Collaborating</w:t>
      </w:r>
      <w:r w:rsidRPr="008946EB">
        <w:rPr>
          <w:rFonts w:ascii="ADLaM Display" w:hAnsi="ADLaM Display" w:cs="ADLaM Display"/>
          <w:sz w:val="24"/>
          <w:szCs w:val="24"/>
        </w:rPr>
        <w:t xml:space="preserve"> so digital literacy isn’t siloed. </w:t>
      </w:r>
      <w:hyperlink r:id="rId39" w:tgtFrame="_blank" w:history="1">
        <w:r w:rsidRPr="008946EB">
          <w:rPr>
            <w:rStyle w:val="Hyperlink"/>
            <w:rFonts w:ascii="ADLaM Display" w:hAnsi="ADLaM Display" w:cs="ADLaM Display"/>
            <w:sz w:val="24"/>
            <w:szCs w:val="24"/>
          </w:rPr>
          <w:t>(Hwb DCF)</w:t>
        </w:r>
      </w:hyperlink>
    </w:p>
    <w:p w14:paraId="148207CA" w14:textId="4BAB64C0"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t>2) Strengthen the home–school “mesosystem”.</w:t>
      </w:r>
      <w:r w:rsidRPr="008946EB">
        <w:rPr>
          <w:rFonts w:ascii="ADLaM Display" w:hAnsi="ADLaM Display" w:cs="ADLaM Display"/>
          <w:sz w:val="24"/>
          <w:szCs w:val="24"/>
        </w:rPr>
        <w:br/>
        <w:t xml:space="preserve">Offer parent workshops that share RCPCH’s simple checklist (sleep, movement, mealtimes, </w:t>
      </w:r>
      <w:r>
        <w:rPr>
          <w:rFonts w:ascii="ADLaM Display" w:hAnsi="ADLaM Display" w:cs="ADLaM Display"/>
          <w:sz w:val="24"/>
          <w:szCs w:val="24"/>
        </w:rPr>
        <w:t>co-viewing</w:t>
      </w:r>
      <w:r w:rsidRPr="008946EB">
        <w:rPr>
          <w:rFonts w:ascii="ADLaM Display" w:hAnsi="ADLaM Display" w:cs="ADLaM Display"/>
          <w:sz w:val="24"/>
          <w:szCs w:val="24"/>
        </w:rPr>
        <w:t xml:space="preserve">) and explain the Online Safety Act in plain language—what platforms </w:t>
      </w:r>
      <w:r w:rsidRPr="008946EB">
        <w:rPr>
          <w:rFonts w:ascii="ADLaM Display" w:hAnsi="ADLaM Display" w:cs="ADLaM Display"/>
          <w:i/>
          <w:iCs/>
          <w:sz w:val="24"/>
          <w:szCs w:val="24"/>
        </w:rPr>
        <w:t>must</w:t>
      </w:r>
      <w:r w:rsidRPr="008946EB">
        <w:rPr>
          <w:rFonts w:ascii="ADLaM Display" w:hAnsi="ADLaM Display" w:cs="ADLaM Display"/>
          <w:sz w:val="24"/>
          <w:szCs w:val="24"/>
        </w:rPr>
        <w:t xml:space="preserve"> do, and how families can use age</w:t>
      </w:r>
      <w:r w:rsidRPr="008946EB">
        <w:rPr>
          <w:rFonts w:ascii="ADLaM Display" w:hAnsi="ADLaM Display" w:cs="ADLaM Display"/>
          <w:sz w:val="24"/>
          <w:szCs w:val="24"/>
        </w:rPr>
        <w:noBreakHyphen/>
        <w:t xml:space="preserve">assurance and reporting. </w:t>
      </w:r>
      <w:hyperlink r:id="rId40" w:tgtFrame="_blank" w:history="1">
        <w:r w:rsidRPr="008946EB">
          <w:rPr>
            <w:rStyle w:val="Hyperlink"/>
            <w:rFonts w:ascii="ADLaM Display" w:hAnsi="ADLaM Display" w:cs="ADLaM Display"/>
            <w:sz w:val="24"/>
            <w:szCs w:val="24"/>
          </w:rPr>
          <w:t>(RCPCH)</w:t>
        </w:r>
      </w:hyperlink>
      <w:r w:rsidRPr="008946EB">
        <w:rPr>
          <w:rFonts w:ascii="ADLaM Display" w:hAnsi="ADLaM Display" w:cs="ADLaM Display"/>
          <w:sz w:val="24"/>
          <w:szCs w:val="24"/>
        </w:rPr>
        <w:t xml:space="preserve"> </w:t>
      </w:r>
      <w:hyperlink r:id="rId41" w:tgtFrame="_blank" w:history="1">
        <w:r w:rsidRPr="008946EB">
          <w:rPr>
            <w:rStyle w:val="Hyperlink"/>
            <w:rFonts w:ascii="ADLaM Display" w:hAnsi="ADLaM Display" w:cs="ADLaM Display"/>
            <w:sz w:val="24"/>
            <w:szCs w:val="24"/>
          </w:rPr>
          <w:t>(OSA explainer)</w:t>
        </w:r>
      </w:hyperlink>
    </w:p>
    <w:p w14:paraId="5B717B51" w14:textId="711C343A"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t>3) Embed total communication online.</w:t>
      </w:r>
      <w:r w:rsidRPr="008946EB">
        <w:rPr>
          <w:rFonts w:ascii="ADLaM Display" w:hAnsi="ADLaM Display" w:cs="ADLaM Display"/>
          <w:sz w:val="24"/>
          <w:szCs w:val="24"/>
        </w:rPr>
        <w:br/>
        <w:t xml:space="preserve">Extend your </w:t>
      </w:r>
      <w:r>
        <w:rPr>
          <w:rFonts w:ascii="ADLaM Display" w:hAnsi="ADLaM Display" w:cs="ADLaM Display"/>
          <w:sz w:val="24"/>
          <w:szCs w:val="24"/>
        </w:rPr>
        <w:t>in-school total communication approaches into the virtual microsystem—use captions, visuals, symbols and co-regulated</w:t>
      </w:r>
      <w:r w:rsidRPr="008946EB">
        <w:rPr>
          <w:rFonts w:ascii="ADLaM Display" w:hAnsi="ADLaM Display" w:cs="ADLaM Display"/>
          <w:sz w:val="24"/>
          <w:szCs w:val="24"/>
        </w:rPr>
        <w:t xml:space="preserve"> routines (“post, pause, check”) in Seesaw/Teams to support learners with ALN to participate safely and meaningfully. </w:t>
      </w:r>
      <w:r w:rsidRPr="008946EB">
        <w:rPr>
          <w:rFonts w:ascii="ADLaM Display" w:hAnsi="ADLaM Display" w:cs="ADLaM Display"/>
          <w:i/>
          <w:iCs/>
          <w:sz w:val="24"/>
          <w:szCs w:val="24"/>
        </w:rPr>
        <w:t>(Aligns with DCF Interacting &amp; Collaborating.)</w:t>
      </w:r>
      <w:r w:rsidRPr="008946EB">
        <w:rPr>
          <w:rFonts w:ascii="ADLaM Display" w:hAnsi="ADLaM Display" w:cs="ADLaM Display"/>
          <w:sz w:val="24"/>
          <w:szCs w:val="24"/>
        </w:rPr>
        <w:t xml:space="preserve"> </w:t>
      </w:r>
      <w:hyperlink r:id="rId42" w:tgtFrame="_blank" w:history="1">
        <w:r w:rsidRPr="008946EB">
          <w:rPr>
            <w:rStyle w:val="Hyperlink"/>
            <w:rFonts w:ascii="ADLaM Display" w:hAnsi="ADLaM Display" w:cs="ADLaM Display"/>
            <w:sz w:val="24"/>
            <w:szCs w:val="24"/>
          </w:rPr>
          <w:t>(Hwb DCF)</w:t>
        </w:r>
      </w:hyperlink>
    </w:p>
    <w:p w14:paraId="2B94AF57" w14:textId="77777777"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t>4) Evidence impact, not just compliance.</w:t>
      </w:r>
      <w:r w:rsidRPr="008946EB">
        <w:rPr>
          <w:rFonts w:ascii="ADLaM Display" w:hAnsi="ADLaM Display" w:cs="ADLaM Display"/>
          <w:sz w:val="24"/>
          <w:szCs w:val="24"/>
        </w:rPr>
        <w:br/>
        <w:t xml:space="preserve">Collect pupil voice, work samples, and wellbeing notes to show how digital tasks build reasoning, collaboration and safe habits—then iterate. Link lesson studies to the blended cycles that research says work best. </w:t>
      </w:r>
      <w:hyperlink r:id="rId43" w:tgtFrame="_blank" w:history="1">
        <w:r w:rsidRPr="008946EB">
          <w:rPr>
            <w:rStyle w:val="Hyperlink"/>
            <w:rFonts w:ascii="ADLaM Display" w:hAnsi="ADLaM Display" w:cs="ADLaM Display"/>
            <w:sz w:val="24"/>
            <w:szCs w:val="24"/>
          </w:rPr>
          <w:t>(Wu, 2023/24)</w:t>
        </w:r>
      </w:hyperlink>
      <w:r w:rsidRPr="008946EB">
        <w:rPr>
          <w:rFonts w:ascii="ADLaM Display" w:hAnsi="ADLaM Display" w:cs="ADLaM Display"/>
          <w:sz w:val="24"/>
          <w:szCs w:val="24"/>
        </w:rPr>
        <w:t xml:space="preserve"> </w:t>
      </w:r>
      <w:hyperlink r:id="rId44" w:tgtFrame="_blank" w:history="1">
        <w:r w:rsidRPr="008946EB">
          <w:rPr>
            <w:rStyle w:val="Hyperlink"/>
            <w:rFonts w:ascii="ADLaM Display" w:hAnsi="ADLaM Display" w:cs="ADLaM Display"/>
            <w:sz w:val="24"/>
            <w:szCs w:val="24"/>
          </w:rPr>
          <w:t>(Hattie, 2023)</w:t>
        </w:r>
      </w:hyperlink>
    </w:p>
    <w:p w14:paraId="02175914" w14:textId="77777777"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pict w14:anchorId="5F3E540A">
          <v:rect id="_x0000_i1079" style="width:0;height:1.5pt" o:hralign="center" o:hrstd="t" o:hr="t" fillcolor="#a0a0a0" stroked="f"/>
        </w:pict>
      </w:r>
    </w:p>
    <w:p w14:paraId="54C0F7C8" w14:textId="77777777" w:rsidR="008946EB" w:rsidRPr="008946EB" w:rsidRDefault="008946EB" w:rsidP="008946EB">
      <w:pPr>
        <w:rPr>
          <w:rFonts w:ascii="ADLaM Display" w:hAnsi="ADLaM Display" w:cs="ADLaM Display"/>
          <w:sz w:val="28"/>
          <w:szCs w:val="28"/>
        </w:rPr>
      </w:pPr>
      <w:r w:rsidRPr="008946EB">
        <w:rPr>
          <w:rFonts w:ascii="ADLaM Display" w:hAnsi="ADLaM Display" w:cs="ADLaM Display"/>
          <w:sz w:val="28"/>
          <w:szCs w:val="28"/>
        </w:rPr>
        <w:t>Final thought</w:t>
      </w:r>
    </w:p>
    <w:p w14:paraId="09EE913F" w14:textId="77777777"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t xml:space="preserve">The digital world isn’t going away—and neither should our learners’ curiosity and creativity. With a bioecological mindset, </w:t>
      </w:r>
      <w:proofErr w:type="spellStart"/>
      <w:r w:rsidRPr="008946EB">
        <w:rPr>
          <w:rFonts w:ascii="ADLaM Display" w:hAnsi="ADLaM Display" w:cs="ADLaM Display"/>
          <w:sz w:val="24"/>
          <w:szCs w:val="24"/>
        </w:rPr>
        <w:t>Wales’</w:t>
      </w:r>
      <w:proofErr w:type="spellEnd"/>
      <w:r w:rsidRPr="008946EB">
        <w:rPr>
          <w:rFonts w:ascii="ADLaM Display" w:hAnsi="ADLaM Display" w:cs="ADLaM Display"/>
          <w:sz w:val="24"/>
          <w:szCs w:val="24"/>
        </w:rPr>
        <w:t xml:space="preserve"> DCF as our curriculum anchor, UKCIS to shape progression, and the Online Safety Act setting clearer </w:t>
      </w:r>
      <w:r w:rsidRPr="008946EB">
        <w:rPr>
          <w:rFonts w:ascii="ADLaM Display" w:hAnsi="ADLaM Display" w:cs="ADLaM Display"/>
          <w:sz w:val="24"/>
          <w:szCs w:val="24"/>
        </w:rPr>
        <w:lastRenderedPageBreak/>
        <w:t xml:space="preserve">guardrails, we can design the </w:t>
      </w:r>
      <w:r w:rsidRPr="008946EB">
        <w:rPr>
          <w:rFonts w:ascii="ADLaM Display" w:hAnsi="ADLaM Display" w:cs="ADLaM Display"/>
          <w:i/>
          <w:iCs/>
          <w:sz w:val="24"/>
          <w:szCs w:val="24"/>
        </w:rPr>
        <w:t>right</w:t>
      </w:r>
      <w:r w:rsidRPr="008946EB">
        <w:rPr>
          <w:rFonts w:ascii="ADLaM Display" w:hAnsi="ADLaM Display" w:cs="ADLaM Display"/>
          <w:sz w:val="24"/>
          <w:szCs w:val="24"/>
        </w:rPr>
        <w:t xml:space="preserve"> digital interactions—the ones worth repeating. That’s how we turn online spaces into genuine learning microsystems.</w:t>
      </w:r>
    </w:p>
    <w:p w14:paraId="2046E359" w14:textId="77777777" w:rsidR="008946EB" w:rsidRPr="008946EB" w:rsidRDefault="008946EB" w:rsidP="008946EB">
      <w:pPr>
        <w:rPr>
          <w:rFonts w:ascii="ADLaM Display" w:hAnsi="ADLaM Display" w:cs="ADLaM Display"/>
          <w:sz w:val="24"/>
          <w:szCs w:val="24"/>
        </w:rPr>
      </w:pPr>
      <w:r w:rsidRPr="008946EB">
        <w:rPr>
          <w:rFonts w:ascii="ADLaM Display" w:hAnsi="ADLaM Display" w:cs="ADLaM Display"/>
          <w:sz w:val="24"/>
          <w:szCs w:val="24"/>
        </w:rPr>
        <w:pict w14:anchorId="752AE842">
          <v:rect id="_x0000_i1080" style="width:0;height:1.5pt" o:hralign="center" o:hrstd="t" o:hr="t" fillcolor="#a0a0a0" stroked="f"/>
        </w:pict>
      </w:r>
    </w:p>
    <w:p w14:paraId="5A8C8F6B" w14:textId="77777777" w:rsidR="008946EB" w:rsidRPr="008946EB" w:rsidRDefault="008946EB" w:rsidP="008946EB">
      <w:pPr>
        <w:rPr>
          <w:rFonts w:ascii="ADLaM Display" w:hAnsi="ADLaM Display" w:cs="ADLaM Display"/>
          <w:b/>
          <w:bCs/>
        </w:rPr>
      </w:pPr>
      <w:r w:rsidRPr="008946EB">
        <w:rPr>
          <w:rFonts w:ascii="ADLaM Display" w:hAnsi="ADLaM Display" w:cs="ADLaM Display"/>
          <w:b/>
          <w:bCs/>
        </w:rPr>
        <w:t>References (selected)</w:t>
      </w:r>
    </w:p>
    <w:p w14:paraId="5D66DDA7" w14:textId="77777777" w:rsidR="008946EB" w:rsidRPr="008946EB" w:rsidRDefault="008946EB" w:rsidP="008946EB">
      <w:pPr>
        <w:numPr>
          <w:ilvl w:val="0"/>
          <w:numId w:val="5"/>
        </w:numPr>
        <w:rPr>
          <w:rFonts w:ascii="ADLaM Display" w:hAnsi="ADLaM Display" w:cs="ADLaM Display"/>
        </w:rPr>
      </w:pPr>
      <w:r w:rsidRPr="008946EB">
        <w:rPr>
          <w:rFonts w:ascii="ADLaM Display" w:hAnsi="ADLaM Display" w:cs="ADLaM Display"/>
        </w:rPr>
        <w:t xml:space="preserve">Ofcom (2024). </w:t>
      </w:r>
      <w:r w:rsidRPr="008946EB">
        <w:rPr>
          <w:rFonts w:ascii="ADLaM Display" w:hAnsi="ADLaM Display" w:cs="ADLaM Display"/>
          <w:i/>
          <w:iCs/>
        </w:rPr>
        <w:t>Children and parents: media use and attitudes report 2024</w:t>
      </w:r>
      <w:r w:rsidRPr="008946EB">
        <w:rPr>
          <w:rFonts w:ascii="ADLaM Display" w:hAnsi="ADLaM Display" w:cs="ADLaM Display"/>
        </w:rPr>
        <w:t>.</w:t>
      </w:r>
      <w:r w:rsidRPr="008946EB">
        <w:rPr>
          <w:rFonts w:ascii="ADLaM Display" w:hAnsi="ADLaM Display" w:cs="ADLaM Display"/>
        </w:rPr>
        <w:br/>
        <w:t>&lt;https://www.ofcom.org.uk/media-use-and-attitudes/media-habits-children/children-and-parents-media-use-and-attitudes-report-2024&gt;</w:t>
      </w:r>
    </w:p>
    <w:p w14:paraId="4E522B14" w14:textId="77777777" w:rsidR="008946EB" w:rsidRPr="008946EB" w:rsidRDefault="008946EB" w:rsidP="008946EB">
      <w:pPr>
        <w:numPr>
          <w:ilvl w:val="0"/>
          <w:numId w:val="5"/>
        </w:numPr>
        <w:rPr>
          <w:rFonts w:ascii="ADLaM Display" w:hAnsi="ADLaM Display" w:cs="ADLaM Display"/>
        </w:rPr>
      </w:pPr>
      <w:r w:rsidRPr="008946EB">
        <w:rPr>
          <w:rFonts w:ascii="ADLaM Display" w:hAnsi="ADLaM Display" w:cs="ADLaM Display"/>
        </w:rPr>
        <w:t xml:space="preserve">UKCIS (2020). </w:t>
      </w:r>
      <w:r w:rsidRPr="008946EB">
        <w:rPr>
          <w:rFonts w:ascii="ADLaM Display" w:hAnsi="ADLaM Display" w:cs="ADLaM Display"/>
          <w:i/>
          <w:iCs/>
        </w:rPr>
        <w:t>Education for a Connected World</w:t>
      </w:r>
      <w:r w:rsidRPr="008946EB">
        <w:rPr>
          <w:rFonts w:ascii="ADLaM Display" w:hAnsi="ADLaM Display" w:cs="ADLaM Display"/>
        </w:rPr>
        <w:t>.</w:t>
      </w:r>
      <w:r w:rsidRPr="008946EB">
        <w:rPr>
          <w:rFonts w:ascii="ADLaM Display" w:hAnsi="ADLaM Display" w:cs="ADLaM Display"/>
        </w:rPr>
        <w:br/>
        <w:t>&lt;https://www.gov.uk/government/publications/education-for-a-connected-world&gt;</w:t>
      </w:r>
    </w:p>
    <w:p w14:paraId="414B8F2F" w14:textId="77777777" w:rsidR="008946EB" w:rsidRPr="008946EB" w:rsidRDefault="008946EB" w:rsidP="008946EB">
      <w:pPr>
        <w:numPr>
          <w:ilvl w:val="0"/>
          <w:numId w:val="5"/>
        </w:numPr>
        <w:rPr>
          <w:rFonts w:ascii="ADLaM Display" w:hAnsi="ADLaM Display" w:cs="ADLaM Display"/>
        </w:rPr>
      </w:pPr>
      <w:r w:rsidRPr="008946EB">
        <w:rPr>
          <w:rFonts w:ascii="ADLaM Display" w:hAnsi="ADLaM Display" w:cs="ADLaM Display"/>
        </w:rPr>
        <w:t xml:space="preserve">Welsh Government (Hwb). </w:t>
      </w:r>
      <w:r w:rsidRPr="008946EB">
        <w:rPr>
          <w:rFonts w:ascii="ADLaM Display" w:hAnsi="ADLaM Display" w:cs="ADLaM Display"/>
          <w:i/>
          <w:iCs/>
        </w:rPr>
        <w:t>Digital Competence Framework (DCF)</w:t>
      </w:r>
      <w:r w:rsidRPr="008946EB">
        <w:rPr>
          <w:rFonts w:ascii="ADLaM Display" w:hAnsi="ADLaM Display" w:cs="ADLaM Display"/>
        </w:rPr>
        <w:t>.</w:t>
      </w:r>
      <w:r w:rsidRPr="008946EB">
        <w:rPr>
          <w:rFonts w:ascii="ADLaM Display" w:hAnsi="ADLaM Display" w:cs="ADLaM Display"/>
        </w:rPr>
        <w:br/>
        <w:t>&lt;https://hwb.gov.wales/curriculum-for-wales/cross-curricular-skills-frameworks/digital-competence-framework-dcf/&gt;</w:t>
      </w:r>
    </w:p>
    <w:p w14:paraId="0AC0CDA7" w14:textId="77777777" w:rsidR="008946EB" w:rsidRPr="008946EB" w:rsidRDefault="008946EB" w:rsidP="008946EB">
      <w:pPr>
        <w:numPr>
          <w:ilvl w:val="0"/>
          <w:numId w:val="5"/>
        </w:numPr>
        <w:rPr>
          <w:rFonts w:ascii="ADLaM Display" w:hAnsi="ADLaM Display" w:cs="ADLaM Display"/>
        </w:rPr>
      </w:pPr>
      <w:r w:rsidRPr="008946EB">
        <w:rPr>
          <w:rFonts w:ascii="ADLaM Display" w:hAnsi="ADLaM Display" w:cs="ADLaM Display"/>
        </w:rPr>
        <w:t xml:space="preserve">DSIT (2025). </w:t>
      </w:r>
      <w:r w:rsidRPr="008946EB">
        <w:rPr>
          <w:rFonts w:ascii="ADLaM Display" w:hAnsi="ADLaM Display" w:cs="ADLaM Display"/>
          <w:i/>
          <w:iCs/>
        </w:rPr>
        <w:t>Online Safety Act: explainer</w:t>
      </w:r>
      <w:r w:rsidRPr="008946EB">
        <w:rPr>
          <w:rFonts w:ascii="ADLaM Display" w:hAnsi="ADLaM Display" w:cs="ADLaM Display"/>
        </w:rPr>
        <w:t>.</w:t>
      </w:r>
      <w:r w:rsidRPr="008946EB">
        <w:rPr>
          <w:rFonts w:ascii="ADLaM Display" w:hAnsi="ADLaM Display" w:cs="ADLaM Display"/>
        </w:rPr>
        <w:br/>
        <w:t>&lt;https://www.gov.uk/government/publications/online-safety-act-explainer/online-safety-act-explainer&gt;</w:t>
      </w:r>
    </w:p>
    <w:p w14:paraId="219E2F66" w14:textId="77777777" w:rsidR="008946EB" w:rsidRPr="008946EB" w:rsidRDefault="008946EB" w:rsidP="008946EB">
      <w:pPr>
        <w:numPr>
          <w:ilvl w:val="0"/>
          <w:numId w:val="5"/>
        </w:numPr>
        <w:rPr>
          <w:rFonts w:ascii="ADLaM Display" w:hAnsi="ADLaM Display" w:cs="ADLaM Display"/>
        </w:rPr>
      </w:pPr>
      <w:r w:rsidRPr="008946EB">
        <w:rPr>
          <w:rFonts w:ascii="ADLaM Display" w:hAnsi="ADLaM Display" w:cs="ADLaM Display"/>
        </w:rPr>
        <w:t xml:space="preserve">DfE (2025). </w:t>
      </w:r>
      <w:r w:rsidRPr="008946EB">
        <w:rPr>
          <w:rFonts w:ascii="ADLaM Display" w:hAnsi="ADLaM Display" w:cs="ADLaM Display"/>
          <w:i/>
          <w:iCs/>
        </w:rPr>
        <w:t>Keeping Children Safe in Education 2025</w:t>
      </w:r>
      <w:r w:rsidRPr="008946EB">
        <w:rPr>
          <w:rFonts w:ascii="ADLaM Display" w:hAnsi="ADLaM Display" w:cs="ADLaM Display"/>
        </w:rPr>
        <w:t>.</w:t>
      </w:r>
      <w:r w:rsidRPr="008946EB">
        <w:rPr>
          <w:rFonts w:ascii="ADLaM Display" w:hAnsi="ADLaM Display" w:cs="ADLaM Display"/>
        </w:rPr>
        <w:br/>
        <w:t>&lt;https://www.gov.uk/government/publications/keeping-children-safe-in-education--2&gt;</w:t>
      </w:r>
    </w:p>
    <w:p w14:paraId="4C8D2A94" w14:textId="77777777" w:rsidR="008946EB" w:rsidRPr="008946EB" w:rsidRDefault="008946EB" w:rsidP="008946EB">
      <w:pPr>
        <w:numPr>
          <w:ilvl w:val="0"/>
          <w:numId w:val="5"/>
        </w:numPr>
        <w:rPr>
          <w:rFonts w:ascii="ADLaM Display" w:hAnsi="ADLaM Display" w:cs="ADLaM Display"/>
        </w:rPr>
      </w:pPr>
      <w:r w:rsidRPr="008946EB">
        <w:rPr>
          <w:rFonts w:ascii="ADLaM Display" w:hAnsi="ADLaM Display" w:cs="ADLaM Display"/>
        </w:rPr>
        <w:t xml:space="preserve">RCPCH (2019). </w:t>
      </w:r>
      <w:r w:rsidRPr="008946EB">
        <w:rPr>
          <w:rFonts w:ascii="ADLaM Display" w:hAnsi="ADLaM Display" w:cs="ADLaM Display"/>
          <w:i/>
          <w:iCs/>
        </w:rPr>
        <w:t>Screen time guide</w:t>
      </w:r>
      <w:r w:rsidRPr="008946EB">
        <w:rPr>
          <w:rFonts w:ascii="ADLaM Display" w:hAnsi="ADLaM Display" w:cs="ADLaM Display"/>
        </w:rPr>
        <w:t>.</w:t>
      </w:r>
      <w:r w:rsidRPr="008946EB">
        <w:rPr>
          <w:rFonts w:ascii="ADLaM Display" w:hAnsi="ADLaM Display" w:cs="ADLaM Display"/>
        </w:rPr>
        <w:br/>
        <w:t>&lt;https://www.solgrid.org.uk/wellbeing/wp-content/uploads/sites/23/2019/01/rcpch_screen_time_guide_-_final.pdf&gt;</w:t>
      </w:r>
    </w:p>
    <w:p w14:paraId="5EA75764" w14:textId="77777777" w:rsidR="008946EB" w:rsidRPr="008946EB" w:rsidRDefault="008946EB" w:rsidP="008946EB">
      <w:pPr>
        <w:numPr>
          <w:ilvl w:val="0"/>
          <w:numId w:val="5"/>
        </w:numPr>
        <w:rPr>
          <w:rFonts w:ascii="ADLaM Display" w:hAnsi="ADLaM Display" w:cs="ADLaM Display"/>
        </w:rPr>
      </w:pPr>
      <w:r w:rsidRPr="008946EB">
        <w:rPr>
          <w:rFonts w:ascii="ADLaM Display" w:hAnsi="ADLaM Display" w:cs="ADLaM Display"/>
        </w:rPr>
        <w:t xml:space="preserve">AAP (updated 2025). </w:t>
      </w:r>
      <w:r w:rsidRPr="008946EB">
        <w:rPr>
          <w:rFonts w:ascii="ADLaM Display" w:hAnsi="ADLaM Display" w:cs="ADLaM Display"/>
          <w:i/>
          <w:iCs/>
        </w:rPr>
        <w:t>Screen Time Guidelines</w:t>
      </w:r>
      <w:r w:rsidRPr="008946EB">
        <w:rPr>
          <w:rFonts w:ascii="ADLaM Display" w:hAnsi="ADLaM Display" w:cs="ADLaM Display"/>
        </w:rPr>
        <w:t>.</w:t>
      </w:r>
      <w:r w:rsidRPr="008946EB">
        <w:rPr>
          <w:rFonts w:ascii="ADLaM Display" w:hAnsi="ADLaM Display" w:cs="ADLaM Display"/>
        </w:rPr>
        <w:br/>
        <w:t>&lt;https://www.aap.org/en/patient-care/media-and-children/center-of-excellence-on-social-media-and-youth-mental-health/qa-portal/qa-portal-library/qa-portal-library-questions/screen-time-guidelines/&gt;</w:t>
      </w:r>
    </w:p>
    <w:p w14:paraId="54D0792F" w14:textId="77777777" w:rsidR="008946EB" w:rsidRPr="008946EB" w:rsidRDefault="008946EB" w:rsidP="008946EB">
      <w:pPr>
        <w:numPr>
          <w:ilvl w:val="0"/>
          <w:numId w:val="5"/>
        </w:numPr>
        <w:rPr>
          <w:rFonts w:ascii="ADLaM Display" w:hAnsi="ADLaM Display" w:cs="ADLaM Display"/>
        </w:rPr>
      </w:pPr>
      <w:r w:rsidRPr="008946EB">
        <w:rPr>
          <w:rFonts w:ascii="ADLaM Display" w:hAnsi="ADLaM Display" w:cs="ADLaM Display"/>
        </w:rPr>
        <w:t xml:space="preserve">Oxford Internet Institute (2023). </w:t>
      </w:r>
      <w:r w:rsidRPr="008946EB">
        <w:rPr>
          <w:rFonts w:ascii="ADLaM Display" w:hAnsi="ADLaM Display" w:cs="ADLaM Display"/>
          <w:i/>
          <w:iCs/>
        </w:rPr>
        <w:t>No “smoking gun” mental health harm</w:t>
      </w:r>
      <w:r w:rsidRPr="008946EB">
        <w:rPr>
          <w:rFonts w:ascii="ADLaM Display" w:hAnsi="ADLaM Display" w:cs="ADLaM Display"/>
        </w:rPr>
        <w:t>.</w:t>
      </w:r>
      <w:r w:rsidRPr="008946EB">
        <w:rPr>
          <w:rFonts w:ascii="ADLaM Display" w:hAnsi="ADLaM Display" w:cs="ADLaM Display"/>
        </w:rPr>
        <w:br/>
        <w:t>&lt;https://www.ox.ac.uk/news/2023-11-28-no-smoking-gun-mental-health-harm-internet-landmark-oxford-survey&gt;</w:t>
      </w:r>
    </w:p>
    <w:p w14:paraId="5CC5E274" w14:textId="77777777" w:rsidR="008946EB" w:rsidRPr="008946EB" w:rsidRDefault="008946EB" w:rsidP="008946EB">
      <w:pPr>
        <w:numPr>
          <w:ilvl w:val="0"/>
          <w:numId w:val="5"/>
        </w:numPr>
        <w:rPr>
          <w:rFonts w:ascii="ADLaM Display" w:hAnsi="ADLaM Display" w:cs="ADLaM Display"/>
        </w:rPr>
      </w:pPr>
      <w:r w:rsidRPr="008946EB">
        <w:rPr>
          <w:rFonts w:ascii="ADLaM Display" w:hAnsi="ADLaM Display" w:cs="ADLaM Display"/>
        </w:rPr>
        <w:t>Wu, X</w:t>
      </w:r>
      <w:r w:rsidRPr="008946EB">
        <w:rPr>
          <w:rFonts w:ascii="ADLaM Display" w:hAnsi="ADLaM Display" w:cs="ADLaM Display"/>
        </w:rPr>
        <w:noBreakHyphen/>
        <w:t xml:space="preserve">Y. (2023/24). </w:t>
      </w:r>
      <w:r w:rsidRPr="008946EB">
        <w:rPr>
          <w:rFonts w:ascii="ADLaM Display" w:hAnsi="ADLaM Display" w:cs="ADLaM Display"/>
          <w:i/>
          <w:iCs/>
        </w:rPr>
        <w:t>Digital tech &amp; deep learning meta</w:t>
      </w:r>
      <w:r w:rsidRPr="008946EB">
        <w:rPr>
          <w:rFonts w:ascii="ADLaM Display" w:hAnsi="ADLaM Display" w:cs="ADLaM Display"/>
          <w:i/>
          <w:iCs/>
        </w:rPr>
        <w:noBreakHyphen/>
        <w:t>analysis</w:t>
      </w:r>
      <w:r w:rsidRPr="008946EB">
        <w:rPr>
          <w:rFonts w:ascii="ADLaM Display" w:hAnsi="ADLaM Display" w:cs="ADLaM Display"/>
        </w:rPr>
        <w:t>.</w:t>
      </w:r>
      <w:r w:rsidRPr="008946EB">
        <w:rPr>
          <w:rFonts w:ascii="ADLaM Display" w:hAnsi="ADLaM Display" w:cs="ADLaM Display"/>
        </w:rPr>
        <w:br/>
        <w:t>&lt;https://link.springer.com/article/10.1007/s10639-023-12307-1&gt;</w:t>
      </w:r>
    </w:p>
    <w:p w14:paraId="2E8D68F0" w14:textId="77777777" w:rsidR="008946EB" w:rsidRPr="008946EB" w:rsidRDefault="008946EB" w:rsidP="008946EB">
      <w:pPr>
        <w:numPr>
          <w:ilvl w:val="0"/>
          <w:numId w:val="5"/>
        </w:numPr>
        <w:rPr>
          <w:rFonts w:ascii="ADLaM Display" w:hAnsi="ADLaM Display" w:cs="ADLaM Display"/>
        </w:rPr>
      </w:pPr>
      <w:r w:rsidRPr="008946EB">
        <w:rPr>
          <w:rFonts w:ascii="ADLaM Display" w:hAnsi="ADLaM Display" w:cs="ADLaM Display"/>
        </w:rPr>
        <w:t xml:space="preserve">Hattie, J. (2023). </w:t>
      </w:r>
      <w:r w:rsidRPr="008946EB">
        <w:rPr>
          <w:rFonts w:ascii="ADLaM Display" w:hAnsi="ADLaM Display" w:cs="ADLaM Display"/>
          <w:i/>
          <w:iCs/>
        </w:rPr>
        <w:t>Visible Learning: The Sequel</w:t>
      </w:r>
      <w:r w:rsidRPr="008946EB">
        <w:rPr>
          <w:rFonts w:ascii="ADLaM Display" w:hAnsi="ADLaM Display" w:cs="ADLaM Display"/>
        </w:rPr>
        <w:t>.</w:t>
      </w:r>
      <w:r w:rsidRPr="008946EB">
        <w:rPr>
          <w:rFonts w:ascii="ADLaM Display" w:hAnsi="ADLaM Display" w:cs="ADLaM Display"/>
        </w:rPr>
        <w:br/>
        <w:t>&lt;https://www.taylorfrancis.com/books/mono/10.4324/9781003380542/visible-learning-sequel-john-hattie&gt;</w:t>
      </w:r>
    </w:p>
    <w:p w14:paraId="6E92F3F8" w14:textId="77777777" w:rsidR="00AA723F" w:rsidRDefault="00AA723F"/>
    <w:sectPr w:rsidR="00AA72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DLaM Display">
    <w:charset w:val="00"/>
    <w:family w:val="auto"/>
    <w:pitch w:val="variable"/>
    <w:sig w:usb0="8000206F" w:usb1="42000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013AF"/>
    <w:multiLevelType w:val="multilevel"/>
    <w:tmpl w:val="A4C6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BB057C"/>
    <w:multiLevelType w:val="multilevel"/>
    <w:tmpl w:val="33CA4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596B9E"/>
    <w:multiLevelType w:val="multilevel"/>
    <w:tmpl w:val="AD5AC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CA52C9"/>
    <w:multiLevelType w:val="multilevel"/>
    <w:tmpl w:val="7116E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966FD6"/>
    <w:multiLevelType w:val="multilevel"/>
    <w:tmpl w:val="56184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8323511">
    <w:abstractNumId w:val="0"/>
  </w:num>
  <w:num w:numId="2" w16cid:durableId="2040624757">
    <w:abstractNumId w:val="3"/>
  </w:num>
  <w:num w:numId="3" w16cid:durableId="1232235145">
    <w:abstractNumId w:val="1"/>
  </w:num>
  <w:num w:numId="4" w16cid:durableId="2024815083">
    <w:abstractNumId w:val="4"/>
  </w:num>
  <w:num w:numId="5" w16cid:durableId="13076671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6EB"/>
    <w:rsid w:val="000E7559"/>
    <w:rsid w:val="003827D0"/>
    <w:rsid w:val="004317EE"/>
    <w:rsid w:val="008946EB"/>
    <w:rsid w:val="00AA7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4232"/>
  <w15:chartTrackingRefBased/>
  <w15:docId w15:val="{EE81D092-3F96-4D67-BAC4-B4D897F64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6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946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946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946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946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946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46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46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46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6E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946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946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946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946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946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46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46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46EB"/>
    <w:rPr>
      <w:rFonts w:eastAsiaTheme="majorEastAsia" w:cstheme="majorBidi"/>
      <w:color w:val="272727" w:themeColor="text1" w:themeTint="D8"/>
    </w:rPr>
  </w:style>
  <w:style w:type="paragraph" w:styleId="Title">
    <w:name w:val="Title"/>
    <w:basedOn w:val="Normal"/>
    <w:next w:val="Normal"/>
    <w:link w:val="TitleChar"/>
    <w:uiPriority w:val="10"/>
    <w:qFormat/>
    <w:rsid w:val="008946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46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46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46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46EB"/>
    <w:pPr>
      <w:spacing w:before="160"/>
      <w:jc w:val="center"/>
    </w:pPr>
    <w:rPr>
      <w:i/>
      <w:iCs/>
      <w:color w:val="404040" w:themeColor="text1" w:themeTint="BF"/>
    </w:rPr>
  </w:style>
  <w:style w:type="character" w:customStyle="1" w:styleId="QuoteChar">
    <w:name w:val="Quote Char"/>
    <w:basedOn w:val="DefaultParagraphFont"/>
    <w:link w:val="Quote"/>
    <w:uiPriority w:val="29"/>
    <w:rsid w:val="008946EB"/>
    <w:rPr>
      <w:i/>
      <w:iCs/>
      <w:color w:val="404040" w:themeColor="text1" w:themeTint="BF"/>
    </w:rPr>
  </w:style>
  <w:style w:type="paragraph" w:styleId="ListParagraph">
    <w:name w:val="List Paragraph"/>
    <w:basedOn w:val="Normal"/>
    <w:uiPriority w:val="34"/>
    <w:qFormat/>
    <w:rsid w:val="008946EB"/>
    <w:pPr>
      <w:ind w:left="720"/>
      <w:contextualSpacing/>
    </w:pPr>
  </w:style>
  <w:style w:type="character" w:styleId="IntenseEmphasis">
    <w:name w:val="Intense Emphasis"/>
    <w:basedOn w:val="DefaultParagraphFont"/>
    <w:uiPriority w:val="21"/>
    <w:qFormat/>
    <w:rsid w:val="008946EB"/>
    <w:rPr>
      <w:i/>
      <w:iCs/>
      <w:color w:val="2F5496" w:themeColor="accent1" w:themeShade="BF"/>
    </w:rPr>
  </w:style>
  <w:style w:type="paragraph" w:styleId="IntenseQuote">
    <w:name w:val="Intense Quote"/>
    <w:basedOn w:val="Normal"/>
    <w:next w:val="Normal"/>
    <w:link w:val="IntenseQuoteChar"/>
    <w:uiPriority w:val="30"/>
    <w:qFormat/>
    <w:rsid w:val="008946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46EB"/>
    <w:rPr>
      <w:i/>
      <w:iCs/>
      <w:color w:val="2F5496" w:themeColor="accent1" w:themeShade="BF"/>
    </w:rPr>
  </w:style>
  <w:style w:type="character" w:styleId="IntenseReference">
    <w:name w:val="Intense Reference"/>
    <w:basedOn w:val="DefaultParagraphFont"/>
    <w:uiPriority w:val="32"/>
    <w:qFormat/>
    <w:rsid w:val="008946EB"/>
    <w:rPr>
      <w:b/>
      <w:bCs/>
      <w:smallCaps/>
      <w:color w:val="2F5496" w:themeColor="accent1" w:themeShade="BF"/>
      <w:spacing w:val="5"/>
    </w:rPr>
  </w:style>
  <w:style w:type="character" w:styleId="Hyperlink">
    <w:name w:val="Hyperlink"/>
    <w:basedOn w:val="DefaultParagraphFont"/>
    <w:uiPriority w:val="99"/>
    <w:unhideWhenUsed/>
    <w:rsid w:val="008946EB"/>
    <w:rPr>
      <w:color w:val="0563C1" w:themeColor="hyperlink"/>
      <w:u w:val="single"/>
    </w:rPr>
  </w:style>
  <w:style w:type="character" w:styleId="UnresolvedMention">
    <w:name w:val="Unresolved Mention"/>
    <w:basedOn w:val="DefaultParagraphFont"/>
    <w:uiPriority w:val="99"/>
    <w:semiHidden/>
    <w:unhideWhenUsed/>
    <w:rsid w:val="008946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ylorfrancis.com/books/mono/10.4324/9781003380542/visible-learning-sequel-john-hattie" TargetMode="External"/><Relationship Id="rId18" Type="http://schemas.openxmlformats.org/officeDocument/2006/relationships/hyperlink" Target="https://www.solgrid.org.uk/wellbeing/wp-content/uploads/sites/23/2019/01/rcpch_screen_time_guide_-_final.pdf" TargetMode="External"/><Relationship Id="rId26" Type="http://schemas.openxmlformats.org/officeDocument/2006/relationships/hyperlink" Target="https://www.gov.uk/government/publications/online-safety-act-explainer/online-safety-act-explainer" TargetMode="External"/><Relationship Id="rId39" Type="http://schemas.openxmlformats.org/officeDocument/2006/relationships/hyperlink" Target="https://hwb.gov.wales/curriculum-for-wales/cross-curricular-skills-frameworks/digital-competence-framework-dcf/" TargetMode="External"/><Relationship Id="rId21" Type="http://schemas.openxmlformats.org/officeDocument/2006/relationships/hyperlink" Target="https://www.ox.ac.uk/news/2023-11-28-no-smoking-gun-mental-health-harm-internet-landmark-oxford-survey" TargetMode="External"/><Relationship Id="rId34" Type="http://schemas.openxmlformats.org/officeDocument/2006/relationships/hyperlink" Target="https://hwb.gov.wales/curriculum-for-wales/cross-curricular-skills-frameworks/digital-competence-framework-dcf/" TargetMode="External"/><Relationship Id="rId42" Type="http://schemas.openxmlformats.org/officeDocument/2006/relationships/hyperlink" Target="https://hwb.gov.wales/curriculum-for-wales/cross-curricular-skills-frameworks/digital-competence-framework-dcf/" TargetMode="External"/><Relationship Id="rId7" Type="http://schemas.openxmlformats.org/officeDocument/2006/relationships/hyperlink" Target="https://www.think-bank.com/2024/04/22/ofcom-2024-report-into-childrens-media-use-and-attitudes/" TargetMode="External"/><Relationship Id="rId2" Type="http://schemas.openxmlformats.org/officeDocument/2006/relationships/styles" Target="styles.xml"/><Relationship Id="rId16" Type="http://schemas.openxmlformats.org/officeDocument/2006/relationships/hyperlink" Target="https://www.ofcom.org.uk/media-use-and-attitudes/media-habits-children/children-and-parents-media-use-and-attitudes-report-2024" TargetMode="External"/><Relationship Id="rId29" Type="http://schemas.openxmlformats.org/officeDocument/2006/relationships/hyperlink" Target="https://hwb.gov.wales/curriculum-for-wales/cross-curricular-skills-frameworks/digital-competence-framework-dcf/" TargetMode="External"/><Relationship Id="rId1" Type="http://schemas.openxmlformats.org/officeDocument/2006/relationships/numbering" Target="numbering.xml"/><Relationship Id="rId6" Type="http://schemas.openxmlformats.org/officeDocument/2006/relationships/hyperlink" Target="https://www.ofcom.org.uk/media-use-and-attitudes/media-habits-children/children-and-parents-media-use-and-attitudes-report-2024" TargetMode="External"/><Relationship Id="rId11" Type="http://schemas.openxmlformats.org/officeDocument/2006/relationships/image" Target="media/image3.png"/><Relationship Id="rId24" Type="http://schemas.openxmlformats.org/officeDocument/2006/relationships/hyperlink" Target="https://hwb.gov.wales/api/storage/337437b8-cfe3-4305-ae32-f47ad82f3e76/digital-competence-framework-guidance-2018.pdf" TargetMode="Externa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link.springer.com/article/10.1007/s10639-023-12307-1" TargetMode="External"/><Relationship Id="rId40" Type="http://schemas.openxmlformats.org/officeDocument/2006/relationships/hyperlink" Target="https://www.solgrid.org.uk/wellbeing/wp-content/uploads/sites/23/2019/01/rcpch_screen_time_guide_-_final.pdf" TargetMode="External"/><Relationship Id="rId45"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nationalcollege.com/guides/media-use-and-attitudes-report-2024" TargetMode="External"/><Relationship Id="rId23" Type="http://schemas.openxmlformats.org/officeDocument/2006/relationships/hyperlink" Target="https://hwb.gov.wales/curriculum-for-wales/cross-curricular-skills-frameworks/digital-competence-framework-dcf/" TargetMode="External"/><Relationship Id="rId28" Type="http://schemas.openxmlformats.org/officeDocument/2006/relationships/hyperlink" Target="https://assets.publishing.service.gov.uk/media/5efa05b4e90e075c5492d58c/UKCIS_Education_for_a_Connected_World_.pdf" TargetMode="External"/><Relationship Id="rId36" Type="http://schemas.openxmlformats.org/officeDocument/2006/relationships/hyperlink" Target="https://www.aap.org/en/patient-care/media-and-children/center-of-excellence-on-social-media-and-youth-mental-health/qa-portal/qa-portal-library/qa-portal-library-questions/screen-time-guidelines/" TargetMode="External"/><Relationship Id="rId10" Type="http://schemas.openxmlformats.org/officeDocument/2006/relationships/hyperlink" Target="https://www.frontiersin.org/journals/psychology/articles/10.3389/fpsyg.2023.1233925/full" TargetMode="External"/><Relationship Id="rId19" Type="http://schemas.openxmlformats.org/officeDocument/2006/relationships/hyperlink" Target="https://www.cdc.gov/nchs/products/databriefs/db513.htm" TargetMode="External"/><Relationship Id="rId31" Type="http://schemas.openxmlformats.org/officeDocument/2006/relationships/hyperlink" Target="https://www.gov.uk/government/publications/education-for-a-connected-world" TargetMode="External"/><Relationship Id="rId44" Type="http://schemas.openxmlformats.org/officeDocument/2006/relationships/hyperlink" Target="https://www.taylorfrancis.com/books/mono/10.4324/9781003380542/visible-learning-sequel-john-hattie" TargetMode="External"/><Relationship Id="rId4" Type="http://schemas.openxmlformats.org/officeDocument/2006/relationships/webSettings" Target="webSettings.xml"/><Relationship Id="rId9" Type="http://schemas.openxmlformats.org/officeDocument/2006/relationships/hyperlink" Target="https://www.simplypsychology.org/bronfenbrenner.html" TargetMode="External"/><Relationship Id="rId14" Type="http://schemas.openxmlformats.org/officeDocument/2006/relationships/hyperlink" Target="https://www.ofcom.org.uk/media-use-and-attitudes/media-habits-children/children-and-parents-media-use-and-attitudes-report-2024" TargetMode="External"/><Relationship Id="rId22" Type="http://schemas.openxmlformats.org/officeDocument/2006/relationships/hyperlink" Target="https://techcrunch.com/2023/11/28/oxford-study-says-internet-use-doesnt-harm-mental-health-but-its-research-has-limits/" TargetMode="External"/><Relationship Id="rId27" Type="http://schemas.openxmlformats.org/officeDocument/2006/relationships/hyperlink" Target="https://www.ofcom.org.uk/siteassets/resources/documents/consultations/category-1-10-weeks/statement-protecting-children-from-harms-online/main-document/a-summary-of-our-decisions.pdf?v=396673" TargetMode="External"/><Relationship Id="rId30" Type="http://schemas.openxmlformats.org/officeDocument/2006/relationships/image" Target="media/image4.png"/><Relationship Id="rId35" Type="http://schemas.openxmlformats.org/officeDocument/2006/relationships/hyperlink" Target="https://www.solgrid.org.uk/wellbeing/wp-content/uploads/sites/23/2019/01/rcpch_screen_time_guide_-_final.pdf" TargetMode="External"/><Relationship Id="rId43" Type="http://schemas.openxmlformats.org/officeDocument/2006/relationships/hyperlink" Target="https://link.springer.com/article/10.1007/s10639-023-12307-1"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link.springer.com/article/10.1007/s10639-023-12307-1"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www.gov.uk/government/publications/education-for-a-connected-world" TargetMode="External"/><Relationship Id="rId33" Type="http://schemas.openxmlformats.org/officeDocument/2006/relationships/hyperlink" Target="https://assets.publishing.service.gov.uk/media/5efa05b4e90e075c5492d58c/UKCIS_Education_for_a_Connected_World_.pdf" TargetMode="External"/><Relationship Id="rId38" Type="http://schemas.openxmlformats.org/officeDocument/2006/relationships/hyperlink" Target="https://www.taylorfrancis.com/books/mono/10.4324/9781003380542/visible-learning-sequel-john-hattie" TargetMode="External"/><Relationship Id="rId46" Type="http://schemas.openxmlformats.org/officeDocument/2006/relationships/theme" Target="theme/theme1.xml"/><Relationship Id="rId20" Type="http://schemas.openxmlformats.org/officeDocument/2006/relationships/hyperlink" Target="https://www.aap.org/en/patient-care/media-and-children/center-of-excellence-on-social-media-and-youth-mental-health/qa-portal/qa-portal-library/qa-portal-library-questions/screen-time-guidelines/" TargetMode="External"/><Relationship Id="rId41" Type="http://schemas.openxmlformats.org/officeDocument/2006/relationships/hyperlink" Target="https://www.gov.uk/government/publications/online-safety-act-explainer/online-safety-act-explai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2034</Words>
  <Characters>11599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Copp (2118579)</dc:creator>
  <cp:keywords/>
  <dc:description/>
  <cp:lastModifiedBy>Lyndsey Copp (2118579)</cp:lastModifiedBy>
  <cp:revision>1</cp:revision>
  <dcterms:created xsi:type="dcterms:W3CDTF">2025-12-18T19:10:00Z</dcterms:created>
  <dcterms:modified xsi:type="dcterms:W3CDTF">2025-12-18T19:36:00Z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1b3e9d29-fc05-4264-80c4-070593b9341c</vt:lpwstr>
  </property>
</Properties>
</file>