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bookmarkStart w:colFirst="0" w:colLast="0" w:name="_gjdgxs" w:id="0"/>
      <w:bookmarkEnd w:id="0"/>
      <w:r w:rsidDel="00000000" w:rsidR="00000000" w:rsidRPr="00000000">
        <w:rPr>
          <w:rtl w:val="0"/>
        </w:rPr>
      </w:r>
    </w:p>
    <w:p w:rsidR="00000000" w:rsidDel="00000000" w:rsidP="00000000" w:rsidRDefault="00000000" w:rsidRPr="00000000" w14:paraId="00000002">
      <w:pPr>
        <w:rPr/>
      </w:pPr>
      <w:bookmarkStart w:colFirst="0" w:colLast="0" w:name="_h3ou6glwnybn" w:id="1"/>
      <w:bookmarkEnd w:id="1"/>
      <w:r w:rsidDel="00000000" w:rsidR="00000000" w:rsidRPr="00000000">
        <w:rPr>
          <w:rtl w:val="0"/>
        </w:rPr>
      </w:r>
    </w:p>
    <w:p w:rsidR="00000000" w:rsidDel="00000000" w:rsidP="00000000" w:rsidRDefault="00000000" w:rsidRPr="00000000" w14:paraId="00000003">
      <w:pPr>
        <w:rPr/>
      </w:pPr>
      <w:bookmarkStart w:colFirst="0" w:colLast="0" w:name="_mjl2a1y20umn" w:id="2"/>
      <w:bookmarkEnd w:id="2"/>
      <w:r w:rsidDel="00000000" w:rsidR="00000000" w:rsidRPr="00000000">
        <w:rPr>
          <w:rtl w:val="0"/>
        </w:rPr>
      </w:r>
    </w:p>
    <w:p w:rsidR="00000000" w:rsidDel="00000000" w:rsidP="00000000" w:rsidRDefault="00000000" w:rsidRPr="00000000" w14:paraId="00000004">
      <w:pPr>
        <w:rPr/>
      </w:pPr>
      <w:bookmarkStart w:colFirst="0" w:colLast="0" w:name="_38ks9g5sd0cy" w:id="3"/>
      <w:bookmarkEnd w:id="3"/>
      <w:r w:rsidDel="00000000" w:rsidR="00000000" w:rsidRPr="00000000">
        <w:rPr>
          <w:rtl w:val="0"/>
        </w:rPr>
      </w:r>
    </w:p>
    <w:p w:rsidR="00000000" w:rsidDel="00000000" w:rsidP="00000000" w:rsidRDefault="00000000" w:rsidRPr="00000000" w14:paraId="00000005">
      <w:pPr>
        <w:rPr/>
      </w:pPr>
      <w:bookmarkStart w:colFirst="0" w:colLast="0" w:name="_lx3e4lcgalfj" w:id="4"/>
      <w:bookmarkEnd w:id="4"/>
      <w:r w:rsidDel="00000000" w:rsidR="00000000" w:rsidRPr="00000000">
        <w:rPr>
          <w:rtl w:val="0"/>
        </w:rPr>
      </w:r>
    </w:p>
    <w:p w:rsidR="00000000" w:rsidDel="00000000" w:rsidP="00000000" w:rsidRDefault="00000000" w:rsidRPr="00000000" w14:paraId="00000006">
      <w:pPr>
        <w:rPr/>
      </w:pPr>
      <w:bookmarkStart w:colFirst="0" w:colLast="0" w:name="_ebytugy0a3wn" w:id="5"/>
      <w:bookmarkEnd w:id="5"/>
      <w:r w:rsidDel="00000000" w:rsidR="00000000" w:rsidRPr="00000000">
        <w:rPr>
          <w:rtl w:val="0"/>
        </w:rPr>
      </w:r>
    </w:p>
    <w:p w:rsidR="00000000" w:rsidDel="00000000" w:rsidP="00000000" w:rsidRDefault="00000000" w:rsidRPr="00000000" w14:paraId="00000007">
      <w:pPr>
        <w:rPr/>
      </w:pPr>
      <w:bookmarkStart w:colFirst="0" w:colLast="0" w:name="_1b7sww4o1an3" w:id="6"/>
      <w:bookmarkEnd w:id="6"/>
      <w:r w:rsidDel="00000000" w:rsidR="00000000" w:rsidRPr="00000000">
        <w:rPr>
          <w:rtl w:val="0"/>
        </w:rPr>
      </w:r>
    </w:p>
    <w:p w:rsidR="00000000" w:rsidDel="00000000" w:rsidP="00000000" w:rsidRDefault="00000000" w:rsidRPr="00000000" w14:paraId="00000008">
      <w:pPr>
        <w:rPr/>
      </w:pPr>
      <w:bookmarkStart w:colFirst="0" w:colLast="0" w:name="_my9a1xrcg7l9" w:id="7"/>
      <w:bookmarkEnd w:id="7"/>
      <w:r w:rsidDel="00000000" w:rsidR="00000000" w:rsidRPr="00000000">
        <w:rPr>
          <w:rtl w:val="0"/>
        </w:rPr>
      </w:r>
    </w:p>
    <w:p w:rsidR="00000000" w:rsidDel="00000000" w:rsidP="00000000" w:rsidRDefault="00000000" w:rsidRPr="00000000" w14:paraId="00000009">
      <w:pPr>
        <w:rPr/>
      </w:pPr>
      <w:bookmarkStart w:colFirst="0" w:colLast="0" w:name="_tcxmsg9kfls5" w:id="8"/>
      <w:bookmarkEnd w:id="8"/>
      <w:r w:rsidDel="00000000" w:rsidR="00000000" w:rsidRPr="00000000">
        <w:rPr>
          <w:rtl w:val="0"/>
        </w:rPr>
      </w:r>
    </w:p>
    <w:p w:rsidR="00000000" w:rsidDel="00000000" w:rsidP="00000000" w:rsidRDefault="00000000" w:rsidRPr="00000000" w14:paraId="0000000A">
      <w:pPr>
        <w:rPr/>
      </w:pPr>
      <w:bookmarkStart w:colFirst="0" w:colLast="0" w:name="_eagc5azheoeo" w:id="9"/>
      <w:bookmarkEnd w:id="9"/>
      <w:r w:rsidDel="00000000" w:rsidR="00000000" w:rsidRPr="00000000">
        <w:rPr>
          <w:rtl w:val="0"/>
        </w:rPr>
      </w:r>
    </w:p>
    <w:p w:rsidR="00000000" w:rsidDel="00000000" w:rsidP="00000000" w:rsidRDefault="00000000" w:rsidRPr="00000000" w14:paraId="0000000B">
      <w:pPr>
        <w:rPr/>
      </w:pPr>
      <w:bookmarkStart w:colFirst="0" w:colLast="0" w:name="_7n9u493f1qxy" w:id="10"/>
      <w:bookmarkEnd w:id="10"/>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b w:val="1"/>
          <w:i w:val="1"/>
        </w:rPr>
      </w:pPr>
      <w:bookmarkStart w:colFirst="0" w:colLast="0" w:name="_iocbxo1cm4rw" w:id="11"/>
      <w:bookmarkEnd w:id="11"/>
      <w:r w:rsidDel="00000000" w:rsidR="00000000" w:rsidRPr="00000000">
        <w:rPr>
          <w:rFonts w:ascii="Times New Roman" w:cs="Times New Roman" w:eastAsia="Times New Roman" w:hAnsi="Times New Roman"/>
          <w:b w:val="1"/>
          <w:rtl w:val="0"/>
        </w:rPr>
        <w:t xml:space="preserve">Book Review: </w:t>
      </w: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i w:val="1"/>
        </w:rPr>
      </w:pPr>
      <w:bookmarkStart w:colFirst="0" w:colLast="0" w:name="_wf0oikhq5iax" w:id="12"/>
      <w:bookmarkEnd w:id="12"/>
      <w:r w:rsidDel="00000000" w:rsidR="00000000" w:rsidRPr="00000000">
        <w:rPr>
          <w:rFonts w:ascii="Times New Roman" w:cs="Times New Roman" w:eastAsia="Times New Roman" w:hAnsi="Times New Roman"/>
          <w:b w:val="1"/>
          <w:i w:val="1"/>
          <w:rtl w:val="0"/>
        </w:rPr>
        <w:t xml:space="preserve">Youth and Crime: A Critical Introduction</w:t>
      </w:r>
    </w:p>
    <w:p w:rsidR="00000000" w:rsidDel="00000000" w:rsidP="00000000" w:rsidRDefault="00000000" w:rsidRPr="00000000" w14:paraId="0000000E">
      <w:pPr>
        <w:jc w:val="center"/>
        <w:rPr>
          <w:rFonts w:ascii="Times New Roman" w:cs="Times New Roman" w:eastAsia="Times New Roman" w:hAnsi="Times New Roman"/>
          <w:b w:val="1"/>
        </w:rPr>
      </w:pPr>
      <w:bookmarkStart w:colFirst="0" w:colLast="0" w:name="_8dihdlg9ly9s" w:id="13"/>
      <w:bookmarkEnd w:id="13"/>
      <w:r w:rsidDel="00000000" w:rsidR="00000000" w:rsidRPr="00000000">
        <w:rPr>
          <w:rFonts w:ascii="Times New Roman" w:cs="Times New Roman" w:eastAsia="Times New Roman" w:hAnsi="Times New Roman"/>
          <w:b w:val="1"/>
          <w:rtl w:val="0"/>
        </w:rPr>
        <w:t xml:space="preserve">Chapter 1</w:t>
      </w:r>
    </w:p>
    <w:p w:rsidR="00000000" w:rsidDel="00000000" w:rsidP="00000000" w:rsidRDefault="00000000" w:rsidRPr="00000000" w14:paraId="0000000F">
      <w:pPr>
        <w:jc w:val="center"/>
        <w:rPr>
          <w:rFonts w:ascii="Times New Roman" w:cs="Times New Roman" w:eastAsia="Times New Roman" w:hAnsi="Times New Roman"/>
          <w:b w:val="1"/>
        </w:rPr>
      </w:pPr>
      <w:bookmarkStart w:colFirst="0" w:colLast="0" w:name="_5j1bpb5lg7yc" w:id="14"/>
      <w:bookmarkEnd w:id="14"/>
      <w:r w:rsidDel="00000000" w:rsidR="00000000" w:rsidRPr="00000000">
        <w:rPr>
          <w:rFonts w:ascii="Times New Roman" w:cs="Times New Roman" w:eastAsia="Times New Roman" w:hAnsi="Times New Roman"/>
          <w:b w:val="1"/>
          <w:i w:val="1"/>
          <w:rtl w:val="0"/>
        </w:rPr>
        <w:t xml:space="preserve">by </w:t>
      </w:r>
      <w:r w:rsidDel="00000000" w:rsidR="00000000" w:rsidRPr="00000000">
        <w:rPr>
          <w:rFonts w:ascii="Times New Roman" w:cs="Times New Roman" w:eastAsia="Times New Roman" w:hAnsi="Times New Roman"/>
          <w:b w:val="1"/>
          <w:rtl w:val="0"/>
        </w:rPr>
        <w:t xml:space="preserve">John Muncie</w:t>
      </w:r>
    </w:p>
    <w:p w:rsidR="00000000" w:rsidDel="00000000" w:rsidP="00000000" w:rsidRDefault="00000000" w:rsidRPr="00000000" w14:paraId="00000010">
      <w:pPr>
        <w:rPr/>
      </w:pPr>
      <w:bookmarkStart w:colFirst="0" w:colLast="0" w:name="_s2gsc0vm9f2d" w:id="15"/>
      <w:bookmarkEnd w:id="15"/>
      <w:r w:rsidDel="00000000" w:rsidR="00000000" w:rsidRPr="00000000">
        <w:rPr>
          <w:rtl w:val="0"/>
        </w:rPr>
      </w:r>
    </w:p>
    <w:p w:rsidR="00000000" w:rsidDel="00000000" w:rsidP="00000000" w:rsidRDefault="00000000" w:rsidRPr="00000000" w14:paraId="00000011">
      <w:pPr>
        <w:rPr/>
      </w:pPr>
      <w:bookmarkStart w:colFirst="0" w:colLast="0" w:name="_e75xoo1fefd6" w:id="16"/>
      <w:bookmarkEnd w:id="16"/>
      <w:r w:rsidDel="00000000" w:rsidR="00000000" w:rsidRPr="00000000">
        <w:rPr>
          <w:rtl w:val="0"/>
        </w:rPr>
      </w:r>
    </w:p>
    <w:p w:rsidR="00000000" w:rsidDel="00000000" w:rsidP="00000000" w:rsidRDefault="00000000" w:rsidRPr="00000000" w14:paraId="00000012">
      <w:pPr>
        <w:rPr/>
      </w:pPr>
      <w:bookmarkStart w:colFirst="0" w:colLast="0" w:name="_23jlczxnp4a" w:id="17"/>
      <w:bookmarkEnd w:id="17"/>
      <w:r w:rsidDel="00000000" w:rsidR="00000000" w:rsidRPr="00000000">
        <w:rPr>
          <w:rtl w:val="0"/>
        </w:rPr>
      </w:r>
    </w:p>
    <w:p w:rsidR="00000000" w:rsidDel="00000000" w:rsidP="00000000" w:rsidRDefault="00000000" w:rsidRPr="00000000" w14:paraId="00000013">
      <w:pPr>
        <w:rPr/>
      </w:pPr>
      <w:bookmarkStart w:colFirst="0" w:colLast="0" w:name="_m4lnteobdgsx" w:id="18"/>
      <w:bookmarkEnd w:id="18"/>
      <w:r w:rsidDel="00000000" w:rsidR="00000000" w:rsidRPr="00000000">
        <w:rPr>
          <w:rtl w:val="0"/>
        </w:rPr>
      </w:r>
    </w:p>
    <w:p w:rsidR="00000000" w:rsidDel="00000000" w:rsidP="00000000" w:rsidRDefault="00000000" w:rsidRPr="00000000" w14:paraId="00000014">
      <w:pPr>
        <w:rPr/>
      </w:pPr>
      <w:bookmarkStart w:colFirst="0" w:colLast="0" w:name="_p6qn0k9t596n" w:id="19"/>
      <w:bookmarkEnd w:id="19"/>
      <w:r w:rsidDel="00000000" w:rsidR="00000000" w:rsidRPr="00000000">
        <w:rPr>
          <w:rtl w:val="0"/>
        </w:rPr>
      </w:r>
    </w:p>
    <w:p w:rsidR="00000000" w:rsidDel="00000000" w:rsidP="00000000" w:rsidRDefault="00000000" w:rsidRPr="00000000" w14:paraId="00000015">
      <w:pPr>
        <w:rPr/>
      </w:pPr>
      <w:bookmarkStart w:colFirst="0" w:colLast="0" w:name="_za9wdf2kofjb" w:id="20"/>
      <w:bookmarkEnd w:id="20"/>
      <w:r w:rsidDel="00000000" w:rsidR="00000000" w:rsidRPr="00000000">
        <w:rPr>
          <w:rtl w:val="0"/>
        </w:rPr>
      </w:r>
    </w:p>
    <w:p w:rsidR="00000000" w:rsidDel="00000000" w:rsidP="00000000" w:rsidRDefault="00000000" w:rsidRPr="00000000" w14:paraId="00000016">
      <w:pPr>
        <w:rPr/>
      </w:pPr>
      <w:bookmarkStart w:colFirst="0" w:colLast="0" w:name="_8n9fbtphzkd" w:id="21"/>
      <w:bookmarkEnd w:id="21"/>
      <w:r w:rsidDel="00000000" w:rsidR="00000000" w:rsidRPr="00000000">
        <w:rPr>
          <w:rtl w:val="0"/>
        </w:rPr>
      </w:r>
    </w:p>
    <w:p w:rsidR="00000000" w:rsidDel="00000000" w:rsidP="00000000" w:rsidRDefault="00000000" w:rsidRPr="00000000" w14:paraId="00000017">
      <w:pPr>
        <w:rPr/>
      </w:pPr>
      <w:bookmarkStart w:colFirst="0" w:colLast="0" w:name="_atzx08fi4xw3" w:id="22"/>
      <w:bookmarkEnd w:id="22"/>
      <w:r w:rsidDel="00000000" w:rsidR="00000000" w:rsidRPr="00000000">
        <w:rPr>
          <w:rtl w:val="0"/>
        </w:rPr>
      </w:r>
    </w:p>
    <w:p w:rsidR="00000000" w:rsidDel="00000000" w:rsidP="00000000" w:rsidRDefault="00000000" w:rsidRPr="00000000" w14:paraId="00000018">
      <w:pPr>
        <w:rPr/>
      </w:pPr>
      <w:bookmarkStart w:colFirst="0" w:colLast="0" w:name="_ke76ejdhcbc6" w:id="23"/>
      <w:bookmarkEnd w:id="23"/>
      <w:r w:rsidDel="00000000" w:rsidR="00000000" w:rsidRPr="00000000">
        <w:rPr>
          <w:rtl w:val="0"/>
        </w:rPr>
      </w:r>
    </w:p>
    <w:p w:rsidR="00000000" w:rsidDel="00000000" w:rsidP="00000000" w:rsidRDefault="00000000" w:rsidRPr="00000000" w14:paraId="00000019">
      <w:pPr>
        <w:rPr/>
      </w:pPr>
      <w:bookmarkStart w:colFirst="0" w:colLast="0" w:name="_oc03f5ieclm0" w:id="24"/>
      <w:bookmarkEnd w:id="24"/>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center"/>
        <w:rPr>
          <w:rFonts w:ascii="Times New Roman" w:cs="Times New Roman" w:eastAsia="Times New Roman" w:hAnsi="Times New Roman"/>
          <w:sz w:val="20"/>
          <w:szCs w:val="20"/>
        </w:rPr>
      </w:pPr>
      <w:bookmarkStart w:colFirst="0" w:colLast="0" w:name="_rghwbzu3m8mn" w:id="25"/>
      <w:bookmarkEnd w:id="25"/>
      <w:r w:rsidDel="00000000" w:rsidR="00000000" w:rsidRPr="00000000">
        <w:rPr>
          <w:rFonts w:ascii="Times New Roman" w:cs="Times New Roman" w:eastAsia="Times New Roman" w:hAnsi="Times New Roman"/>
          <w:b w:val="1"/>
          <w:sz w:val="20"/>
          <w:szCs w:val="20"/>
          <w:u w:val="single"/>
          <w:rtl w:val="0"/>
        </w:rPr>
        <w:t xml:space="preserve">Elyse Hopkins</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center"/>
        <w:rPr>
          <w:rFonts w:ascii="Times New Roman" w:cs="Times New Roman" w:eastAsia="Times New Roman" w:hAnsi="Times New Roman"/>
          <w:sz w:val="20"/>
          <w:szCs w:val="20"/>
        </w:rPr>
      </w:pPr>
      <w:bookmarkStart w:colFirst="0" w:colLast="0" w:name="_rghwbzu3m8mn" w:id="25"/>
      <w:bookmarkEnd w:id="25"/>
      <w:r w:rsidDel="00000000" w:rsidR="00000000" w:rsidRPr="00000000">
        <w:rPr>
          <w:rFonts w:ascii="Times New Roman" w:cs="Times New Roman" w:eastAsia="Times New Roman" w:hAnsi="Times New Roman"/>
          <w:b w:val="1"/>
          <w:sz w:val="20"/>
          <w:szCs w:val="20"/>
          <w:u w:val="single"/>
          <w:rtl w:val="0"/>
        </w:rPr>
        <w:t xml:space="preserve">1550604</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center"/>
        <w:rPr>
          <w:rFonts w:ascii="Times New Roman" w:cs="Times New Roman" w:eastAsia="Times New Roman" w:hAnsi="Times New Roman"/>
          <w:sz w:val="20"/>
          <w:szCs w:val="20"/>
        </w:rPr>
      </w:pPr>
      <w:bookmarkStart w:colFirst="0" w:colLast="0" w:name="_rghwbzu3m8mn" w:id="25"/>
      <w:bookmarkEnd w:id="25"/>
      <w:r w:rsidDel="00000000" w:rsidR="00000000" w:rsidRPr="00000000">
        <w:rPr>
          <w:rFonts w:ascii="Times New Roman" w:cs="Times New Roman" w:eastAsia="Times New Roman" w:hAnsi="Times New Roman"/>
          <w:b w:val="1"/>
          <w:sz w:val="20"/>
          <w:szCs w:val="20"/>
          <w:u w:val="single"/>
          <w:rtl w:val="0"/>
        </w:rPr>
        <w:t xml:space="preserve">University of Wales Trinity Saint David</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center"/>
        <w:rPr>
          <w:rFonts w:ascii="Times New Roman" w:cs="Times New Roman" w:eastAsia="Times New Roman" w:hAnsi="Times New Roman"/>
          <w:sz w:val="20"/>
          <w:szCs w:val="20"/>
        </w:rPr>
      </w:pPr>
      <w:bookmarkStart w:colFirst="0" w:colLast="0" w:name="_rghwbzu3m8mn" w:id="25"/>
      <w:bookmarkEnd w:id="25"/>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center"/>
        <w:rPr>
          <w:rFonts w:ascii="Times New Roman" w:cs="Times New Roman" w:eastAsia="Times New Roman" w:hAnsi="Times New Roman"/>
          <w:sz w:val="20"/>
          <w:szCs w:val="20"/>
        </w:rPr>
      </w:pPr>
      <w:bookmarkStart w:colFirst="0" w:colLast="0" w:name="_rghwbzu3m8mn" w:id="25"/>
      <w:bookmarkEnd w:id="25"/>
      <w:r w:rsidDel="00000000" w:rsidR="00000000" w:rsidRPr="00000000">
        <w:rPr>
          <w:rFonts w:ascii="Times New Roman" w:cs="Times New Roman" w:eastAsia="Times New Roman" w:hAnsi="Times New Roman"/>
          <w:b w:val="1"/>
          <w:sz w:val="20"/>
          <w:szCs w:val="20"/>
          <w:u w:val="single"/>
          <w:rtl w:val="0"/>
        </w:rPr>
        <w:t xml:space="preserve">Claudine Young</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center"/>
        <w:rPr>
          <w:rFonts w:ascii="Times New Roman" w:cs="Times New Roman" w:eastAsia="Times New Roman" w:hAnsi="Times New Roman"/>
          <w:sz w:val="20"/>
          <w:szCs w:val="20"/>
        </w:rPr>
      </w:pPr>
      <w:bookmarkStart w:colFirst="0" w:colLast="0" w:name="_rghwbzu3m8mn" w:id="25"/>
      <w:bookmarkEnd w:id="25"/>
      <w:r w:rsidDel="00000000" w:rsidR="00000000" w:rsidRPr="00000000">
        <w:rPr>
          <w:rFonts w:ascii="Times New Roman" w:cs="Times New Roman" w:eastAsia="Times New Roman" w:hAnsi="Times New Roman"/>
          <w:b w:val="1"/>
          <w:sz w:val="20"/>
          <w:szCs w:val="20"/>
          <w:u w:val="single"/>
          <w:rtl w:val="0"/>
        </w:rPr>
        <w:t xml:space="preserve">BMCJ7001</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20">
      <w:pPr>
        <w:jc w:val="center"/>
        <w:rPr/>
      </w:pPr>
      <w:bookmarkStart w:colFirst="0" w:colLast="0" w:name="_hwwmsw6zlgw2" w:id="26"/>
      <w:bookmarkEnd w:id="26"/>
      <w:r w:rsidDel="00000000" w:rsidR="00000000" w:rsidRPr="00000000">
        <w:rPr>
          <w:rtl w:val="0"/>
        </w:rPr>
      </w:r>
    </w:p>
    <w:p w:rsidR="00000000" w:rsidDel="00000000" w:rsidP="00000000" w:rsidRDefault="00000000" w:rsidRPr="00000000" w14:paraId="00000021">
      <w:pPr>
        <w:rPr/>
      </w:pPr>
      <w:bookmarkStart w:colFirst="0" w:colLast="0" w:name="_e1e1nmornjhv" w:id="27"/>
      <w:bookmarkEnd w:id="27"/>
      <w:r w:rsidDel="00000000" w:rsidR="00000000" w:rsidRPr="00000000">
        <w:rPr>
          <w:rtl w:val="0"/>
        </w:rPr>
      </w:r>
    </w:p>
    <w:p w:rsidR="00000000" w:rsidDel="00000000" w:rsidP="00000000" w:rsidRDefault="00000000" w:rsidRPr="00000000" w14:paraId="00000022">
      <w:pPr>
        <w:rPr/>
      </w:pPr>
      <w:bookmarkStart w:colFirst="0" w:colLast="0" w:name="_4e9x32mt8hpa" w:id="28"/>
      <w:bookmarkEnd w:id="28"/>
      <w:r w:rsidDel="00000000" w:rsidR="00000000" w:rsidRPr="00000000">
        <w:rPr>
          <w:rtl w:val="0"/>
        </w:rPr>
      </w:r>
    </w:p>
    <w:p w:rsidR="00000000" w:rsidDel="00000000" w:rsidP="00000000" w:rsidRDefault="00000000" w:rsidRPr="00000000" w14:paraId="00000023">
      <w:pPr>
        <w:rPr/>
      </w:pPr>
      <w:bookmarkStart w:colFirst="0" w:colLast="0" w:name="_h1s7631dy6eh" w:id="29"/>
      <w:bookmarkEnd w:id="29"/>
      <w:r w:rsidDel="00000000" w:rsidR="00000000" w:rsidRPr="00000000">
        <w:rPr>
          <w:rtl w:val="0"/>
        </w:rPr>
      </w:r>
    </w:p>
    <w:p w:rsidR="00000000" w:rsidDel="00000000" w:rsidP="00000000" w:rsidRDefault="00000000" w:rsidRPr="00000000" w14:paraId="00000024">
      <w:pPr>
        <w:spacing w:line="480" w:lineRule="auto"/>
        <w:rPr>
          <w:rFonts w:ascii="Times New Roman" w:cs="Times New Roman" w:eastAsia="Times New Roman" w:hAnsi="Times New Roman"/>
        </w:rPr>
      </w:pPr>
      <w:bookmarkStart w:colFirst="0" w:colLast="0" w:name="_mzlluhc16g2n" w:id="30"/>
      <w:bookmarkEnd w:id="30"/>
      <w:r w:rsidDel="00000000" w:rsidR="00000000" w:rsidRPr="00000000">
        <w:rPr>
          <w:rtl w:val="0"/>
        </w:rPr>
        <w:t xml:space="preserve">  </w:t>
      </w:r>
      <w:r w:rsidDel="00000000" w:rsidR="00000000" w:rsidRPr="00000000">
        <w:rPr>
          <w:rFonts w:ascii="Times New Roman" w:cs="Times New Roman" w:eastAsia="Times New Roman" w:hAnsi="Times New Roman"/>
          <w:rtl w:val="0"/>
        </w:rPr>
        <w:t xml:space="preserve">Youth and Crime: A Critical Introduction by John Muncie is the introductory textbook from the Youth and Crime series, exploring sociology, psychology and culture of crime amongst the young demographic, with research and findings to explain why youth crime is prevalent by looking at the history of crime and society, including “political and academic discourses about young people” (Muncie, 1999).</w:t>
      </w:r>
    </w:p>
    <w:p w:rsidR="00000000" w:rsidDel="00000000" w:rsidP="00000000" w:rsidRDefault="00000000" w:rsidRPr="00000000" w14:paraId="00000025">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Muncie’s background in education, who specialised as a professor of Criminology (Sage, 2020) appropriating the author’s research and practice within the subject being relevant for such publication regarding crime. The book goes into depth using statistics and scientific sources to support evidence including societal commentary and surveys within the author’s statements; Chapter One seems to explore the perception of young people posing as problem in society.</w:t>
      </w:r>
    </w:p>
    <w:p w:rsidR="00000000" w:rsidDel="00000000" w:rsidP="00000000" w:rsidRDefault="00000000" w:rsidRPr="00000000" w14:paraId="00000026">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Key terms “delinquency”, “deviance”, “hidden crime” and “social constructionism” (Muncie,1999, p.2) referred into Chapter One portrays the narrative that youth are not to be trusted, deception is what perhaps makes youth crime a popular topic of discussion within media, with “stories of youth crime appearing regularly” in News outlets, perhaps implying that there is an older age group as readers of these media sources as stated “a constant source of fascination and concern for politicians, media commentators and academic analysts” (Muncie, 1999, P.2). At the time the book was published in the late 1990s, there was less political participation from younger individuals comparatively with today’s society (Sloam, Henn, 2018, p.21). This further shows a forced perception of youth involvement with crime “A sequence of moral panics about ‘depraved youth’ has been dominant and recurring feature of media representations” media being used to “attract adult concern and censure” (Muncie, 1999, p.8,9). This portrayal automatically denominates youth, regardless of criminal background, to be feared of, to categorise them as “vulnerable” possibly referring to being easily influenced, deeming them as irresponsible. Therefore, there is insinuation that the older generation concerned with young offenders derive from political media influences, which could carry a bias and assumption towards the younger group in society. Muncie raises the argument to whether media is the true portrayal of youth behaviour, as “youth imagery” in media is varied, “from personal experience, television news, radio, film, tv sitcom” with the mention of “commercial exploitation” implying stereotyping and categorising through the “adult gaze” of the media, giving a false representation of young people seems to sell to the older audience (Muncie, 1999, p.11). The suggestion of bias towards youth, despite “true facts” of young people committing offences “have been, and will remain unknowable” (Muncie, 1999, p.13). This is further implying that although there is no hard evidence of youth committing criminal acts, media will still be quick to accuse younger individuals being guilty of committing crimes, “youth crime is becoming less of a problem..., but they still maintain that ‘youth’ is the most criminogenic age” (Muncie, 1999, p.15). Early into the chapter Muncie mentions the James Bulger murder case, the case study explores the new perception of young offenders with 10-year olds depicted as “demons” in media (Muncie, 1999, p.3), to investigate if young individuals are aware of the severity of the crime committed, whether innocence is defined by mental and/or physical age. The question of innocence is mentioned in reference to being lost by offenders, or innocence taken from the victims (Muncie,1999, p.4).</w:t>
      </w:r>
    </w:p>
    <w:p w:rsidR="00000000" w:rsidDel="00000000" w:rsidP="00000000" w:rsidRDefault="00000000" w:rsidRPr="00000000" w14:paraId="00000027">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Muncie compares social maturity, separating “youth” from adolescence and the transition to “adulthood”, suggesting that there is no defined period to when “childhood is left and adulthood is developed” (Muncie, 1999, p.3). This raises the argument of youth being a “criminogenic age” can be perceived as a too generic statement if it is implied that there is no defined time of someone being classed as “youth”, it implies placing blame on the societal group to being the most likely to commit crime, going by what is broadcasted into the media. From this, it opens possibilities to whether the general public would be so fixated on youth crime being a topic of discussion within media, the shock of the James Bulger murder had it not gained “sensational press coverage” in the first place. </w:t>
      </w:r>
    </w:p>
    <w:p w:rsidR="00000000" w:rsidDel="00000000" w:rsidP="00000000" w:rsidRDefault="00000000" w:rsidRPr="00000000" w14:paraId="00000028">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9">
      <w:pPr>
        <w:spacing w:line="48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 relation to the year of publication, statistics show that “transitions from youth to adulthood have become more delayed and staggered, the number of 15-24 year olds still in education rose from 49% in 1987, to 58% in 1995”(Sloam, Henn, 2018, p.21). Individuals remaining in education greatly increased within the decade of the book publication, with a further “68% in 2007” 10 percent higher with nearly ¾ of the youth surveyed to remain in education compared to the former. This suggests that since the book, it is possible that the trend of remaining in education caused lower crime rate by youth to pursue careers, as “</w:t>
      </w:r>
      <w:r w:rsidDel="00000000" w:rsidR="00000000" w:rsidRPr="00000000">
        <w:rPr>
          <w:rFonts w:ascii="Times New Roman" w:cs="Times New Roman" w:eastAsia="Times New Roman" w:hAnsi="Times New Roman"/>
          <w:sz w:val="22"/>
          <w:szCs w:val="22"/>
          <w:rtl w:val="0"/>
        </w:rPr>
        <w:t xml:space="preserve">Unemployed status, the reference category in the regression analyses, is also associated with negative attitudes towards criminal offences” as </w:t>
      </w:r>
      <w:r w:rsidDel="00000000" w:rsidR="00000000" w:rsidRPr="00000000">
        <w:rPr>
          <w:rFonts w:ascii="Times New Roman" w:cs="Times New Roman" w:eastAsia="Times New Roman" w:hAnsi="Times New Roman"/>
          <w:rtl w:val="0"/>
        </w:rPr>
        <w:t xml:space="preserve">“more highly educated people in general earn higher incomes” lower cases of theft and robbery were reported within the study, (D’Agostino, Sironi, Sobbrio, 2013, p.727) suggesting that education could be a deterrent to committing serious crimes. However, Muncie’s reports regarding the “hidden crime” with individuals admitting to be involved or commit crimes, study shows a high number from a younger consensus sampled from “London schoolboys showed that 70% had stolen from a shop, and 88% had stolen from school” (Muncie, 1999, p.19). Despite the admittance, the age of the individuals was not disclosed, as school years range from 0-16 years - there is no disclosure whether they were primary or secondary pupils – mental maturity is assumed to differ between the year groups, therefore dishonest criminal acts such as “kept something found” or minor theft offences is perhaps acted out of immaturity rather than serious criminal intent, “a normal and enduring feature of the social order” (Muncie, 1999, p.19).</w:t>
      </w:r>
    </w:p>
    <w:p w:rsidR="00000000" w:rsidDel="00000000" w:rsidP="00000000" w:rsidRDefault="00000000" w:rsidRPr="00000000" w14:paraId="0000002B">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 topic of genders is discussed between male and female, with studies and statistics compared to determine who is most likely to commit crimes at specific ages, results from questionnaires showing “peak age of 21 in males, and 16 in females” (Muncie, 1999, p.19). The results indicate the females show to mature at a younger age compared to the male counterpart, however, certain factors could be considered such as economic and social class, environment such as family upbringing background, peers or connections to criminal involvement could potentially play a role into whether an individual is likely to commit a criminal act. In regards to the London Schoolboys survey, it was implied the crimes were acted on social factors to potentially impress a peer group, further studies looking at 11-15 year olds showed a higher case of admitting to violent crime such as “rowdiness, fighting in the streets or shop lifting” (Muncie,1999, p.19). This again can be influenced by social impositions to impress peer groups, whereas Muncie’s studies have shown that women are less likely to commit a serious crime – with theft being the most common offence from the gender group (Muncie, 1999, p.29). Linking back with hidden crime, it is suggested social class and poverty can be theorised for crimes going unnoticed; “inner city working-class youths face a greater risk of arrest than middle class youth engaged in similar activities but in areas where the police presence is lower” (Muncie, 1999, p.20). The statement is further evidence to support background and environmental setting can play a role into an individual being exposed to committing a crime, regardless of social upbringing. What is not specifically mentioned in these findings is that there seems to be no distinguishment between the types of crime committed within the surveys, although there is mention of older males more likely to commit “property crime” in place of theft, the surveys do not seem to show variables to be crime specific, rather, age focused variables are emphasised between the genders; perhaps if there was sampled  types of crime between the genders and age, findings could be more explanatory to why these offences are committed, “other areas of hidden crime such as domestic violence, child abuse and corporate crime are rarely (if ever) analysed”impying the lack of consideration for other common crimes to influence behaviour (Muncie, 1999, p.20). </w:t>
      </w:r>
    </w:p>
    <w:p w:rsidR="00000000" w:rsidDel="00000000" w:rsidP="00000000" w:rsidRDefault="00000000" w:rsidRPr="00000000" w14:paraId="0000002C">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Muncie continues by querying the reliability of the results, mentioning the incompletion of questionnaires highlighting “particularly from minority groups” (Muncie, 1999, p.20) Densely populated cities, namely London, will have a higher rate of ethnic groups meaning that there will be greater police presence due to the high population of residents within the area. Therefore, there will be a greater chance of individuals being stopped, questioned and arrested including individuals who fall into racial groups such as Black or Asians; the latter part of the chapter describes of Black and Asians bearing the brunt with statistics of racial discrimination experienced in not only education and work, but harassment from police, with false portrayals of “black muggers” and higher chances of arrest out of suspicion compared to White suspects (Muncie, 1999,p.43). This perhaps explains the minority group avoidance of working with police questionnaires to avoid punishment and discrimination regardless whether the individual committed a crime. Other sources support the argument that criminalisation derives from social and economical inequality “Criminal involvement as a way of life is a “site of resilience” and form of coping with extreme economic poverty” (Payne, Hitchens, Chambers, 2017). Muncie concludes the chapter by summarising key aspects discussed within the body of research and statistics insinuating that whatever challenges or “undermines the ‘natural’ authority of adults is subject to regulation” (Muncie, 1999, p.44). The control of young people seems to spark rebellion against the adult group which possibly explains the friction between the social groups. Comparatively with the ‘Youth &amp; Crime 3rd Edition’textbook published a decade, problems presented in the first edition seem to remain relevant to an extent, but appear to be in greater depth; advanced knowledge of “risk prediction” between men and women; sampling individuals over a period of time, results determined that there was higher rate of delinquency in boys growing up in poorer families who have criminal convictions, “environmental predictors of future criminality” (Muncie, 2009, p.26) which further supports Muncie’s evidence to environmental and social factors potentially playing a role into influencing the young individual’s behaviour. </w:t>
      </w:r>
    </w:p>
    <w:p w:rsidR="00000000" w:rsidDel="00000000" w:rsidP="00000000" w:rsidRDefault="00000000" w:rsidRPr="00000000" w14:paraId="0000002D">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From what is read in the first chapter of the book, Muncie’s research that shows statistics seem to be informative, useful for the reader to understand the behaviour of young offenders. However, it can be arguedthat factual statements or findings can be outdated in the way which society has changed within 21 years, statistics may be irrelevant. The chapter heavily mentions the media’s influence on adults towards young people, presenting prejuidice and stereotyping in not only White but especially Black and ethnic youths, a problem that appears to still be relevant in the current climate. </w:t>
      </w:r>
    </w:p>
    <w:p w:rsidR="00000000" w:rsidDel="00000000" w:rsidP="00000000" w:rsidRDefault="00000000" w:rsidRPr="00000000" w14:paraId="0000002E">
      <w:pPr>
        <w:spacing w:line="48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Bibliography:</w:t>
      </w:r>
    </w:p>
    <w:p w:rsidR="00000000" w:rsidDel="00000000" w:rsidP="00000000" w:rsidRDefault="00000000" w:rsidRPr="00000000" w14:paraId="00000030">
      <w:pPr>
        <w:spacing w:line="480" w:lineRule="auto"/>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D’agostino, E., Sironi, E., Sobbrio, G,. (2013) </w:t>
      </w:r>
      <w:r w:rsidDel="00000000" w:rsidR="00000000" w:rsidRPr="00000000">
        <w:rPr>
          <w:rFonts w:ascii="Arial" w:cs="Arial" w:eastAsia="Arial" w:hAnsi="Arial"/>
          <w:i w:val="1"/>
          <w:sz w:val="20"/>
          <w:szCs w:val="20"/>
          <w:highlight w:val="white"/>
          <w:rtl w:val="0"/>
        </w:rPr>
        <w:t xml:space="preserve">The Role of Education in Determining the Attitudes Towards Crime in Europe.</w:t>
      </w:r>
      <w:r w:rsidDel="00000000" w:rsidR="00000000" w:rsidRPr="00000000">
        <w:rPr>
          <w:rFonts w:ascii="Arial" w:cs="Arial" w:eastAsia="Arial" w:hAnsi="Arial"/>
          <w:sz w:val="20"/>
          <w:szCs w:val="20"/>
          <w:highlight w:val="white"/>
          <w:rtl w:val="0"/>
        </w:rPr>
        <w:t xml:space="preserve"> Routledge. Applied Economics Letters pp.727</w:t>
      </w:r>
    </w:p>
    <w:p w:rsidR="00000000" w:rsidDel="00000000" w:rsidP="00000000" w:rsidRDefault="00000000" w:rsidRPr="00000000" w14:paraId="00000031">
      <w:pPr>
        <w:spacing w:line="480" w:lineRule="auto"/>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Muncie, J., 1999. </w:t>
      </w:r>
      <w:r w:rsidDel="00000000" w:rsidR="00000000" w:rsidRPr="00000000">
        <w:rPr>
          <w:rFonts w:ascii="Arial" w:cs="Arial" w:eastAsia="Arial" w:hAnsi="Arial"/>
          <w:i w:val="1"/>
          <w:sz w:val="20"/>
          <w:szCs w:val="20"/>
          <w:highlight w:val="white"/>
          <w:rtl w:val="0"/>
        </w:rPr>
        <w:t xml:space="preserve">Youth And Crime</w:t>
      </w:r>
      <w:r w:rsidDel="00000000" w:rsidR="00000000" w:rsidRPr="00000000">
        <w:rPr>
          <w:rFonts w:ascii="Arial" w:cs="Arial" w:eastAsia="Arial" w:hAnsi="Arial"/>
          <w:sz w:val="20"/>
          <w:szCs w:val="20"/>
          <w:highlight w:val="white"/>
          <w:rtl w:val="0"/>
        </w:rPr>
        <w:t xml:space="preserve">. London: SAGE Publications, pp.2,3,4,8,9,11,13,15,19,20,29,43,44.</w:t>
      </w:r>
    </w:p>
    <w:p w:rsidR="00000000" w:rsidDel="00000000" w:rsidP="00000000" w:rsidRDefault="00000000" w:rsidRPr="00000000" w14:paraId="00000032">
      <w:pPr>
        <w:spacing w:line="480" w:lineRule="auto"/>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Muncie, J., 2009. </w:t>
      </w:r>
      <w:r w:rsidDel="00000000" w:rsidR="00000000" w:rsidRPr="00000000">
        <w:rPr>
          <w:rFonts w:ascii="Arial" w:cs="Arial" w:eastAsia="Arial" w:hAnsi="Arial"/>
          <w:i w:val="1"/>
          <w:sz w:val="20"/>
          <w:szCs w:val="20"/>
          <w:highlight w:val="white"/>
          <w:rtl w:val="0"/>
        </w:rPr>
        <w:t xml:space="preserve">Youth &amp; Crime 3rd Edition.</w:t>
      </w:r>
      <w:r w:rsidDel="00000000" w:rsidR="00000000" w:rsidRPr="00000000">
        <w:rPr>
          <w:rFonts w:ascii="Arial" w:cs="Arial" w:eastAsia="Arial" w:hAnsi="Arial"/>
          <w:sz w:val="20"/>
          <w:szCs w:val="20"/>
          <w:highlight w:val="white"/>
          <w:rtl w:val="0"/>
        </w:rPr>
        <w:t xml:space="preserve"> London: SAGE Publications, pp.26.</w:t>
      </w:r>
    </w:p>
    <w:p w:rsidR="00000000" w:rsidDel="00000000" w:rsidP="00000000" w:rsidRDefault="00000000" w:rsidRPr="00000000" w14:paraId="00000033">
      <w:pPr>
        <w:spacing w:line="480" w:lineRule="auto"/>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Payne, Y,. Hitchens, B., Chambers, D,. (2017) “</w:t>
      </w:r>
      <w:r w:rsidDel="00000000" w:rsidR="00000000" w:rsidRPr="00000000">
        <w:rPr>
          <w:rFonts w:ascii="Arial" w:cs="Arial" w:eastAsia="Arial" w:hAnsi="Arial"/>
          <w:i w:val="1"/>
          <w:sz w:val="20"/>
          <w:szCs w:val="20"/>
          <w:highlight w:val="white"/>
          <w:rtl w:val="0"/>
        </w:rPr>
        <w:t xml:space="preserve">Why I Can’t Stand Out in Front of My House?”: Street Identified Black Youth and Young Adult’s Negative Encounters With Police </w:t>
      </w:r>
      <w:r w:rsidDel="00000000" w:rsidR="00000000" w:rsidRPr="00000000">
        <w:rPr>
          <w:rFonts w:ascii="Arial" w:cs="Arial" w:eastAsia="Arial" w:hAnsi="Arial"/>
          <w:sz w:val="20"/>
          <w:szCs w:val="20"/>
          <w:highlight w:val="white"/>
          <w:rtl w:val="0"/>
        </w:rPr>
        <w:t xml:space="preserve">, Sociological Forum, Vol.32, No.4, Eastern Sociological Society.</w:t>
      </w:r>
    </w:p>
    <w:p w:rsidR="00000000" w:rsidDel="00000000" w:rsidP="00000000" w:rsidRDefault="00000000" w:rsidRPr="00000000" w14:paraId="00000034">
      <w:pPr>
        <w:spacing w:line="480" w:lineRule="auto"/>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Sloam, J., Henn, M., (2018) </w:t>
      </w:r>
      <w:r w:rsidDel="00000000" w:rsidR="00000000" w:rsidRPr="00000000">
        <w:rPr>
          <w:rFonts w:ascii="Arial" w:cs="Arial" w:eastAsia="Arial" w:hAnsi="Arial"/>
          <w:i w:val="1"/>
          <w:sz w:val="20"/>
          <w:szCs w:val="20"/>
          <w:highlight w:val="white"/>
          <w:rtl w:val="0"/>
        </w:rPr>
        <w:t xml:space="preserve">Youthquake 2017: The Rise of Young Cosmopolitans in Britain </w:t>
      </w:r>
      <w:r w:rsidDel="00000000" w:rsidR="00000000" w:rsidRPr="00000000">
        <w:rPr>
          <w:rFonts w:ascii="Arial" w:cs="Arial" w:eastAsia="Arial" w:hAnsi="Arial"/>
          <w:sz w:val="20"/>
          <w:szCs w:val="20"/>
          <w:highlight w:val="white"/>
          <w:rtl w:val="0"/>
        </w:rPr>
        <w:t xml:space="preserve">pp.21.</w:t>
      </w:r>
    </w:p>
    <w:p w:rsidR="00000000" w:rsidDel="00000000" w:rsidP="00000000" w:rsidRDefault="00000000" w:rsidRPr="00000000" w14:paraId="00000035">
      <w:pPr>
        <w:spacing w:line="480" w:lineRule="auto"/>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Usher, D., (1997) </w:t>
      </w:r>
      <w:r w:rsidDel="00000000" w:rsidR="00000000" w:rsidRPr="00000000">
        <w:rPr>
          <w:rFonts w:ascii="Arial" w:cs="Arial" w:eastAsia="Arial" w:hAnsi="Arial"/>
          <w:i w:val="1"/>
          <w:sz w:val="20"/>
          <w:szCs w:val="20"/>
          <w:highlight w:val="white"/>
          <w:rtl w:val="0"/>
        </w:rPr>
        <w:t xml:space="preserve">Education as a Deterrent to Crime</w:t>
      </w:r>
      <w:r w:rsidDel="00000000" w:rsidR="00000000" w:rsidRPr="00000000">
        <w:rPr>
          <w:rFonts w:ascii="Arial" w:cs="Arial" w:eastAsia="Arial" w:hAnsi="Arial"/>
          <w:sz w:val="20"/>
          <w:szCs w:val="20"/>
          <w:highlight w:val="white"/>
          <w:rtl w:val="0"/>
        </w:rPr>
        <w:t xml:space="preserve">, The Canadian Journal of economics, Vol.30, No.2, pp.367-384.</w:t>
      </w:r>
    </w:p>
    <w:p w:rsidR="00000000" w:rsidDel="00000000" w:rsidP="00000000" w:rsidRDefault="00000000" w:rsidRPr="00000000" w14:paraId="00000036">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sectPr>
      <w:footerReference r:id="rId6"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