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2) Define what makes a monster in Graeco-Roman mythology. What are the artistic challenges in representing these monsters?</w:t>
      </w:r>
    </w:p>
    <w:p w:rsidR="00000000" w:rsidDel="00000000" w:rsidP="00000000" w:rsidRDefault="00000000" w:rsidRPr="00000000" w14:paraId="00000002">
      <w:pP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Fonts w:ascii="Calibri" w:cs="Calibri" w:eastAsia="Calibri" w:hAnsi="Calibri"/>
          <w:rtl w:val="0"/>
        </w:rPr>
        <w:t xml:space="preserve">The definition for monsters is difficult to determine, due to how nebulous a concept it is. For example within fiction and mythology monsters are, very often, aesthetically unpleasant or fearsome creatures, acting either as the antithesis of, or as a threat to, human social and moral orders. Sometimes they may be both, and sometimes they may only be one or the other. According to Paul Murgatroyd monsters are very often malformed, having multiple limbs (such as, in the case of Cerberus, multiple heads) or combine aspects of multiple creatures (such as the minotaur or chimera), as well as being shape-shifters (such as the werewolf) or having supernatural abilities or traits (such as fire-breathing, which in some myths the chimera possesses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Conversely Lowe, in </w:t>
      </w:r>
      <w:r w:rsidDel="00000000" w:rsidR="00000000" w:rsidRPr="00000000">
        <w:rPr>
          <w:rFonts w:ascii="Calibri" w:cs="Calibri" w:eastAsia="Calibri" w:hAnsi="Calibri"/>
          <w:i w:val="1"/>
          <w:rtl w:val="0"/>
        </w:rPr>
        <w:t xml:space="preserve">Monsters and Monstrosity in Augustan Poetry</w:t>
      </w:r>
      <w:r w:rsidDel="00000000" w:rsidR="00000000" w:rsidRPr="00000000">
        <w:rPr>
          <w:rFonts w:ascii="Calibri" w:cs="Calibri" w:eastAsia="Calibri" w:hAnsi="Calibri"/>
          <w:rtl w:val="0"/>
        </w:rPr>
        <w:t xml:space="preserve">, defines monsters more by their abnormality or grotesqueness than any supernatural abilities, the monsters’ unnatural appearance being very prevalent in their depictions either for the novelty or challenge of it or for a more objective exploration of roman societal norms through it</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However, Lowe’s emphasis on grotesqueness defining what makes a monster excludes those monsters, such as the empusa, who can and do appear as perfectly normal people, or animals when they are revealed to be shape-shifters. His definition also, at least in the case of the use of monsters in order to explore aspects of society, may be ascribing undue deliberation to that use - while it’s certainly possible that the use of monsters </w:t>
      </w:r>
      <w:r w:rsidDel="00000000" w:rsidR="00000000" w:rsidRPr="00000000">
        <w:rPr>
          <w:rFonts w:ascii="Calibri" w:cs="Calibri" w:eastAsia="Calibri" w:hAnsi="Calibri"/>
          <w:i w:val="1"/>
          <w:rtl w:val="0"/>
        </w:rPr>
        <w:t xml:space="preserve">was</w:t>
      </w:r>
      <w:r w:rsidDel="00000000" w:rsidR="00000000" w:rsidRPr="00000000">
        <w:rPr>
          <w:rFonts w:ascii="Calibri" w:cs="Calibri" w:eastAsia="Calibri" w:hAnsi="Calibri"/>
          <w:rtl w:val="0"/>
        </w:rPr>
        <w:t xml:space="preserve"> a deliberate choice in order to examine certain aspects of society or some larger metaphor, in some cases it may also simply be because that monster was suited to its role in a story and has no greater meaning.</w:t>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Ultimately, Murgatroyd’s definition of monsters - being far more generalised than Lowe’s - is best suited to defining what was and was not a monster as it encompasses all aspects of what made monsters in antiquity, without limiting them to being only unnatural in appearance. However, both Lowe’s and Murgatroyd’s definitions of monsters are suited to different functions; Murgatroyd’s definition seems to be suited more for a more general exploration of monsters within mythology, in all their forms from the more human to the more abnormal, and Lowe’s definition seems suited for a more specific examination of how monsters and their </w:t>
      </w:r>
      <w:r w:rsidDel="00000000" w:rsidR="00000000" w:rsidRPr="00000000">
        <w:rPr>
          <w:rFonts w:ascii="Calibri" w:cs="Calibri" w:eastAsia="Calibri" w:hAnsi="Calibri"/>
          <w:rtl w:val="0"/>
        </w:rPr>
        <w:t xml:space="preserve">grotesqueness reflected cultural fears.</w:t>
      </w: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Whatever their definition, the sheer number of variety in the monsters of the Graeco-Roman world reflects both the need to define the socially accepted norms</w:t>
      </w:r>
      <w:r w:rsidDel="00000000" w:rsidR="00000000" w:rsidRPr="00000000">
        <w:rPr>
          <w:rFonts w:ascii="Calibri" w:cs="Calibri" w:eastAsia="Calibri" w:hAnsi="Calibri"/>
          <w:rtl w:val="0"/>
        </w:rPr>
        <w:t xml:space="preserve"> for those people of the time </w:t>
      </w:r>
      <w:r w:rsidDel="00000000" w:rsidR="00000000" w:rsidRPr="00000000">
        <w:rPr>
          <w:rFonts w:ascii="Calibri" w:cs="Calibri" w:eastAsia="Calibri" w:hAnsi="Calibri"/>
          <w:rtl w:val="0"/>
        </w:rPr>
        <w:t xml:space="preserve">and the desire for a safe scare and thrill in their media.</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The popularity of modern horror video games and movies similarly reflects in the modern world that same desire both for safe scares and the value exploring moral values. The former can be seen in such formats as the </w:t>
      </w:r>
      <w:r w:rsidDel="00000000" w:rsidR="00000000" w:rsidRPr="00000000">
        <w:rPr>
          <w:rFonts w:ascii="Calibri" w:cs="Calibri" w:eastAsia="Calibri" w:hAnsi="Calibri"/>
          <w:i w:val="1"/>
          <w:rtl w:val="0"/>
        </w:rPr>
        <w:t xml:space="preserve">Paranormal Activity</w:t>
      </w:r>
      <w:r w:rsidDel="00000000" w:rsidR="00000000" w:rsidRPr="00000000">
        <w:rPr>
          <w:rFonts w:ascii="Calibri" w:cs="Calibri" w:eastAsia="Calibri" w:hAnsi="Calibri"/>
          <w:rtl w:val="0"/>
        </w:rPr>
        <w:t xml:space="preserve"> film series, </w:t>
      </w:r>
      <w:r w:rsidDel="00000000" w:rsidR="00000000" w:rsidRPr="00000000">
        <w:rPr>
          <w:rFonts w:ascii="Calibri" w:cs="Calibri" w:eastAsia="Calibri" w:hAnsi="Calibri"/>
          <w:rtl w:val="0"/>
        </w:rPr>
        <w:t xml:space="preserve">the latter with its commentary on capitalism by an exploration of industrial culture and the exploitation of workers that took place during Victorian Britain in the game </w:t>
      </w:r>
      <w:r w:rsidDel="00000000" w:rsidR="00000000" w:rsidRPr="00000000">
        <w:rPr>
          <w:rFonts w:ascii="Calibri" w:cs="Calibri" w:eastAsia="Calibri" w:hAnsi="Calibri"/>
          <w:i w:val="1"/>
          <w:rtl w:val="0"/>
        </w:rPr>
        <w:t xml:space="preserve">Amnesia: A Machine for Pigs</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Usually, monsters in Graeco-Roman mythology are defined by their very monstrosity, rather than being simple mythological creatures, in that they act in a malevolent or evil manner, whereas other creatures, due to being good or at least benign, are not classified as monsters despite being abnormal and monstrous in appearance. The centaur Chiron in Homer’s </w:t>
      </w:r>
      <w:r w:rsidDel="00000000" w:rsidR="00000000" w:rsidRPr="00000000">
        <w:rPr>
          <w:rFonts w:ascii="Calibri" w:cs="Calibri" w:eastAsia="Calibri" w:hAnsi="Calibri"/>
          <w:i w:val="1"/>
          <w:rtl w:val="0"/>
        </w:rPr>
        <w:t xml:space="preserve">Iliad</w:t>
      </w:r>
      <w:r w:rsidDel="00000000" w:rsidR="00000000" w:rsidRPr="00000000">
        <w:rPr>
          <w:rFonts w:ascii="Calibri" w:cs="Calibri" w:eastAsia="Calibri" w:hAnsi="Calibri"/>
          <w:rtl w:val="0"/>
        </w:rPr>
        <w:t xml:space="preserve">, for example, was described as “the most righteous of the Centaurs”,</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and as such was often dissociated from other centaur, who, due to their more more brutish natures outweighing their more civilised human one - to the point where they ate raw food and sometimes even challenged human civilisation</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 were classified as monsters in both literature and art. Rather than being depicted with the entirety of his lower half being that of a horse, as is common for centaur, Chiron was often depicted as having the front legs of a human, and as wearing clothes, in order to visually emphasize his civility and nobility as compared to the other, more animal centaur.</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This more cultured, gentle nature makes him not a monster, but a civilised creature despite his more bestial aspects that are shared with other centaur, who are classified as monsters.</w:t>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Chiron</w:t>
      </w:r>
      <w:r w:rsidDel="00000000" w:rsidR="00000000" w:rsidRPr="00000000">
        <w:rPr>
          <w:rFonts w:ascii="Calibri" w:cs="Calibri" w:eastAsia="Calibri" w:hAnsi="Calibri"/>
          <w:rtl w:val="0"/>
        </w:rPr>
        <w:t xml:space="preserve"> is also further dissociated from other centaur through his complying with the social norms of the time, thus making him less of a monster than other centaur. For example Chiron, unlike most other centaur, was learned, having taught and in some stories raised the god of healing Asclepius</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and was also recorded to have taught Achilles</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Conversely, and unlike Chiron, the cyclops Polyphemus is often shown as being beastly and monstrous due to his transgressing of social norms. He is described in Homer’s </w:t>
      </w:r>
      <w:r w:rsidDel="00000000" w:rsidR="00000000" w:rsidRPr="00000000">
        <w:rPr>
          <w:rFonts w:ascii="Calibri" w:cs="Calibri" w:eastAsia="Calibri" w:hAnsi="Calibri"/>
          <w:i w:val="1"/>
          <w:rtl w:val="0"/>
        </w:rPr>
        <w:t xml:space="preserve">Odyssey</w:t>
      </w:r>
      <w:r w:rsidDel="00000000" w:rsidR="00000000" w:rsidRPr="00000000">
        <w:rPr>
          <w:rFonts w:ascii="Calibri" w:cs="Calibri" w:eastAsia="Calibri" w:hAnsi="Calibri"/>
          <w:rtl w:val="0"/>
        </w:rPr>
        <w:t xml:space="preserve"> along with the other cyclopes as being uncultured and lawless - “we came to the land of the Cyclopes, an overweening and lawless folk.”</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 his lack of civility being shown through his violation of the greek concept of xenia, or hospitality.</w:t>
      </w:r>
      <w:r w:rsidDel="00000000" w:rsidR="00000000" w:rsidRPr="00000000">
        <w:rPr>
          <w:rFonts w:ascii="Calibri" w:cs="Calibri" w:eastAsia="Calibri" w:hAnsi="Calibri"/>
          <w:vertAlign w:val="superscript"/>
        </w:rPr>
        <w:footnoteReference w:customMarkFollows="0" w:id="9"/>
      </w: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Polyphemus himself is singled out as being particularly pitiless and beastly, this last aspect of him being especially apparent from  the fact that in the </w:t>
      </w:r>
      <w:r w:rsidDel="00000000" w:rsidR="00000000" w:rsidRPr="00000000">
        <w:rPr>
          <w:rFonts w:ascii="Calibri" w:cs="Calibri" w:eastAsia="Calibri" w:hAnsi="Calibri"/>
          <w:i w:val="1"/>
          <w:rtl w:val="0"/>
        </w:rPr>
        <w:t xml:space="preserve">Odyssey</w:t>
      </w:r>
      <w:r w:rsidDel="00000000" w:rsidR="00000000" w:rsidRPr="00000000">
        <w:rPr>
          <w:rFonts w:ascii="Calibri" w:cs="Calibri" w:eastAsia="Calibri" w:hAnsi="Calibri"/>
          <w:rtl w:val="0"/>
        </w:rPr>
        <w:t xml:space="preserve"> his only close relationship is with his ram. Even then the sympathy evoked by his affinity for the ram is tempered by his continuing monstrosity and violence in his speech. </w:t>
      </w:r>
      <w:r w:rsidDel="00000000" w:rsidR="00000000" w:rsidRPr="00000000">
        <w:rPr>
          <w:rFonts w:ascii="Calibri" w:cs="Calibri" w:eastAsia="Calibri" w:hAnsi="Calibri"/>
          <w:rtl w:val="0"/>
        </w:rPr>
        <w:t xml:space="preserve"> This is in direct contrast to the more sympathetic, less monstrous Chiron, who in Pindar’s </w:t>
      </w:r>
      <w:r w:rsidDel="00000000" w:rsidR="00000000" w:rsidRPr="00000000">
        <w:rPr>
          <w:rFonts w:ascii="Calibri" w:cs="Calibri" w:eastAsia="Calibri" w:hAnsi="Calibri"/>
          <w:i w:val="1"/>
          <w:rtl w:val="0"/>
        </w:rPr>
        <w:t xml:space="preserve">Pythian 9</w:t>
      </w:r>
      <w:r w:rsidDel="00000000" w:rsidR="00000000" w:rsidRPr="00000000">
        <w:rPr>
          <w:rFonts w:ascii="Calibri" w:cs="Calibri" w:eastAsia="Calibri" w:hAnsi="Calibri"/>
          <w:rtl w:val="0"/>
        </w:rPr>
        <w:t xml:space="preserve"> is shown as being wise, gentle, and civilised in his advising Apollo not to assault Cyrene.</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Despite the relatively human appearance of him and all the cyclops, due to him being uncivilised and malevolent Polyphemus and all the cyclops are regarded as monsters.</w:t>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rtl w:val="0"/>
        </w:rPr>
        <w:t xml:space="preserve">Very often the visual representation of monsters also presents challenges that authors do not have to contend with, which can result in a dichotomy between what is described and what shown; most chiefly stylistic and medium limitations, as well as simple ‘readability’ of the design of the creatures, necessitates creature designs that differ, sometimes significantly so, from those offered in texts. For example, the descriptions of some monsters as provided in literary works might be exceedingly difficult to achieve visually due to the excessive complexity of those monsters; Cerberus, the guardian of the underworld, and Typhon, who attempted to overthrow Zeus, being two such examples.</w:t>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In Hesiod’s </w:t>
      </w:r>
      <w:r w:rsidDel="00000000" w:rsidR="00000000" w:rsidRPr="00000000">
        <w:rPr>
          <w:rFonts w:ascii="Calibri" w:cs="Calibri" w:eastAsia="Calibri" w:hAnsi="Calibri"/>
          <w:i w:val="1"/>
          <w:rtl w:val="0"/>
        </w:rPr>
        <w:t xml:space="preserve">Theogony</w:t>
      </w:r>
      <w:r w:rsidDel="00000000" w:rsidR="00000000" w:rsidRPr="00000000">
        <w:rPr>
          <w:rFonts w:ascii="Calibri" w:cs="Calibri" w:eastAsia="Calibri" w:hAnsi="Calibri"/>
          <w:rtl w:val="0"/>
        </w:rPr>
        <w:t xml:space="preserve"> Cerberus is described as being “the brazen-voiced hound of Hades, fifty-headed, relentless and strong”</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but in most visual depictions, such as on pots and urns, he’s shown having only three heads, and sometimes only two. Partly this may be due to the difficulty in representing such a creature in a way that is both clear and obviously monstrous, as well as partly due to the impossibility of presenting each of the fifty heads on smaller </w:t>
      </w:r>
      <w:r w:rsidDel="00000000" w:rsidR="00000000" w:rsidRPr="00000000">
        <w:rPr>
          <w:rFonts w:ascii="Calibri" w:cs="Calibri" w:eastAsia="Calibri" w:hAnsi="Calibri"/>
          <w:rtl w:val="0"/>
        </w:rPr>
        <w:t xml:space="preserve">scales</w:t>
      </w:r>
      <w:r w:rsidDel="00000000" w:rsidR="00000000" w:rsidRPr="00000000">
        <w:rPr>
          <w:rFonts w:ascii="Calibri" w:cs="Calibri" w:eastAsia="Calibri" w:hAnsi="Calibri"/>
          <w:rtl w:val="0"/>
        </w:rPr>
        <w:t xml:space="preserve">.</w:t>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828925" cy="24384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28925"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rtl w:val="0"/>
        </w:rPr>
        <w:t xml:space="preserve">Black-figure amphora of Herakles and Kerberos, from Beazley archive.</w:t>
      </w:r>
    </w:p>
    <w:p w:rsidR="00000000" w:rsidDel="00000000" w:rsidP="00000000" w:rsidRDefault="00000000" w:rsidRPr="00000000" w14:paraId="00000017">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18">
      <w:pPr>
        <w:jc w:val="left"/>
        <w:rPr>
          <w:rFonts w:ascii="Calibri" w:cs="Calibri" w:eastAsia="Calibri" w:hAnsi="Calibri"/>
        </w:rPr>
      </w:pPr>
      <w:r w:rsidDel="00000000" w:rsidR="00000000" w:rsidRPr="00000000">
        <w:rPr>
          <w:rFonts w:ascii="Calibri" w:cs="Calibri" w:eastAsia="Calibri" w:hAnsi="Calibri"/>
          <w:rtl w:val="0"/>
        </w:rPr>
        <w:t xml:space="preserve">Here, for example, Cerberus is depicted as having only two heads, unlike the fifty heads described in the </w:t>
      </w:r>
      <w:r w:rsidDel="00000000" w:rsidR="00000000" w:rsidRPr="00000000">
        <w:rPr>
          <w:rFonts w:ascii="Calibri" w:cs="Calibri" w:eastAsia="Calibri" w:hAnsi="Calibri"/>
          <w:i w:val="1"/>
          <w:rtl w:val="0"/>
        </w:rPr>
        <w:t xml:space="preserve">Theogony</w:t>
      </w:r>
      <w:r w:rsidDel="00000000" w:rsidR="00000000" w:rsidRPr="00000000">
        <w:rPr>
          <w:rFonts w:ascii="Calibri" w:cs="Calibri" w:eastAsia="Calibri" w:hAnsi="Calibri"/>
          <w:rtl w:val="0"/>
        </w:rPr>
        <w:t xml:space="preserve">; having only two heads both makes his depiction much easier to identify as </w:t>
      </w:r>
      <w:r w:rsidDel="00000000" w:rsidR="00000000" w:rsidRPr="00000000">
        <w:rPr>
          <w:rFonts w:ascii="Calibri" w:cs="Calibri" w:eastAsia="Calibri" w:hAnsi="Calibri"/>
          <w:i w:val="1"/>
          <w:rtl w:val="0"/>
        </w:rPr>
        <w:t xml:space="preserve">being</w:t>
      </w:r>
      <w:r w:rsidDel="00000000" w:rsidR="00000000" w:rsidRPr="00000000">
        <w:rPr>
          <w:rFonts w:ascii="Calibri" w:cs="Calibri" w:eastAsia="Calibri" w:hAnsi="Calibri"/>
          <w:rtl w:val="0"/>
        </w:rPr>
        <w:t xml:space="preserve"> Cerberus while keeping his image simple, while also retaining his monstrous aspects in having those multiple heads.</w:t>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Fonts w:ascii="Calibri" w:cs="Calibri" w:eastAsia="Calibri" w:hAnsi="Calibri"/>
          <w:rtl w:val="0"/>
        </w:rPr>
        <w:t xml:space="preserve">Another creature impossible to represent visually in a way that is wholly faithful to the literary source, Typhon, is described in Apollodorus’ </w:t>
      </w:r>
      <w:r w:rsidDel="00000000" w:rsidR="00000000" w:rsidRPr="00000000">
        <w:rPr>
          <w:rFonts w:ascii="Calibri" w:cs="Calibri" w:eastAsia="Calibri" w:hAnsi="Calibri"/>
          <w:i w:val="1"/>
          <w:rtl w:val="0"/>
        </w:rPr>
        <w:t xml:space="preserve">Bibliotheca</w:t>
      </w:r>
      <w:r w:rsidDel="00000000" w:rsidR="00000000" w:rsidRPr="00000000">
        <w:rPr>
          <w:rFonts w:ascii="Calibri" w:cs="Calibri" w:eastAsia="Calibri" w:hAnsi="Calibri"/>
          <w:rtl w:val="0"/>
        </w:rPr>
        <w:t xml:space="preserve"> as being a man who was “of such prodigious bulk that he out-topped all the mountains, and his head often brushed the stars. One of his hands reached out to the west and the other to the east, and from them projected a hundred dragons' heads. From the thighs downward he had huge coils of vipers, which when drawn out, reached to his very head and emitted a loud hissing. His body was all winged.”</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As with Cerberus, Typhon - as described in literature - is impossible to depict faithfully due to the excessive complexity necessary to do so; complexity that would both take up valuable space in a depicted scene, especially when depicted on a smaller scale such as on pots, and be visually incomprehensible on any scale.</w:t>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438525" cy="17716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438525" cy="177165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rPr>
      </w:pPr>
      <w:r w:rsidDel="00000000" w:rsidR="00000000" w:rsidRPr="00000000">
        <w:rPr>
          <w:rFonts w:ascii="Calibri" w:cs="Calibri" w:eastAsia="Calibri" w:hAnsi="Calibri"/>
          <w:rtl w:val="0"/>
        </w:rPr>
        <w:t xml:space="preserve">Black-figure chalcidian hydria, of the fight between Zeus and Typhon. From Beazley archive.</w:t>
      </w:r>
    </w:p>
    <w:p w:rsidR="00000000" w:rsidDel="00000000" w:rsidP="00000000" w:rsidRDefault="00000000" w:rsidRPr="00000000" w14:paraId="0000001E">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1F">
      <w:pPr>
        <w:jc w:val="left"/>
        <w:rPr>
          <w:rFonts w:ascii="Calibri" w:cs="Calibri" w:eastAsia="Calibri" w:hAnsi="Calibri"/>
        </w:rPr>
      </w:pPr>
      <w:r w:rsidDel="00000000" w:rsidR="00000000" w:rsidRPr="00000000">
        <w:rPr>
          <w:rFonts w:ascii="Calibri" w:cs="Calibri" w:eastAsia="Calibri" w:hAnsi="Calibri"/>
          <w:rtl w:val="0"/>
        </w:rPr>
        <w:t xml:space="preserve">Here for example, and just as with Cerberus, Typhon is depicted in a vastly more simplistic manner than is described in the </w:t>
      </w:r>
      <w:r w:rsidDel="00000000" w:rsidR="00000000" w:rsidRPr="00000000">
        <w:rPr>
          <w:rFonts w:ascii="Calibri" w:cs="Calibri" w:eastAsia="Calibri" w:hAnsi="Calibri"/>
          <w:i w:val="1"/>
          <w:rtl w:val="0"/>
        </w:rPr>
        <w:t xml:space="preserve">Bibliotheca</w:t>
      </w:r>
      <w:r w:rsidDel="00000000" w:rsidR="00000000" w:rsidRPr="00000000">
        <w:rPr>
          <w:rFonts w:ascii="Calibri" w:cs="Calibri" w:eastAsia="Calibri" w:hAnsi="Calibri"/>
          <w:rtl w:val="0"/>
        </w:rPr>
        <w:t xml:space="preserve">, having only a few vipers below his waist and simple arms for the sake of simplicity and visual clarity over faithful representations of the text - even without a hundred dragon heads on his arms or a mass of coiled snakes, or even his described bulk, it’s evident that the figure is Typhon.</w:t>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In other cases, such as with the sirens, they may be difficult to depict based on literary description simply because there was no physical description to base them on. Their earliest (surviving) appearance is in Homer’s </w:t>
      </w:r>
      <w:r w:rsidDel="00000000" w:rsidR="00000000" w:rsidRPr="00000000">
        <w:rPr>
          <w:rFonts w:ascii="Calibri" w:cs="Calibri" w:eastAsia="Calibri" w:hAnsi="Calibri"/>
          <w:i w:val="1"/>
          <w:rtl w:val="0"/>
        </w:rPr>
        <w:t xml:space="preserve">Odyssey</w:t>
      </w:r>
      <w:r w:rsidDel="00000000" w:rsidR="00000000" w:rsidRPr="00000000">
        <w:rPr>
          <w:rFonts w:ascii="Calibri" w:cs="Calibri" w:eastAsia="Calibri" w:hAnsi="Calibri"/>
          <w:rtl w:val="0"/>
        </w:rPr>
        <w:t xml:space="preserve"> in the 8th century BC,</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where the only description provided for the sirens was for their voices, in order for the focus to be taken from their physical appearance so that their allure comes more from their song and to make them more mysterious, and for the unburied skeletons of the men they’d killed, in order to contrast the sirens’ beauty with their monstrosity.</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Further, they aren’t necessarily all female, unlike how they are commonly depicted.</w:t>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vertAlign w:val="superscript"/>
        </w:rPr>
      </w:pPr>
      <w:r w:rsidDel="00000000" w:rsidR="00000000" w:rsidRPr="00000000">
        <w:rPr>
          <w:rFonts w:ascii="Calibri" w:cs="Calibri" w:eastAsia="Calibri" w:hAnsi="Calibri"/>
          <w:rtl w:val="0"/>
        </w:rPr>
        <w:t xml:space="preserve">The first physical description of the sirens after Homer, at least that which still survives, comes from Apollonius of Rhodes’ </w:t>
      </w:r>
      <w:r w:rsidDel="00000000" w:rsidR="00000000" w:rsidRPr="00000000">
        <w:rPr>
          <w:rFonts w:ascii="Calibri" w:cs="Calibri" w:eastAsia="Calibri" w:hAnsi="Calibri"/>
          <w:i w:val="1"/>
          <w:rtl w:val="0"/>
        </w:rPr>
        <w:t xml:space="preserve">The Voyage of Argo</w:t>
      </w:r>
      <w:r w:rsidDel="00000000" w:rsidR="00000000" w:rsidRPr="00000000">
        <w:rPr>
          <w:rFonts w:ascii="Calibri" w:cs="Calibri" w:eastAsia="Calibri" w:hAnsi="Calibri"/>
          <w:rtl w:val="0"/>
        </w:rPr>
        <w:t xml:space="preserve"> where the sirens are described as being “partly like birds and partly like girls in appearance”</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which matches their representations in art from antiquity where they appear as half bird and half woman. However, the focus on the sirens’ voice often led to differing visual representations - some figures appear as half woman and half fish, particularly during the medieval period, whereas Hellenistic sirens are depicted as having less of the bird aspect to them, appearing instead as women almost entirely. Other classical authors described them as being winged women, or birds with female heads, or even playing instruments as well as singing.</w:t>
      </w:r>
      <w:r w:rsidDel="00000000" w:rsidR="00000000" w:rsidRPr="00000000">
        <w:rPr>
          <w:rFonts w:ascii="Calibri" w:cs="Calibri" w:eastAsia="Calibri" w:hAnsi="Calibri"/>
          <w:vertAlign w:val="superscript"/>
        </w:rPr>
        <w:footnoteReference w:customMarkFollows="0" w:id="16"/>
      </w: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tl w:val="0"/>
        </w:rPr>
        <w:t xml:space="preserve">Ultimately, however they are described or however their visual representations vary by necessity from literary accounts, and whatever intricacies are involved in the defining characteristics of monsters - whether, like Murgatroyd’s definition, it encompasses any monsters’ more supernatural abilities or powers or, like Lowe’s, it focuses more on the monsters’ grotesqueness - monsters very often tend to defined and depicted as unnatural and abnormal. Any of those monsters that might not appear so grotesque or abnormal are made monstrous by violating important Graeco-Roman societal norms, such as xenia, and those that do appear </w:t>
      </w:r>
      <w:r w:rsidDel="00000000" w:rsidR="00000000" w:rsidRPr="00000000">
        <w:rPr>
          <w:rFonts w:ascii="Calibri" w:cs="Calibri" w:eastAsia="Calibri" w:hAnsi="Calibri"/>
          <w:rtl w:val="0"/>
        </w:rPr>
        <w:t xml:space="preserve">grotesque</w:t>
      </w:r>
      <w:r w:rsidDel="00000000" w:rsidR="00000000" w:rsidRPr="00000000">
        <w:rPr>
          <w:rFonts w:ascii="Calibri" w:cs="Calibri" w:eastAsia="Calibri" w:hAnsi="Calibri"/>
          <w:rtl w:val="0"/>
        </w:rPr>
        <w:t xml:space="preserve"> but are intended to be sympathetic and liked by an audience are made less monstrous by appearing as civilised and benign.</w:t>
      </w:r>
      <w:r w:rsidDel="00000000" w:rsidR="00000000" w:rsidRPr="00000000">
        <w:br w:type="page"/>
      </w: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Fonts w:ascii="Calibri" w:cs="Calibri" w:eastAsia="Calibri" w:hAnsi="Calibri"/>
          <w:b w:val="1"/>
          <w:rtl w:val="0"/>
        </w:rPr>
        <w:t xml:space="preserve">Bibliography</w:t>
      </w:r>
      <w:r w:rsidDel="00000000" w:rsidR="00000000" w:rsidRPr="00000000">
        <w:rPr>
          <w:rtl w:val="0"/>
        </w:rPr>
      </w:r>
    </w:p>
    <w:p w:rsidR="00000000" w:rsidDel="00000000" w:rsidP="00000000" w:rsidRDefault="00000000" w:rsidRPr="00000000" w14:paraId="00000027">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Murgatroyd, P. (2013), </w:t>
      </w:r>
      <w:r w:rsidDel="00000000" w:rsidR="00000000" w:rsidRPr="00000000">
        <w:rPr>
          <w:rFonts w:ascii="Calibri" w:cs="Calibri" w:eastAsia="Calibri" w:hAnsi="Calibri"/>
          <w:i w:val="1"/>
          <w:rtl w:val="0"/>
        </w:rPr>
        <w:t xml:space="preserve">Mythical monsters in classical literature</w:t>
      </w:r>
      <w:r w:rsidDel="00000000" w:rsidR="00000000" w:rsidRPr="00000000">
        <w:rPr>
          <w:rFonts w:ascii="Calibri" w:cs="Calibri" w:eastAsia="Calibri" w:hAnsi="Calibri"/>
          <w:rtl w:val="0"/>
        </w:rPr>
        <w:t xml:space="preserve">, London, Bloomsbury</w:t>
      </w:r>
    </w:p>
    <w:p w:rsidR="00000000" w:rsidDel="00000000" w:rsidP="00000000" w:rsidRDefault="00000000" w:rsidRPr="00000000" w14:paraId="00000028">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Homer, </w:t>
      </w:r>
      <w:r w:rsidDel="00000000" w:rsidR="00000000" w:rsidRPr="00000000">
        <w:rPr>
          <w:rFonts w:ascii="Calibri" w:cs="Calibri" w:eastAsia="Calibri" w:hAnsi="Calibri"/>
          <w:i w:val="1"/>
          <w:rtl w:val="0"/>
        </w:rPr>
        <w:t xml:space="preserve">The Iliad</w:t>
      </w:r>
      <w:r w:rsidDel="00000000" w:rsidR="00000000" w:rsidRPr="00000000">
        <w:rPr>
          <w:rFonts w:ascii="Calibri" w:cs="Calibri" w:eastAsia="Calibri" w:hAnsi="Calibri"/>
          <w:rtl w:val="0"/>
        </w:rPr>
        <w:t xml:space="preserve">, English Translation by A.T. Murray, Cambridge, MA., Harvard University Press; London, William Heinemann, Ltd. 1924.</w:t>
      </w:r>
    </w:p>
    <w:p w:rsidR="00000000" w:rsidDel="00000000" w:rsidP="00000000" w:rsidRDefault="00000000" w:rsidRPr="00000000" w14:paraId="00000029">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Hornblower &amp; Spawforth (2004), </w:t>
      </w:r>
      <w:r w:rsidDel="00000000" w:rsidR="00000000" w:rsidRPr="00000000">
        <w:rPr>
          <w:rFonts w:ascii="Calibri" w:cs="Calibri" w:eastAsia="Calibri" w:hAnsi="Calibri"/>
          <w:i w:val="1"/>
          <w:rtl w:val="0"/>
        </w:rPr>
        <w:t xml:space="preserve">The Oxford Companion to Classical Civilization</w:t>
      </w:r>
      <w:r w:rsidDel="00000000" w:rsidR="00000000" w:rsidRPr="00000000">
        <w:rPr>
          <w:rFonts w:ascii="Calibri" w:cs="Calibri" w:eastAsia="Calibri" w:hAnsi="Calibri"/>
          <w:rtl w:val="0"/>
        </w:rPr>
        <w:t xml:space="preserve">, Oxford University Press</w:t>
      </w:r>
    </w:p>
    <w:p w:rsidR="00000000" w:rsidDel="00000000" w:rsidP="00000000" w:rsidRDefault="00000000" w:rsidRPr="00000000" w14:paraId="0000002A">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Homer, </w:t>
      </w:r>
      <w:r w:rsidDel="00000000" w:rsidR="00000000" w:rsidRPr="00000000">
        <w:rPr>
          <w:rFonts w:ascii="Calibri" w:cs="Calibri" w:eastAsia="Calibri" w:hAnsi="Calibri"/>
          <w:i w:val="1"/>
          <w:rtl w:val="0"/>
        </w:rPr>
        <w:t xml:space="preserve">The Odyssey</w:t>
      </w:r>
      <w:r w:rsidDel="00000000" w:rsidR="00000000" w:rsidRPr="00000000">
        <w:rPr>
          <w:rFonts w:ascii="Calibri" w:cs="Calibri" w:eastAsia="Calibri" w:hAnsi="Calibri"/>
          <w:rtl w:val="0"/>
        </w:rPr>
        <w:t xml:space="preserve">, English Translation by A.T. Murray, Cambridge, MA., Harvard University Press; London, William Heinemann, Ltd. 1919.</w:t>
      </w:r>
    </w:p>
    <w:p w:rsidR="00000000" w:rsidDel="00000000" w:rsidP="00000000" w:rsidRDefault="00000000" w:rsidRPr="00000000" w14:paraId="0000002B">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Hesiod, </w:t>
      </w:r>
      <w:r w:rsidDel="00000000" w:rsidR="00000000" w:rsidRPr="00000000">
        <w:rPr>
          <w:rFonts w:ascii="Calibri" w:cs="Calibri" w:eastAsia="Calibri" w:hAnsi="Calibri"/>
          <w:i w:val="1"/>
          <w:rtl w:val="0"/>
        </w:rPr>
        <w:t xml:space="preserve">Theogony</w:t>
      </w:r>
      <w:r w:rsidDel="00000000" w:rsidR="00000000" w:rsidRPr="00000000">
        <w:rPr>
          <w:rFonts w:ascii="Calibri" w:cs="Calibri" w:eastAsia="Calibri" w:hAnsi="Calibri"/>
          <w:rtl w:val="0"/>
        </w:rPr>
        <w:t xml:space="preserve">, English Translation by Hugh G. Evelyn-White, Cambridge, MA.,Harvard University Press; London, William Heinemann Ltd. 1914.</w:t>
      </w:r>
    </w:p>
    <w:p w:rsidR="00000000" w:rsidDel="00000000" w:rsidP="00000000" w:rsidRDefault="00000000" w:rsidRPr="00000000" w14:paraId="0000002C">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Apollodorus. Apollodorus, </w:t>
      </w:r>
      <w:r w:rsidDel="00000000" w:rsidR="00000000" w:rsidRPr="00000000">
        <w:rPr>
          <w:rFonts w:ascii="Calibri" w:cs="Calibri" w:eastAsia="Calibri" w:hAnsi="Calibri"/>
          <w:i w:val="1"/>
          <w:rtl w:val="0"/>
        </w:rPr>
        <w:t xml:space="preserve">Bibliotheca</w:t>
      </w:r>
      <w:r w:rsidDel="00000000" w:rsidR="00000000" w:rsidRPr="00000000">
        <w:rPr>
          <w:rFonts w:ascii="Calibri" w:cs="Calibri" w:eastAsia="Calibri" w:hAnsi="Calibri"/>
          <w:rtl w:val="0"/>
        </w:rPr>
        <w:t xml:space="preserve">, English Translation by Sir James George Frazer, F.B.A., F.R.S., Cambridge, MA, Harvard University Press; London, William Heinemann Ltd. 1921.</w:t>
      </w:r>
    </w:p>
    <w:p w:rsidR="00000000" w:rsidDel="00000000" w:rsidP="00000000" w:rsidRDefault="00000000" w:rsidRPr="00000000" w14:paraId="0000002D">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Lowe, D, (2016), </w:t>
      </w:r>
      <w:r w:rsidDel="00000000" w:rsidR="00000000" w:rsidRPr="00000000">
        <w:rPr>
          <w:rFonts w:ascii="Calibri" w:cs="Calibri" w:eastAsia="Calibri" w:hAnsi="Calibri"/>
          <w:i w:val="1"/>
          <w:rtl w:val="0"/>
        </w:rPr>
        <w:t xml:space="preserve">Monsters and Monstrosity in Augustan Poetry</w:t>
      </w:r>
      <w:r w:rsidDel="00000000" w:rsidR="00000000" w:rsidRPr="00000000">
        <w:rPr>
          <w:rFonts w:ascii="Calibri" w:cs="Calibri" w:eastAsia="Calibri" w:hAnsi="Calibri"/>
          <w:rtl w:val="0"/>
        </w:rPr>
        <w:t xml:space="preserve">. University of Michigan Press</w:t>
      </w:r>
    </w:p>
    <w:p w:rsidR="00000000" w:rsidDel="00000000" w:rsidP="00000000" w:rsidRDefault="00000000" w:rsidRPr="00000000" w14:paraId="0000002E">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Black-figure hydria of Zeus and Typhon taken from Beazley archive, </w:t>
      </w:r>
      <w:hyperlink r:id="rId9">
        <w:r w:rsidDel="00000000" w:rsidR="00000000" w:rsidRPr="00000000">
          <w:rPr>
            <w:rFonts w:ascii="Calibri" w:cs="Calibri" w:eastAsia="Calibri" w:hAnsi="Calibri"/>
            <w:color w:val="1155cc"/>
            <w:u w:val="single"/>
            <w:rtl w:val="0"/>
          </w:rPr>
          <w:t xml:space="preserve">https://www.beazley.ox.ac.uk/XDB/ASP/recordDetails.asp?recordCount=2&amp;start=0</w:t>
        </w:r>
      </w:hyperlink>
      <w:r w:rsidDel="00000000" w:rsidR="00000000" w:rsidRPr="00000000">
        <w:rPr>
          <w:rFonts w:ascii="Calibri" w:cs="Calibri" w:eastAsia="Calibri" w:hAnsi="Calibri"/>
          <w:rtl w:val="0"/>
        </w:rPr>
        <w:t xml:space="preserve">, accessed 27/5/19</w:t>
      </w:r>
    </w:p>
    <w:p w:rsidR="00000000" w:rsidDel="00000000" w:rsidP="00000000" w:rsidRDefault="00000000" w:rsidRPr="00000000" w14:paraId="0000002F">
      <w:pPr>
        <w:numPr>
          <w:ilvl w:val="0"/>
          <w:numId w:val="1"/>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Black-figure amphora of Herakles and Kerberos, taken from Beazley archive, </w:t>
      </w:r>
      <w:hyperlink r:id="rId10">
        <w:r w:rsidDel="00000000" w:rsidR="00000000" w:rsidRPr="00000000">
          <w:rPr>
            <w:rFonts w:ascii="Calibri" w:cs="Calibri" w:eastAsia="Calibri" w:hAnsi="Calibri"/>
            <w:color w:val="1155cc"/>
            <w:u w:val="single"/>
            <w:rtl w:val="0"/>
          </w:rPr>
          <w:t xml:space="preserve">https://www.beazley.ox.ac.uk/XDB/ASP/recordDetails.asp?recordCount=68&amp;start=0</w:t>
        </w:r>
      </w:hyperlink>
      <w:r w:rsidDel="00000000" w:rsidR="00000000" w:rsidRPr="00000000">
        <w:rPr>
          <w:rFonts w:ascii="Calibri" w:cs="Calibri" w:eastAsia="Calibri" w:hAnsi="Calibri"/>
          <w:rtl w:val="0"/>
        </w:rPr>
        <w:t xml:space="preserve">, accessed 27/5/19</w:t>
      </w:r>
    </w:p>
    <w:p w:rsidR="00000000" w:rsidDel="00000000" w:rsidP="00000000" w:rsidRDefault="00000000" w:rsidRPr="00000000" w14:paraId="00000030">
      <w:pPr>
        <w:numPr>
          <w:ilvl w:val="0"/>
          <w:numId w:val="1"/>
        </w:numPr>
        <w:ind w:left="720" w:hanging="360"/>
        <w:rPr>
          <w:rFonts w:ascii="Calibri" w:cs="Calibri" w:eastAsia="Calibri" w:hAnsi="Calibri"/>
        </w:rPr>
      </w:pPr>
      <w:r w:rsidDel="00000000" w:rsidR="00000000" w:rsidRPr="00000000">
        <w:rPr>
          <w:rFonts w:ascii="Calibri" w:cs="Calibri" w:eastAsia="Calibri" w:hAnsi="Calibri"/>
          <w:rtl w:val="0"/>
        </w:rPr>
        <w:t xml:space="preserve">Kowalzig, Barbara (2006), </w:t>
      </w:r>
      <w:r w:rsidDel="00000000" w:rsidR="00000000" w:rsidRPr="00000000">
        <w:rPr>
          <w:rFonts w:ascii="Calibri" w:cs="Calibri" w:eastAsia="Calibri" w:hAnsi="Calibri"/>
          <w:i w:val="1"/>
          <w:rtl w:val="0"/>
        </w:rPr>
        <w:t xml:space="preserve">“Xenia”</w:t>
      </w:r>
      <w:r w:rsidDel="00000000" w:rsidR="00000000" w:rsidRPr="00000000">
        <w:rPr>
          <w:rFonts w:ascii="Calibri" w:cs="Calibri" w:eastAsia="Calibri" w:hAnsi="Calibri"/>
          <w:rtl w:val="0"/>
        </w:rPr>
        <w:t xml:space="preserve">, in: </w:t>
      </w:r>
      <w:r w:rsidDel="00000000" w:rsidR="00000000" w:rsidRPr="00000000">
        <w:rPr>
          <w:rFonts w:ascii="Calibri" w:cs="Calibri" w:eastAsia="Calibri" w:hAnsi="Calibri"/>
          <w:i w:val="1"/>
          <w:rtl w:val="0"/>
        </w:rPr>
        <w:t xml:space="preserve">Brill’s New Pauly</w:t>
      </w:r>
      <w:r w:rsidDel="00000000" w:rsidR="00000000" w:rsidRPr="00000000">
        <w:rPr>
          <w:rFonts w:ascii="Calibri" w:cs="Calibri" w:eastAsia="Calibri" w:hAnsi="Calibri"/>
          <w:rtl w:val="0"/>
        </w:rPr>
        <w:t xml:space="preserve">, Antiquity volumes edited by: Hubert Cancik and , Helmuth Schneider, English Edition by: Christine F. Salazar, Classical Tradition volumes edited by: Manfred Landfester, English Edition by: Francis G. Gentry. Consulted online on 28/5/19, </w:t>
      </w:r>
      <w:hyperlink r:id="rId11">
        <w:r w:rsidDel="00000000" w:rsidR="00000000" w:rsidRPr="00000000">
          <w:rPr>
            <w:rFonts w:ascii="Calibri" w:cs="Calibri" w:eastAsia="Calibri" w:hAnsi="Calibri"/>
            <w:color w:val="1155cc"/>
            <w:u w:val="single"/>
            <w:rtl w:val="0"/>
          </w:rPr>
          <w:t xml:space="preserve">http://dx.doi.org/10.1163/1574-9347_bnp_e12212470</w:t>
        </w:r>
      </w:hyperlink>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1</w:t>
      </w:r>
    </w:p>
  </w:footnote>
  <w:footnote w:id="2">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2</w:t>
      </w:r>
    </w:p>
  </w:footnote>
  <w:footnote w:id="3">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w:t>
      </w:r>
      <w:r w:rsidDel="00000000" w:rsidR="00000000" w:rsidRPr="00000000">
        <w:rPr>
          <w:i w:val="1"/>
          <w:sz w:val="20"/>
          <w:szCs w:val="20"/>
          <w:rtl w:val="0"/>
        </w:rPr>
        <w:t xml:space="preserve">Iliad</w:t>
      </w:r>
      <w:r w:rsidDel="00000000" w:rsidR="00000000" w:rsidRPr="00000000">
        <w:rPr>
          <w:sz w:val="20"/>
          <w:szCs w:val="20"/>
          <w:rtl w:val="0"/>
        </w:rPr>
        <w:t xml:space="preserve">, Book 11.831</w:t>
      </w:r>
    </w:p>
  </w:footnote>
  <w:footnote w:id="5">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Hornblower &amp; Spawforth (2004), P. 158</w:t>
      </w:r>
    </w:p>
  </w:footnote>
  <w:footnote w:id="8">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Homer, </w:t>
      </w:r>
      <w:r w:rsidDel="00000000" w:rsidR="00000000" w:rsidRPr="00000000">
        <w:rPr>
          <w:i w:val="1"/>
          <w:sz w:val="20"/>
          <w:szCs w:val="20"/>
          <w:rtl w:val="0"/>
        </w:rPr>
        <w:t xml:space="preserve">Odyssey</w:t>
      </w:r>
      <w:r w:rsidDel="00000000" w:rsidR="00000000" w:rsidRPr="00000000">
        <w:rPr>
          <w:sz w:val="20"/>
          <w:szCs w:val="20"/>
          <w:rtl w:val="0"/>
        </w:rPr>
        <w:t xml:space="preserve">, Book 9.106</w:t>
      </w:r>
    </w:p>
  </w:footnote>
  <w:footnote w:id="11">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Hesiod, </w:t>
      </w:r>
      <w:r w:rsidDel="00000000" w:rsidR="00000000" w:rsidRPr="00000000">
        <w:rPr>
          <w:i w:val="1"/>
          <w:sz w:val="20"/>
          <w:szCs w:val="20"/>
          <w:rtl w:val="0"/>
        </w:rPr>
        <w:t xml:space="preserve">Theogony</w:t>
      </w:r>
      <w:r w:rsidDel="00000000" w:rsidR="00000000" w:rsidRPr="00000000">
        <w:rPr>
          <w:sz w:val="20"/>
          <w:szCs w:val="20"/>
          <w:rtl w:val="0"/>
        </w:rPr>
        <w:t xml:space="preserve">, 310-312</w:t>
      </w:r>
    </w:p>
  </w:footnote>
  <w:footnote w:id="12">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Apollod. 1.6.3</w:t>
      </w:r>
    </w:p>
  </w:footnote>
  <w:footnote w:id="13">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44</w:t>
      </w:r>
    </w:p>
  </w:footnote>
  <w:footnote w:id="14">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45</w:t>
      </w:r>
    </w:p>
  </w:footnote>
  <w:footnote w:id="15">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46</w:t>
      </w:r>
    </w:p>
  </w:footnote>
  <w:footnote w:id="1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47</w:t>
      </w:r>
    </w:p>
  </w:footnote>
  <w:footnote w:id="6">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Hornblower &amp; Spawforth (2004), P. 91</w:t>
      </w:r>
    </w:p>
  </w:footnote>
  <w:footnote w:id="7">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Hornblower &amp; Spawforth (2004), P. 159</w:t>
      </w:r>
    </w:p>
  </w:footnote>
  <w:footnote w:id="1">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Lowe, D, (2016), P. 6</w:t>
      </w:r>
    </w:p>
  </w:footnote>
  <w:footnote w:id="4">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91</w:t>
      </w:r>
    </w:p>
  </w:footnote>
  <w:footnote w:id="9">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Kowalzig, (2006), “Xenia”</w:t>
      </w:r>
    </w:p>
  </w:footnote>
  <w:footnote w:id="10">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P, (2013), P. 94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dx.doi.org/10.1163/1574-9347_bnp_e12212470" TargetMode="External"/><Relationship Id="rId10" Type="http://schemas.openxmlformats.org/officeDocument/2006/relationships/hyperlink" Target="https://www.beazley.ox.ac.uk/XDB/ASP/recordDetails.asp?recordCount=68&amp;start=0" TargetMode="External"/><Relationship Id="rId9" Type="http://schemas.openxmlformats.org/officeDocument/2006/relationships/hyperlink" Target="https://www.beazley.ox.ac.uk/XDB/ASP/recordDetails.asp?recordCount=2&amp;start=0"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