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80"/>
      </w:pPr>
      <w:r>
        <w:rPr>
          <w:rFonts w:ascii="Times New Roman" w:cs="Times New Roman" w:eastAsia="Times New Roman" w:hAnsi="Times New Roman"/>
          <w:b w:val="false"/>
          <w:bCs w:val="false"/>
          <w:color w:val="000000"/>
          <w:sz w:val="24"/>
          <w:szCs w:val="24"/>
        </w:rPr>
        <w:t xml:space="preserve"/>
      </w:r>
    </w:p>
    <w:p>
      <w:pPr>
        <w:spacing w:after="80"/>
      </w:pPr>
      <w:r>
        <w:rPr>
          <w:rFonts w:ascii="Times New Roman" w:cs="Times New Roman" w:eastAsia="Times New Roman" w:hAnsi="Times New Roman"/>
          <w:b w:val="false"/>
          <w:bCs w:val="false"/>
          <w:color w:val="000000"/>
          <w:sz w:val="24"/>
          <w:szCs w:val="24"/>
        </w:rPr>
        <w:t xml:space="preserve"/>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bCs/>
          <w:color w:val="1F3864"/>
          <w:sz w:val="26"/>
          <w:szCs w:val="26"/>
        </w:rPr>
        <w:t xml:space="preserve">UNIVERSITY OF WALES TRINITY SAINT DAVID</w:t>
      </w:r>
    </w:p>
    <w:p>
      <w:pPr>
        <w:spacing w:after="120"/>
        <w:jc w:val="center"/>
      </w:pPr>
      <w:r>
        <w:rPr>
          <w:rFonts w:ascii="Times New Roman" w:cs="Times New Roman" w:eastAsia="Times New Roman" w:hAnsi="Times New Roman"/>
          <w:b w:val="false"/>
          <w:bCs w:val="false"/>
          <w:color w:val="000000"/>
          <w:sz w:val="24"/>
          <w:szCs w:val="24"/>
        </w:rPr>
        <w:t xml:space="preserve">Doctor of Business Administration (DBA)</w:t>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val="false"/>
          <w:bCs w:val="false"/>
          <w:color w:val="1F3864"/>
          <w:sz w:val="24"/>
          <w:szCs w:val="24"/>
        </w:rPr>
        <w:t xml:space="preserve">_____________________________________________</w:t>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bCs/>
          <w:color w:val="000000"/>
          <w:sz w:val="26"/>
          <w:szCs w:val="26"/>
        </w:rPr>
        <w:t xml:space="preserve">LCDB7012: Advancing to Doctoral Research Stage</w:t>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bCs/>
          <w:color w:val="1F3864"/>
          <w:sz w:val="28"/>
          <w:szCs w:val="28"/>
        </w:rPr>
        <w:t xml:space="preserve">Task 1 – Portfolio</w:t>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val="false"/>
          <w:bCs w:val="false"/>
          <w:color w:val="1F3864"/>
          <w:sz w:val="24"/>
          <w:szCs w:val="24"/>
        </w:rPr>
        <w:t xml:space="preserve">_____________________________________________</w:t>
      </w:r>
    </w:p>
    <w:p>
      <w:pPr>
        <w:spacing w:after="80"/>
      </w:pPr>
      <w:r>
        <w:rPr>
          <w:rFonts w:ascii="Times New Roman" w:cs="Times New Roman" w:eastAsia="Times New Roman" w:hAnsi="Times New Roman"/>
          <w:b w:val="false"/>
          <w:bCs w:val="false"/>
          <w:color w:val="000000"/>
          <w:sz w:val="24"/>
          <w:szCs w:val="24"/>
        </w:rPr>
        <w:t xml:space="preserve"/>
      </w:r>
    </w:p>
    <w:p>
      <w:pPr>
        <w:spacing w:after="80"/>
      </w:pPr>
      <w:r>
        <w:rPr>
          <w:rFonts w:ascii="Times New Roman" w:cs="Times New Roman" w:eastAsia="Times New Roman" w:hAnsi="Times New Roman"/>
          <w:b w:val="false"/>
          <w:bCs w:val="false"/>
          <w:color w:val="000000"/>
          <w:sz w:val="24"/>
          <w:szCs w:val="24"/>
        </w:rPr>
        <w:t xml:space="preserve"/>
      </w:r>
    </w:p>
    <w:p>
      <w:pPr>
        <w:spacing w:after="120"/>
        <w:jc w:val="center"/>
      </w:pPr>
      <w:r>
        <w:rPr>
          <w:rFonts w:ascii="Times New Roman" w:cs="Times New Roman" w:eastAsia="Times New Roman" w:hAnsi="Times New Roman"/>
          <w:b/>
          <w:bCs/>
          <w:color w:val="000000"/>
          <w:sz w:val="24"/>
          <w:szCs w:val="24"/>
        </w:rPr>
        <w:t xml:space="preserve">Research Topic:</w:t>
      </w:r>
    </w:p>
    <w:p>
      <w:pPr>
        <w:spacing w:after="120"/>
        <w:jc w:val="center"/>
      </w:pPr>
      <w:r>
        <w:rPr>
          <w:rFonts w:ascii="Times New Roman" w:cs="Times New Roman" w:eastAsia="Times New Roman" w:hAnsi="Times New Roman"/>
          <w:b/>
          <w:bCs/>
          <w:color w:val="000000"/>
          <w:sz w:val="24"/>
          <w:szCs w:val="24"/>
        </w:rPr>
        <w:t xml:space="preserve">The Impact of Flexible Working Arrangements on Employee Turnover Intentions</w:t>
      </w:r>
    </w:p>
    <w:p>
      <w:pPr>
        <w:spacing w:after="120"/>
        <w:jc w:val="center"/>
      </w:pPr>
      <w:r>
        <w:rPr>
          <w:rFonts w:ascii="Times New Roman" w:cs="Times New Roman" w:eastAsia="Times New Roman" w:hAnsi="Times New Roman"/>
          <w:b w:val="false"/>
          <w:bCs w:val="false"/>
          <w:color w:val="000000"/>
          <w:sz w:val="24"/>
          <w:szCs w:val="24"/>
        </w:rPr>
        <w:t xml:space="preserve">in UK Retail Supermarkets</w:t>
      </w:r>
    </w:p>
    <w:p>
      <w:pPr>
        <w:spacing w:after="80"/>
      </w:pPr>
      <w:r>
        <w:rPr>
          <w:rFonts w:ascii="Times New Roman" w:cs="Times New Roman" w:eastAsia="Times New Roman" w:hAnsi="Times New Roman"/>
          <w:b w:val="false"/>
          <w:bCs w:val="false"/>
          <w:color w:val="000000"/>
          <w:sz w:val="24"/>
          <w:szCs w:val="24"/>
        </w:rPr>
        <w:t xml:space="preserve"/>
      </w:r>
    </w:p>
    <w:p>
      <w:pPr>
        <w:spacing w:after="80"/>
      </w:pPr>
      <w:r>
        <w:rPr>
          <w:rFonts w:ascii="Times New Roman" w:cs="Times New Roman" w:eastAsia="Times New Roman" w:hAnsi="Times New Roman"/>
          <w:b w:val="false"/>
          <w:bCs w:val="false"/>
          <w:color w:val="000000"/>
          <w:sz w:val="24"/>
          <w:szCs w:val="24"/>
        </w:rPr>
        <w:t xml:space="preserve"/>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00"/>
        <w:gridCol w:w="100"/>
      </w:tblGrid>
      <w:tr>
        <w:tc>
          <w:tcPr>
            <w:tcW w:type="dxa" w:w="2600"/>
            <w:shd w:fill="D9E1F2" w:val="clear"/>
          </w:tcPr>
          <w:p>
            <w:pPr>
              <w:spacing w:after="80"/>
            </w:pPr>
            <w:r>
              <w:rPr>
                <w:rFonts w:ascii="Times New Roman" w:cs="Times New Roman" w:eastAsia="Times New Roman" w:hAnsi="Times New Roman"/>
                <w:b/>
                <w:bCs/>
                <w:color w:val="000000"/>
                <w:sz w:val="24"/>
                <w:szCs w:val="24"/>
              </w:rPr>
              <w:t xml:space="preserve">Student Name: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Monaf Hossain Fuad</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Student ID:</w:t>
            </w:r>
          </w:p>
        </w:tc>
        <w:tc>
          <w:tcPr>
            <w:tcW w:type="dxa" w:w="6760"/>
          </w:tcPr>
          <w:p>
            <w:pPr>
              <w:spacing w:after="80"/>
            </w:pPr>
            <w:r>
              <w:rPr>
                <w:rFonts w:ascii="Times New Roman" w:cs="Times New Roman" w:eastAsia="Times New Roman" w:hAnsi="Times New Roman"/>
                <w:b w:val="false"/>
                <w:bCs w:val="false"/>
                <w:color w:val="000000"/>
                <w:sz w:val="24"/>
                <w:szCs w:val="24"/>
              </w:rPr>
              <w:t xml:space="preserve">2524463</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Programme: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DBA – Term 3</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Module: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LCDB7012: Advancing to Doctoral Research Stage</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Lecturer:</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Dr Stephen Malone</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Campus: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UWTSD Birmingham Campus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Word Count:</w:t>
            </w:r>
          </w:p>
        </w:tc>
        <w:tc>
          <w:tcPr>
            <w:tcW w:type="dxa" w:w="6760"/>
          </w:tcPr>
          <w:p>
            <w:pPr>
              <w:spacing w:after="80"/>
            </w:pPr>
            <w:r>
              <w:rPr>
                <w:rFonts w:ascii="Times New Roman" w:cs="Times New Roman" w:eastAsia="Times New Roman" w:hAnsi="Times New Roman"/>
                <w:b w:val="false"/>
                <w:bCs w:val="false"/>
                <w:color w:val="000000"/>
                <w:sz w:val="24"/>
                <w:szCs w:val="24"/>
              </w:rPr>
              <w:t xml:space="preserve">Approximately 4,500 words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Submission Deadline: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17 November 2026 (2pm)</w:t>
            </w:r>
          </w:p>
        </w:tc>
      </w:tr>
    </w:tbl>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Contents</w:t>
      </w:r>
    </w:p>
    <w:p>
      <w:pPr>
        <w:spacing w:after="160" w:line="360"/>
        <w:jc w:val="both"/>
      </w:pPr>
      <w:r>
        <w:rPr>
          <w:rFonts w:ascii="Times New Roman" w:cs="Times New Roman" w:eastAsia="Times New Roman" w:hAnsi="Times New Roman"/>
          <w:b w:val="false"/>
          <w:bCs w:val="false"/>
          <w:color w:val="000000"/>
          <w:sz w:val="24"/>
          <w:szCs w:val="24"/>
        </w:rPr>
        <w:t xml:space="preserve">1.  Introduction and Research Title</w:t>
      </w:r>
    </w:p>
    <w:p>
      <w:pPr>
        <w:spacing w:after="160" w:line="360"/>
        <w:jc w:val="both"/>
      </w:pPr>
      <w:r>
        <w:rPr>
          <w:rFonts w:ascii="Times New Roman" w:cs="Times New Roman" w:eastAsia="Times New Roman" w:hAnsi="Times New Roman"/>
          <w:b w:val="false"/>
          <w:bCs w:val="false"/>
          <w:color w:val="000000"/>
          <w:sz w:val="24"/>
          <w:szCs w:val="24"/>
        </w:rPr>
        <w:t xml:space="preserve">2.  Project Objectives</w:t>
      </w:r>
    </w:p>
    <w:p>
      <w:pPr>
        <w:spacing w:after="160" w:line="360"/>
        <w:jc w:val="both"/>
      </w:pPr>
      <w:r>
        <w:rPr>
          <w:rFonts w:ascii="Times New Roman" w:cs="Times New Roman" w:eastAsia="Times New Roman" w:hAnsi="Times New Roman"/>
          <w:b w:val="false"/>
          <w:bCs w:val="false"/>
          <w:color w:val="000000"/>
          <w:sz w:val="24"/>
          <w:szCs w:val="24"/>
        </w:rPr>
        <w:t xml:space="preserve">3.  Portfolio Overview</w:t>
      </w:r>
    </w:p>
    <w:p>
      <w:pPr>
        <w:spacing w:after="160" w:line="360"/>
        <w:jc w:val="both"/>
      </w:pPr>
      <w:r>
        <w:rPr>
          <w:rFonts w:ascii="Times New Roman" w:cs="Times New Roman" w:eastAsia="Times New Roman" w:hAnsi="Times New Roman"/>
          <w:b w:val="false"/>
          <w:bCs w:val="false"/>
          <w:color w:val="000000"/>
          <w:sz w:val="24"/>
          <w:szCs w:val="24"/>
        </w:rPr>
        <w:t xml:space="preserve">4.  Portfolio Item 1 – WWHH Research Framework (Inciting Incident)</w:t>
      </w:r>
    </w:p>
    <w:p>
      <w:pPr>
        <w:spacing w:after="160" w:line="360"/>
        <w:jc w:val="both"/>
      </w:pPr>
      <w:r>
        <w:rPr>
          <w:rFonts w:ascii="Times New Roman" w:cs="Times New Roman" w:eastAsia="Times New Roman" w:hAnsi="Times New Roman"/>
          <w:b w:val="false"/>
          <w:bCs w:val="false"/>
          <w:color w:val="000000"/>
          <w:sz w:val="24"/>
          <w:szCs w:val="24"/>
        </w:rPr>
        <w:t xml:space="preserve">5.  Portfolio Item 2 – Annotated Bibliography Extract (Rising Action)</w:t>
      </w:r>
    </w:p>
    <w:p>
      <w:pPr>
        <w:spacing w:after="160" w:line="360"/>
        <w:jc w:val="both"/>
      </w:pPr>
      <w:r>
        <w:rPr>
          <w:rFonts w:ascii="Times New Roman" w:cs="Times New Roman" w:eastAsia="Times New Roman" w:hAnsi="Times New Roman"/>
          <w:b w:val="false"/>
          <w:bCs w:val="false"/>
          <w:color w:val="000000"/>
          <w:sz w:val="24"/>
          <w:szCs w:val="24"/>
        </w:rPr>
        <w:t xml:space="preserve">6.  Portfolio Item 3 – Conceptual Framework Diagram (Crisis and Resolution)</w:t>
      </w:r>
    </w:p>
    <w:p>
      <w:pPr>
        <w:spacing w:after="160" w:line="360"/>
        <w:jc w:val="both"/>
      </w:pPr>
      <w:r>
        <w:rPr>
          <w:rFonts w:ascii="Times New Roman" w:cs="Times New Roman" w:eastAsia="Times New Roman" w:hAnsi="Times New Roman"/>
          <w:b w:val="false"/>
          <w:bCs w:val="false"/>
          <w:color w:val="000000"/>
          <w:sz w:val="24"/>
          <w:szCs w:val="24"/>
        </w:rPr>
        <w:t xml:space="preserve">7.  Portfolio Item 4 – Research Planning Table (Climax)</w:t>
      </w:r>
    </w:p>
    <w:p>
      <w:pPr>
        <w:spacing w:after="160" w:line="360"/>
        <w:jc w:val="both"/>
      </w:pPr>
      <w:r>
        <w:rPr>
          <w:rFonts w:ascii="Times New Roman" w:cs="Times New Roman" w:eastAsia="Times New Roman" w:hAnsi="Times New Roman"/>
          <w:b w:val="false"/>
          <w:bCs w:val="false"/>
          <w:color w:val="000000"/>
          <w:sz w:val="24"/>
          <w:szCs w:val="24"/>
        </w:rPr>
        <w:t xml:space="preserve">8.  Denouement – Resolving Contradictions in My Plan</w:t>
      </w:r>
    </w:p>
    <w:p>
      <w:pPr>
        <w:spacing w:after="160" w:line="360"/>
        <w:jc w:val="both"/>
      </w:pPr>
      <w:r>
        <w:rPr>
          <w:rFonts w:ascii="Times New Roman" w:cs="Times New Roman" w:eastAsia="Times New Roman" w:hAnsi="Times New Roman"/>
          <w:b w:val="false"/>
          <w:bCs w:val="false"/>
          <w:color w:val="000000"/>
          <w:sz w:val="24"/>
          <w:szCs w:val="24"/>
        </w:rPr>
        <w:t xml:space="preserve">9.  Conclusion and Next Steps</w:t>
      </w:r>
    </w:p>
    <w:p>
      <w:pPr>
        <w:spacing w:after="160" w:line="360"/>
        <w:jc w:val="both"/>
      </w:pPr>
      <w:r>
        <w:rPr>
          <w:rFonts w:ascii="Times New Roman" w:cs="Times New Roman" w:eastAsia="Times New Roman" w:hAnsi="Times New Roman"/>
          <w:b w:val="false"/>
          <w:bCs w:val="false"/>
          <w:color w:val="000000"/>
          <w:sz w:val="24"/>
          <w:szCs w:val="24"/>
        </w:rPr>
        <w:t xml:space="preserve">10.  References</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1. Introduction and Research Title</w:t>
      </w:r>
    </w:p>
    <w:p>
      <w:pPr>
        <w:spacing w:after="160" w:line="360"/>
        <w:jc w:val="both"/>
      </w:pPr>
      <w:r>
        <w:rPr>
          <w:rFonts w:ascii="Times New Roman" w:cs="Times New Roman" w:eastAsia="Times New Roman" w:hAnsi="Times New Roman"/>
          <w:b w:val="false"/>
          <w:bCs w:val="false"/>
          <w:color w:val="000000"/>
          <w:sz w:val="24"/>
          <w:szCs w:val="24"/>
        </w:rPr>
        <w:t xml:space="preserve">When I first began thinking about what my doctoral research would focus on, I kept coming back to something I had seen in practice: UK retail is one of the highest-turnover sectors in the country, yet the organisations operating in it rarely seem to know what actually drives that turnover or how to address it. I work in a business environment where frontline workers are constantly leaving, and I wanted to understand whether giving employees more control over their working time could change that pattern.</w:t>
      </w:r>
    </w:p>
    <w:p>
      <w:pPr>
        <w:spacing w:after="160" w:line="360"/>
        <w:jc w:val="both"/>
      </w:pPr>
      <w:r>
        <w:rPr>
          <w:rFonts w:ascii="Times New Roman" w:cs="Times New Roman" w:eastAsia="Times New Roman" w:hAnsi="Times New Roman"/>
          <w:b w:val="false"/>
          <w:bCs w:val="false"/>
          <w:color w:val="000000"/>
          <w:sz w:val="24"/>
          <w:szCs w:val="24"/>
        </w:rPr>
        <w:t xml:space="preserve">The research title I have settled on is:</w:t>
      </w:r>
    </w:p>
    <w:p>
      <w:pPr>
        <w:pBdr>
          <w:top w:val="single" w:color="1F3864" w:sz="6"/>
          <w:bottom w:val="single" w:color="1F3864" w:sz="6"/>
        </w:pBdr>
        <w:spacing w:after="200" w:before="200"/>
        <w:jc w:val="center"/>
      </w:pPr>
      <w:r>
        <w:rPr>
          <w:rFonts w:ascii="Times New Roman" w:cs="Times New Roman" w:eastAsia="Times New Roman" w:hAnsi="Times New Roman"/>
          <w:b/>
          <w:bCs/>
          <w:color w:val="000000"/>
          <w:sz w:val="24"/>
          <w:szCs w:val="24"/>
        </w:rPr>
        <w:t xml:space="preserve">The Impact of Flexible Working Arrangements on Employee Turnover Intentions in UK Retail Supermarkets</w:t>
      </w:r>
    </w:p>
    <w:p>
      <w:pPr>
        <w:spacing w:after="160" w:line="360"/>
        <w:jc w:val="both"/>
      </w:pPr>
      <w:r>
        <w:rPr>
          <w:rFonts w:ascii="Times New Roman" w:cs="Times New Roman" w:eastAsia="Times New Roman" w:hAnsi="Times New Roman"/>
          <w:b w:val="false"/>
          <w:bCs w:val="false"/>
          <w:color w:val="000000"/>
          <w:sz w:val="24"/>
          <w:szCs w:val="24"/>
        </w:rPr>
        <w:t xml:space="preserve">This title captures three things I care about: a specific practical intervention (flexible working), a specific measurable outcome (turnover intentions), and a specific context that has been largely ignored in the academic literature (frontline workers in UK retail supermarkets). The title has evolved over the course of the module. My earlier drafts referred simply to 'employee retention' and 'work flexibility', which were far too broad. Narrowing to turnover intentions rather than actual turnover allowed me to design a study I could realistically complete within DBA timescales, because measuring intentions through a survey is achievable in a way that tracking actual exits over time is not.</w:t>
      </w:r>
    </w:p>
    <w:p>
      <w:pPr>
        <w:spacing w:after="160" w:line="360"/>
        <w:jc w:val="both"/>
      </w:pPr>
      <w:r>
        <w:rPr>
          <w:rFonts w:ascii="Times New Roman" w:cs="Times New Roman" w:eastAsia="Times New Roman" w:hAnsi="Times New Roman"/>
          <w:b w:val="false"/>
          <w:bCs w:val="false"/>
          <w:color w:val="000000"/>
          <w:sz w:val="24"/>
          <w:szCs w:val="24"/>
        </w:rPr>
        <w:t xml:space="preserve">It is worth noting the connection between this title and how Thomas Kuhn (1970) describes scientific progress. Kuhn argues that science advances not through the gradual accumulation of facts within an existing paradigm, but through periodic shifts in which anomalies accumulate until a new paradigm replaces the old one. The anomaly in my field is this: flexible working has been widely promoted and legally protected through the UK Flexible Working Act 2023, yet evidence of its effect on retention among frontline retail workers who cannot work from home remains almost entirely absent. That gap in the evidence is my inciting incident.</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2. Project Objectives</w:t>
      </w:r>
    </w:p>
    <w:p>
      <w:pPr>
        <w:spacing w:after="160" w:line="360"/>
        <w:jc w:val="both"/>
      </w:pPr>
      <w:r>
        <w:rPr>
          <w:rFonts w:ascii="Times New Roman" w:cs="Times New Roman" w:eastAsia="Times New Roman" w:hAnsi="Times New Roman"/>
          <w:b w:val="false"/>
          <w:bCs w:val="false"/>
          <w:color w:val="000000"/>
          <w:sz w:val="24"/>
          <w:szCs w:val="24"/>
        </w:rPr>
        <w:t xml:space="preserve">The study I am planning has four objectives. I arrived at these through an iterative process during the module: I started with a vague interest in 'flexible working and retention', tested it against the literature and feedback from class, and refined the objectives until they were measurable, achievable, and genuinely doctoral in scope.</w:t>
      </w:r>
    </w:p>
    <w:p>
      <w:pPr>
        <w:spacing w:after="160" w:line="360"/>
        <w:jc w:val="both"/>
      </w:pPr>
      <w:r>
        <w:rPr>
          <w:rFonts w:ascii="Times New Roman" w:cs="Times New Roman" w:eastAsia="Times New Roman" w:hAnsi="Times New Roman"/>
          <w:b w:val="false"/>
          <w:bCs w:val="false"/>
          <w:color w:val="000000"/>
          <w:sz w:val="24"/>
          <w:szCs w:val="24"/>
        </w:rPr>
        <w:t xml:space="preserve">The four objectives are:</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To examine the relationship between flexible working arrangements and employee turnover intentions among frontline workers in UK retail supermarkets.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To determine whether job satisfaction mediates the relationship between flexible working arrangements and employee turnover intentions.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To assess whether perceived organisational support moderates the relationship between flexible working arrangements and job satisfaction.</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To provide evidence-based recommendations for HR practitioners in UK retail on the design and implementation of flexible working policies that reduce voluntary turnover.</w:t>
      </w:r>
    </w:p>
    <w:p>
      <w:pPr>
        <w:spacing w:after="160" w:line="360"/>
        <w:jc w:val="both"/>
      </w:pPr>
      <w:r>
        <w:rPr>
          <w:rFonts w:ascii="Times New Roman" w:cs="Times New Roman" w:eastAsia="Times New Roman" w:hAnsi="Times New Roman"/>
          <w:b w:val="false"/>
          <w:bCs w:val="false"/>
          <w:color w:val="000000"/>
          <w:sz w:val="24"/>
          <w:szCs w:val="24"/>
        </w:rPr>
        <w:t xml:space="preserve">These objectives map onto three research questions. The first asks whether flexible working and turnover intentions are statistically related in UK retail frontline workers. The second asks whether this relationship operates through job satisfaction as a mediating variable. The third asks whether perceived organisational support makes the relationship stronger or weaker. Each objective is testable using validated quantitative instruments, and each contributes something that the existing literature has not yet answered for this specific population.</w:t>
      </w:r>
    </w:p>
    <w:p>
      <w:pPr>
        <w:spacing w:after="160" w:line="360"/>
        <w:jc w:val="both"/>
      </w:pPr>
      <w:r>
        <w:rPr>
          <w:rFonts w:ascii="Times New Roman" w:cs="Times New Roman" w:eastAsia="Times New Roman" w:hAnsi="Times New Roman"/>
          <w:b w:val="false"/>
          <w:bCs w:val="false"/>
          <w:color w:val="000000"/>
          <w:sz w:val="24"/>
          <w:szCs w:val="24"/>
        </w:rPr>
        <w:t xml:space="preserve">Aligning with Kuhn's framework, these objectives do not simply extend existing knowledge incrementally. They challenge the assumption, embedded in the dominant literature, that flexible working's benefits are universal regardless of worker type. By focusing specifically on frontline retail workers who are bound to physical locations, I am testing whether the paradigm built on office-based and hybrid-capable workers actually holds when applied to this different population. That is, in Kuhn's terms, a test of whether the existing paradigm can accommodate this anomaly or whether a new conceptual framework is needed.</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3. Portfolio Overview</w:t>
      </w:r>
    </w:p>
    <w:p>
      <w:pPr>
        <w:spacing w:after="160" w:line="360"/>
        <w:jc w:val="both"/>
      </w:pPr>
      <w:r>
        <w:rPr>
          <w:rFonts w:ascii="Times New Roman" w:cs="Times New Roman" w:eastAsia="Times New Roman" w:hAnsi="Times New Roman"/>
          <w:b w:val="false"/>
          <w:bCs w:val="false"/>
          <w:color w:val="000000"/>
          <w:sz w:val="24"/>
          <w:szCs w:val="24"/>
        </w:rPr>
        <w:t xml:space="preserve">This portfolio contains four items. Each one represents a distinct stage in my research planning and development. I have selected these four items because they are the ones that most directly shaped my thinking and caused me to revise my initial assumptions.</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00"/>
        <w:gridCol w:w="100"/>
      </w:tblGrid>
      <w:tr>
        <w:tc>
          <w:tcPr>
            <w:tcW w:type="dxa" w:w="2600"/>
            <w:shd w:fill="D9E1F2" w:val="clear"/>
          </w:tcPr>
          <w:p>
            <w:pPr>
              <w:spacing w:after="80"/>
            </w:pPr>
            <w:r>
              <w:rPr>
                <w:rFonts w:ascii="Times New Roman" w:cs="Times New Roman" w:eastAsia="Times New Roman" w:hAnsi="Times New Roman"/>
                <w:b/>
                <w:bCs/>
                <w:color w:val="000000"/>
                <w:sz w:val="24"/>
                <w:szCs w:val="24"/>
              </w:rPr>
              <w:t xml:space="preserve">Item</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Description</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Item 1</w:t>
            </w:r>
          </w:p>
        </w:tc>
        <w:tc>
          <w:tcPr>
            <w:tcW w:type="dxa" w:w="6760"/>
          </w:tcPr>
          <w:p>
            <w:pPr>
              <w:spacing w:after="80"/>
            </w:pPr>
            <w:r>
              <w:rPr>
                <w:rFonts w:ascii="Times New Roman" w:cs="Times New Roman" w:eastAsia="Times New Roman" w:hAnsi="Times New Roman"/>
                <w:b w:val="false"/>
                <w:bCs w:val="false"/>
                <w:color w:val="000000"/>
                <w:sz w:val="24"/>
                <w:szCs w:val="24"/>
              </w:rPr>
              <w:t xml:space="preserve">WWHH Research Framework – my structured articulation of what puzzles me, why it matters, and how I plan to investigate it.</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Item 2</w:t>
            </w:r>
          </w:p>
        </w:tc>
        <w:tc>
          <w:tcPr>
            <w:tcW w:type="dxa" w:w="6760"/>
          </w:tcPr>
          <w:p>
            <w:pPr>
              <w:spacing w:after="80"/>
            </w:pPr>
            <w:r>
              <w:rPr>
                <w:rFonts w:ascii="Times New Roman" w:cs="Times New Roman" w:eastAsia="Times New Roman" w:hAnsi="Times New Roman"/>
                <w:b w:val="false"/>
                <w:bCs w:val="false"/>
                <w:color w:val="000000"/>
                <w:sz w:val="24"/>
                <w:szCs w:val="24"/>
              </w:rPr>
              <w:t xml:space="preserve">Annotated Bibliography Extract – a selection of the most influential recent sources I reviewed, with critical commentary on each.</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Item 3</w:t>
            </w:r>
          </w:p>
        </w:tc>
        <w:tc>
          <w:tcPr>
            <w:tcW w:type="dxa" w:w="6760"/>
          </w:tcPr>
          <w:p>
            <w:pPr>
              <w:spacing w:after="80"/>
            </w:pPr>
            <w:r>
              <w:rPr>
                <w:rFonts w:ascii="Times New Roman" w:cs="Times New Roman" w:eastAsia="Times New Roman" w:hAnsi="Times New Roman"/>
                <w:b w:val="false"/>
                <w:bCs w:val="false"/>
                <w:color w:val="000000"/>
                <w:sz w:val="24"/>
                <w:szCs w:val="24"/>
              </w:rPr>
              <w:t xml:space="preserve">Conceptual Framework Diagram – a visual representation of the relationships my study proposes to test, including the mediator and moderator variables.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Item 4</w:t>
            </w:r>
          </w:p>
        </w:tc>
        <w:tc>
          <w:tcPr>
            <w:tcW w:type="dxa" w:w="6760"/>
          </w:tcPr>
          <w:p>
            <w:pPr>
              <w:spacing w:after="80"/>
            </w:pPr>
            <w:r>
              <w:rPr>
                <w:rFonts w:ascii="Times New Roman" w:cs="Times New Roman" w:eastAsia="Times New Roman" w:hAnsi="Times New Roman"/>
                <w:b w:val="false"/>
                <w:bCs w:val="false"/>
                <w:color w:val="000000"/>
                <w:sz w:val="24"/>
                <w:szCs w:val="24"/>
              </w:rPr>
              <w:t xml:space="preserve">Research Planning Table – a structured overview of my philosophical position, design choices, sampling approach, and analytical strategy.</w:t>
            </w:r>
          </w:p>
        </w:tc>
      </w:tr>
    </w:tbl>
    <w:p>
      <w:pPr>
        <w:spacing w:after="80"/>
      </w:pPr>
      <w:r>
        <w:rPr>
          <w:rFonts w:ascii="Times New Roman" w:cs="Times New Roman" w:eastAsia="Times New Roman" w:hAnsi="Times New Roman"/>
          <w:b w:val="false"/>
          <w:bCs w:val="false"/>
          <w:color w:val="000000"/>
          <w:sz w:val="24"/>
          <w:szCs w:val="24"/>
        </w:rPr>
        <w:t xml:space="preserve"/>
      </w:r>
    </w:p>
    <w:p>
      <w:pPr>
        <w:spacing w:after="160" w:line="360"/>
        <w:jc w:val="both"/>
      </w:pPr>
      <w:r>
        <w:rPr>
          <w:rFonts w:ascii="Times New Roman" w:cs="Times New Roman" w:eastAsia="Times New Roman" w:hAnsi="Times New Roman"/>
          <w:b w:val="false"/>
          <w:bCs w:val="false"/>
          <w:color w:val="000000"/>
          <w:sz w:val="24"/>
          <w:szCs w:val="24"/>
        </w:rPr>
        <w:t xml:space="preserve">Taken together, these four items trace the intellectual journey from an initial problem observation to a fully formed and defensible research plan. They are not independent documents: each one informed and shaped the next. The WWHH framework forced me to articulate the problem clearly before I started reading. The annotated bibliography deepened my understanding of the theoretical landscape. The conceptual framework translated that theoretical understanding into a testable model. And the research planning table converted that model into an operational plan.</w:t>
      </w:r>
    </w:p>
    <w:p>
      <w:pPr>
        <w:spacing w:after="160" w:line="360"/>
        <w:jc w:val="both"/>
      </w:pPr>
      <w:r>
        <w:rPr>
          <w:rFonts w:ascii="Times New Roman" w:cs="Times New Roman" w:eastAsia="Times New Roman" w:hAnsi="Times New Roman"/>
          <w:b w:val="false"/>
          <w:bCs w:val="false"/>
          <w:color w:val="000000"/>
          <w:sz w:val="24"/>
          <w:szCs w:val="24"/>
        </w:rPr>
        <w:t xml:space="preserve">I will now present and analyse each item in turn, explaining not just what it contains but what I learned from creating it and how it influenced my ultimate research design.</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4. Portfolio Item 1 – WWHH Research Framework</w:t>
      </w:r>
    </w:p>
    <w:p>
      <w:pPr>
        <w:pStyle w:val="Heading2"/>
        <w:spacing w:after="120" w:before="240"/>
        <w:jc w:val="left"/>
      </w:pPr>
      <w:r>
        <w:rPr>
          <w:rFonts w:ascii="Times New Roman" w:cs="Times New Roman" w:eastAsia="Times New Roman" w:hAnsi="Times New Roman"/>
          <w:b/>
          <w:bCs/>
          <w:color w:val="1F3864"/>
          <w:sz w:val="26"/>
          <w:szCs w:val="26"/>
        </w:rPr>
        <w:t xml:space="preserve">Inciting Incident: What Puzzles Me and Why It Matters</w:t>
      </w:r>
    </w:p>
    <w:p>
      <w:pPr>
        <w:spacing w:after="160" w:line="360"/>
        <w:jc w:val="both"/>
      </w:pPr>
      <w:r>
        <w:rPr>
          <w:rFonts w:ascii="Times New Roman" w:cs="Times New Roman" w:eastAsia="Times New Roman" w:hAnsi="Times New Roman"/>
          <w:b w:val="false"/>
          <w:bCs w:val="false"/>
          <w:color w:val="000000"/>
          <w:sz w:val="24"/>
          <w:szCs w:val="24"/>
        </w:rPr>
        <w:t xml:space="preserve">The WWHH framework (What, Why, How Conceptually, How Practically) is a structured tool for testing whether a research question is genuinely worth pursuing. I completed this framework in the early weeks of the module as my first serious attempt to test my topic idea. The full framework appears as Appendix A at the end of this portfolio.</w:t>
      </w:r>
    </w:p>
    <w:p>
      <w:pPr>
        <w:spacing w:after="160" w:line="360"/>
        <w:jc w:val="both"/>
      </w:pPr>
      <w:r>
        <w:rPr>
          <w:rFonts w:ascii="Times New Roman" w:cs="Times New Roman" w:eastAsia="Times New Roman" w:hAnsi="Times New Roman"/>
          <w:b w:val="false"/>
          <w:bCs w:val="false"/>
          <w:color w:val="000000"/>
          <w:sz w:val="24"/>
          <w:szCs w:val="24"/>
        </w:rPr>
        <w:t xml:space="preserve">The 'What' column of the framework forced me to state my research puzzle in concrete terms rather than vague generalities. The puzzle I identified was this: UK retail has some of the highest staff turnover rates of any sector in the country, with CIPD (2023) reporting annual turnover of 25 to 35 percent compared to a national average of around 15 percent. The cost of replacing a single frontline retail employee is estimated at between three thousand and five thousand pounds (Quinyx, 2023), which makes the aggregate financial impact enormous for large chains. Despite this, most of the academic literature on flexible working and turnover focuses on office-based or hybrid-capable workers. Frontline retail workers, who must be physically present for every shift, have been almost entirely overlooked. The question that emerged from this observation was: does offering flexible working arrangements to shift-based frontline workers actually reduce their intention to leave?</w:t>
      </w:r>
    </w:p>
    <w:p>
      <w:pPr>
        <w:spacing w:after="160" w:line="360"/>
        <w:jc w:val="both"/>
      </w:pPr>
      <w:r>
        <w:rPr>
          <w:rFonts w:ascii="Times New Roman" w:cs="Times New Roman" w:eastAsia="Times New Roman" w:hAnsi="Times New Roman"/>
          <w:b w:val="false"/>
          <w:bCs w:val="false"/>
          <w:color w:val="000000"/>
          <w:sz w:val="24"/>
          <w:szCs w:val="24"/>
        </w:rPr>
        <w:t xml:space="preserve">The 'Why' column pushed me to articulate three distinct types of significance. Practically, the research addresses a direct, measurable business problem: if flexible working reduces turnover even modestly, the financial savings for large UK retailers would be substantial. Strategically, the UK Flexible Working Act 2023 has changed the legal landscape, giving employees the right to request flexible working from day one of employment. Retailers are now legally required to consider these requests, but they have little evidence about whether acting on them will improve retention. My research can provide that evidence. Theoretically, the study extends Conservation of Resources Theory (Hobfoll, 1989) into a context where it has rarely been tested: physical frontline work in a UK post-pandemic setting.</w:t>
      </w:r>
    </w:p>
    <w:p>
      <w:pPr>
        <w:spacing w:after="160" w:line="360"/>
        <w:jc w:val="both"/>
      </w:pPr>
      <w:r>
        <w:rPr>
          <w:rFonts w:ascii="Times New Roman" w:cs="Times New Roman" w:eastAsia="Times New Roman" w:hAnsi="Times New Roman"/>
          <w:b w:val="false"/>
          <w:bCs w:val="false"/>
          <w:color w:val="000000"/>
          <w:sz w:val="24"/>
          <w:szCs w:val="24"/>
        </w:rPr>
        <w:t xml:space="preserve">What the WWHH framework taught me was the importance of precision. In my first draft, I had described my research puzzle as 'understanding how work flexibility affects employee satisfaction in retail'. That phrasing is too broad for doctoral research and does not identify any specific gap. Working through the WWHH columns forced me to identify the specific population (frontline retail workers), the specific intervention (flexible working arrangements as defined by Hill et al., 2008), the specific outcome (turnover intentions, not actual turnover), and the specific context (UK retail post-2023). This precision is what makes the research both original and feasible.</w:t>
      </w:r>
    </w:p>
    <w:p>
      <w:pPr>
        <w:spacing w:after="160" w:line="360"/>
        <w:jc w:val="both"/>
      </w:pPr>
      <w:r>
        <w:rPr>
          <w:rFonts w:ascii="Times New Roman" w:cs="Times New Roman" w:eastAsia="Times New Roman" w:hAnsi="Times New Roman"/>
          <w:b w:val="false"/>
          <w:bCs w:val="false"/>
          <w:color w:val="000000"/>
          <w:sz w:val="24"/>
          <w:szCs w:val="24"/>
        </w:rPr>
        <w:t xml:space="preserve">In Kuhn's terms, this item represents the inciting incident: the identification of an anomaly within an existing paradigm. The dominant paradigm in flexible working research assumes that flexibility is broadly beneficial and broadly applicable. The anomaly is that this paradigm has never been seriously tested on workers who cannot access the most common form of flexibility, namely working from home. My research tests the paradigm at its boundary.</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5. Portfolio Item 2 – Annotated Bibliography Extract</w:t>
      </w:r>
    </w:p>
    <w:p>
      <w:pPr>
        <w:pStyle w:val="Heading2"/>
        <w:spacing w:after="120" w:before="240"/>
        <w:jc w:val="left"/>
      </w:pPr>
      <w:r>
        <w:rPr>
          <w:rFonts w:ascii="Times New Roman" w:cs="Times New Roman" w:eastAsia="Times New Roman" w:hAnsi="Times New Roman"/>
          <w:b/>
          <w:bCs/>
          <w:color w:val="1F3864"/>
          <w:sz w:val="26"/>
          <w:szCs w:val="26"/>
        </w:rPr>
        <w:t xml:space="preserve">Rising Action: Building the Theoretical and Empirical Foundation</w:t>
      </w:r>
    </w:p>
    <w:p>
      <w:pPr>
        <w:spacing w:after="160" w:line="360"/>
        <w:jc w:val="both"/>
      </w:pPr>
      <w:r>
        <w:rPr>
          <w:rFonts w:ascii="Times New Roman" w:cs="Times New Roman" w:eastAsia="Times New Roman" w:hAnsi="Times New Roman"/>
          <w:b w:val="false"/>
          <w:bCs w:val="false"/>
          <w:color w:val="000000"/>
          <w:sz w:val="24"/>
          <w:szCs w:val="24"/>
        </w:rPr>
        <w:t xml:space="preserve">The second item in my portfolio is an extract from the annotated bibliography I developed over the first several weeks of the module. The full bibliography, which covers one hundred sources organised into five thematic clusters, formed the backbone of my Critical Literature Review submitted for LCDB7009. For this portfolio, I have selected eight sources published between 2015 and 2026 that were particularly influential in shaping my understanding of the research landscape. These are presented below with critical annotations.</w:t>
      </w:r>
    </w:p>
    <w:p>
      <w:pPr>
        <w:pStyle w:val="Heading2"/>
        <w:spacing w:after="120" w:before="240"/>
        <w:jc w:val="left"/>
      </w:pPr>
      <w:r>
        <w:rPr>
          <w:rFonts w:ascii="Times New Roman" w:cs="Times New Roman" w:eastAsia="Times New Roman" w:hAnsi="Times New Roman"/>
          <w:b/>
          <w:bCs/>
          <w:color w:val="1F3864"/>
          <w:sz w:val="26"/>
          <w:szCs w:val="26"/>
        </w:rPr>
        <w:t xml:space="preserve">Annotated Bibliography Extract (2015-2026)</w:t>
      </w:r>
    </w:p>
    <w:p>
      <w:pPr>
        <w:spacing w:after="80" w:before="200"/>
      </w:pPr>
      <w:r>
        <w:rPr>
          <w:rFonts w:ascii="Times New Roman" w:cs="Times New Roman" w:eastAsia="Times New Roman" w:hAnsi="Times New Roman"/>
          <w:b/>
          <w:bCs/>
          <w:color w:val="000000"/>
          <w:sz w:val="24"/>
          <w:szCs w:val="24"/>
        </w:rPr>
        <w:t xml:space="preserve">1. George, J. and Poluru, N. (2024) 'Exploring the impact of flexible work arrangements on turnover intention: The mediating role of job satisfaction and the moderating effect of perceived supervisory support', Journal of Accounting, Business and Management, 32(1), pp.100-123.</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This is the single most directly relevant paper I found during my literature search. George and Poluru test the full mediation pathway from flexible working through job satisfaction to turnover intention using structural equation modelling with 312 employees. Their key finding is that job satisfaction fully mediates this relationship, meaning that flexible working does not reduce turnover intention directly but does so by first improving how employees feel about their jobs. The study also finds that supervisory support strengthens this mediation. The limitation for my purposes is that the sample is multi-industry and not UK-specific. My study directly extends their model to the UK frontline retail context. This paper confirmed my decision to include job satisfaction as a mediating variable in my conceptual model.</w:t>
      </w:r>
    </w:p>
    <w:p>
      <w:pPr>
        <w:spacing w:after="80" w:before="200"/>
      </w:pPr>
      <w:r>
        <w:rPr>
          <w:rFonts w:ascii="Times New Roman" w:cs="Times New Roman" w:eastAsia="Times New Roman" w:hAnsi="Times New Roman"/>
          <w:b/>
          <w:bCs/>
          <w:color w:val="000000"/>
          <w:sz w:val="24"/>
          <w:szCs w:val="24"/>
        </w:rPr>
        <w:t xml:space="preserve">2. Taborosi, S., Katavic, I. and Fabac, R. (2022) 'The mediating role of job satisfaction in the relationship between flexible work arrangements and turnover intentions', Sustainability, 14(8), p.4502.</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Taborosi et al. provide additional quantitative support for the mediation hypothesis across a different national context (Serbia). Their use of regression and mediation analysis with 287 employees produces findings consistent with George and Poluru: the indirect effect of flexible working on turnover intentions via job satisfaction is statistically significant. The strength of this paper for my research is that it demonstrates the mediation pathway holds across different national and cultural contexts, which increases the theoretical robustness of the mechanism. It also highlighted a limitation I need to acknowledge: all cross-sectional survey designs face common method bias risk, which I will address through Harman's single-factor test.</w:t>
      </w:r>
    </w:p>
    <w:p>
      <w:pPr>
        <w:spacing w:after="80" w:before="200"/>
      </w:pPr>
      <w:r>
        <w:rPr>
          <w:rFonts w:ascii="Times New Roman" w:cs="Times New Roman" w:eastAsia="Times New Roman" w:hAnsi="Times New Roman"/>
          <w:b/>
          <w:bCs/>
          <w:color w:val="000000"/>
          <w:sz w:val="24"/>
          <w:szCs w:val="24"/>
        </w:rPr>
        <w:t xml:space="preserve">3. Yunas, S. and Mostafa, A.M.S. (2022) 'Flexible working practices and job-related anxiety: Examining the roles of trust in management and job autonomy', Economic and Industrial Democracy, 43(3), pp.1340-1368.</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This paper is particularly valuable because it uses UK-specific data from the British Workplace Employment Relations Survey (WERS), making it one of the few sources in the literature that is contextually aligned with my study. Yunas and Mostafa find that flexible working reduces job-related anxiety primarily through building trust in management and enhancing job autonomy. While their outcome variable is anxiety rather than turnover intention, the mechanisms they identify, trust and autonomy, are closely related to Conservation of Resources Theory and the job satisfaction pathway I am testing. This paper also uses multilevel structural equation modelling, which gave me a useful comparison point when thinking about whether my simpler regression approach is methodologically justifiable.</w:t>
      </w:r>
    </w:p>
    <w:p>
      <w:pPr>
        <w:spacing w:after="80" w:before="200"/>
      </w:pPr>
      <w:r>
        <w:rPr>
          <w:rFonts w:ascii="Times New Roman" w:cs="Times New Roman" w:eastAsia="Times New Roman" w:hAnsi="Times New Roman"/>
          <w:b/>
          <w:bCs/>
          <w:color w:val="000000"/>
          <w:sz w:val="24"/>
          <w:szCs w:val="24"/>
        </w:rPr>
        <w:t xml:space="preserve">4. Chung, H. (2022) 'The Flexibility Paradox: Why Flexible Working Leads to (Self-)Exploitation', Bristol: Policy Press.</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Chung's book provided the most important counterargument I encountered during my literature review. She argues that flexibility is not inherently beneficial and can lead to self-exploitation, particularly for women who feel pressured to work additional hours because they have gained time flexibility. This critical perspective challenged my initial assumption that flexible working is straightforwardly positive and caused me to reconsider the scope of my research question. My response was to limit my claim: I am not arguing that flexible working is universally beneficial, but that it is hypothesised to reduce turnover intentions in a specific population (UK frontline retail workers) where the 'flexibility trap' is less likely to operate because these workers have less discretion over total hours worked.</w:t>
      </w:r>
    </w:p>
    <w:p>
      <w:pPr>
        <w:spacing w:after="80" w:before="200"/>
      </w:pPr>
      <w:r>
        <w:rPr>
          <w:rFonts w:ascii="Times New Roman" w:cs="Times New Roman" w:eastAsia="Times New Roman" w:hAnsi="Times New Roman"/>
          <w:b/>
          <w:bCs/>
          <w:color w:val="000000"/>
          <w:sz w:val="24"/>
          <w:szCs w:val="24"/>
        </w:rPr>
        <w:t xml:space="preserve">5. Rhoades, L. and Eisenberger, R. (2002) 'Perceived organizational support: A review of the literature', Journal of Applied Psychology, 87(4), pp.698-714.</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Although this paper predates my 2015 cut-off, I have included it here as a theoretical anchor because it remains the most comprehensive review of Perceived Organisational Support (POS) in the literature and because later empirical work consistently cites it. Rhoades and Eisenberger synthesise evidence showing that POS is positively associated with job satisfaction, organisational commitment, and performance, and negatively associated with withdrawal behaviours including turnover. This makes POS a theoretically sound moderating variable for my study: when employees feel their organisation genuinely cares about their wellbeing, the positive effect of flexibility on job satisfaction should be amplified.</w:t>
      </w:r>
    </w:p>
    <w:p>
      <w:pPr>
        <w:spacing w:after="80" w:before="200"/>
      </w:pPr>
      <w:r>
        <w:rPr>
          <w:rFonts w:ascii="Times New Roman" w:cs="Times New Roman" w:eastAsia="Times New Roman" w:hAnsi="Times New Roman"/>
          <w:b/>
          <w:bCs/>
          <w:color w:val="000000"/>
          <w:sz w:val="24"/>
          <w:szCs w:val="24"/>
        </w:rPr>
        <w:t xml:space="preserve">6. CIPD (2023) 'Good Work Index 2023: UK Working Lives', London: Chartered Institute of Personnel and Development.</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This annual survey of over six thousand UK workers provides the most current practitioner evidence on UK workplace conditions. The 2023 report confirms that work-life balance and scheduling flexibility remain among the top drivers of job satisfaction and turnover intention in UK workplaces. It also reports that frontline workers in retail, hospitality, and care are least likely to have access to formal flexible working arrangements despite reporting the highest levels of turnover intention. This confirms both the practical significance of my research and the gap my study addresses.</w:t>
      </w:r>
    </w:p>
    <w:p>
      <w:pPr>
        <w:spacing w:after="80" w:before="200"/>
      </w:pPr>
      <w:r>
        <w:rPr>
          <w:rFonts w:ascii="Times New Roman" w:cs="Times New Roman" w:eastAsia="Times New Roman" w:hAnsi="Times New Roman"/>
          <w:b/>
          <w:bCs/>
          <w:color w:val="000000"/>
          <w:sz w:val="24"/>
          <w:szCs w:val="24"/>
        </w:rPr>
        <w:t xml:space="preserve">7. Beauregard, T.A. and Henry, L.C. (2022) 'Making the link between work-life balance practices and organisational performance', Human Resource Management Review, 32(2), pp.1-14.</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Beauregard and Henry's systematic review of fifty studies on work-life balance practices and organisational performance offers useful methodological insights for my study design. They find that the relationship between flexibility and performance outcomes is typically mediated by employee attitudes (including job satisfaction) rather than operating directly. This supports my theoretical model and reinforced the decision to include job satisfaction as a mediator rather than simply testing the direct relationship between flexible working and turnover. The review also identifies sample diversity as a key quality criterion for studies in this field, which flagged the weakness in my own reliance on a convenience sample.</w:t>
      </w:r>
    </w:p>
    <w:p>
      <w:pPr>
        <w:spacing w:after="80" w:before="200"/>
      </w:pPr>
      <w:r>
        <w:rPr>
          <w:rFonts w:ascii="Times New Roman" w:cs="Times New Roman" w:eastAsia="Times New Roman" w:hAnsi="Times New Roman"/>
          <w:b/>
          <w:bCs/>
          <w:color w:val="000000"/>
          <w:sz w:val="24"/>
          <w:szCs w:val="24"/>
        </w:rPr>
        <w:t xml:space="preserve">8. Wheatley, D. (2017) 'Employee satisfaction and use of flexible working arrangements', Work, Employment and Society, 31(4), pp.567-585.</w:t>
      </w:r>
    </w:p>
    <w:p>
      <w:pPr>
        <w:spacing w:after="160"/>
        <w:ind w:left="480"/>
        <w:jc w:val="both"/>
      </w:pPr>
      <w:r>
        <w:rPr>
          <w:rFonts w:ascii="Times New Roman" w:cs="Times New Roman" w:eastAsia="Times New Roman" w:hAnsi="Times New Roman"/>
          <w:b w:val="false"/>
          <w:bCs w:val="false"/>
          <w:color w:val="000000"/>
          <w:sz w:val="24"/>
          <w:szCs w:val="24"/>
        </w:rPr>
        <w:t xml:space="preserve">Critical Note: Wheatley's study uses UK data from the British Household Panel Study to examine how the use of flexible working arrangements relates to employee satisfaction across different occupational groups. He finds that the relationship is stronger for high-autonomy occupations and weaker for low-discretion frontline roles. This finding is directly relevant to my research because it challenges me to consider whether the benefits of flexibility I am hypothesising will be attenuated in frontline retail. I used this paper to add a cautionary note to my research objectives: the study aims to test whether flexible working arrangements reduce turnover intentions in frontline retail, but acknowledges that the effect size may be smaller than that found in studies of office-based populations.</w:t>
      </w:r>
    </w:p>
    <w:p>
      <w:pPr>
        <w:spacing w:after="160" w:line="360"/>
        <w:jc w:val="both"/>
      </w:pPr>
      <w:r>
        <w:rPr>
          <w:rFonts w:ascii="Times New Roman" w:cs="Times New Roman" w:eastAsia="Times New Roman" w:hAnsi="Times New Roman"/>
          <w:b w:val="false"/>
          <w:bCs w:val="false"/>
          <w:color w:val="000000"/>
          <w:sz w:val="24"/>
          <w:szCs w:val="24"/>
        </w:rPr>
        <w:t xml:space="preserve">This extract from the annotated bibliography represents the rising action in my research journey: it shows how my understanding of the theoretical and empirical landscape developed, where I found strong support for my hypotheses, and where I encountered arguments that forced me to qualify or refine my initial thinking. The combination of theoretical papers (Hobfoll, 1989; Blau, 1964) and recent empirical work (George and Poluru, 2024; Taborosi et al., 2022) gave me the foundation I needed to build a credible conceptual model.</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6. Portfolio Item 3 – Conceptual Framework Diagram</w:t>
      </w:r>
    </w:p>
    <w:p>
      <w:pPr>
        <w:pStyle w:val="Heading2"/>
        <w:spacing w:after="120" w:before="240"/>
        <w:jc w:val="left"/>
      </w:pPr>
      <w:r>
        <w:rPr>
          <w:rFonts w:ascii="Times New Roman" w:cs="Times New Roman" w:eastAsia="Times New Roman" w:hAnsi="Times New Roman"/>
          <w:b/>
          <w:bCs/>
          <w:color w:val="1F3864"/>
          <w:sz w:val="26"/>
          <w:szCs w:val="26"/>
        </w:rPr>
        <w:t xml:space="preserve">Crisis and Resolution: Testing the Model's Coherence</w:t>
      </w:r>
    </w:p>
    <w:p>
      <w:pPr>
        <w:spacing w:after="160" w:line="360"/>
        <w:jc w:val="both"/>
      </w:pPr>
      <w:r>
        <w:rPr>
          <w:rFonts w:ascii="Times New Roman" w:cs="Times New Roman" w:eastAsia="Times New Roman" w:hAnsi="Times New Roman"/>
          <w:b w:val="false"/>
          <w:bCs w:val="false"/>
          <w:color w:val="000000"/>
          <w:sz w:val="24"/>
          <w:szCs w:val="24"/>
        </w:rPr>
        <w:t xml:space="preserve">The third portfolio item is my conceptual framework, presented both visually and in written form below. This was the most difficult item to develop, because it required me to make decisions about the structure of my model that I knew would define every subsequent methodological choice.</w:t>
      </w:r>
    </w:p>
    <w:p>
      <w:pPr>
        <w:pStyle w:val="Heading2"/>
        <w:spacing w:after="120" w:before="240"/>
        <w:jc w:val="left"/>
      </w:pPr>
      <w:r>
        <w:rPr>
          <w:rFonts w:ascii="Times New Roman" w:cs="Times New Roman" w:eastAsia="Times New Roman" w:hAnsi="Times New Roman"/>
          <w:b/>
          <w:bCs/>
          <w:color w:val="1F3864"/>
          <w:sz w:val="26"/>
          <w:szCs w:val="26"/>
        </w:rPr>
        <w:t xml:space="preserve">Conceptual Framework</w:t>
      </w:r>
    </w:p>
    <w:p>
      <w:pPr>
        <w:spacing w:after="80" w:before="200"/>
        <w:jc w:val="center"/>
      </w:pPr>
      <w:r>
        <w:rPr>
          <w:rFonts w:ascii="Times New Roman" w:cs="Times New Roman" w:eastAsia="Times New Roman" w:hAnsi="Times New Roman"/>
          <w:b/>
          <w:bCs/>
          <w:color w:val="1F3864"/>
          <w:sz w:val="24"/>
          <w:szCs w:val="24"/>
        </w:rPr>
        <w:t xml:space="preserve">FLEXIBLE WORKING ARRANGEMENTS  ----&gt;  JOB SATISFACTION  ----&gt;  TURNOVER INTENTIONS</w:t>
      </w:r>
    </w:p>
    <w:p>
      <w:pPr>
        <w:spacing w:after="160"/>
        <w:jc w:val="center"/>
      </w:pPr>
      <w:r>
        <w:rPr>
          <w:rFonts w:ascii="Times New Roman" w:cs="Times New Roman" w:eastAsia="Times New Roman" w:hAnsi="Times New Roman"/>
          <w:b w:val="false"/>
          <w:bCs w:val="false"/>
          <w:color w:val="000000"/>
          <w:sz w:val="20"/>
          <w:szCs w:val="20"/>
        </w:rPr>
        <w:t xml:space="preserve">(Independent Variable)                     (Mediator)                    (Dependent Variable)</w:t>
      </w:r>
    </w:p>
    <w:p>
      <w:pPr>
        <w:spacing w:after="200"/>
        <w:jc w:val="center"/>
      </w:pPr>
      <w:r>
        <w:rPr>
          <w:rFonts w:ascii="Times New Roman" w:cs="Times New Roman" w:eastAsia="Times New Roman" w:hAnsi="Times New Roman"/>
          <w:b/>
          <w:bCs/>
          <w:color w:val="1F3864"/>
          <w:sz w:val="22"/>
          <w:szCs w:val="22"/>
        </w:rPr>
        <w:t xml:space="preserve">PERCEIVED ORGANISATIONAL SUPPORT (Moderator) -- moderates the FWA to Job Satisfaction pathway</w:t>
      </w:r>
    </w:p>
    <w:p>
      <w:pPr>
        <w:spacing w:after="160" w:line="360"/>
        <w:jc w:val="both"/>
      </w:pPr>
      <w:r>
        <w:rPr>
          <w:rFonts w:ascii="Times New Roman" w:cs="Times New Roman" w:eastAsia="Times New Roman" w:hAnsi="Times New Roman"/>
          <w:b w:val="false"/>
          <w:bCs w:val="false"/>
          <w:color w:val="000000"/>
          <w:sz w:val="24"/>
          <w:szCs w:val="24"/>
        </w:rPr>
        <w:t xml:space="preserve">The framework proposes three hypothesised relationships: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H1: Flexible working arrangements will have a significant negative relationship with employee turnover intentions in UK retail frontline workers.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H2: Job satisfaction will mediate the relationship between flexible working arrangements and employee turnover intentions.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H3: Perceived organisational support will moderate the relationship between flexible working arrangements and job satisfaction, such that the relationship is stronger when POS is high.</w:t>
      </w:r>
    </w:p>
    <w:p>
      <w:pPr>
        <w:spacing w:after="80"/>
      </w:pPr>
      <w:r>
        <w:rPr>
          <w:rFonts w:ascii="Times New Roman" w:cs="Times New Roman" w:eastAsia="Times New Roman" w:hAnsi="Times New Roman"/>
          <w:b w:val="false"/>
          <w:bCs w:val="false"/>
          <w:color w:val="000000"/>
          <w:sz w:val="24"/>
          <w:szCs w:val="24"/>
        </w:rPr>
        <w:t xml:space="preserve"/>
      </w:r>
    </w:p>
    <w:p>
      <w:pPr>
        <w:spacing w:after="160" w:line="360"/>
        <w:jc w:val="both"/>
      </w:pPr>
      <w:r>
        <w:rPr>
          <w:rFonts w:ascii="Times New Roman" w:cs="Times New Roman" w:eastAsia="Times New Roman" w:hAnsi="Times New Roman"/>
          <w:b w:val="false"/>
          <w:bCs w:val="false"/>
          <w:color w:val="000000"/>
          <w:sz w:val="24"/>
          <w:szCs w:val="24"/>
        </w:rPr>
        <w:t xml:space="preserve">The crisis I encountered in developing this framework concerned the direction of the model. My initial instinct was to include multiple mediating variables, specifically job satisfaction, work-life balance, and organisational commitment. I discussed this with my supervisor and also revisited the methodological literature, particularly Hayes (2022), who cautions against testing multiple mediators simultaneously in cross-sectional data without a much larger sample than I can realistically recruit. His argument is that each additional mediating pathway requires substantially more statistical power to detect, and that including too many pathways in a small-sample study increases the risk of Type II errors, meaning real effects that the study fails to detect.</w:t>
      </w:r>
    </w:p>
    <w:p>
      <w:pPr>
        <w:spacing w:after="160" w:line="360"/>
        <w:jc w:val="both"/>
      </w:pPr>
      <w:r>
        <w:rPr>
          <w:rFonts w:ascii="Times New Roman" w:cs="Times New Roman" w:eastAsia="Times New Roman" w:hAnsi="Times New Roman"/>
          <w:b w:val="false"/>
          <w:bCs w:val="false"/>
          <w:color w:val="000000"/>
          <w:sz w:val="24"/>
          <w:szCs w:val="24"/>
        </w:rPr>
        <w:t xml:space="preserve">My resolution of this crisis was to focus on job satisfaction as the single mediating variable, for three reasons. First, it has the strongest theoretical justification: Conservation of Resources Theory (Hobfoll, 1989) and Social Exchange Theory (Blau, 1964) both predict that flexible working increases satisfaction before it influences retention behaviour. Second, it has the most consistent empirical support: George and Poluru (2024), Taborosi et al. (2022), and Beauregard and Henry (2022) all find job satisfaction to be a key mechanism. Third, focusing on a single mediator keeps the study feasible at the sample sizes I can achieve through LinkedIn and retail sector recruitment.</w:t>
      </w:r>
    </w:p>
    <w:p>
      <w:pPr>
        <w:spacing w:after="160" w:line="360"/>
        <w:jc w:val="both"/>
      </w:pPr>
      <w:r>
        <w:rPr>
          <w:rFonts w:ascii="Times New Roman" w:cs="Times New Roman" w:eastAsia="Times New Roman" w:hAnsi="Times New Roman"/>
          <w:b w:val="false"/>
          <w:bCs w:val="false"/>
          <w:color w:val="000000"/>
          <w:sz w:val="24"/>
          <w:szCs w:val="24"/>
        </w:rPr>
        <w:t xml:space="preserve">The inclusion of perceived organisational support as a moderator was driven by a different concern: I wanted to understand why flexible working might work better for some employees than others in the same retail context. Eisenberger et al. (1986) established that POS reflects the degree to which employees believe the organisation values their contribution and cares about their wellbeing. Rhoades and Eisenberger (2002) showed that POS consistently strengthens the positive effects of HR practices on employee attitudes. Including POS as a moderator allows me to test whether the flexibility-satisfaction relationship is conditional on employees' broader perception of organisational support, which is a more nuanced and useful finding than a simple main effect.</w:t>
      </w:r>
    </w:p>
    <w:p>
      <w:pPr>
        <w:spacing w:after="160" w:line="360"/>
        <w:jc w:val="both"/>
      </w:pPr>
      <w:r>
        <w:rPr>
          <w:rFonts w:ascii="Times New Roman" w:cs="Times New Roman" w:eastAsia="Times New Roman" w:hAnsi="Times New Roman"/>
          <w:b w:val="false"/>
          <w:bCs w:val="false"/>
          <w:color w:val="000000"/>
          <w:sz w:val="24"/>
          <w:szCs w:val="24"/>
        </w:rPr>
        <w:t xml:space="preserve">The resolution of this crisis is what moves my model from a straightforward extension of existing work to a genuinely original contribution: no existing study has tested this specific moderated mediation model in the UK frontline retail context.</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7. Portfolio Item 4 – Research Planning Table</w:t>
      </w:r>
    </w:p>
    <w:p>
      <w:pPr>
        <w:pStyle w:val="Heading2"/>
        <w:spacing w:after="120" w:before="240"/>
        <w:jc w:val="left"/>
      </w:pPr>
      <w:r>
        <w:rPr>
          <w:rFonts w:ascii="Times New Roman" w:cs="Times New Roman" w:eastAsia="Times New Roman" w:hAnsi="Times New Roman"/>
          <w:b/>
          <w:bCs/>
          <w:color w:val="1F3864"/>
          <w:sz w:val="26"/>
          <w:szCs w:val="26"/>
        </w:rPr>
        <w:t xml:space="preserve">Climax: Bringing the Plan Together</w:t>
      </w:r>
    </w:p>
    <w:p>
      <w:pPr>
        <w:spacing w:after="160" w:line="360"/>
        <w:jc w:val="both"/>
      </w:pPr>
      <w:r>
        <w:rPr>
          <w:rFonts w:ascii="Times New Roman" w:cs="Times New Roman" w:eastAsia="Times New Roman" w:hAnsi="Times New Roman"/>
          <w:b w:val="false"/>
          <w:bCs w:val="false"/>
          <w:color w:val="000000"/>
          <w:sz w:val="24"/>
          <w:szCs w:val="24"/>
        </w:rPr>
        <w:t xml:space="preserve">The fourth portfolio item is my research planning table, which represents the culmination of everything I had developed in the previous three items. This table is my attempt to translate conceptual choices into operational decisions, and it is the item I am most likely to refer back to during the actual data collection phase of the research.</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00"/>
        <w:gridCol w:w="100"/>
      </w:tblGrid>
      <w:tr>
        <w:tc>
          <w:tcPr>
            <w:tcW w:type="dxa" w:w="2600"/>
            <w:shd w:fill="D9E1F2" w:val="clear"/>
          </w:tcPr>
          <w:p>
            <w:pPr>
              <w:spacing w:after="80"/>
            </w:pPr>
            <w:r>
              <w:rPr>
                <w:rFonts w:ascii="Times New Roman" w:cs="Times New Roman" w:eastAsia="Times New Roman" w:hAnsi="Times New Roman"/>
                <w:b/>
                <w:bCs/>
                <w:color w:val="000000"/>
                <w:sz w:val="24"/>
                <w:szCs w:val="24"/>
              </w:rPr>
              <w:t xml:space="preserve">Element</w:t>
            </w:r>
          </w:p>
        </w:tc>
        <w:tc>
          <w:tcPr>
            <w:tcW w:type="dxa" w:w="6760"/>
          </w:tcPr>
          <w:p>
            <w:pPr>
              <w:spacing w:after="80"/>
            </w:pPr>
            <w:r>
              <w:rPr>
                <w:rFonts w:ascii="Times New Roman" w:cs="Times New Roman" w:eastAsia="Times New Roman" w:hAnsi="Times New Roman"/>
                <w:b w:val="false"/>
                <w:bCs w:val="false"/>
                <w:color w:val="000000"/>
                <w:sz w:val="24"/>
                <w:szCs w:val="24"/>
              </w:rPr>
              <w:t xml:space="preserve">My Research Plan</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Title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The Impact of Flexible Working Arrangements on Employee Turnover Intentions in UK Retail Supermarkets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Question 1 (Direct Effect)</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Do flexible working arrangements have a significant negative relationship with employee turnover intentions among frontline workers in UK retail supermarkets?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Question 2 (Mediation)</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Does job satisfaction mediate the relationship between flexible working arrangements and employee turnover intentions in UK retail frontline workers?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Question 3 (Moderation)</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Does perceived organisational support moderate the relationship between flexible working arrangements and job satisfaction, such that the positive effect is stronger when POS is high?</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Philosophical Position</w:t>
            </w:r>
          </w:p>
        </w:tc>
        <w:tc>
          <w:tcPr>
            <w:tcW w:type="dxa" w:w="6760"/>
          </w:tcPr>
          <w:p>
            <w:pPr>
              <w:spacing w:after="80"/>
            </w:pPr>
            <w:r>
              <w:rPr>
                <w:rFonts w:ascii="Times New Roman" w:cs="Times New Roman" w:eastAsia="Times New Roman" w:hAnsi="Times New Roman"/>
                <w:b w:val="false"/>
                <w:bCs w:val="false"/>
                <w:color w:val="000000"/>
                <w:sz w:val="24"/>
                <w:szCs w:val="24"/>
              </w:rPr>
              <w:t xml:space="preserve">Post-positivist. I believe that objective relationships between variables exist and can be measured, but that my findings will be probabilistic evidence rather than proof.</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Approach</w:t>
            </w:r>
          </w:p>
        </w:tc>
        <w:tc>
          <w:tcPr>
            <w:tcW w:type="dxa" w:w="6760"/>
          </w:tcPr>
          <w:p>
            <w:pPr>
              <w:spacing w:after="80"/>
            </w:pPr>
            <w:r>
              <w:rPr>
                <w:rFonts w:ascii="Times New Roman" w:cs="Times New Roman" w:eastAsia="Times New Roman" w:hAnsi="Times New Roman"/>
                <w:b w:val="false"/>
                <w:bCs w:val="false"/>
                <w:color w:val="000000"/>
                <w:sz w:val="24"/>
                <w:szCs w:val="24"/>
              </w:rPr>
              <w:t xml:space="preserve">Deductive. My hypotheses are derived from Conservation of Resources Theory, Social Exchange Theory, and the Job Demands-Resources Model, and will be tested against primary data.</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Research Design</w:t>
            </w:r>
          </w:p>
        </w:tc>
        <w:tc>
          <w:tcPr>
            <w:tcW w:type="dxa" w:w="6760"/>
          </w:tcPr>
          <w:p>
            <w:pPr>
              <w:spacing w:after="80"/>
            </w:pPr>
            <w:r>
              <w:rPr>
                <w:rFonts w:ascii="Times New Roman" w:cs="Times New Roman" w:eastAsia="Times New Roman" w:hAnsi="Times New Roman"/>
                <w:b w:val="false"/>
                <w:bCs w:val="false"/>
                <w:color w:val="000000"/>
                <w:sz w:val="24"/>
                <w:szCs w:val="24"/>
              </w:rPr>
              <w:t xml:space="preserve">Cross-sectional quantitative survey.</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Data Collection Instrument</w:t>
            </w:r>
          </w:p>
        </w:tc>
        <w:tc>
          <w:tcPr>
            <w:tcW w:type="dxa" w:w="6760"/>
          </w:tcPr>
          <w:p>
            <w:pPr>
              <w:spacing w:after="80"/>
            </w:pPr>
            <w:r>
              <w:rPr>
                <w:rFonts w:ascii="Times New Roman" w:cs="Times New Roman" w:eastAsia="Times New Roman" w:hAnsi="Times New Roman"/>
                <w:b w:val="false"/>
                <w:bCs w:val="false"/>
                <w:color w:val="000000"/>
                <w:sz w:val="24"/>
                <w:szCs w:val="24"/>
              </w:rPr>
              <w:t xml:space="preserve">Self-administered online questionnaire using 5-point Likert scales. Items drawn from: Hill et al. (2008) for flexible working (5 items); Brayfield and Rothe (1951) for job satisfaction (5 items); Eisenberger et al. (1986) for POS (4 items); Cammann et al. (1983) for turnover intentions (3 items). Total: 17 items plus demographic questions.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Target Sample</w:t>
            </w:r>
          </w:p>
        </w:tc>
        <w:tc>
          <w:tcPr>
            <w:tcW w:type="dxa" w:w="6760"/>
          </w:tcPr>
          <w:p>
            <w:pPr>
              <w:spacing w:after="80"/>
            </w:pPr>
            <w:r>
              <w:rPr>
                <w:rFonts w:ascii="Times New Roman" w:cs="Times New Roman" w:eastAsia="Times New Roman" w:hAnsi="Times New Roman"/>
                <w:b w:val="false"/>
                <w:bCs w:val="false"/>
                <w:color w:val="000000"/>
                <w:sz w:val="24"/>
                <w:szCs w:val="24"/>
              </w:rPr>
              <w:t xml:space="preserve">150 to 200 frontline employees currently working in UK retail supermarkets (Tesco, Sainsbury's, ASDA, Morrisons, Lidl). Inclusion criteria: current UK-based frontline retail employee; customer-facing or shop-floor role; over 18 years of age.</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Sampling Strategy</w:t>
            </w:r>
          </w:p>
        </w:tc>
        <w:tc>
          <w:tcPr>
            <w:tcW w:type="dxa" w:w="6760"/>
          </w:tcPr>
          <w:p>
            <w:pPr>
              <w:spacing w:after="80"/>
            </w:pPr>
            <w:r>
              <w:rPr>
                <w:rFonts w:ascii="Times New Roman" w:cs="Times New Roman" w:eastAsia="Times New Roman" w:hAnsi="Times New Roman"/>
                <w:b w:val="false"/>
                <w:bCs w:val="false"/>
                <w:color w:val="000000"/>
                <w:sz w:val="24"/>
                <w:szCs w:val="24"/>
              </w:rPr>
              <w:t xml:space="preserve">Purposive convenience sampling via LinkedIn, retail sector professional networks, and personal contacts. Snowball referral encouraged.</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Data Analysis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SPSS v29. Descriptive statistics (means, standard deviations, frequency distributions). Reliability (Cronbach's alpha, target above 0.70). Pearson correlation matrix. Multiple linear regression (H1). PROCESS Macro Model 4 for mediation (H2). PROCESS Macro Model 1 for moderation (H3).</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Validity and Reliability Controls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Content validity: items adapted from validated scales. Pilot test with 20 respondents before main data collection. Common method bias: Harman's single-factor test. Construct validity: confirmatory factor analysis using SPSS.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Ethics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Voluntary participation. Full anonymity. Informed consent obtained digitally before survey access. No personal or identifiable data collected. UWTSD ethics approval to be sought before data collection begins.</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Theoretical Framework</w:t>
            </w:r>
          </w:p>
        </w:tc>
        <w:tc>
          <w:tcPr>
            <w:tcW w:type="dxa" w:w="6760"/>
          </w:tcPr>
          <w:p>
            <w:pPr>
              <w:spacing w:after="80"/>
            </w:pPr>
            <w:r>
              <w:rPr>
                <w:rFonts w:ascii="Times New Roman" w:cs="Times New Roman" w:eastAsia="Times New Roman" w:hAnsi="Times New Roman"/>
                <w:b w:val="false"/>
                <w:bCs w:val="false"/>
                <w:color w:val="000000"/>
                <w:sz w:val="24"/>
                <w:szCs w:val="24"/>
              </w:rPr>
              <w:t xml:space="preserve">Conservation of Resources Theory (Hobfoll, 1989); Social Exchange Theory (Blau, 1964); Job Demands-Resources Model (Demerouti et al., 2001)</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Key References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George and Poluru (2024); Taborosi et al. (2022); Yunas and Mostafa (2022); CIPD (2023); Chung (2022); Hayes (2022); Field (2018)</w:t>
            </w:r>
          </w:p>
        </w:tc>
      </w:tr>
    </w:tbl>
    <w:p>
      <w:pPr>
        <w:spacing w:after="80"/>
      </w:pPr>
      <w:r>
        <w:rPr>
          <w:rFonts w:ascii="Times New Roman" w:cs="Times New Roman" w:eastAsia="Times New Roman" w:hAnsi="Times New Roman"/>
          <w:b w:val="false"/>
          <w:bCs w:val="false"/>
          <w:color w:val="000000"/>
          <w:sz w:val="24"/>
          <w:szCs w:val="24"/>
        </w:rPr>
        <w:t xml:space="preserve"/>
      </w:r>
    </w:p>
    <w:p>
      <w:pPr>
        <w:spacing w:after="160" w:line="360"/>
        <w:jc w:val="both"/>
      </w:pPr>
      <w:r>
        <w:rPr>
          <w:rFonts w:ascii="Times New Roman" w:cs="Times New Roman" w:eastAsia="Times New Roman" w:hAnsi="Times New Roman"/>
          <w:b w:val="false"/>
          <w:bCs w:val="false"/>
          <w:color w:val="000000"/>
          <w:sz w:val="24"/>
          <w:szCs w:val="24"/>
        </w:rPr>
        <w:t xml:space="preserve">The research planning table was the climax of my preparation because it forced me to confront questions I had been deferring. The most significant concerned measurement. I initially intended to use my own questionnaire items to measure flexible working arrangements, because I was uncertain whether existing scales developed in non-UK contexts would be valid for frontline retail workers. After reviewing the measurement literature, I concluded that adapting validated scales (as Hill et al., 2008 recommend) was preferable to developing new items, for two reasons. First, scale development requires extensive pilot testing that is beyond the scope of this study. Second, using established instruments allows direct comparison with previous studies, which strengthens my ability to argue that my findings contribute to a cumulative body of knowledge.</w:t>
      </w:r>
    </w:p>
    <w:p>
      <w:pPr>
        <w:spacing w:after="160" w:line="360"/>
        <w:jc w:val="both"/>
      </w:pPr>
      <w:r>
        <w:rPr>
          <w:rFonts w:ascii="Times New Roman" w:cs="Times New Roman" w:eastAsia="Times New Roman" w:hAnsi="Times New Roman"/>
          <w:b w:val="false"/>
          <w:bCs w:val="false"/>
          <w:color w:val="000000"/>
          <w:sz w:val="24"/>
          <w:szCs w:val="24"/>
        </w:rPr>
        <w:t xml:space="preserve">The planning table also forced me to confront the limitations of my chosen design explicitly. Cross-sectional data cannot establish causality: even if I find a significant negative relationship between flexible working and turnover intentions, I cannot prove that flexible working caused lower turnover intentions rather than some third variable causing both. This is a fundamental limitation I will acknowledge in my methodology chapter, alongside the practical steps I will take to mitigate it, such as Harman's test for common method bias and the use of control variables including age, tenure, and employment type.</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8. Denouement – Resolving Contradictions in My Research Plan</w:t>
      </w:r>
    </w:p>
    <w:p>
      <w:pPr>
        <w:spacing w:after="160" w:line="360"/>
        <w:jc w:val="both"/>
      </w:pPr>
      <w:r>
        <w:rPr>
          <w:rFonts w:ascii="Times New Roman" w:cs="Times New Roman" w:eastAsia="Times New Roman" w:hAnsi="Times New Roman"/>
          <w:b w:val="false"/>
          <w:bCs w:val="false"/>
          <w:color w:val="000000"/>
          <w:sz w:val="24"/>
          <w:szCs w:val="24"/>
        </w:rPr>
        <w:t xml:space="preserve">The denouement in Kuhn's sense is the point at which the crisis in the research narrative is resolved. For me, the most significant contradiction I had to resolve concerned the tension between the theoretical universality of my theoretical frameworks and the contextual specificity of my research question.</w:t>
      </w:r>
    </w:p>
    <w:p>
      <w:pPr>
        <w:spacing w:after="160" w:line="360"/>
        <w:jc w:val="both"/>
      </w:pPr>
      <w:r>
        <w:rPr>
          <w:rFonts w:ascii="Times New Roman" w:cs="Times New Roman" w:eastAsia="Times New Roman" w:hAnsi="Times New Roman"/>
          <w:b w:val="false"/>
          <w:bCs w:val="false"/>
          <w:color w:val="000000"/>
          <w:sz w:val="24"/>
          <w:szCs w:val="24"/>
        </w:rPr>
        <w:t xml:space="preserve">Conservation of Resources Theory and Social Exchange Theory both make predictions that should apply across contexts and populations. But Chung (2022) and Wheatley (2017) both suggest that the benefits of flexible working may be considerably attenuated for frontline workers compared to the office-based workers on whom most of the evidence is built. This created a genuine intellectual tension: I was using universal theories to generate hypotheses about a population on which the theories had rarely been tested.</w:t>
      </w:r>
    </w:p>
    <w:p>
      <w:pPr>
        <w:spacing w:after="160" w:line="360"/>
        <w:jc w:val="both"/>
      </w:pPr>
      <w:r>
        <w:rPr>
          <w:rFonts w:ascii="Times New Roman" w:cs="Times New Roman" w:eastAsia="Times New Roman" w:hAnsi="Times New Roman"/>
          <w:b w:val="false"/>
          <w:bCs w:val="false"/>
          <w:color w:val="000000"/>
          <w:sz w:val="24"/>
          <w:szCs w:val="24"/>
        </w:rPr>
        <w:t xml:space="preserve">My resolution was to reframe this tension as the central contribution of my research. I am not assuming that flexible working will produce the same effects in frontline retail as it does in office settings. I am testing whether it does. This framing, which I developed through class discussions and through re-reading Bryman (2016, p.33) on the relationship between theory and context, allowed me to present my study not as a simple replication but as a genuine test of the boundary conditions of well-established theoretical claims.</w:t>
      </w:r>
    </w:p>
    <w:p>
      <w:pPr>
        <w:spacing w:after="160" w:line="360"/>
        <w:jc w:val="both"/>
      </w:pPr>
      <w:r>
        <w:rPr>
          <w:rFonts w:ascii="Times New Roman" w:cs="Times New Roman" w:eastAsia="Times New Roman" w:hAnsi="Times New Roman"/>
          <w:b w:val="false"/>
          <w:bCs w:val="false"/>
          <w:color w:val="000000"/>
          <w:sz w:val="24"/>
          <w:szCs w:val="24"/>
        </w:rPr>
        <w:t xml:space="preserve">There is also a methodological contradiction I needed to resolve. Post-positivism, the philosophical position I have adopted, holds that objective relationships between variables exist but that any single study can only produce probabilistic evidence about them. A cross-sectional design is consistent with this position, but it cannot establish causal direction. I resolved this by being explicit about what my study can and cannot claim: it can establish whether flexible working arrangements and turnover intentions are significantly correlated in UK retail frontline workers, and it can test whether job satisfaction and POS are associated with that relationship in the ways my model predicts. What it cannot claim is that flexible working causes lower turnover intentions. This distinction between correlation and causation is essential for intellectual honesty at doctoral level, and I will be clear about it throughout the study.</w:t>
      </w:r>
    </w:p>
    <w:p>
      <w:pPr>
        <w:spacing w:after="160" w:line="360"/>
        <w:jc w:val="both"/>
      </w:pPr>
      <w:r>
        <w:rPr>
          <w:rFonts w:ascii="Times New Roman" w:cs="Times New Roman" w:eastAsia="Times New Roman" w:hAnsi="Times New Roman"/>
          <w:b w:val="false"/>
          <w:bCs w:val="false"/>
          <w:color w:val="000000"/>
          <w:sz w:val="24"/>
          <w:szCs w:val="24"/>
        </w:rPr>
        <w:t xml:space="preserve">Reflecting on Kuhn (1970), I think my research sits within the 'normal science' phase of the paradigm cycle rather than representing a revolutionary challenge. The dominant paradigm in flexible working research, that flexibility is broadly beneficial for employee wellbeing and retention, is well established. My study does not overturn this paradigm but tests whether it applies in a context that has been systematically excluded from the evidence base. If my findings confirm the hypotheses, I will have strengthened the paradigm by extending its scope. If my findings are null or contradictory, I will have identified an anomaly that future researchers will need to explain, which is how Kuhn describes the beginning of scientific progress.</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9. Conclusion and Next Steps</w:t>
      </w:r>
    </w:p>
    <w:p>
      <w:pPr>
        <w:spacing w:after="160" w:line="360"/>
        <w:jc w:val="both"/>
      </w:pPr>
      <w:r>
        <w:rPr>
          <w:rFonts w:ascii="Times New Roman" w:cs="Times New Roman" w:eastAsia="Times New Roman" w:hAnsi="Times New Roman"/>
          <w:b w:val="false"/>
          <w:bCs w:val="false"/>
          <w:color w:val="000000"/>
          <w:sz w:val="24"/>
          <w:szCs w:val="24"/>
        </w:rPr>
        <w:t xml:space="preserve">This portfolio has traced the evolution of my research plan from an initial observation about staff turnover in UK retail to a fully specified quantitative study with clear hypotheses, a justified theoretical framework, validated measurement instruments, and an explicit philosophical position.</w:t>
      </w:r>
    </w:p>
    <w:p>
      <w:pPr>
        <w:spacing w:after="160" w:line="360"/>
        <w:jc w:val="both"/>
      </w:pPr>
      <w:r>
        <w:rPr>
          <w:rFonts w:ascii="Times New Roman" w:cs="Times New Roman" w:eastAsia="Times New Roman" w:hAnsi="Times New Roman"/>
          <w:b w:val="false"/>
          <w:bCs w:val="false"/>
          <w:color w:val="000000"/>
          <w:sz w:val="24"/>
          <w:szCs w:val="24"/>
        </w:rPr>
        <w:t xml:space="preserve">The four items in the portfolio each played a different role in that journey. The WWHH framework established the research puzzle and tested whether it was genuinely worth pursuing. The annotated bibliography built the theoretical and empirical foundation for the study and identified the specific gap my research addresses. The conceptual framework translated theoretical understanding into a testable model, resolving the crisis of choosing between competing variables and mechanisms. And the research planning table operationalised the model into a set of decisions that will guide the actual data collection and analysis.</w:t>
      </w:r>
    </w:p>
    <w:p>
      <w:pPr>
        <w:spacing w:after="160" w:line="360"/>
        <w:jc w:val="both"/>
      </w:pPr>
      <w:r>
        <w:rPr>
          <w:rFonts w:ascii="Times New Roman" w:cs="Times New Roman" w:eastAsia="Times New Roman" w:hAnsi="Times New Roman"/>
          <w:b w:val="false"/>
          <w:bCs w:val="false"/>
          <w:color w:val="000000"/>
          <w:sz w:val="24"/>
          <w:szCs w:val="24"/>
        </w:rPr>
        <w:t xml:space="preserve">My research conclusion is clear: the study I have designed is feasible, original, and justified. It fills a specific gap in the literature on flexible working and turnover by examining a population, UK frontline retail workers, that has been systematically overlooked. It uses validated instruments, an established theoretical framework, and an appropriate analytical strategy. The limitations are real and acknowledged, but they do not undermine the study's contribution.</w:t>
      </w:r>
    </w:p>
    <w:p>
      <w:pPr>
        <w:pStyle w:val="Heading2"/>
        <w:spacing w:after="120" w:before="240"/>
        <w:jc w:val="left"/>
      </w:pPr>
      <w:r>
        <w:rPr>
          <w:rFonts w:ascii="Times New Roman" w:cs="Times New Roman" w:eastAsia="Times New Roman" w:hAnsi="Times New Roman"/>
          <w:b/>
          <w:bCs/>
          <w:color w:val="1F3864"/>
          <w:sz w:val="26"/>
          <w:szCs w:val="26"/>
        </w:rPr>
        <w:t xml:space="preserve">Next Steps</w:t>
      </w:r>
    </w:p>
    <w:p>
      <w:pPr>
        <w:spacing w:after="160" w:line="360"/>
        <w:jc w:val="both"/>
      </w:pPr>
      <w:r>
        <w:rPr>
          <w:rFonts w:ascii="Times New Roman" w:cs="Times New Roman" w:eastAsia="Times New Roman" w:hAnsi="Times New Roman"/>
          <w:b w:val="false"/>
          <w:bCs w:val="false"/>
          <w:color w:val="000000"/>
          <w:sz w:val="24"/>
          <w:szCs w:val="24"/>
        </w:rPr>
        <w:t xml:space="preserve">Now that the planning phase is complete, my next steps are:</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Submit an ethics application to the UWTSD Research Ethics Committee before beginning data collection. The application will describe the survey design, informed consent procedures, and data storage arrangements.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Pilot test the questionnaire with 20 frontline retail workers via personal contacts to check item clarity and scale reliability before the main data collection.</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Launch the main survey using Qualtrics, recruiting through LinkedIn and retail sector professional groups. I aim to recruit 150 to 200 respondents over a four-week period.</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Analyse the data using SPSS v29, following the analytical sequence described in the research planning table: descriptive statistics, reliability testing, Pearson correlations, multiple regression, and PROCESS Macro mediation and moderation analysis.</w:t>
      </w:r>
    </w:p>
    <w:p>
      <w:pPr>
        <w:pStyle w:val="ListParagraph"/>
        <w:numPr>
          <w:ilvl w:val="0"/>
          <w:numId w:val="1"/>
        </w:numPr>
        <w:spacing w:after="100"/>
        <w:ind w:left="720"/>
      </w:pPr>
      <w:r>
        <w:rPr>
          <w:rFonts w:ascii="Times New Roman" w:cs="Times New Roman" w:eastAsia="Times New Roman" w:hAnsi="Times New Roman"/>
          <w:b w:val="false"/>
          <w:bCs w:val="false"/>
          <w:color w:val="000000"/>
          <w:sz w:val="24"/>
          <w:szCs w:val="24"/>
        </w:rPr>
        <w:t xml:space="preserve">Write the methodology chapter of my research proposal, incorporating the decisions documented in this portfolio and the findings of the pilot test.</w:t>
      </w:r>
    </w:p>
    <w:p>
      <w:pPr>
        <w:spacing w:after="160" w:line="360"/>
        <w:jc w:val="both"/>
      </w:pPr>
      <w:r>
        <w:rPr>
          <w:rFonts w:ascii="Times New Roman" w:cs="Times New Roman" w:eastAsia="Times New Roman" w:hAnsi="Times New Roman"/>
          <w:b w:val="false"/>
          <w:bCs w:val="false"/>
          <w:color w:val="000000"/>
          <w:sz w:val="24"/>
          <w:szCs w:val="24"/>
        </w:rPr>
        <w:t xml:space="preserve">There are also questions that remain open. The most important is whether I will be able to recruit a sufficiently diverse sample through online channels. Frontline retail workers are a large population but not all of them use LinkedIn or respond to online surveys. If my initial recruitment falls short of the target, I will consider snowball sampling via existing contacts in the retail sector. I will also need to monitor the demographic composition of my sample carefully to ensure it reflects the age and gender diversity of the frontline retail workforce, which is predominantly female and includes a high proportion of younger workers.</w:t>
      </w:r>
    </w:p>
    <w:p>
      <w:pPr>
        <w:spacing w:after="160" w:line="360"/>
        <w:jc w:val="both"/>
      </w:pPr>
      <w:r>
        <w:rPr>
          <w:rFonts w:ascii="Times New Roman" w:cs="Times New Roman" w:eastAsia="Times New Roman" w:hAnsi="Times New Roman"/>
          <w:b w:val="false"/>
          <w:bCs w:val="false"/>
          <w:color w:val="000000"/>
          <w:sz w:val="24"/>
          <w:szCs w:val="24"/>
        </w:rPr>
        <w:t xml:space="preserve">I am confident that the research plan I have developed through this module is ready to move into the data collection phase. The intellectual foundation is solid, the methodology is defensible, and the contribution is clear. I look forward to the opportunity to test these hypotheses and to contribute to what I believe is a genuinely important and underexplored area of management research.</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References</w:t>
      </w:r>
    </w:p>
    <w:p>
      <w:pPr>
        <w:spacing w:after="120"/>
        <w:ind w:left="720" w:hanging="720"/>
        <w:jc w:val="both"/>
      </w:pPr>
      <w:r>
        <w:rPr>
          <w:rFonts w:ascii="Times New Roman" w:cs="Times New Roman" w:eastAsia="Times New Roman" w:hAnsi="Times New Roman"/>
          <w:b w:val="false"/>
          <w:bCs w:val="false"/>
          <w:color w:val="000000"/>
          <w:sz w:val="24"/>
          <w:szCs w:val="24"/>
        </w:rPr>
        <w:t xml:space="preserve">Beauregard, T.A. and Henry, L.C. (2022) 'Making the link between work-life balance practices and organisational performance', Human Resource Management Review, 32(2), pp.1-14.</w:t>
      </w:r>
    </w:p>
    <w:p>
      <w:pPr>
        <w:spacing w:after="120"/>
        <w:ind w:left="720" w:hanging="720"/>
        <w:jc w:val="both"/>
      </w:pPr>
      <w:r>
        <w:rPr>
          <w:rFonts w:ascii="Times New Roman" w:cs="Times New Roman" w:eastAsia="Times New Roman" w:hAnsi="Times New Roman"/>
          <w:b w:val="false"/>
          <w:bCs w:val="false"/>
          <w:color w:val="000000"/>
          <w:sz w:val="24"/>
          <w:szCs w:val="24"/>
        </w:rPr>
        <w:t xml:space="preserve">Blau, P.M. (1964) Exchange and Power in Social Life. New York: Wiley.</w:t>
      </w:r>
    </w:p>
    <w:p>
      <w:pPr>
        <w:spacing w:after="120"/>
        <w:ind w:left="720" w:hanging="720"/>
        <w:jc w:val="both"/>
      </w:pPr>
      <w:r>
        <w:rPr>
          <w:rFonts w:ascii="Times New Roman" w:cs="Times New Roman" w:eastAsia="Times New Roman" w:hAnsi="Times New Roman"/>
          <w:b w:val="false"/>
          <w:bCs w:val="false"/>
          <w:color w:val="000000"/>
          <w:sz w:val="24"/>
          <w:szCs w:val="24"/>
        </w:rPr>
        <w:t xml:space="preserve">Brayfield, A.H. and Rothe, H.F. (1951) 'An index of job satisfaction', Journal of Applied Psychology, 35(5), pp.307-311.</w:t>
      </w:r>
    </w:p>
    <w:p>
      <w:pPr>
        <w:spacing w:after="120"/>
        <w:ind w:left="720" w:hanging="720"/>
        <w:jc w:val="both"/>
      </w:pPr>
      <w:r>
        <w:rPr>
          <w:rFonts w:ascii="Times New Roman" w:cs="Times New Roman" w:eastAsia="Times New Roman" w:hAnsi="Times New Roman"/>
          <w:b w:val="false"/>
          <w:bCs w:val="false"/>
          <w:color w:val="000000"/>
          <w:sz w:val="24"/>
          <w:szCs w:val="24"/>
        </w:rPr>
        <w:t xml:space="preserve">Bryman, A. (2016) Social Research Methods. 5th edn. Oxford: Oxford University Press.</w:t>
      </w:r>
    </w:p>
    <w:p>
      <w:pPr>
        <w:spacing w:after="120"/>
        <w:ind w:left="720" w:hanging="720"/>
        <w:jc w:val="both"/>
      </w:pPr>
      <w:r>
        <w:rPr>
          <w:rFonts w:ascii="Times New Roman" w:cs="Times New Roman" w:eastAsia="Times New Roman" w:hAnsi="Times New Roman"/>
          <w:b w:val="false"/>
          <w:bCs w:val="false"/>
          <w:color w:val="000000"/>
          <w:sz w:val="24"/>
          <w:szCs w:val="24"/>
        </w:rPr>
        <w:t xml:space="preserve">Cammann, C., Fichman, M., Jenkins, D. and Klesh, J. (1983) 'Michigan Organisational Assessment Questionnaire', in Seashore, S.E. (ed.) Assessing Organisational Change. New York: Wiley, pp.71-138.</w:t>
      </w:r>
    </w:p>
    <w:p>
      <w:pPr>
        <w:spacing w:after="120"/>
        <w:ind w:left="720" w:hanging="720"/>
        <w:jc w:val="both"/>
      </w:pPr>
      <w:r>
        <w:rPr>
          <w:rFonts w:ascii="Times New Roman" w:cs="Times New Roman" w:eastAsia="Times New Roman" w:hAnsi="Times New Roman"/>
          <w:b w:val="false"/>
          <w:bCs w:val="false"/>
          <w:color w:val="000000"/>
          <w:sz w:val="24"/>
          <w:szCs w:val="24"/>
        </w:rPr>
        <w:t xml:space="preserve">Chung, H. (2022) The Flexibility Paradox: Why Flexible Working Leads to (Self-)Exploitation. Bristol: Policy Press.</w:t>
      </w:r>
    </w:p>
    <w:p>
      <w:pPr>
        <w:spacing w:after="120"/>
        <w:ind w:left="720" w:hanging="720"/>
        <w:jc w:val="both"/>
      </w:pPr>
      <w:r>
        <w:rPr>
          <w:rFonts w:ascii="Times New Roman" w:cs="Times New Roman" w:eastAsia="Times New Roman" w:hAnsi="Times New Roman"/>
          <w:b w:val="false"/>
          <w:bCs w:val="false"/>
          <w:color w:val="000000"/>
          <w:sz w:val="24"/>
          <w:szCs w:val="24"/>
        </w:rPr>
        <w:t xml:space="preserve">CIPD (2023) Good Work Index 2023: UK Working Lives. London: Chartered Institute of Personnel and Development.</w:t>
      </w:r>
    </w:p>
    <w:p>
      <w:pPr>
        <w:spacing w:after="120"/>
        <w:ind w:left="720" w:hanging="720"/>
        <w:jc w:val="both"/>
      </w:pPr>
      <w:r>
        <w:rPr>
          <w:rFonts w:ascii="Times New Roman" w:cs="Times New Roman" w:eastAsia="Times New Roman" w:hAnsi="Times New Roman"/>
          <w:b w:val="false"/>
          <w:bCs w:val="false"/>
          <w:color w:val="000000"/>
          <w:sz w:val="24"/>
          <w:szCs w:val="24"/>
        </w:rPr>
        <w:t xml:space="preserve">Demerouti, E., Bakker, A.B., Nachreiner, F. and Schaufeli, W.B. (2001) 'The job demands-resources model of burnout', Journal of Applied Psychology, 86(3), pp.499-512.</w:t>
      </w:r>
    </w:p>
    <w:p>
      <w:pPr>
        <w:spacing w:after="120"/>
        <w:ind w:left="720" w:hanging="720"/>
        <w:jc w:val="both"/>
      </w:pPr>
      <w:r>
        <w:rPr>
          <w:rFonts w:ascii="Times New Roman" w:cs="Times New Roman" w:eastAsia="Times New Roman" w:hAnsi="Times New Roman"/>
          <w:b w:val="false"/>
          <w:bCs w:val="false"/>
          <w:color w:val="000000"/>
          <w:sz w:val="24"/>
          <w:szCs w:val="24"/>
        </w:rPr>
        <w:t xml:space="preserve">Eisenberger, R., Huntington, R., Hutchison, S. and Sowa, D. (1986) 'Perceived organizational support', Journal of Applied Psychology, 71(3), pp.500-507.</w:t>
      </w:r>
    </w:p>
    <w:p>
      <w:pPr>
        <w:spacing w:after="120"/>
        <w:ind w:left="720" w:hanging="720"/>
        <w:jc w:val="both"/>
      </w:pPr>
      <w:r>
        <w:rPr>
          <w:rFonts w:ascii="Times New Roman" w:cs="Times New Roman" w:eastAsia="Times New Roman" w:hAnsi="Times New Roman"/>
          <w:b w:val="false"/>
          <w:bCs w:val="false"/>
          <w:color w:val="000000"/>
          <w:sz w:val="24"/>
          <w:szCs w:val="24"/>
        </w:rPr>
        <w:t xml:space="preserve">Field, A. (2018) Discovering Statistics Using IBM SPSS Statistics. 5th edn. London: Sage.</w:t>
      </w:r>
    </w:p>
    <w:p>
      <w:pPr>
        <w:spacing w:after="120"/>
        <w:ind w:left="720" w:hanging="720"/>
        <w:jc w:val="both"/>
      </w:pPr>
      <w:r>
        <w:rPr>
          <w:rFonts w:ascii="Times New Roman" w:cs="Times New Roman" w:eastAsia="Times New Roman" w:hAnsi="Times New Roman"/>
          <w:b w:val="false"/>
          <w:bCs w:val="false"/>
          <w:color w:val="000000"/>
          <w:sz w:val="24"/>
          <w:szCs w:val="24"/>
        </w:rPr>
        <w:t xml:space="preserve">George, J. and Poluru, N. (2024) 'Exploring the impact of flexible work arrangements on turnover intention: The mediating role of job satisfaction and the moderating effect of perceived supervisory support', Journal of Accounting, Business and Management, 32(1), pp.100-123.</w:t>
      </w:r>
    </w:p>
    <w:p>
      <w:pPr>
        <w:spacing w:after="120"/>
        <w:ind w:left="720" w:hanging="720"/>
        <w:jc w:val="both"/>
      </w:pPr>
      <w:r>
        <w:rPr>
          <w:rFonts w:ascii="Times New Roman" w:cs="Times New Roman" w:eastAsia="Times New Roman" w:hAnsi="Times New Roman"/>
          <w:b w:val="false"/>
          <w:bCs w:val="false"/>
          <w:color w:val="000000"/>
          <w:sz w:val="24"/>
          <w:szCs w:val="24"/>
        </w:rPr>
        <w:t xml:space="preserve">Hair, J.F., Black, W.C., Babin, B.J. and Anderson, R.E. (2019) Multivariate Data Analysis. 8th edn. Andover: Cengage.</w:t>
      </w:r>
    </w:p>
    <w:p>
      <w:pPr>
        <w:spacing w:after="120"/>
        <w:ind w:left="720" w:hanging="720"/>
        <w:jc w:val="both"/>
      </w:pPr>
      <w:r>
        <w:rPr>
          <w:rFonts w:ascii="Times New Roman" w:cs="Times New Roman" w:eastAsia="Times New Roman" w:hAnsi="Times New Roman"/>
          <w:b w:val="false"/>
          <w:bCs w:val="false"/>
          <w:color w:val="000000"/>
          <w:sz w:val="24"/>
          <w:szCs w:val="24"/>
        </w:rPr>
        <w:t xml:space="preserve">Hayes, A.F. (2022) Introduction to Mediation, Moderation, and Conditional Process Analysis. 3rd edn. New York: Guilford Press.</w:t>
      </w:r>
    </w:p>
    <w:p>
      <w:pPr>
        <w:spacing w:after="120"/>
        <w:ind w:left="720" w:hanging="720"/>
        <w:jc w:val="both"/>
      </w:pPr>
      <w:r>
        <w:rPr>
          <w:rFonts w:ascii="Times New Roman" w:cs="Times New Roman" w:eastAsia="Times New Roman" w:hAnsi="Times New Roman"/>
          <w:b w:val="false"/>
          <w:bCs w:val="false"/>
          <w:color w:val="000000"/>
          <w:sz w:val="24"/>
          <w:szCs w:val="24"/>
        </w:rPr>
        <w:t xml:space="preserve">Hill, E.J., Grzywacz, J.G., Allen, S., Blanchard, V.L., Matz-Costa, C., Shulkin, S. and Pitt-Catsouphes, M. (2008) 'Defining and conceptualizing workplace flexibility', Community, Work and Family, 11(2), pp.149-163.</w:t>
      </w:r>
    </w:p>
    <w:p>
      <w:pPr>
        <w:spacing w:after="120"/>
        <w:ind w:left="720" w:hanging="720"/>
        <w:jc w:val="both"/>
      </w:pPr>
      <w:r>
        <w:rPr>
          <w:rFonts w:ascii="Times New Roman" w:cs="Times New Roman" w:eastAsia="Times New Roman" w:hAnsi="Times New Roman"/>
          <w:b w:val="false"/>
          <w:bCs w:val="false"/>
          <w:color w:val="000000"/>
          <w:sz w:val="24"/>
          <w:szCs w:val="24"/>
        </w:rPr>
        <w:t xml:space="preserve">Hobfoll, S.E. (1989) 'Conservation of resources: A new attempt at conceptualizing stress', American Psychologist, 44(3), pp.513-524.</w:t>
      </w:r>
    </w:p>
    <w:p>
      <w:pPr>
        <w:spacing w:after="120"/>
        <w:ind w:left="720" w:hanging="720"/>
        <w:jc w:val="both"/>
      </w:pPr>
      <w:r>
        <w:rPr>
          <w:rFonts w:ascii="Times New Roman" w:cs="Times New Roman" w:eastAsia="Times New Roman" w:hAnsi="Times New Roman"/>
          <w:b w:val="false"/>
          <w:bCs w:val="false"/>
          <w:color w:val="000000"/>
          <w:sz w:val="24"/>
          <w:szCs w:val="24"/>
        </w:rPr>
        <w:t xml:space="preserve">Kuhn, T.S. (1970) The Structure of Scientific Revolutions. 2nd edn. Chicago: University of Chicago Press.</w:t>
      </w:r>
    </w:p>
    <w:p>
      <w:pPr>
        <w:spacing w:after="120"/>
        <w:ind w:left="720" w:hanging="720"/>
        <w:jc w:val="both"/>
      </w:pPr>
      <w:r>
        <w:rPr>
          <w:rFonts w:ascii="Times New Roman" w:cs="Times New Roman" w:eastAsia="Times New Roman" w:hAnsi="Times New Roman"/>
          <w:b w:val="false"/>
          <w:bCs w:val="false"/>
          <w:color w:val="000000"/>
          <w:sz w:val="24"/>
          <w:szCs w:val="24"/>
        </w:rPr>
        <w:t xml:space="preserve">Quinyx (2023) State of the Frontline Workforce 2023. London: Quinyx. Available at: www.quinyx.com [Accessed: October 2026].</w:t>
      </w:r>
    </w:p>
    <w:p>
      <w:pPr>
        <w:spacing w:after="120"/>
        <w:ind w:left="720" w:hanging="720"/>
        <w:jc w:val="both"/>
      </w:pPr>
      <w:r>
        <w:rPr>
          <w:rFonts w:ascii="Times New Roman" w:cs="Times New Roman" w:eastAsia="Times New Roman" w:hAnsi="Times New Roman"/>
          <w:b w:val="false"/>
          <w:bCs w:val="false"/>
          <w:color w:val="000000"/>
          <w:sz w:val="24"/>
          <w:szCs w:val="24"/>
        </w:rPr>
        <w:t xml:space="preserve">Rhoades, L. and Eisenberger, R. (2002) 'Perceived organizational support: A review of the literature', Journal of Applied Psychology, 87(4), pp.698-714.</w:t>
      </w:r>
    </w:p>
    <w:p>
      <w:pPr>
        <w:spacing w:after="120"/>
        <w:ind w:left="720" w:hanging="720"/>
        <w:jc w:val="both"/>
      </w:pPr>
      <w:r>
        <w:rPr>
          <w:rFonts w:ascii="Times New Roman" w:cs="Times New Roman" w:eastAsia="Times New Roman" w:hAnsi="Times New Roman"/>
          <w:b w:val="false"/>
          <w:bCs w:val="false"/>
          <w:color w:val="000000"/>
          <w:sz w:val="24"/>
          <w:szCs w:val="24"/>
        </w:rPr>
        <w:t xml:space="preserve">Saunders, M., Lewis, P. and Thornhill, A. (2019) Research Methods for Business Students. 8th edn. Harlow: Pearson.</w:t>
      </w:r>
    </w:p>
    <w:p>
      <w:pPr>
        <w:spacing w:after="120"/>
        <w:ind w:left="720" w:hanging="720"/>
        <w:jc w:val="both"/>
      </w:pPr>
      <w:r>
        <w:rPr>
          <w:rFonts w:ascii="Times New Roman" w:cs="Times New Roman" w:eastAsia="Times New Roman" w:hAnsi="Times New Roman"/>
          <w:b w:val="false"/>
          <w:bCs w:val="false"/>
          <w:color w:val="000000"/>
          <w:sz w:val="24"/>
          <w:szCs w:val="24"/>
        </w:rPr>
        <w:t xml:space="preserve">Taborosi, S., Katavic, I. and Fabac, R. (2022) 'The mediating role of job satisfaction in the relationship between flexible work arrangements and turnover intentions', Sustainability, 14(8), p.4502.</w:t>
      </w:r>
    </w:p>
    <w:p>
      <w:pPr>
        <w:spacing w:after="120"/>
        <w:ind w:left="720" w:hanging="720"/>
        <w:jc w:val="both"/>
      </w:pPr>
      <w:r>
        <w:rPr>
          <w:rFonts w:ascii="Times New Roman" w:cs="Times New Roman" w:eastAsia="Times New Roman" w:hAnsi="Times New Roman"/>
          <w:b w:val="false"/>
          <w:bCs w:val="false"/>
          <w:color w:val="000000"/>
          <w:sz w:val="24"/>
          <w:szCs w:val="24"/>
        </w:rPr>
        <w:t xml:space="preserve">UK Government (2023) Employment Relations (Flexible Working) Act 2023. London: HMSO.</w:t>
      </w:r>
    </w:p>
    <w:p>
      <w:pPr>
        <w:spacing w:after="120"/>
        <w:ind w:left="720" w:hanging="720"/>
        <w:jc w:val="both"/>
      </w:pPr>
      <w:r>
        <w:rPr>
          <w:rFonts w:ascii="Times New Roman" w:cs="Times New Roman" w:eastAsia="Times New Roman" w:hAnsi="Times New Roman"/>
          <w:b w:val="false"/>
          <w:bCs w:val="false"/>
          <w:color w:val="000000"/>
          <w:sz w:val="24"/>
          <w:szCs w:val="24"/>
        </w:rPr>
        <w:t xml:space="preserve">Wheatley, D. (2017) 'Employee satisfaction and use of flexible working arrangements', Work, Employment and Society, 31(4), pp.567-585.</w:t>
      </w:r>
    </w:p>
    <w:p>
      <w:pPr>
        <w:spacing w:after="120"/>
        <w:ind w:left="720" w:hanging="720"/>
        <w:jc w:val="both"/>
      </w:pPr>
      <w:r>
        <w:rPr>
          <w:rFonts w:ascii="Times New Roman" w:cs="Times New Roman" w:eastAsia="Times New Roman" w:hAnsi="Times New Roman"/>
          <w:b w:val="false"/>
          <w:bCs w:val="false"/>
          <w:color w:val="000000"/>
          <w:sz w:val="24"/>
          <w:szCs w:val="24"/>
        </w:rPr>
        <w:t xml:space="preserve">Yunas, S. and Mostafa, A.M.S. (2022) 'Flexible working practices and job-related anxiety: Examining the roles of trust in management and job autonomy', Economic and Industrial Democracy, 43(3), pp.1340-1368.</w:t>
      </w:r>
    </w:p>
    <w:p>
      <w:r>
        <w:br w:type="page"/>
      </w:r>
    </w:p>
    <w:p>
      <w:pPr>
        <w:pStyle w:val="Heading1"/>
        <w:spacing w:after="160" w:before="320"/>
        <w:jc w:val="left"/>
      </w:pPr>
      <w:r>
        <w:rPr>
          <w:rFonts w:ascii="Times New Roman" w:cs="Times New Roman" w:eastAsia="Times New Roman" w:hAnsi="Times New Roman"/>
          <w:b/>
          <w:bCs/>
          <w:color w:val="1F3864"/>
          <w:sz w:val="28"/>
          <w:szCs w:val="28"/>
        </w:rPr>
        <w:t xml:space="preserve">Appendix A – WWHH Research Framework</w:t>
      </w:r>
    </w:p>
    <w:p>
      <w:pPr>
        <w:spacing w:after="160" w:line="360"/>
        <w:jc w:val="both"/>
      </w:pPr>
      <w:r>
        <w:rPr>
          <w:rFonts w:ascii="Times New Roman" w:cs="Times New Roman" w:eastAsia="Times New Roman" w:hAnsi="Times New Roman"/>
          <w:b w:val="false"/>
          <w:bCs w:val="false"/>
          <w:color w:val="000000"/>
          <w:sz w:val="24"/>
          <w:szCs w:val="24"/>
        </w:rPr>
        <w:t xml:space="preserve">The following is the full WWHH (What, Why, How Conceptually, How Practically) framework that I completed during the early weeks of the module. This document is referenced in Portfolio Item 1 above.</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00"/>
        <w:gridCol w:w="100"/>
      </w:tblGrid>
      <w:tr>
        <w:tc>
          <w:tcPr>
            <w:tcW w:type="dxa" w:w="2600"/>
            <w:shd w:fill="D9E1F2" w:val="clear"/>
          </w:tcPr>
          <w:p>
            <w:pPr>
              <w:spacing w:after="80"/>
            </w:pPr>
            <w:r>
              <w:rPr>
                <w:rFonts w:ascii="Times New Roman" w:cs="Times New Roman" w:eastAsia="Times New Roman" w:hAnsi="Times New Roman"/>
                <w:b/>
                <w:bCs/>
                <w:color w:val="000000"/>
                <w:sz w:val="24"/>
                <w:szCs w:val="24"/>
              </w:rPr>
              <w:t xml:space="preserve">WHAT?</w:t>
            </w:r>
          </w:p>
        </w:tc>
        <w:tc>
          <w:tcPr>
            <w:tcW w:type="dxa" w:w="6760"/>
          </w:tcPr>
          <w:p>
            <w:pPr>
              <w:spacing w:after="80"/>
            </w:pPr>
            <w:r>
              <w:rPr>
                <w:rFonts w:ascii="Times New Roman" w:cs="Times New Roman" w:eastAsia="Times New Roman" w:hAnsi="Times New Roman"/>
                <w:b w:val="false"/>
                <w:bCs w:val="false"/>
                <w:color w:val="000000"/>
                <w:sz w:val="24"/>
                <w:szCs w:val="24"/>
              </w:rPr>
              <w:t xml:space="preserve">WHY?</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What puzzles me:
High staff turnover in UK retail is well documented, yet most organisations still struggle to address it. What is less clear is whether flexible working arrangements (such as flexible hours, compressed workweeks, and shift swapping) actually reduce the intention to leave, particularly among frontline retail workers who cannot work from home.
My Research Questions:
RQ1: Do flexible working arrangements have a significant negative relationship with employee turnover intentions among frontline workers in UK retail supermarkets?
RQ2: Does job satisfaction mediate this relationship?
RQ3: Does perceived organisational support moderate the FWA to job satisfaction pathway?</w:t>
            </w:r>
          </w:p>
        </w:tc>
        <w:tc>
          <w:tcPr>
            <w:tcW w:type="dxa" w:w="6760"/>
          </w:tcPr>
          <w:p>
            <w:pPr>
              <w:spacing w:after="80"/>
            </w:pPr>
            <w:r>
              <w:rPr>
                <w:rFonts w:ascii="Times New Roman" w:cs="Times New Roman" w:eastAsia="Times New Roman" w:hAnsi="Times New Roman"/>
                <w:b w:val="false"/>
                <w:bCs w:val="false"/>
                <w:color w:val="000000"/>
                <w:sz w:val="24"/>
                <w:szCs w:val="24"/>
              </w:rPr>
              <w:t xml:space="preserve">Why will this interest others?
1. Practical urgency: UK retail employs over 3 million people. CIPD (2023) reports annual turnover of 25-35% in UK retail, far above the 15% national average. The direct cost of replacing one frontline worker is estimated at GBP3,000-5,000.
2. Policy relevance: The Flexible Working Act 2023 gives employees the right to request flexible working from day one. Retailers need evidence on whether acting on these requests improves retention.
3. Academic gap: No existing study simultaneously combines flexible working, job satisfaction as mediator, and POS as moderator in a single model using UK retail frontline data in a post-2023 context.</w:t>
            </w:r>
          </w:p>
        </w:tc>
      </w:tr>
    </w:tbl>
    <w:p>
      <w:pPr>
        <w:spacing w:after="80"/>
      </w:pPr>
      <w:r>
        <w:rPr>
          <w:rFonts w:ascii="Times New Roman" w:cs="Times New Roman" w:eastAsia="Times New Roman" w:hAnsi="Times New Roman"/>
          <w:b w:val="false"/>
          <w:bCs w:val="false"/>
          <w:color w:val="000000"/>
          <w:sz w:val="24"/>
          <w:szCs w:val="24"/>
        </w:rPr>
        <w:t xml:space="preserve"/>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00"/>
        <w:gridCol w:w="100"/>
      </w:tblGrid>
      <w:tr>
        <w:tc>
          <w:tcPr>
            <w:tcW w:type="dxa" w:w="2600"/>
            <w:shd w:fill="D9E1F2" w:val="clear"/>
          </w:tcPr>
          <w:p>
            <w:pPr>
              <w:spacing w:after="80"/>
            </w:pPr>
            <w:r>
              <w:rPr>
                <w:rFonts w:ascii="Times New Roman" w:cs="Times New Roman" w:eastAsia="Times New Roman" w:hAnsi="Times New Roman"/>
                <w:b/>
                <w:bCs/>
                <w:color w:val="000000"/>
                <w:sz w:val="24"/>
                <w:szCs w:val="24"/>
              </w:rPr>
              <w:t xml:space="preserve">HOW — Conceptually?</w:t>
            </w:r>
          </w:p>
        </w:tc>
        <w:tc>
          <w:tcPr>
            <w:tcW w:type="dxa" w:w="6760"/>
          </w:tcPr>
          <w:p>
            <w:pPr>
              <w:spacing w:after="80"/>
            </w:pPr>
            <w:r>
              <w:rPr>
                <w:rFonts w:ascii="Times New Roman" w:cs="Times New Roman" w:eastAsia="Times New Roman" w:hAnsi="Times New Roman"/>
                <w:b w:val="false"/>
                <w:bCs w:val="false"/>
                <w:color w:val="000000"/>
                <w:sz w:val="24"/>
                <w:szCs w:val="24"/>
              </w:rPr>
              <w:t xml:space="preserve">HOW — Practically?</w:t>
            </w:r>
          </w:p>
        </w:tc>
      </w:tr>
      <w:tr>
        <w:tc>
          <w:tcPr>
            <w:tcW w:type="dxa" w:w="2600"/>
            <w:shd w:fill="D9E1F2" w:val="clear"/>
          </w:tcPr>
          <w:p>
            <w:pPr>
              <w:spacing w:after="80"/>
            </w:pPr>
            <w:r>
              <w:rPr>
                <w:rFonts w:ascii="Times New Roman" w:cs="Times New Roman" w:eastAsia="Times New Roman" w:hAnsi="Times New Roman"/>
                <w:b/>
                <w:bCs/>
                <w:color w:val="000000"/>
                <w:sz w:val="24"/>
                <w:szCs w:val="24"/>
              </w:rPr>
              <w:t xml:space="preserve">Theories:
1. Conservation of Resources Theory (Hobfoll, 1989): employees who gain schedule control are less likely to leave because they want to protect that resource.
2. Social Exchange Theory (Blau, 1964): when an employer offers flexibility, employees reciprocate with loyalty and lower turnover intentions.
3. Job Demands-Resources Model (Demerouti et al., 2001): flexibility reduces job demands and increases resources, reducing burnout.
Mediator: Job Satisfaction
Moderator: Perceived Organisational Support
Model: Flexible Working ---&gt; Job Satisfaction ---&gt; Turnover Intentions (moderated by POS)</w:t>
            </w:r>
          </w:p>
        </w:tc>
        <w:tc>
          <w:tcPr>
            <w:tcW w:type="dxa" w:w="6760"/>
          </w:tcPr>
          <w:p>
            <w:pPr>
              <w:spacing w:after="80"/>
            </w:pPr>
            <w:r>
              <w:rPr>
                <w:rFonts w:ascii="Times New Roman" w:cs="Times New Roman" w:eastAsia="Times New Roman" w:hAnsi="Times New Roman"/>
                <w:b w:val="false"/>
                <w:bCs w:val="false"/>
                <w:color w:val="000000"/>
                <w:sz w:val="24"/>
                <w:szCs w:val="24"/>
              </w:rPr>
              <w:t xml:space="preserve">Philosophy: Post-positivist
Approach: Deductive
Design: Cross-sectional quantitative survey
Instrument: Self-administered online Likert-scale questionnaire (17 items)
Sample: 150-200 frontline retail employees (Tesco, Sainsbury's, ASDA, Morrisons, Lidl)
Recruitment: LinkedIn, retail networks, personal contacts
Analysis (SPSS v29):
- Descriptive statistics
- Cronbach's alpha (reliability)
- Pearson correlation
- Multiple linear regression (RQ1)
- PROCESS Macro Model 4 (mediation, RQ2)
- PROCESS Macro Model 1 (moderation, RQ3)</w:t>
            </w:r>
          </w:p>
        </w:tc>
      </w:tr>
    </w:tbl>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2026-10-19T13:57:44.532Z</dcterms:created>
  <dcterms:modified xsi:type="dcterms:W3CDTF">2026-10-19T13:57:44.545Z</dcterms:modified>
</cp:coreProperties>
</file>

<file path=docProps/custom.xml><?xml version="1.0" encoding="utf-8"?>
<Properties xmlns="http://schemas.openxmlformats.org/officeDocument/2006/custom-properties" xmlns:vt="http://schemas.openxmlformats.org/officeDocument/2006/docPropsVTypes"/>
</file>