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03A91" w:rsidR="00AD6466" w:rsidP="00AD6466" w:rsidRDefault="00AD6466" w14:paraId="50617981" w14:textId="7663ACD8">
      <w:pPr>
        <w:spacing w:line="360" w:lineRule="auto"/>
        <w:rPr>
          <w:rFonts w:ascii="Arial" w:hAnsi="Arial" w:cs="Arial"/>
        </w:rPr>
      </w:pPr>
    </w:p>
    <w:p w:rsidRPr="00C03A91" w:rsidR="00AD6466" w:rsidP="3F3FA5AC" w:rsidRDefault="00AD6466" w14:paraId="467F28CC" w14:textId="77777777">
      <w:pPr>
        <w:spacing w:line="360" w:lineRule="auto"/>
        <w:rPr>
          <w:rFonts w:ascii="Arial" w:hAnsi="Arial" w:cs="Arial"/>
        </w:rPr>
      </w:pPr>
      <w:r w:rsidRPr="00C03A91">
        <w:rPr>
          <w:rFonts w:ascii="Arial" w:hAnsi="Arial" w:cs="Arial"/>
          <w:noProof/>
          <w:szCs w:val="24"/>
        </w:rPr>
        <w:drawing>
          <wp:anchor distT="0" distB="0" distL="114300" distR="114300" simplePos="0" relativeHeight="251659264" behindDoc="0" locked="0" layoutInCell="1" allowOverlap="1" wp14:anchorId="26B14A19" wp14:editId="3A4EDB10">
            <wp:simplePos x="0" y="0"/>
            <wp:positionH relativeFrom="column">
              <wp:posOffset>0</wp:posOffset>
            </wp:positionH>
            <wp:positionV relativeFrom="paragraph">
              <wp:posOffset>292100</wp:posOffset>
            </wp:positionV>
            <wp:extent cx="3095625" cy="1238250"/>
            <wp:effectExtent l="0" t="0" r="0" b="0"/>
            <wp:wrapSquare wrapText="bothSides"/>
            <wp:docPr id="4" name="Picture 4" descr="Discover University of Wales Trinity Saint David"/>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 name="Picture 1" descr="Discover University of Wales Trinity Saint David"/>
                    <pic:cNvPicPr/>
                  </pic:nvPicPr>
                  <pic:blipFill>
                    <a:blip xmlns:r="http://schemas.openxmlformats.org/officeDocument/2006/relationships" r:embed="rId11" r:link="rId12">
                      <a:extLst>
                        <a:ext uri="{28A0092B-C50C-407E-A947-70E740481C1C}">
                          <a14:useLocalDpi xmlns:a14="http://schemas.microsoft.com/office/drawing/2010/main"/>
                        </a:ext>
                      </a:extLst>
                    </a:blip>
                    <a:srcRect/>
                    <a:stretch>
                      <a:fillRect/>
                    </a:stretch>
                  </pic:blipFill>
                  <pic:spPr bwMode="auto">
                    <a:xfrm rot="0">
                      <a:off x="0" y="0"/>
                      <a:ext cx="3095625" cy="1238250"/>
                    </a:xfrm>
                    <a:prstGeom prst="rect">
                      <a:avLst/>
                    </a:prstGeom>
                    <a:noFill/>
                    <a:ln>
                      <a:noFill/>
                    </a:ln>
                  </pic:spPr>
                </pic:pic>
              </a:graphicData>
            </a:graphic>
          </wp:anchor>
        </w:drawing>
      </w:r>
    </w:p>
    <w:p w:rsidRPr="00C03A91" w:rsidR="00AD6466" w:rsidP="00AD6466" w:rsidRDefault="00AD6466" w14:paraId="174CF945" w14:textId="77777777">
      <w:pPr>
        <w:spacing w:line="360" w:lineRule="auto"/>
        <w:rPr>
          <w:rFonts w:ascii="Arial" w:hAnsi="Arial" w:cs="Arial"/>
          <w:szCs w:val="24"/>
        </w:rPr>
      </w:pPr>
    </w:p>
    <w:p w:rsidRPr="00C03A91" w:rsidR="00AD6466" w:rsidP="00AD6466" w:rsidRDefault="00AD6466" w14:paraId="7F0399C3" w14:textId="77777777">
      <w:pPr>
        <w:spacing w:line="360" w:lineRule="auto"/>
        <w:rPr>
          <w:rFonts w:ascii="Arial" w:hAnsi="Arial" w:cs="Arial"/>
          <w:szCs w:val="24"/>
        </w:rPr>
      </w:pPr>
    </w:p>
    <w:p w:rsidRPr="00C03A91" w:rsidR="00AD6466" w:rsidP="00AD6466" w:rsidRDefault="00AD6466" w14:paraId="482EDBE7" w14:textId="77777777">
      <w:pPr>
        <w:spacing w:line="360" w:lineRule="auto"/>
        <w:rPr>
          <w:rFonts w:ascii="Arial" w:hAnsi="Arial" w:cs="Arial"/>
          <w:szCs w:val="24"/>
        </w:rPr>
      </w:pPr>
    </w:p>
    <w:p w:rsidRPr="00C03A91" w:rsidR="00AD6466" w:rsidP="00AD6466" w:rsidRDefault="00AD6466" w14:paraId="48B715BE" w14:textId="77777777">
      <w:pPr>
        <w:tabs>
          <w:tab w:val="left" w:pos="6540"/>
        </w:tabs>
        <w:spacing w:line="360" w:lineRule="auto"/>
        <w:rPr>
          <w:rFonts w:ascii="Arial" w:hAnsi="Arial" w:cs="Arial"/>
          <w:sz w:val="28"/>
          <w:szCs w:val="28"/>
        </w:rPr>
      </w:pPr>
    </w:p>
    <w:p w:rsidRPr="00076AC0" w:rsidR="00AD6466" w:rsidP="00AD6466" w:rsidRDefault="00AD6466" w14:paraId="32C9F849" w14:textId="77777777">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Pr>
          <w:rFonts w:ascii="Arial" w:hAnsi="Arial" w:cs="Arial"/>
          <w:sz w:val="28"/>
          <w:szCs w:val="28"/>
          <w:lang w:val="nl-NL"/>
        </w:rPr>
        <w:t xml:space="preserve"> Lourdes Cristina Fabre</w:t>
      </w:r>
    </w:p>
    <w:p w:rsidRPr="00076AC0" w:rsidR="00AD6466" w:rsidP="00AD6466" w:rsidRDefault="00AD6466" w14:paraId="0946CF55" w14:textId="77777777">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Pr>
          <w:rFonts w:ascii="Arial" w:hAnsi="Arial" w:cs="Arial"/>
          <w:sz w:val="28"/>
          <w:szCs w:val="28"/>
          <w:lang w:val="nl-NL"/>
        </w:rPr>
        <w:t xml:space="preserve"> 2012080</w:t>
      </w:r>
    </w:p>
    <w:p w:rsidRPr="00076AC0" w:rsidR="00AD6466" w:rsidP="00AD6466" w:rsidRDefault="00AD6466" w14:paraId="7C8C95F0" w14:textId="77777777">
      <w:pPr>
        <w:tabs>
          <w:tab w:val="left" w:pos="6540"/>
        </w:tabs>
        <w:spacing w:line="360" w:lineRule="auto"/>
        <w:rPr>
          <w:rFonts w:ascii="Arial" w:hAnsi="Arial" w:cs="Arial"/>
          <w:sz w:val="28"/>
          <w:szCs w:val="28"/>
          <w:lang w:val="nl-NL"/>
        </w:rPr>
      </w:pPr>
    </w:p>
    <w:p w:rsidRPr="00076AC0" w:rsidR="00AD6466" w:rsidP="3F3FA5AC" w:rsidRDefault="00AD6466" w14:paraId="386122E1" w14:textId="67723A14">
      <w:pPr>
        <w:pStyle w:val="Normal"/>
        <w:suppressLineNumbers w:val="0"/>
        <w:tabs>
          <w:tab w:val="left" w:leader="none" w:pos="6540"/>
        </w:tabs>
        <w:bidi w:val="0"/>
        <w:spacing w:before="0" w:beforeAutospacing="off" w:after="160" w:afterAutospacing="off" w:line="360" w:lineRule="auto"/>
        <w:ind w:left="0" w:right="0"/>
        <w:jc w:val="left"/>
        <w:rPr>
          <w:rFonts w:ascii="Arial" w:hAnsi="Arial" w:cs="Arial"/>
          <w:sz w:val="28"/>
          <w:szCs w:val="28"/>
          <w:lang w:val="nl-NL"/>
        </w:rPr>
      </w:pPr>
      <w:r w:rsidRPr="3F3FA5AC" w:rsidR="00AD6466">
        <w:rPr>
          <w:rFonts w:ascii="Arial" w:hAnsi="Arial" w:cs="Arial"/>
          <w:b w:val="1"/>
          <w:bCs w:val="1"/>
          <w:sz w:val="28"/>
          <w:szCs w:val="28"/>
          <w:lang w:val="nl-NL"/>
        </w:rPr>
        <w:t>Module name</w:t>
      </w:r>
      <w:r w:rsidRPr="3F3FA5AC" w:rsidR="00AD6466">
        <w:rPr>
          <w:rFonts w:ascii="Arial" w:hAnsi="Arial" w:cs="Arial"/>
          <w:sz w:val="28"/>
          <w:szCs w:val="28"/>
          <w:lang w:val="nl-NL"/>
        </w:rPr>
        <w:t xml:space="preserve">: </w:t>
      </w:r>
      <w:r w:rsidRPr="3F3FA5AC" w:rsidR="50149FD1">
        <w:rPr>
          <w:rFonts w:ascii="Arial" w:hAnsi="Arial" w:cs="Arial"/>
          <w:b w:val="0"/>
          <w:bCs w:val="0"/>
          <w:sz w:val="28"/>
          <w:szCs w:val="28"/>
        </w:rPr>
        <w:t>Principles of Health and Social Care</w:t>
      </w:r>
    </w:p>
    <w:p w:rsidRPr="00C03A91" w:rsidR="00AD6466" w:rsidP="00AD6466" w:rsidRDefault="00AD6466" w14:paraId="0183F3F9" w14:textId="034AE9F7">
      <w:pPr>
        <w:tabs>
          <w:tab w:val="left" w:pos="6540"/>
        </w:tabs>
        <w:spacing w:line="360" w:lineRule="auto"/>
        <w:rPr>
          <w:rFonts w:ascii="Arial" w:hAnsi="Arial" w:cs="Arial"/>
          <w:sz w:val="28"/>
          <w:szCs w:val="28"/>
        </w:rPr>
      </w:pPr>
      <w:r w:rsidRPr="3F3FA5AC" w:rsidR="00AD6466">
        <w:rPr>
          <w:rFonts w:ascii="Arial" w:hAnsi="Arial" w:cs="Arial"/>
          <w:b w:val="1"/>
          <w:bCs w:val="1"/>
          <w:sz w:val="28"/>
          <w:szCs w:val="28"/>
        </w:rPr>
        <w:t>Module code</w:t>
      </w:r>
      <w:r w:rsidRPr="3F3FA5AC" w:rsidR="00AD6466">
        <w:rPr>
          <w:rFonts w:ascii="Arial" w:hAnsi="Arial" w:cs="Arial"/>
          <w:sz w:val="28"/>
          <w:szCs w:val="28"/>
        </w:rPr>
        <w:t>:</w:t>
      </w:r>
      <w:r w:rsidRPr="3F3FA5AC" w:rsidR="00AD6466">
        <w:rPr>
          <w:rFonts w:ascii="Arial" w:hAnsi="Arial" w:cs="Arial"/>
          <w:b w:val="1"/>
          <w:bCs w:val="1"/>
          <w:sz w:val="28"/>
          <w:szCs w:val="28"/>
        </w:rPr>
        <w:t xml:space="preserve"> </w:t>
      </w:r>
      <w:r w:rsidRPr="3F3FA5AC" w:rsidR="00AD6466">
        <w:rPr>
          <w:rFonts w:ascii="Arial" w:hAnsi="Arial" w:cs="Arial"/>
          <w:b w:val="0"/>
          <w:bCs w:val="0"/>
          <w:sz w:val="28"/>
          <w:szCs w:val="28"/>
        </w:rPr>
        <w:t>BMHP50</w:t>
      </w:r>
      <w:r w:rsidRPr="3F3FA5AC" w:rsidR="00AD6466">
        <w:rPr>
          <w:rFonts w:ascii="Arial" w:hAnsi="Arial" w:cs="Arial"/>
          <w:b w:val="0"/>
          <w:bCs w:val="0"/>
          <w:sz w:val="28"/>
          <w:szCs w:val="28"/>
        </w:rPr>
        <w:t>16_LON</w:t>
      </w:r>
    </w:p>
    <w:p w:rsidRPr="00C03A91" w:rsidR="00AD6466" w:rsidP="3F3FA5AC" w:rsidRDefault="00AD6466" w14:paraId="3E334FF4" w14:textId="6EEB23D6">
      <w:pPr>
        <w:pStyle w:val="Normal"/>
        <w:tabs>
          <w:tab w:val="left" w:pos="6540"/>
        </w:tabs>
        <w:spacing w:line="360" w:lineRule="auto"/>
        <w:rPr>
          <w:rFonts w:ascii="Arial" w:hAnsi="Arial" w:eastAsia="Arial" w:cs="Arial"/>
          <w:b w:val="0"/>
          <w:bCs w:val="0"/>
          <w:sz w:val="28"/>
          <w:szCs w:val="28"/>
        </w:rPr>
      </w:pPr>
      <w:r w:rsidRPr="3F3FA5AC" w:rsidR="00AD6466">
        <w:rPr>
          <w:rFonts w:ascii="Arial" w:hAnsi="Arial" w:cs="Arial"/>
          <w:b w:val="1"/>
          <w:bCs w:val="1"/>
          <w:sz w:val="28"/>
          <w:szCs w:val="28"/>
        </w:rPr>
        <w:t>Lecturer name</w:t>
      </w:r>
      <w:r w:rsidRPr="3F3FA5AC" w:rsidR="00AD6466">
        <w:rPr>
          <w:rFonts w:ascii="Arial" w:hAnsi="Arial" w:cs="Arial"/>
          <w:sz w:val="28"/>
          <w:szCs w:val="28"/>
        </w:rPr>
        <w:t>:</w:t>
      </w:r>
      <w:r w:rsidRPr="3F3FA5AC" w:rsidR="00AD6466">
        <w:rPr>
          <w:rFonts w:ascii="Arial" w:hAnsi="Arial" w:cs="Arial"/>
          <w:sz w:val="28"/>
          <w:szCs w:val="28"/>
        </w:rPr>
        <w:t xml:space="preserve"> </w:t>
      </w:r>
      <w:r w:rsidRPr="3F3FA5AC" w:rsidR="449F346B">
        <w:rPr>
          <w:rFonts w:ascii="Arial" w:hAnsi="Arial" w:eastAsia="Arial" w:cs="Arial"/>
          <w:b w:val="0"/>
          <w:bCs w:val="0"/>
          <w:i w:val="0"/>
          <w:iCs w:val="0"/>
          <w:caps w:val="0"/>
          <w:smallCaps w:val="0"/>
          <w:noProof w:val="0"/>
          <w:color w:val="1D2125"/>
          <w:sz w:val="28"/>
          <w:szCs w:val="28"/>
          <w:lang w:val="en-GB"/>
        </w:rPr>
        <w:t>Dr</w:t>
      </w:r>
      <w:r w:rsidRPr="3F3FA5AC" w:rsidR="449F346B">
        <w:rPr>
          <w:rFonts w:ascii="Arial" w:hAnsi="Arial" w:eastAsia="Arial" w:cs="Arial"/>
          <w:b w:val="0"/>
          <w:bCs w:val="0"/>
          <w:i w:val="0"/>
          <w:iCs w:val="0"/>
          <w:caps w:val="0"/>
          <w:smallCaps w:val="0"/>
          <w:noProof w:val="0"/>
          <w:color w:val="1D2125"/>
          <w:sz w:val="28"/>
          <w:szCs w:val="28"/>
          <w:lang w:val="en-GB"/>
        </w:rPr>
        <w:t xml:space="preserve"> </w:t>
      </w:r>
      <w:r w:rsidRPr="3F3FA5AC" w:rsidR="449F346B">
        <w:rPr>
          <w:rFonts w:ascii="Arial" w:hAnsi="Arial" w:eastAsia="Arial" w:cs="Arial"/>
          <w:b w:val="0"/>
          <w:bCs w:val="0"/>
          <w:i w:val="0"/>
          <w:iCs w:val="0"/>
          <w:caps w:val="0"/>
          <w:smallCaps w:val="0"/>
          <w:noProof w:val="0"/>
          <w:color w:val="1D2125"/>
          <w:sz w:val="28"/>
          <w:szCs w:val="28"/>
          <w:lang w:val="en-GB"/>
        </w:rPr>
        <w:t>Itse</w:t>
      </w:r>
      <w:r w:rsidRPr="3F3FA5AC" w:rsidR="449F346B">
        <w:rPr>
          <w:rFonts w:ascii="Arial" w:hAnsi="Arial" w:eastAsia="Arial" w:cs="Arial"/>
          <w:b w:val="0"/>
          <w:bCs w:val="0"/>
          <w:i w:val="0"/>
          <w:iCs w:val="0"/>
          <w:caps w:val="0"/>
          <w:smallCaps w:val="0"/>
          <w:noProof w:val="0"/>
          <w:color w:val="1D2125"/>
          <w:sz w:val="28"/>
          <w:szCs w:val="28"/>
          <w:lang w:val="en-GB"/>
        </w:rPr>
        <w:t xml:space="preserve"> Olaoye</w:t>
      </w:r>
      <w:r w:rsidRPr="3F3FA5AC" w:rsidR="00AD6466">
        <w:rPr>
          <w:rFonts w:ascii="Arial" w:hAnsi="Arial" w:eastAsia="Arial" w:cs="Arial"/>
          <w:b w:val="0"/>
          <w:bCs w:val="0"/>
          <w:sz w:val="28"/>
          <w:szCs w:val="28"/>
        </w:rPr>
        <w:t xml:space="preserve"> </w:t>
      </w:r>
    </w:p>
    <w:p w:rsidRPr="00C03A91" w:rsidR="00AD6466" w:rsidP="00AD6466" w:rsidRDefault="00AD6466" w14:paraId="518F1BD5" w14:textId="77777777">
      <w:pPr>
        <w:tabs>
          <w:tab w:val="left" w:pos="6540"/>
        </w:tabs>
        <w:spacing w:line="360" w:lineRule="auto"/>
        <w:rPr>
          <w:rFonts w:ascii="Arial" w:hAnsi="Arial" w:cs="Arial"/>
          <w:b/>
          <w:bCs/>
          <w:sz w:val="28"/>
          <w:szCs w:val="28"/>
        </w:rPr>
      </w:pPr>
    </w:p>
    <w:p w:rsidR="00AD6466" w:rsidP="00AD6466" w:rsidRDefault="00AD6466" w14:paraId="7A2B97A9" w14:textId="698F7C3F">
      <w:pPr>
        <w:tabs>
          <w:tab w:val="left" w:pos="6540"/>
        </w:tabs>
        <w:spacing w:line="360" w:lineRule="auto"/>
        <w:rPr>
          <w:rFonts w:ascii="Arial" w:hAnsi="Arial" w:cs="Arial"/>
          <w:sz w:val="28"/>
          <w:szCs w:val="28"/>
        </w:rPr>
      </w:pPr>
      <w:r w:rsidRPr="3F3FA5AC" w:rsidR="00AD6466">
        <w:rPr>
          <w:rFonts w:ascii="Arial" w:hAnsi="Arial" w:cs="Arial"/>
          <w:b w:val="1"/>
          <w:bCs w:val="1"/>
          <w:sz w:val="28"/>
          <w:szCs w:val="28"/>
        </w:rPr>
        <w:t xml:space="preserve">Assessment: </w:t>
      </w:r>
      <w:r w:rsidRPr="3F3FA5AC" w:rsidR="00AD6466">
        <w:rPr>
          <w:rFonts w:ascii="Arial" w:hAnsi="Arial" w:cs="Arial"/>
          <w:b w:val="1"/>
          <w:bCs w:val="1"/>
          <w:sz w:val="28"/>
          <w:szCs w:val="28"/>
        </w:rPr>
        <w:t xml:space="preserve"> </w:t>
      </w:r>
      <w:r w:rsidRPr="3F3FA5AC" w:rsidR="10AC677D">
        <w:rPr>
          <w:rFonts w:ascii="Arial" w:hAnsi="Arial" w:cs="Arial"/>
          <w:b w:val="1"/>
          <w:bCs w:val="1"/>
          <w:sz w:val="28"/>
          <w:szCs w:val="28"/>
        </w:rPr>
        <w:t xml:space="preserve">Component 2 - </w:t>
      </w:r>
      <w:r w:rsidRPr="3F3FA5AC" w:rsidR="00AD6466">
        <w:rPr>
          <w:rFonts w:ascii="Arial" w:hAnsi="Arial" w:cs="Arial"/>
          <w:sz w:val="28"/>
          <w:szCs w:val="28"/>
        </w:rPr>
        <w:t>Global Care Chains (GCCs)</w:t>
      </w:r>
    </w:p>
    <w:p w:rsidR="00524FD5" w:rsidP="00AD6466" w:rsidRDefault="00524FD5" w14:paraId="05AEAE09" w14:textId="77777777">
      <w:pPr>
        <w:tabs>
          <w:tab w:val="left" w:pos="6540"/>
        </w:tabs>
        <w:spacing w:line="360" w:lineRule="auto"/>
        <w:rPr>
          <w:rFonts w:ascii="Arial" w:hAnsi="Arial" w:cs="Arial"/>
          <w:sz w:val="28"/>
          <w:szCs w:val="28"/>
        </w:rPr>
      </w:pPr>
    </w:p>
    <w:p w:rsidR="00524FD5" w:rsidP="00AD6466" w:rsidRDefault="00524FD5" w14:paraId="6FAD18A0" w14:textId="77777777">
      <w:pPr>
        <w:tabs>
          <w:tab w:val="left" w:pos="6540"/>
        </w:tabs>
        <w:spacing w:line="360" w:lineRule="auto"/>
        <w:rPr>
          <w:rFonts w:ascii="Arial" w:hAnsi="Arial" w:cs="Arial"/>
          <w:sz w:val="28"/>
          <w:szCs w:val="28"/>
        </w:rPr>
      </w:pPr>
    </w:p>
    <w:p w:rsidR="00524FD5" w:rsidP="00AD6466" w:rsidRDefault="00524FD5" w14:paraId="55D6D72D" w14:textId="77777777">
      <w:pPr>
        <w:tabs>
          <w:tab w:val="left" w:pos="6540"/>
        </w:tabs>
        <w:spacing w:line="360" w:lineRule="auto"/>
        <w:rPr>
          <w:rFonts w:ascii="Arial" w:hAnsi="Arial" w:cs="Arial"/>
          <w:sz w:val="28"/>
          <w:szCs w:val="28"/>
        </w:rPr>
      </w:pPr>
    </w:p>
    <w:p w:rsidR="00524FD5" w:rsidP="00AD6466" w:rsidRDefault="00524FD5" w14:paraId="469ED96D" w14:textId="77777777">
      <w:pPr>
        <w:tabs>
          <w:tab w:val="left" w:pos="6540"/>
        </w:tabs>
        <w:spacing w:line="360" w:lineRule="auto"/>
        <w:rPr>
          <w:rFonts w:ascii="Arial" w:hAnsi="Arial" w:cs="Arial"/>
          <w:sz w:val="28"/>
          <w:szCs w:val="28"/>
        </w:rPr>
      </w:pPr>
    </w:p>
    <w:p w:rsidR="00524FD5" w:rsidP="00AD6466" w:rsidRDefault="00524FD5" w14:paraId="6A5FA5B1" w14:textId="77777777">
      <w:pPr>
        <w:tabs>
          <w:tab w:val="left" w:pos="6540"/>
        </w:tabs>
        <w:spacing w:line="360" w:lineRule="auto"/>
        <w:rPr>
          <w:rFonts w:ascii="Arial" w:hAnsi="Arial" w:cs="Arial"/>
          <w:sz w:val="28"/>
          <w:szCs w:val="28"/>
        </w:rPr>
      </w:pPr>
    </w:p>
    <w:p w:rsidR="00524FD5" w:rsidP="00AD6466" w:rsidRDefault="00524FD5" w14:paraId="1215CF60" w14:textId="77777777">
      <w:pPr>
        <w:tabs>
          <w:tab w:val="left" w:pos="6540"/>
        </w:tabs>
        <w:spacing w:line="360" w:lineRule="auto"/>
        <w:rPr>
          <w:rFonts w:ascii="Arial" w:hAnsi="Arial" w:cs="Arial"/>
          <w:sz w:val="28"/>
          <w:szCs w:val="28"/>
        </w:rPr>
      </w:pPr>
    </w:p>
    <w:p w:rsidR="00524FD5" w:rsidP="3F3FA5AC" w:rsidRDefault="00524FD5" w14:paraId="200A47EF" w14:textId="34E56F5F">
      <w:pPr>
        <w:pStyle w:val="Normal"/>
        <w:tabs>
          <w:tab w:val="left" w:pos="6540"/>
        </w:tabs>
        <w:spacing w:line="360" w:lineRule="auto"/>
        <w:rPr>
          <w:rFonts w:ascii="Arial" w:hAnsi="Arial" w:cs="Arial"/>
          <w:sz w:val="28"/>
          <w:szCs w:val="28"/>
        </w:rPr>
      </w:pPr>
    </w:p>
    <w:sdt>
      <w:sdtPr>
        <w:id w:val="1248966310"/>
        <w:docPartObj>
          <w:docPartGallery w:val="Table of Contents"/>
          <w:docPartUnique/>
        </w:docPartObj>
      </w:sdtPr>
      <w:sdtContent>
        <w:p w:rsidR="00524FD5" w:rsidRDefault="00524FD5" w14:paraId="36AC4F39" w14:textId="25FB2AB6">
          <w:pPr>
            <w:pStyle w:val="TOCHeading"/>
          </w:pPr>
          <w:r w:rsidR="00524FD5">
            <w:rPr/>
            <w:t>Table of Contents</w:t>
          </w:r>
        </w:p>
        <w:p w:rsidR="00477A1D" w:rsidP="3F3FA5AC" w:rsidRDefault="00524FD5" w14:paraId="22A030C9" w14:textId="620B0F21">
          <w:pPr>
            <w:pStyle w:val="TOC1"/>
            <w:tabs>
              <w:tab w:val="right" w:leader="dot" w:pos="9015"/>
            </w:tabs>
            <w:rPr>
              <w:rStyle w:val="Hyperlink"/>
              <w:noProof/>
              <w:lang w:eastAsia="en-GB"/>
            </w:rPr>
          </w:pPr>
          <w:r>
            <w:fldChar w:fldCharType="begin"/>
          </w:r>
          <w:r>
            <w:instrText xml:space="preserve">TOC \o "1-3" \z \u \h</w:instrText>
          </w:r>
          <w:r>
            <w:fldChar w:fldCharType="separate"/>
          </w:r>
          <w:hyperlink w:anchor="_Toc1744074660">
            <w:r w:rsidRPr="3F3FA5AC" w:rsidR="3F3FA5AC">
              <w:rPr>
                <w:rStyle w:val="Hyperlink"/>
              </w:rPr>
              <w:t>Introduction</w:t>
            </w:r>
            <w:r>
              <w:tab/>
            </w:r>
            <w:r>
              <w:fldChar w:fldCharType="begin"/>
            </w:r>
            <w:r>
              <w:instrText xml:space="preserve">PAGEREF _Toc1744074660 \h</w:instrText>
            </w:r>
            <w:r>
              <w:fldChar w:fldCharType="separate"/>
            </w:r>
            <w:r w:rsidRPr="3F3FA5AC" w:rsidR="3F3FA5AC">
              <w:rPr>
                <w:rStyle w:val="Hyperlink"/>
              </w:rPr>
              <w:t>2</w:t>
            </w:r>
            <w:r>
              <w:fldChar w:fldCharType="end"/>
            </w:r>
          </w:hyperlink>
        </w:p>
        <w:p w:rsidR="00477A1D" w:rsidP="3F3FA5AC" w:rsidRDefault="00477A1D" w14:paraId="767C6555" w14:textId="42FCEDEC">
          <w:pPr>
            <w:pStyle w:val="TOC1"/>
            <w:tabs>
              <w:tab w:val="right" w:leader="dot" w:pos="9015"/>
            </w:tabs>
            <w:rPr>
              <w:rStyle w:val="Hyperlink"/>
              <w:noProof/>
              <w:lang w:eastAsia="en-GB"/>
            </w:rPr>
          </w:pPr>
          <w:hyperlink w:anchor="_Toc1797043249">
            <w:r w:rsidRPr="3F3FA5AC" w:rsidR="3F3FA5AC">
              <w:rPr>
                <w:rStyle w:val="Hyperlink"/>
              </w:rPr>
              <w:t>Conceptual Overview: Global Care Chains (GCCs)</w:t>
            </w:r>
            <w:r>
              <w:tab/>
            </w:r>
            <w:r>
              <w:fldChar w:fldCharType="begin"/>
            </w:r>
            <w:r>
              <w:instrText xml:space="preserve">PAGEREF _Toc1797043249 \h</w:instrText>
            </w:r>
            <w:r>
              <w:fldChar w:fldCharType="separate"/>
            </w:r>
            <w:r w:rsidRPr="3F3FA5AC" w:rsidR="3F3FA5AC">
              <w:rPr>
                <w:rStyle w:val="Hyperlink"/>
              </w:rPr>
              <w:t>2</w:t>
            </w:r>
            <w:r>
              <w:fldChar w:fldCharType="end"/>
            </w:r>
          </w:hyperlink>
        </w:p>
        <w:p w:rsidR="00477A1D" w:rsidP="3F3FA5AC" w:rsidRDefault="00477A1D" w14:paraId="1D4877AD" w14:textId="01E060C5">
          <w:pPr>
            <w:pStyle w:val="TOC1"/>
            <w:tabs>
              <w:tab w:val="right" w:leader="dot" w:pos="9015"/>
            </w:tabs>
            <w:rPr>
              <w:rStyle w:val="Hyperlink"/>
              <w:noProof/>
              <w:lang w:eastAsia="en-GB"/>
            </w:rPr>
          </w:pPr>
          <w:hyperlink w:anchor="_Toc1521729505">
            <w:r w:rsidRPr="3F3FA5AC" w:rsidR="3F3FA5AC">
              <w:rPr>
                <w:rStyle w:val="Hyperlink"/>
              </w:rPr>
              <w:t>How GCCs Underpin Person-Centred Care in Practice</w:t>
            </w:r>
            <w:r>
              <w:tab/>
            </w:r>
            <w:r>
              <w:fldChar w:fldCharType="begin"/>
            </w:r>
            <w:r>
              <w:instrText xml:space="preserve">PAGEREF _Toc1521729505 \h</w:instrText>
            </w:r>
            <w:r>
              <w:fldChar w:fldCharType="separate"/>
            </w:r>
            <w:r w:rsidRPr="3F3FA5AC" w:rsidR="3F3FA5AC">
              <w:rPr>
                <w:rStyle w:val="Hyperlink"/>
              </w:rPr>
              <w:t>3</w:t>
            </w:r>
            <w:r>
              <w:fldChar w:fldCharType="end"/>
            </w:r>
          </w:hyperlink>
        </w:p>
        <w:p w:rsidR="00477A1D" w:rsidP="3F3FA5AC" w:rsidRDefault="00477A1D" w14:paraId="0023DCD4" w14:textId="21B6525C">
          <w:pPr>
            <w:pStyle w:val="TOC1"/>
            <w:tabs>
              <w:tab w:val="right" w:leader="dot" w:pos="9015"/>
            </w:tabs>
            <w:rPr>
              <w:rStyle w:val="Hyperlink"/>
              <w:noProof/>
              <w:lang w:eastAsia="en-GB"/>
            </w:rPr>
          </w:pPr>
          <w:hyperlink w:anchor="_Toc1615565184">
            <w:r w:rsidRPr="3F3FA5AC" w:rsidR="3F3FA5AC">
              <w:rPr>
                <w:rStyle w:val="Hyperlink"/>
              </w:rPr>
              <w:t>Critical Issues in Application to Policy and Practice</w:t>
            </w:r>
            <w:r>
              <w:tab/>
            </w:r>
            <w:r>
              <w:fldChar w:fldCharType="begin"/>
            </w:r>
            <w:r>
              <w:instrText xml:space="preserve">PAGEREF _Toc1615565184 \h</w:instrText>
            </w:r>
            <w:r>
              <w:fldChar w:fldCharType="separate"/>
            </w:r>
            <w:r w:rsidRPr="3F3FA5AC" w:rsidR="3F3FA5AC">
              <w:rPr>
                <w:rStyle w:val="Hyperlink"/>
              </w:rPr>
              <w:t>4</w:t>
            </w:r>
            <w:r>
              <w:fldChar w:fldCharType="end"/>
            </w:r>
          </w:hyperlink>
        </w:p>
        <w:p w:rsidR="00477A1D" w:rsidP="3F3FA5AC" w:rsidRDefault="00477A1D" w14:paraId="7ADB4E3C" w14:textId="5817B5FB">
          <w:pPr>
            <w:pStyle w:val="TOC2"/>
            <w:tabs>
              <w:tab w:val="right" w:leader="dot" w:pos="9015"/>
            </w:tabs>
            <w:rPr>
              <w:rStyle w:val="Hyperlink"/>
              <w:noProof/>
              <w:lang w:eastAsia="en-GB"/>
            </w:rPr>
          </w:pPr>
          <w:hyperlink w:anchor="_Toc253859369">
            <w:r w:rsidRPr="3F3FA5AC" w:rsidR="3F3FA5AC">
              <w:rPr>
                <w:rStyle w:val="Hyperlink"/>
              </w:rPr>
              <w:t>1. Ethical Contradictions and the Undermining of PCC</w:t>
            </w:r>
            <w:r>
              <w:tab/>
            </w:r>
            <w:r>
              <w:fldChar w:fldCharType="begin"/>
            </w:r>
            <w:r>
              <w:instrText xml:space="preserve">PAGEREF _Toc253859369 \h</w:instrText>
            </w:r>
            <w:r>
              <w:fldChar w:fldCharType="separate"/>
            </w:r>
            <w:r w:rsidRPr="3F3FA5AC" w:rsidR="3F3FA5AC">
              <w:rPr>
                <w:rStyle w:val="Hyperlink"/>
              </w:rPr>
              <w:t>4</w:t>
            </w:r>
            <w:r>
              <w:fldChar w:fldCharType="end"/>
            </w:r>
          </w:hyperlink>
        </w:p>
        <w:p w:rsidR="00477A1D" w:rsidP="3F3FA5AC" w:rsidRDefault="00477A1D" w14:paraId="4A554DDB" w14:textId="70E25F4C">
          <w:pPr>
            <w:pStyle w:val="TOC2"/>
            <w:tabs>
              <w:tab w:val="right" w:leader="dot" w:pos="9015"/>
            </w:tabs>
            <w:rPr>
              <w:rStyle w:val="Hyperlink"/>
              <w:noProof/>
              <w:lang w:eastAsia="en-GB"/>
            </w:rPr>
          </w:pPr>
          <w:hyperlink w:anchor="_Toc1150603566">
            <w:r w:rsidRPr="3F3FA5AC" w:rsidR="3F3FA5AC">
              <w:rPr>
                <w:rStyle w:val="Hyperlink"/>
              </w:rPr>
              <w:t>2. Policy Shortcomings and Systemic Exploitation</w:t>
            </w:r>
            <w:r>
              <w:tab/>
            </w:r>
            <w:r>
              <w:fldChar w:fldCharType="begin"/>
            </w:r>
            <w:r>
              <w:instrText xml:space="preserve">PAGEREF _Toc1150603566 \h</w:instrText>
            </w:r>
            <w:r>
              <w:fldChar w:fldCharType="separate"/>
            </w:r>
            <w:r w:rsidRPr="3F3FA5AC" w:rsidR="3F3FA5AC">
              <w:rPr>
                <w:rStyle w:val="Hyperlink"/>
              </w:rPr>
              <w:t>5</w:t>
            </w:r>
            <w:r>
              <w:fldChar w:fldCharType="end"/>
            </w:r>
          </w:hyperlink>
        </w:p>
        <w:p w:rsidR="00477A1D" w:rsidP="3F3FA5AC" w:rsidRDefault="00477A1D" w14:paraId="4598AEBD" w14:textId="5E817FD6">
          <w:pPr>
            <w:pStyle w:val="TOC3"/>
            <w:tabs>
              <w:tab w:val="right" w:leader="dot" w:pos="9015"/>
            </w:tabs>
            <w:rPr>
              <w:rStyle w:val="Hyperlink"/>
              <w:noProof/>
              <w:lang w:eastAsia="en-GB"/>
            </w:rPr>
          </w:pPr>
          <w:hyperlink w:anchor="_Toc1678817909">
            <w:r w:rsidRPr="3F3FA5AC" w:rsidR="3F3FA5AC">
              <w:rPr>
                <w:rStyle w:val="Hyperlink"/>
              </w:rPr>
              <w:t>Gendered and Racialised Hierarchies:</w:t>
            </w:r>
            <w:r>
              <w:tab/>
            </w:r>
            <w:r>
              <w:fldChar w:fldCharType="begin"/>
            </w:r>
            <w:r>
              <w:instrText xml:space="preserve">PAGEREF _Toc1678817909 \h</w:instrText>
            </w:r>
            <w:r>
              <w:fldChar w:fldCharType="separate"/>
            </w:r>
            <w:r w:rsidRPr="3F3FA5AC" w:rsidR="3F3FA5AC">
              <w:rPr>
                <w:rStyle w:val="Hyperlink"/>
              </w:rPr>
              <w:t>5</w:t>
            </w:r>
            <w:r>
              <w:fldChar w:fldCharType="end"/>
            </w:r>
          </w:hyperlink>
        </w:p>
        <w:p w:rsidR="00477A1D" w:rsidP="3F3FA5AC" w:rsidRDefault="00477A1D" w14:paraId="0D745CE2" w14:textId="23C97901">
          <w:pPr>
            <w:pStyle w:val="TOC3"/>
            <w:tabs>
              <w:tab w:val="right" w:leader="dot" w:pos="9015"/>
            </w:tabs>
            <w:rPr>
              <w:rStyle w:val="Hyperlink"/>
              <w:noProof/>
              <w:lang w:eastAsia="en-GB"/>
            </w:rPr>
          </w:pPr>
          <w:hyperlink w:anchor="_Toc1954969334">
            <w:r w:rsidRPr="3F3FA5AC" w:rsidR="3F3FA5AC">
              <w:rPr>
                <w:rStyle w:val="Hyperlink"/>
              </w:rPr>
              <w:t>Training and Recognition Paradox:</w:t>
            </w:r>
            <w:r>
              <w:tab/>
            </w:r>
            <w:r>
              <w:fldChar w:fldCharType="begin"/>
            </w:r>
            <w:r>
              <w:instrText xml:space="preserve">PAGEREF _Toc1954969334 \h</w:instrText>
            </w:r>
            <w:r>
              <w:fldChar w:fldCharType="separate"/>
            </w:r>
            <w:r w:rsidRPr="3F3FA5AC" w:rsidR="3F3FA5AC">
              <w:rPr>
                <w:rStyle w:val="Hyperlink"/>
              </w:rPr>
              <w:t>5</w:t>
            </w:r>
            <w:r>
              <w:fldChar w:fldCharType="end"/>
            </w:r>
          </w:hyperlink>
        </w:p>
        <w:p w:rsidR="00477A1D" w:rsidP="3F3FA5AC" w:rsidRDefault="00477A1D" w14:paraId="441C03DF" w14:textId="460D9E5A">
          <w:pPr>
            <w:pStyle w:val="TOC2"/>
            <w:tabs>
              <w:tab w:val="right" w:leader="dot" w:pos="9015"/>
            </w:tabs>
            <w:rPr>
              <w:rStyle w:val="Hyperlink"/>
              <w:noProof/>
              <w:lang w:eastAsia="en-GB"/>
            </w:rPr>
          </w:pPr>
          <w:hyperlink w:anchor="_Toc1406560893">
            <w:r w:rsidRPr="3F3FA5AC" w:rsidR="3F3FA5AC">
              <w:rPr>
                <w:rStyle w:val="Hyperlink"/>
              </w:rPr>
              <w:t>3. Practice-Level Tensions</w:t>
            </w:r>
            <w:r>
              <w:tab/>
            </w:r>
            <w:r>
              <w:fldChar w:fldCharType="begin"/>
            </w:r>
            <w:r>
              <w:instrText xml:space="preserve">PAGEREF _Toc1406560893 \h</w:instrText>
            </w:r>
            <w:r>
              <w:fldChar w:fldCharType="separate"/>
            </w:r>
            <w:r w:rsidRPr="3F3FA5AC" w:rsidR="3F3FA5AC">
              <w:rPr>
                <w:rStyle w:val="Hyperlink"/>
              </w:rPr>
              <w:t>5</w:t>
            </w:r>
            <w:r>
              <w:fldChar w:fldCharType="end"/>
            </w:r>
          </w:hyperlink>
        </w:p>
        <w:p w:rsidR="00477A1D" w:rsidP="3F3FA5AC" w:rsidRDefault="00477A1D" w14:paraId="01CD5D94" w14:textId="1FDF768E">
          <w:pPr>
            <w:pStyle w:val="TOC3"/>
            <w:tabs>
              <w:tab w:val="right" w:leader="dot" w:pos="9015"/>
            </w:tabs>
            <w:rPr>
              <w:rStyle w:val="Hyperlink"/>
              <w:noProof/>
              <w:lang w:eastAsia="en-GB"/>
            </w:rPr>
          </w:pPr>
          <w:hyperlink w:anchor="_Toc6146441">
            <w:r w:rsidRPr="3F3FA5AC" w:rsidR="3F3FA5AC">
              <w:rPr>
                <w:rStyle w:val="Hyperlink"/>
              </w:rPr>
              <w:t>Asymmetrical Relationships:</w:t>
            </w:r>
            <w:r>
              <w:tab/>
            </w:r>
            <w:r>
              <w:fldChar w:fldCharType="begin"/>
            </w:r>
            <w:r>
              <w:instrText xml:space="preserve">PAGEREF _Toc6146441 \h</w:instrText>
            </w:r>
            <w:r>
              <w:fldChar w:fldCharType="separate"/>
            </w:r>
            <w:r w:rsidRPr="3F3FA5AC" w:rsidR="3F3FA5AC">
              <w:rPr>
                <w:rStyle w:val="Hyperlink"/>
              </w:rPr>
              <w:t>5</w:t>
            </w:r>
            <w:r>
              <w:fldChar w:fldCharType="end"/>
            </w:r>
          </w:hyperlink>
        </w:p>
        <w:p w:rsidR="00477A1D" w:rsidP="3F3FA5AC" w:rsidRDefault="00477A1D" w14:paraId="3E8BA8E5" w14:textId="7F9F145B">
          <w:pPr>
            <w:pStyle w:val="TOC3"/>
            <w:tabs>
              <w:tab w:val="right" w:leader="dot" w:pos="9015"/>
            </w:tabs>
            <w:rPr>
              <w:rStyle w:val="Hyperlink"/>
              <w:noProof/>
              <w:lang w:eastAsia="en-GB"/>
            </w:rPr>
          </w:pPr>
          <w:hyperlink w:anchor="_Toc219782345">
            <w:r w:rsidRPr="3F3FA5AC" w:rsidR="3F3FA5AC">
              <w:rPr>
                <w:rStyle w:val="Hyperlink"/>
              </w:rPr>
              <w:t>Emotional Extraction vs. Genuine Relationship:</w:t>
            </w:r>
            <w:r>
              <w:tab/>
            </w:r>
            <w:r>
              <w:fldChar w:fldCharType="begin"/>
            </w:r>
            <w:r>
              <w:instrText xml:space="preserve">PAGEREF _Toc219782345 \h</w:instrText>
            </w:r>
            <w:r>
              <w:fldChar w:fldCharType="separate"/>
            </w:r>
            <w:r w:rsidRPr="3F3FA5AC" w:rsidR="3F3FA5AC">
              <w:rPr>
                <w:rStyle w:val="Hyperlink"/>
              </w:rPr>
              <w:t>5</w:t>
            </w:r>
            <w:r>
              <w:fldChar w:fldCharType="end"/>
            </w:r>
          </w:hyperlink>
        </w:p>
        <w:p w:rsidR="00477A1D" w:rsidP="3F3FA5AC" w:rsidRDefault="00477A1D" w14:paraId="0EDB2087" w14:textId="68423BC1">
          <w:pPr>
            <w:pStyle w:val="TOC3"/>
            <w:tabs>
              <w:tab w:val="right" w:leader="dot" w:pos="9015"/>
            </w:tabs>
            <w:rPr>
              <w:rStyle w:val="Hyperlink"/>
              <w:noProof/>
              <w:lang w:eastAsia="en-GB"/>
            </w:rPr>
          </w:pPr>
          <w:hyperlink w:anchor="_Toc271066211">
            <w:r w:rsidRPr="3F3FA5AC" w:rsidR="3F3FA5AC">
              <w:rPr>
                <w:rStyle w:val="Hyperlink"/>
              </w:rPr>
              <w:t>Fragmentation of Care:</w:t>
            </w:r>
            <w:r>
              <w:tab/>
            </w:r>
            <w:r>
              <w:fldChar w:fldCharType="begin"/>
            </w:r>
            <w:r>
              <w:instrText xml:space="preserve">PAGEREF _Toc271066211 \h</w:instrText>
            </w:r>
            <w:r>
              <w:fldChar w:fldCharType="separate"/>
            </w:r>
            <w:r w:rsidRPr="3F3FA5AC" w:rsidR="3F3FA5AC">
              <w:rPr>
                <w:rStyle w:val="Hyperlink"/>
              </w:rPr>
              <w:t>6</w:t>
            </w:r>
            <w:r>
              <w:fldChar w:fldCharType="end"/>
            </w:r>
          </w:hyperlink>
        </w:p>
        <w:p w:rsidR="00477A1D" w:rsidP="3F3FA5AC" w:rsidRDefault="00477A1D" w14:paraId="077BA287" w14:textId="4F25B18C">
          <w:pPr>
            <w:pStyle w:val="TOC1"/>
            <w:tabs>
              <w:tab w:val="right" w:leader="dot" w:pos="9015"/>
            </w:tabs>
            <w:rPr>
              <w:rStyle w:val="Hyperlink"/>
              <w:noProof/>
              <w:lang w:eastAsia="en-GB"/>
            </w:rPr>
          </w:pPr>
          <w:hyperlink w:anchor="_Toc866632133">
            <w:r w:rsidRPr="3F3FA5AC" w:rsidR="3F3FA5AC">
              <w:rPr>
                <w:rStyle w:val="Hyperlink"/>
              </w:rPr>
              <w:t>Implications for Reimagining Policy and Practice</w:t>
            </w:r>
            <w:r>
              <w:tab/>
            </w:r>
            <w:r>
              <w:fldChar w:fldCharType="begin"/>
            </w:r>
            <w:r>
              <w:instrText xml:space="preserve">PAGEREF _Toc866632133 \h</w:instrText>
            </w:r>
            <w:r>
              <w:fldChar w:fldCharType="separate"/>
            </w:r>
            <w:r w:rsidRPr="3F3FA5AC" w:rsidR="3F3FA5AC">
              <w:rPr>
                <w:rStyle w:val="Hyperlink"/>
              </w:rPr>
              <w:t>6</w:t>
            </w:r>
            <w:r>
              <w:fldChar w:fldCharType="end"/>
            </w:r>
          </w:hyperlink>
        </w:p>
        <w:p w:rsidR="00477A1D" w:rsidP="3F3FA5AC" w:rsidRDefault="00477A1D" w14:paraId="2D16D376" w14:textId="38B0D8AD">
          <w:pPr>
            <w:pStyle w:val="TOC1"/>
            <w:tabs>
              <w:tab w:val="right" w:leader="dot" w:pos="9015"/>
            </w:tabs>
            <w:rPr>
              <w:rStyle w:val="Hyperlink"/>
              <w:noProof/>
              <w:lang w:eastAsia="en-GB"/>
            </w:rPr>
          </w:pPr>
          <w:hyperlink w:anchor="_Toc1412039161">
            <w:r w:rsidRPr="3F3FA5AC" w:rsidR="3F3FA5AC">
              <w:rPr>
                <w:rStyle w:val="Hyperlink"/>
              </w:rPr>
              <w:t>Conclusion</w:t>
            </w:r>
            <w:r>
              <w:tab/>
            </w:r>
            <w:r>
              <w:fldChar w:fldCharType="begin"/>
            </w:r>
            <w:r>
              <w:instrText xml:space="preserve">PAGEREF _Toc1412039161 \h</w:instrText>
            </w:r>
            <w:r>
              <w:fldChar w:fldCharType="separate"/>
            </w:r>
            <w:r w:rsidRPr="3F3FA5AC" w:rsidR="3F3FA5AC">
              <w:rPr>
                <w:rStyle w:val="Hyperlink"/>
              </w:rPr>
              <w:t>7</w:t>
            </w:r>
            <w:r>
              <w:fldChar w:fldCharType="end"/>
            </w:r>
          </w:hyperlink>
        </w:p>
        <w:p w:rsidR="00477A1D" w:rsidP="3F3FA5AC" w:rsidRDefault="00477A1D" w14:paraId="5FBB151B" w14:textId="4C3B4D89">
          <w:pPr>
            <w:pStyle w:val="TOC1"/>
            <w:tabs>
              <w:tab w:val="right" w:leader="dot" w:pos="9015"/>
            </w:tabs>
            <w:rPr>
              <w:rStyle w:val="Hyperlink"/>
              <w:noProof/>
              <w:lang w:eastAsia="en-GB"/>
            </w:rPr>
          </w:pPr>
          <w:hyperlink w:anchor="_Toc944946911">
            <w:r w:rsidRPr="3F3FA5AC" w:rsidR="3F3FA5AC">
              <w:rPr>
                <w:rStyle w:val="Hyperlink"/>
              </w:rPr>
              <w:t>References</w:t>
            </w:r>
            <w:r>
              <w:tab/>
            </w:r>
            <w:r>
              <w:fldChar w:fldCharType="begin"/>
            </w:r>
            <w:r>
              <w:instrText xml:space="preserve">PAGEREF _Toc944946911 \h</w:instrText>
            </w:r>
            <w:r>
              <w:fldChar w:fldCharType="separate"/>
            </w:r>
            <w:r w:rsidRPr="3F3FA5AC" w:rsidR="3F3FA5AC">
              <w:rPr>
                <w:rStyle w:val="Hyperlink"/>
              </w:rPr>
              <w:t>8</w:t>
            </w:r>
            <w:r>
              <w:fldChar w:fldCharType="end"/>
            </w:r>
          </w:hyperlink>
          <w:r>
            <w:fldChar w:fldCharType="end"/>
          </w:r>
        </w:p>
      </w:sdtContent>
    </w:sdt>
    <w:p w:rsidR="00524FD5" w:rsidRDefault="00524FD5" w14:paraId="0B67FFDF" w14:textId="27259257"/>
    <w:p w:rsidRPr="00C03A91" w:rsidR="00524FD5" w:rsidP="00AD6466" w:rsidRDefault="00524FD5" w14:paraId="6B0B9DC2" w14:textId="77777777">
      <w:pPr>
        <w:tabs>
          <w:tab w:val="left" w:pos="6540"/>
        </w:tabs>
        <w:spacing w:line="360" w:lineRule="auto"/>
        <w:rPr>
          <w:rFonts w:ascii="Arial" w:hAnsi="Arial" w:cs="Arial"/>
          <w:b/>
          <w:bCs/>
          <w:sz w:val="28"/>
          <w:szCs w:val="28"/>
        </w:rPr>
      </w:pPr>
    </w:p>
    <w:p w:rsidRPr="00C03A91" w:rsidR="00AD6466" w:rsidP="00AD6466" w:rsidRDefault="00AD6466" w14:paraId="75663410" w14:textId="77777777">
      <w:pPr>
        <w:tabs>
          <w:tab w:val="left" w:pos="6540"/>
        </w:tabs>
        <w:spacing w:line="360" w:lineRule="auto"/>
        <w:rPr>
          <w:rFonts w:ascii="Arial" w:hAnsi="Arial" w:cs="Arial"/>
          <w:sz w:val="28"/>
          <w:szCs w:val="28"/>
        </w:rPr>
      </w:pPr>
    </w:p>
    <w:p w:rsidR="00AD6466" w:rsidP="00AD6466" w:rsidRDefault="00AD6466" w14:paraId="6CE84BD0" w14:textId="77777777">
      <w:pPr>
        <w:spacing w:line="360" w:lineRule="auto"/>
        <w:rPr>
          <w:rFonts w:ascii="Arial" w:hAnsi="Arial" w:cs="Arial"/>
          <w:sz w:val="28"/>
          <w:szCs w:val="28"/>
        </w:rPr>
      </w:pPr>
    </w:p>
    <w:p w:rsidR="00AD6466" w:rsidP="00322390" w:rsidRDefault="00AD6466" w14:paraId="05025062" w14:textId="77777777">
      <w:pPr>
        <w:pStyle w:val="Heading1"/>
        <w:rPr>
          <w:rFonts w:ascii="Arial" w:hAnsi="Arial" w:cs="Arial"/>
          <w:sz w:val="36"/>
          <w:szCs w:val="36"/>
        </w:rPr>
      </w:pPr>
    </w:p>
    <w:p w:rsidR="00AD6466" w:rsidP="00322390" w:rsidRDefault="00AD6466" w14:paraId="5A3C24ED" w14:textId="77777777">
      <w:pPr>
        <w:pStyle w:val="Heading1"/>
        <w:rPr>
          <w:rFonts w:ascii="Arial" w:hAnsi="Arial" w:cs="Arial"/>
          <w:sz w:val="36"/>
          <w:szCs w:val="36"/>
        </w:rPr>
      </w:pPr>
    </w:p>
    <w:p w:rsidR="00524FD5" w:rsidP="00524FD5" w:rsidRDefault="00524FD5" w14:paraId="0CF14C02" w14:textId="77777777"/>
    <w:p w:rsidR="00524FD5" w:rsidP="00524FD5" w:rsidRDefault="00524FD5" w14:paraId="5E9231BE" w14:textId="77777777"/>
    <w:p w:rsidR="00524FD5" w:rsidP="00524FD5" w:rsidRDefault="00524FD5" w14:paraId="64451483" w14:textId="77777777"/>
    <w:p w:rsidRPr="00524FD5" w:rsidR="00524FD5" w:rsidP="00524FD5" w:rsidRDefault="00524FD5" w14:paraId="18562D46" w14:textId="77777777"/>
    <w:p w:rsidRPr="00322390" w:rsidR="00322390" w:rsidP="3F3FA5AC" w:rsidRDefault="00322390" w14:paraId="4A5EDBF4" w14:textId="31C2A5FF">
      <w:pPr>
        <w:pStyle w:val="Heading1"/>
        <w:rPr>
          <w:rFonts w:ascii="Arial" w:hAnsi="Arial" w:cs="Arial"/>
          <w:sz w:val="36"/>
          <w:szCs w:val="36"/>
        </w:rPr>
      </w:pPr>
      <w:bookmarkStart w:name="_Toc1744074660" w:id="340374667"/>
      <w:r w:rsidRPr="3F3FA5AC" w:rsidR="00322390">
        <w:rPr>
          <w:rFonts w:ascii="Arial" w:hAnsi="Arial" w:cs="Arial"/>
          <w:sz w:val="36"/>
          <w:szCs w:val="36"/>
        </w:rPr>
        <w:t>Introduction</w:t>
      </w:r>
      <w:bookmarkEnd w:id="340374667"/>
    </w:p>
    <w:p w:rsidRPr="00322390" w:rsidR="00322390" w:rsidP="00322390" w:rsidRDefault="00322390" w14:paraId="6BAC800F" w14:textId="6CAC33EA">
      <w:pPr>
        <w:spacing w:line="360" w:lineRule="auto"/>
        <w:jc w:val="both"/>
        <w:rPr>
          <w:rFonts w:ascii="Arial" w:hAnsi="Arial" w:cs="Arial"/>
        </w:rPr>
      </w:pPr>
      <w:r w:rsidRPr="3F3FA5AC" w:rsidR="00322390">
        <w:rPr>
          <w:rFonts w:ascii="Arial" w:hAnsi="Arial" w:cs="Arial"/>
        </w:rPr>
        <w:t>The provision of care in affluent societies has become inextricably linked to a globali</w:t>
      </w:r>
      <w:r w:rsidRPr="3F3FA5AC" w:rsidR="7DC81222">
        <w:rPr>
          <w:rFonts w:ascii="Arial" w:hAnsi="Arial" w:cs="Arial"/>
        </w:rPr>
        <w:t>s</w:t>
      </w:r>
      <w:r w:rsidRPr="3F3FA5AC" w:rsidR="00322390">
        <w:rPr>
          <w:rFonts w:ascii="Arial" w:hAnsi="Arial" w:cs="Arial"/>
        </w:rPr>
        <w:t>ed system of labour extraction, a dynamic critically examined through the lens of Global Care Chains (GCCs). Pioneered by Arlie Hochschild’s concept of “emotional labour,” this framework reveals how the intimate work of care is industriali</w:t>
      </w:r>
      <w:r w:rsidRPr="3F3FA5AC" w:rsidR="21C8E951">
        <w:rPr>
          <w:rFonts w:ascii="Arial" w:hAnsi="Arial" w:cs="Arial"/>
        </w:rPr>
        <w:t>s</w:t>
      </w:r>
      <w:r w:rsidRPr="3F3FA5AC" w:rsidR="00322390">
        <w:rPr>
          <w:rFonts w:ascii="Arial" w:hAnsi="Arial" w:cs="Arial"/>
        </w:rPr>
        <w:t>ed and moneti</w:t>
      </w:r>
      <w:r w:rsidRPr="3F3FA5AC" w:rsidR="658C4D70">
        <w:rPr>
          <w:rFonts w:ascii="Arial" w:hAnsi="Arial" w:cs="Arial"/>
        </w:rPr>
        <w:t>s</w:t>
      </w:r>
      <w:r w:rsidRPr="3F3FA5AC" w:rsidR="00322390">
        <w:rPr>
          <w:rFonts w:ascii="Arial" w:hAnsi="Arial" w:cs="Arial"/>
        </w:rPr>
        <w:t>ed, flowing from low- and middle-income nations to the Global North (Hochschild, 2012; Yeates, 2008). This system underpins vital health and social care, enabling person-centred models in aging societies like the UK</w:t>
      </w:r>
      <w:r w:rsidRPr="3F3FA5AC" w:rsidR="634478AA">
        <w:rPr>
          <w:rFonts w:ascii="Arial" w:hAnsi="Arial" w:cs="Arial"/>
        </w:rPr>
        <w:t>,</w:t>
      </w:r>
      <w:r w:rsidRPr="3F3FA5AC" w:rsidR="5F9876C6">
        <w:rPr>
          <w:rFonts w:ascii="Arial" w:hAnsi="Arial" w:cs="Arial"/>
        </w:rPr>
        <w:t xml:space="preserve"> </w:t>
      </w:r>
      <w:r w:rsidRPr="3F3FA5AC" w:rsidR="00322390">
        <w:rPr>
          <w:rFonts w:ascii="Arial" w:hAnsi="Arial" w:cs="Arial"/>
        </w:rPr>
        <w:t xml:space="preserve">where over a quarter of the care workforce are foreign nationals (Skills for Care, 2024). This </w:t>
      </w:r>
      <w:r w:rsidRPr="3F3FA5AC" w:rsidR="56D5F7C6">
        <w:rPr>
          <w:rFonts w:ascii="Arial" w:hAnsi="Arial" w:cs="Arial"/>
        </w:rPr>
        <w:t>essay</w:t>
      </w:r>
      <w:r w:rsidRPr="3F3FA5AC" w:rsidR="00322390">
        <w:rPr>
          <w:rFonts w:ascii="Arial" w:hAnsi="Arial" w:cs="Arial"/>
        </w:rPr>
        <w:t xml:space="preserve"> will explore this central paradox by examining how Global Care Chains function, critically evaluating their application in policy and practice, and proposing essential reforms to align the globali</w:t>
      </w:r>
      <w:r w:rsidRPr="3F3FA5AC" w:rsidR="08260088">
        <w:rPr>
          <w:rFonts w:ascii="Arial" w:hAnsi="Arial" w:cs="Arial"/>
        </w:rPr>
        <w:t>s</w:t>
      </w:r>
      <w:r w:rsidRPr="3F3FA5AC" w:rsidR="00322390">
        <w:rPr>
          <w:rFonts w:ascii="Arial" w:hAnsi="Arial" w:cs="Arial"/>
        </w:rPr>
        <w:t>ed care economy with the fundamental principles of dignity, equity, and genuine person-centredness.</w:t>
      </w:r>
    </w:p>
    <w:p w:rsidRPr="00322390" w:rsidR="00322390" w:rsidP="3F3FA5AC" w:rsidRDefault="00322390" w14:paraId="462B869F" w14:textId="0ABB7585">
      <w:pPr>
        <w:pStyle w:val="Heading1"/>
        <w:rPr>
          <w:rFonts w:ascii="Arial" w:hAnsi="Arial" w:cs="Arial"/>
          <w:sz w:val="36"/>
          <w:szCs w:val="36"/>
        </w:rPr>
      </w:pPr>
      <w:bookmarkStart w:name="_Toc1797043249" w:id="1097838716"/>
      <w:r w:rsidRPr="3F3FA5AC" w:rsidR="00333DAC">
        <w:rPr>
          <w:rFonts w:ascii="Arial" w:hAnsi="Arial" w:cs="Arial"/>
          <w:sz w:val="36"/>
          <w:szCs w:val="36"/>
        </w:rPr>
        <w:t>Conceptual Overview: Global Care Chains (GCCs)</w:t>
      </w:r>
      <w:bookmarkEnd w:id="1097838716"/>
    </w:p>
    <w:p w:rsidR="00553247" w:rsidP="004359EE" w:rsidRDefault="00333DAC" w14:paraId="4DE19A12" w14:textId="77777777">
      <w:pPr>
        <w:spacing w:line="360" w:lineRule="auto"/>
        <w:jc w:val="both"/>
        <w:rPr>
          <w:rFonts w:ascii="Arial" w:hAnsi="Arial" w:cs="Arial"/>
        </w:rPr>
      </w:pPr>
      <w:r w:rsidRPr="3F3FA5AC" w:rsidR="00333DAC">
        <w:rPr>
          <w:rFonts w:ascii="Arial" w:hAnsi="Arial" w:cs="Arial"/>
        </w:rPr>
        <w:t xml:space="preserve">The Global Care Chains (GCCs) model, initially developed by sociologist Arlie Hochschild </w:t>
      </w:r>
      <w:r w:rsidRPr="3F3FA5AC" w:rsidR="00E85166">
        <w:rPr>
          <w:rFonts w:ascii="Arial" w:hAnsi="Arial" w:cs="Arial"/>
        </w:rPr>
        <w:t xml:space="preserve">in 1983 (Hochschild, 2012) </w:t>
      </w:r>
      <w:r w:rsidRPr="3F3FA5AC" w:rsidR="00553247">
        <w:rPr>
          <w:rFonts w:ascii="Arial" w:hAnsi="Arial" w:cs="Arial"/>
        </w:rPr>
        <w:t>argues that the regulation of emotion, traditionally a private or familial matter, has been industriali</w:t>
      </w:r>
      <w:r w:rsidRPr="3F3FA5AC" w:rsidR="00553247">
        <w:rPr>
          <w:rFonts w:ascii="Arial" w:hAnsi="Arial" w:cs="Arial"/>
        </w:rPr>
        <w:t>s</w:t>
      </w:r>
      <w:r w:rsidRPr="3F3FA5AC" w:rsidR="00553247">
        <w:rPr>
          <w:rFonts w:ascii="Arial" w:hAnsi="Arial" w:cs="Arial"/>
        </w:rPr>
        <w:t>ed and moneti</w:t>
      </w:r>
      <w:r w:rsidRPr="3F3FA5AC" w:rsidR="00553247">
        <w:rPr>
          <w:rFonts w:ascii="Arial" w:hAnsi="Arial" w:cs="Arial"/>
        </w:rPr>
        <w:t>s</w:t>
      </w:r>
      <w:r w:rsidRPr="3F3FA5AC" w:rsidR="00553247">
        <w:rPr>
          <w:rFonts w:ascii="Arial" w:hAnsi="Arial" w:cs="Arial"/>
        </w:rPr>
        <w:t xml:space="preserve">ed. </w:t>
      </w:r>
      <w:r w:rsidRPr="3F3FA5AC" w:rsidR="00553247">
        <w:rPr>
          <w:rFonts w:ascii="Arial" w:hAnsi="Arial" w:cs="Arial"/>
        </w:rPr>
        <w:t>The author</w:t>
      </w:r>
      <w:r w:rsidRPr="3F3FA5AC" w:rsidR="00553247">
        <w:rPr>
          <w:rFonts w:ascii="Arial" w:hAnsi="Arial" w:cs="Arial"/>
        </w:rPr>
        <w:t xml:space="preserve"> terms this commodification 'emotional </w:t>
      </w:r>
      <w:r w:rsidRPr="3F3FA5AC" w:rsidR="00553247">
        <w:rPr>
          <w:rFonts w:ascii="Arial" w:hAnsi="Arial" w:cs="Arial"/>
        </w:rPr>
        <w:t>labour</w:t>
      </w:r>
      <w:r w:rsidRPr="3F3FA5AC" w:rsidR="00553247">
        <w:rPr>
          <w:rFonts w:ascii="Arial" w:hAnsi="Arial" w:cs="Arial"/>
        </w:rPr>
        <w:t>'</w:t>
      </w:r>
      <w:r w:rsidRPr="3F3FA5AC" w:rsidR="00553247">
        <w:rPr>
          <w:rFonts w:ascii="Arial" w:hAnsi="Arial" w:cs="Arial"/>
        </w:rPr>
        <w:t xml:space="preserve"> </w:t>
      </w:r>
      <w:r w:rsidRPr="3F3FA5AC" w:rsidR="00553247">
        <w:rPr>
          <w:rFonts w:ascii="Arial" w:hAnsi="Arial" w:cs="Arial"/>
        </w:rPr>
        <w:t xml:space="preserve">the process by which workers' emotional resources are harnessed and managed as a form of paid </w:t>
      </w:r>
      <w:r w:rsidRPr="3F3FA5AC" w:rsidR="00553247">
        <w:rPr>
          <w:rFonts w:ascii="Arial" w:hAnsi="Arial" w:cs="Arial"/>
        </w:rPr>
        <w:t>labour</w:t>
      </w:r>
      <w:r w:rsidRPr="3F3FA5AC" w:rsidR="00553247">
        <w:rPr>
          <w:rFonts w:ascii="Arial" w:hAnsi="Arial" w:cs="Arial"/>
        </w:rPr>
        <w:t xml:space="preserve"> in the service economy.</w:t>
      </w:r>
      <w:r w:rsidRPr="3F3FA5AC" w:rsidR="00333DAC">
        <w:rPr>
          <w:rFonts w:ascii="Arial" w:hAnsi="Arial" w:cs="Arial"/>
        </w:rPr>
        <w:t xml:space="preserve"> </w:t>
      </w:r>
    </w:p>
    <w:p w:rsidRPr="00333DAC" w:rsidR="007412D9" w:rsidP="3F3FA5AC" w:rsidRDefault="007412D9" w14:paraId="0400A836" w14:textId="1716A8D2">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3F3FA5AC" w:rsidR="66028881">
        <w:rPr>
          <w:rFonts w:ascii="Arial" w:hAnsi="Arial" w:eastAsia="Arial" w:cs="Arial"/>
          <w:b w:val="0"/>
          <w:bCs w:val="0"/>
          <w:i w:val="0"/>
          <w:iCs w:val="0"/>
          <w:caps w:val="0"/>
          <w:smallCaps w:val="0"/>
          <w:noProof w:val="0"/>
          <w:color w:val="0F1115"/>
          <w:sz w:val="22"/>
          <w:szCs w:val="22"/>
          <w:lang w:val="en-GB"/>
        </w:rPr>
        <w:t>Analysed the globali</w:t>
      </w:r>
      <w:r w:rsidRPr="3F3FA5AC" w:rsidR="57933F1F">
        <w:rPr>
          <w:rFonts w:ascii="Arial" w:hAnsi="Arial" w:eastAsia="Arial" w:cs="Arial"/>
          <w:b w:val="0"/>
          <w:bCs w:val="0"/>
          <w:i w:val="0"/>
          <w:iCs w:val="0"/>
          <w:caps w:val="0"/>
          <w:smallCaps w:val="0"/>
          <w:noProof w:val="0"/>
          <w:color w:val="0F1115"/>
          <w:sz w:val="22"/>
          <w:szCs w:val="22"/>
          <w:lang w:val="en-GB"/>
        </w:rPr>
        <w:t>s</w:t>
      </w:r>
      <w:r w:rsidRPr="3F3FA5AC" w:rsidR="66028881">
        <w:rPr>
          <w:rFonts w:ascii="Arial" w:hAnsi="Arial" w:eastAsia="Arial" w:cs="Arial"/>
          <w:b w:val="0"/>
          <w:bCs w:val="0"/>
          <w:i w:val="0"/>
          <w:iCs w:val="0"/>
          <w:caps w:val="0"/>
          <w:smallCaps w:val="0"/>
          <w:noProof w:val="0"/>
          <w:color w:val="0F1115"/>
          <w:sz w:val="22"/>
          <w:szCs w:val="22"/>
          <w:lang w:val="en-GB"/>
        </w:rPr>
        <w:t>ation of care labour, utili</w:t>
      </w:r>
      <w:r w:rsidRPr="3F3FA5AC" w:rsidR="549D222C">
        <w:rPr>
          <w:rFonts w:ascii="Arial" w:hAnsi="Arial" w:eastAsia="Arial" w:cs="Arial"/>
          <w:b w:val="0"/>
          <w:bCs w:val="0"/>
          <w:i w:val="0"/>
          <w:iCs w:val="0"/>
          <w:caps w:val="0"/>
          <w:smallCaps w:val="0"/>
          <w:noProof w:val="0"/>
          <w:color w:val="0F1115"/>
          <w:sz w:val="22"/>
          <w:szCs w:val="22"/>
          <w:lang w:val="en-GB"/>
        </w:rPr>
        <w:t>s</w:t>
      </w:r>
      <w:r w:rsidRPr="3F3FA5AC" w:rsidR="66028881">
        <w:rPr>
          <w:rFonts w:ascii="Arial" w:hAnsi="Arial" w:eastAsia="Arial" w:cs="Arial"/>
          <w:b w:val="0"/>
          <w:bCs w:val="0"/>
          <w:i w:val="0"/>
          <w:iCs w:val="0"/>
          <w:caps w:val="0"/>
          <w:smallCaps w:val="0"/>
          <w:noProof w:val="0"/>
          <w:color w:val="0F1115"/>
          <w:sz w:val="22"/>
          <w:szCs w:val="22"/>
          <w:lang w:val="en-GB"/>
        </w:rPr>
        <w:t>ing Yeates (200</w:t>
      </w:r>
      <w:r w:rsidRPr="3F3FA5AC" w:rsidR="228B6A57">
        <w:rPr>
          <w:rFonts w:ascii="Arial" w:hAnsi="Arial" w:eastAsia="Arial" w:cs="Arial"/>
          <w:b w:val="0"/>
          <w:bCs w:val="0"/>
          <w:i w:val="0"/>
          <w:iCs w:val="0"/>
          <w:caps w:val="0"/>
          <w:smallCaps w:val="0"/>
          <w:noProof w:val="0"/>
          <w:color w:val="0F1115"/>
          <w:sz w:val="22"/>
          <w:szCs w:val="22"/>
          <w:lang w:val="en-GB"/>
        </w:rPr>
        <w:t>9</w:t>
      </w:r>
      <w:r w:rsidRPr="3F3FA5AC" w:rsidR="66028881">
        <w:rPr>
          <w:rFonts w:ascii="Arial" w:hAnsi="Arial" w:eastAsia="Arial" w:cs="Arial"/>
          <w:b w:val="0"/>
          <w:bCs w:val="0"/>
          <w:i w:val="0"/>
          <w:iCs w:val="0"/>
          <w:caps w:val="0"/>
          <w:smallCaps w:val="0"/>
          <w:noProof w:val="0"/>
          <w:color w:val="0F1115"/>
          <w:sz w:val="22"/>
          <w:szCs w:val="22"/>
          <w:lang w:val="en-GB"/>
        </w:rPr>
        <w:t>) framework of global care chains, which illustrates how care privati</w:t>
      </w:r>
      <w:r w:rsidRPr="3F3FA5AC" w:rsidR="66A4FCC9">
        <w:rPr>
          <w:rFonts w:ascii="Arial" w:hAnsi="Arial" w:eastAsia="Arial" w:cs="Arial"/>
          <w:b w:val="0"/>
          <w:bCs w:val="0"/>
          <w:i w:val="0"/>
          <w:iCs w:val="0"/>
          <w:caps w:val="0"/>
          <w:smallCaps w:val="0"/>
          <w:noProof w:val="0"/>
          <w:color w:val="0F1115"/>
          <w:sz w:val="22"/>
          <w:szCs w:val="22"/>
          <w:lang w:val="en-GB"/>
        </w:rPr>
        <w:t>s</w:t>
      </w:r>
      <w:r w:rsidRPr="3F3FA5AC" w:rsidR="66028881">
        <w:rPr>
          <w:rFonts w:ascii="Arial" w:hAnsi="Arial" w:eastAsia="Arial" w:cs="Arial"/>
          <w:b w:val="0"/>
          <w:bCs w:val="0"/>
          <w:i w:val="0"/>
          <w:iCs w:val="0"/>
          <w:caps w:val="0"/>
          <w:smallCaps w:val="0"/>
          <w:noProof w:val="0"/>
          <w:color w:val="0F1115"/>
          <w:sz w:val="22"/>
          <w:szCs w:val="22"/>
          <w:lang w:val="en-GB"/>
        </w:rPr>
        <w:t>ation drives transnational migration from the Global South, thereby reproducing international inequality through displaced care responsibilities (Anderson &amp; Shutes, 2014).</w:t>
      </w:r>
    </w:p>
    <w:p w:rsidRPr="00333DAC" w:rsidR="007412D9" w:rsidP="3F3FA5AC" w:rsidRDefault="007412D9" w14:paraId="2C4987BA" w14:textId="54C93017">
      <w:pPr>
        <w:pStyle w:val="Normal"/>
        <w:spacing w:line="360" w:lineRule="auto"/>
        <w:jc w:val="both"/>
        <w:rPr>
          <w:rFonts w:ascii="Arial" w:hAnsi="Arial" w:cs="Arial"/>
        </w:rPr>
      </w:pPr>
      <w:r w:rsidRPr="3F3FA5AC" w:rsidR="007412D9">
        <w:rPr>
          <w:rFonts w:ascii="Arial" w:hAnsi="Arial" w:cs="Arial"/>
        </w:rPr>
        <w:t xml:space="preserve">According to Skills for Care (2024), over a quarter of the British care workforce is </w:t>
      </w:r>
      <w:r w:rsidRPr="3F3FA5AC" w:rsidR="007412D9">
        <w:rPr>
          <w:rFonts w:ascii="Arial" w:hAnsi="Arial" w:cs="Arial"/>
        </w:rPr>
        <w:t>comprised</w:t>
      </w:r>
      <w:r w:rsidRPr="3F3FA5AC" w:rsidR="007412D9">
        <w:rPr>
          <w:rFonts w:ascii="Arial" w:hAnsi="Arial" w:cs="Arial"/>
        </w:rPr>
        <w:t xml:space="preserve"> of foreign nationals, with Nigeria, India, Zimbabwe, Romania, and Ghana as the leading source countries. This reliance is underpinned by an economic disparity: sector wages, deemed low domestically, offer relative competitiveness abroad, creating a steady international recruitment pipeline.</w:t>
      </w:r>
    </w:p>
    <w:p w:rsidR="004B2596" w:rsidP="3F3FA5AC" w:rsidRDefault="004B2596" w14:paraId="565BF213" w14:textId="787ECB97">
      <w:pPr>
        <w:pStyle w:val="Normal"/>
        <w:spacing w:line="360" w:lineRule="auto"/>
        <w:jc w:val="both"/>
        <w:rPr>
          <w:rFonts w:ascii="Arial" w:hAnsi="Arial" w:eastAsia="Arial" w:cs="Arial"/>
          <w:b w:val="0"/>
          <w:bCs w:val="0"/>
          <w:i w:val="0"/>
          <w:iCs w:val="0"/>
          <w:caps w:val="0"/>
          <w:smallCaps w:val="0"/>
          <w:noProof w:val="0"/>
          <w:color w:val="0F1115"/>
          <w:sz w:val="22"/>
          <w:szCs w:val="22"/>
          <w:lang w:val="en-GB"/>
        </w:rPr>
      </w:pPr>
      <w:r w:rsidRPr="3F3FA5AC" w:rsidR="42AACEF3">
        <w:rPr>
          <w:rFonts w:ascii="Arial" w:hAnsi="Arial" w:eastAsia="Arial" w:cs="Arial"/>
          <w:b w:val="0"/>
          <w:bCs w:val="0"/>
          <w:i w:val="0"/>
          <w:iCs w:val="0"/>
          <w:caps w:val="0"/>
          <w:smallCaps w:val="0"/>
          <w:noProof w:val="0"/>
          <w:color w:val="0F1115"/>
          <w:sz w:val="22"/>
          <w:szCs w:val="22"/>
          <w:lang w:val="en-GB"/>
        </w:rPr>
        <w:t>Bellido's (2024) analysis underscores how the global care chain model illuminates the obscured systems of labour supplying affluent nations. This extraction entails deep human consequences, encompassing the appropriation of Hochschild's (2000) concept of 'emotional surplus value' and leading to the systematic depletion of care resources in origin countries, a structural critique advanced by Yeates (2009).</w:t>
      </w:r>
    </w:p>
    <w:p w:rsidR="004B2596" w:rsidP="3F3FA5AC" w:rsidRDefault="004B2596" w14:paraId="66CCA1A0" w14:textId="3F59B710">
      <w:pPr>
        <w:pStyle w:val="Normal"/>
        <w:spacing w:line="360" w:lineRule="auto"/>
        <w:jc w:val="both"/>
        <w:rPr>
          <w:rFonts w:ascii="Arial" w:hAnsi="Arial" w:eastAsia="Arial" w:cs="Arial"/>
          <w:noProof w:val="0"/>
          <w:sz w:val="22"/>
          <w:szCs w:val="22"/>
          <w:lang w:val="en-GB"/>
        </w:rPr>
      </w:pPr>
      <w:r w:rsidRPr="3F3FA5AC" w:rsidR="47BCD2C2">
        <w:rPr>
          <w:rFonts w:ascii="Arial" w:hAnsi="Arial" w:eastAsia="Arial" w:cs="Arial"/>
          <w:b w:val="0"/>
          <w:bCs w:val="0"/>
          <w:i w:val="0"/>
          <w:iCs w:val="0"/>
          <w:caps w:val="0"/>
          <w:smallCaps w:val="0"/>
          <w:noProof w:val="0"/>
          <w:color w:val="0F1115"/>
          <w:sz w:val="22"/>
          <w:szCs w:val="22"/>
          <w:lang w:val="en-GB"/>
        </w:rPr>
        <w:t>Furthermore, Shutes (</w:t>
      </w:r>
      <w:r w:rsidRPr="3F3FA5AC" w:rsidR="63481354">
        <w:rPr>
          <w:rFonts w:ascii="Arial" w:hAnsi="Arial" w:eastAsia="Arial" w:cs="Arial"/>
          <w:b w:val="0"/>
          <w:bCs w:val="0"/>
          <w:i w:val="0"/>
          <w:iCs w:val="0"/>
          <w:caps w:val="0"/>
          <w:smallCaps w:val="0"/>
          <w:noProof w:val="0"/>
          <w:color w:val="0F1115"/>
          <w:sz w:val="22"/>
          <w:szCs w:val="22"/>
          <w:lang w:val="en-GB"/>
        </w:rPr>
        <w:t>2022)</w:t>
      </w:r>
      <w:r w:rsidRPr="3F3FA5AC" w:rsidR="47BCD2C2">
        <w:rPr>
          <w:rFonts w:ascii="Arial" w:hAnsi="Arial" w:eastAsia="Arial" w:cs="Arial"/>
          <w:b w:val="0"/>
          <w:bCs w:val="0"/>
          <w:i w:val="0"/>
          <w:iCs w:val="0"/>
          <w:caps w:val="0"/>
          <w:smallCaps w:val="0"/>
          <w:noProof w:val="0"/>
          <w:color w:val="0F1115"/>
          <w:sz w:val="22"/>
          <w:szCs w:val="22"/>
          <w:lang w:val="en-GB"/>
        </w:rPr>
        <w:t xml:space="preserve"> provides a critical analysis of UK policy, arguing that welfare and immigration frameworks are deliberately structured to recruit care labour from lower-income countries.</w:t>
      </w:r>
      <w:r w:rsidRPr="3F3FA5AC" w:rsidR="19147083">
        <w:rPr>
          <w:rFonts w:ascii="Arial" w:hAnsi="Arial" w:eastAsia="Arial" w:cs="Arial"/>
          <w:b w:val="0"/>
          <w:bCs w:val="0"/>
          <w:i w:val="0"/>
          <w:iCs w:val="0"/>
          <w:caps w:val="0"/>
          <w:smallCaps w:val="0"/>
          <w:noProof w:val="0"/>
          <w:color w:val="0F1115"/>
          <w:sz w:val="22"/>
          <w:szCs w:val="22"/>
          <w:lang w:val="en-GB"/>
        </w:rPr>
        <w:t xml:space="preserve"> The author</w:t>
      </w:r>
      <w:r w:rsidRPr="3F3FA5AC" w:rsidR="47BCD2C2">
        <w:rPr>
          <w:rFonts w:ascii="Arial" w:hAnsi="Arial" w:eastAsia="Arial" w:cs="Arial"/>
          <w:b w:val="0"/>
          <w:bCs w:val="0"/>
          <w:i w:val="0"/>
          <w:iCs w:val="0"/>
          <w:caps w:val="0"/>
          <w:smallCaps w:val="0"/>
          <w:noProof w:val="0"/>
          <w:color w:val="0F1115"/>
          <w:sz w:val="22"/>
          <w:szCs w:val="22"/>
          <w:lang w:val="en-GB"/>
        </w:rPr>
        <w:t xml:space="preserve"> examination of insecure visa conditions, such as employer-linked sponsorship, exposes the operational mechanisms of this system and their detrimental impact on worker vulnerability and rights.</w:t>
      </w:r>
    </w:p>
    <w:p w:rsidR="004B2596" w:rsidP="3F3FA5AC" w:rsidRDefault="004B2596" w14:paraId="599D27BF" w14:textId="1593A9C5">
      <w:pPr>
        <w:pStyle w:val="Normal"/>
        <w:spacing w:line="360" w:lineRule="auto"/>
        <w:jc w:val="both"/>
        <w:rPr>
          <w:rFonts w:ascii="Arial" w:hAnsi="Arial" w:eastAsia="Arial" w:cs="Arial"/>
          <w:noProof w:val="0"/>
          <w:sz w:val="22"/>
          <w:szCs w:val="22"/>
          <w:lang w:val="en-GB"/>
        </w:rPr>
      </w:pPr>
      <w:r w:rsidRPr="3F3FA5AC" w:rsidR="38F2EFB5">
        <w:rPr>
          <w:rFonts w:ascii="Arial" w:hAnsi="Arial" w:eastAsia="Arial" w:cs="Arial"/>
          <w:b w:val="0"/>
          <w:bCs w:val="0"/>
          <w:i w:val="0"/>
          <w:iCs w:val="0"/>
          <w:caps w:val="0"/>
          <w:smallCaps w:val="0"/>
          <w:noProof w:val="0"/>
          <w:color w:val="0F1115"/>
          <w:sz w:val="22"/>
          <w:szCs w:val="22"/>
          <w:lang w:val="en-GB"/>
        </w:rPr>
        <w:t xml:space="preserve">This model intersects with </w:t>
      </w:r>
      <w:r w:rsidRPr="3F3FA5AC" w:rsidR="38F2EFB5">
        <w:rPr>
          <w:rFonts w:ascii="Arial" w:hAnsi="Arial" w:eastAsia="Arial" w:cs="Arial"/>
          <w:b w:val="0"/>
          <w:bCs w:val="0"/>
          <w:i w:val="0"/>
          <w:iCs w:val="0"/>
          <w:caps w:val="0"/>
          <w:smallCaps w:val="0"/>
          <w:noProof w:val="0"/>
          <w:color w:val="0F1115"/>
          <w:sz w:val="22"/>
          <w:szCs w:val="22"/>
          <w:lang w:val="en-GB"/>
        </w:rPr>
        <w:t>person-centred care (PCC)</w:t>
      </w:r>
      <w:r w:rsidRPr="3F3FA5AC" w:rsidR="38F2EFB5">
        <w:rPr>
          <w:rFonts w:ascii="Arial" w:hAnsi="Arial" w:eastAsia="Arial" w:cs="Arial"/>
          <w:b w:val="0"/>
          <w:bCs w:val="0"/>
          <w:i w:val="0"/>
          <w:iCs w:val="0"/>
          <w:caps w:val="0"/>
          <w:smallCaps w:val="0"/>
          <w:noProof w:val="0"/>
          <w:color w:val="0F1115"/>
          <w:sz w:val="22"/>
          <w:szCs w:val="22"/>
          <w:lang w:val="en-GB"/>
        </w:rPr>
        <w:t>, an ethical and practical approach that prioritises the individual’s values, preferences, and needs, involving them as partners in their care (McCormack and McCance, 2017). The</w:t>
      </w:r>
      <w:r w:rsidRPr="3F3FA5AC" w:rsidR="38F2EFB5">
        <w:rPr>
          <w:rFonts w:ascii="Arial" w:hAnsi="Arial" w:eastAsia="Arial" w:cs="Arial"/>
          <w:b w:val="0"/>
          <w:bCs w:val="0"/>
          <w:i w:val="0"/>
          <w:iCs w:val="0"/>
          <w:caps w:val="0"/>
          <w:smallCaps w:val="0"/>
          <w:noProof w:val="0"/>
          <w:color w:val="0F1115"/>
          <w:sz w:val="22"/>
          <w:szCs w:val="22"/>
          <w:lang w:val="en-GB"/>
        </w:rPr>
        <w:t xml:space="preserve"> </w:t>
      </w:r>
      <w:r w:rsidRPr="3F3FA5AC" w:rsidR="38F2EFB5">
        <w:rPr>
          <w:rFonts w:ascii="Arial" w:hAnsi="Arial" w:eastAsia="Arial" w:cs="Arial"/>
          <w:b w:val="0"/>
          <w:bCs w:val="0"/>
          <w:i w:val="0"/>
          <w:iCs w:val="0"/>
          <w:caps w:val="0"/>
          <w:smallCaps w:val="0"/>
          <w:noProof w:val="0"/>
          <w:color w:val="0F1115"/>
          <w:sz w:val="22"/>
          <w:szCs w:val="22"/>
          <w:lang w:val="en-GB"/>
        </w:rPr>
        <w:t>Global Care Chains (GCCs)</w:t>
      </w:r>
      <w:r w:rsidRPr="3F3FA5AC" w:rsidR="38F2EFB5">
        <w:rPr>
          <w:rFonts w:ascii="Arial" w:hAnsi="Arial" w:eastAsia="Arial" w:cs="Arial"/>
          <w:b w:val="0"/>
          <w:bCs w:val="0"/>
          <w:i w:val="0"/>
          <w:iCs w:val="0"/>
          <w:caps w:val="0"/>
          <w:smallCaps w:val="0"/>
          <w:noProof w:val="0"/>
          <w:color w:val="0F1115"/>
          <w:sz w:val="22"/>
          <w:szCs w:val="22"/>
          <w:lang w:val="en-GB"/>
        </w:rPr>
        <w:t xml:space="preserve"> framework provides a critical structural lens for understanding the often-invisible labour that enables person-centred care in affluent societies (Hochschild, 2000; Yeates, 2009). This lens reveals how the demand for care in affluent nations is met by recruiting workers from the developing world, creating a hidden network of labour that extracts a significant social and personal toll, a process critically analysed by scholars of migration and care (Parreñas, 2001; Williams, 2012)</w:t>
      </w:r>
      <w:r w:rsidRPr="3F3FA5AC" w:rsidR="1A7852A0">
        <w:rPr>
          <w:rFonts w:ascii="Arial" w:hAnsi="Arial" w:eastAsia="Arial" w:cs="Arial"/>
          <w:b w:val="0"/>
          <w:bCs w:val="0"/>
          <w:i w:val="0"/>
          <w:iCs w:val="0"/>
          <w:caps w:val="0"/>
          <w:smallCaps w:val="0"/>
          <w:noProof w:val="0"/>
          <w:color w:val="0F1115"/>
          <w:sz w:val="22"/>
          <w:szCs w:val="22"/>
          <w:lang w:val="en-GB"/>
        </w:rPr>
        <w:t>.</w:t>
      </w:r>
    </w:p>
    <w:p w:rsidR="004B2596" w:rsidP="004359EE" w:rsidRDefault="004B2596" w14:paraId="0102F64D" w14:textId="1017286A">
      <w:pPr>
        <w:spacing w:line="360" w:lineRule="auto"/>
        <w:jc w:val="both"/>
        <w:rPr>
          <w:rFonts w:ascii="Arial" w:hAnsi="Arial" w:cs="Arial"/>
        </w:rPr>
      </w:pPr>
      <w:r w:rsidRPr="3F3FA5AC" w:rsidR="004B2596">
        <w:rPr>
          <w:rFonts w:ascii="Arial" w:hAnsi="Arial" w:cs="Arial"/>
        </w:rPr>
        <w:t>Minh</w:t>
      </w:r>
      <w:r w:rsidRPr="3F3FA5AC" w:rsidR="00C2547B">
        <w:rPr>
          <w:rFonts w:ascii="Arial" w:hAnsi="Arial" w:cs="Arial"/>
        </w:rPr>
        <w:t>,</w:t>
      </w:r>
      <w:r w:rsidRPr="3F3FA5AC" w:rsidR="004B2596">
        <w:rPr>
          <w:rFonts w:ascii="Arial" w:hAnsi="Arial" w:cs="Arial"/>
        </w:rPr>
        <w:t xml:space="preserve"> </w:t>
      </w:r>
      <w:r w:rsidRPr="3F3FA5AC" w:rsidR="004B2596">
        <w:rPr>
          <w:rFonts w:ascii="Arial" w:hAnsi="Arial" w:cs="Arial"/>
        </w:rPr>
        <w:t>et. al. (2017) state</w:t>
      </w:r>
      <w:r w:rsidRPr="3F3FA5AC" w:rsidR="004B2596">
        <w:rPr>
          <w:rFonts w:ascii="Arial" w:hAnsi="Arial" w:cs="Arial"/>
        </w:rPr>
        <w:t xml:space="preserve"> that care is an irreducible, multifaceted concept</w:t>
      </w:r>
      <w:r w:rsidRPr="3F3FA5AC" w:rsidR="004B2596">
        <w:rPr>
          <w:rFonts w:ascii="Arial" w:hAnsi="Arial" w:cs="Arial"/>
        </w:rPr>
        <w:t>, and</w:t>
      </w:r>
      <w:r w:rsidRPr="3F3FA5AC" w:rsidR="004B2596">
        <w:rPr>
          <w:rFonts w:ascii="Arial" w:hAnsi="Arial" w:cs="Arial"/>
        </w:rPr>
        <w:t xml:space="preserve"> that lived care experiences, shaped by global-local intersections, are characteri</w:t>
      </w:r>
      <w:r w:rsidRPr="3F3FA5AC" w:rsidR="000222F5">
        <w:rPr>
          <w:rFonts w:ascii="Arial" w:hAnsi="Arial" w:cs="Arial"/>
        </w:rPr>
        <w:t>s</w:t>
      </w:r>
      <w:r w:rsidRPr="3F3FA5AC" w:rsidR="004B2596">
        <w:rPr>
          <w:rFonts w:ascii="Arial" w:hAnsi="Arial" w:cs="Arial"/>
        </w:rPr>
        <w:t xml:space="preserve">ed by moral ambivalence and fluid boundaries between economic transaction, emotion, and social obligation. The </w:t>
      </w:r>
      <w:r w:rsidRPr="3F3FA5AC" w:rsidR="004B2596">
        <w:rPr>
          <w:rFonts w:ascii="Arial" w:hAnsi="Arial" w:cs="Arial"/>
        </w:rPr>
        <w:t>authors</w:t>
      </w:r>
      <w:r w:rsidRPr="3F3FA5AC" w:rsidR="004B2596">
        <w:rPr>
          <w:rFonts w:ascii="Arial" w:hAnsi="Arial" w:cs="Arial"/>
        </w:rPr>
        <w:t xml:space="preserve"> </w:t>
      </w:r>
      <w:r w:rsidRPr="3F3FA5AC" w:rsidR="004B2596">
        <w:rPr>
          <w:rFonts w:ascii="Arial" w:hAnsi="Arial" w:cs="Arial"/>
        </w:rPr>
        <w:t xml:space="preserve">ultimately </w:t>
      </w:r>
      <w:r w:rsidRPr="3F3FA5AC" w:rsidR="004B2596">
        <w:rPr>
          <w:rFonts w:ascii="Arial" w:hAnsi="Arial" w:cs="Arial"/>
        </w:rPr>
        <w:t>advocate</w:t>
      </w:r>
      <w:r w:rsidRPr="3F3FA5AC" w:rsidR="004B2596">
        <w:rPr>
          <w:rFonts w:ascii="Arial" w:hAnsi="Arial" w:cs="Arial"/>
        </w:rPr>
        <w:t xml:space="preserve"> that a meaningful understanding of care must examine the deeply gendered, local discourses through which it is </w:t>
      </w:r>
      <w:r w:rsidRPr="3F3FA5AC" w:rsidR="004B2596">
        <w:rPr>
          <w:rFonts w:ascii="Arial" w:hAnsi="Arial" w:cs="Arial"/>
        </w:rPr>
        <w:t>constituted</w:t>
      </w:r>
      <w:r w:rsidRPr="3F3FA5AC" w:rsidR="004B2596">
        <w:rPr>
          <w:rFonts w:ascii="Arial" w:hAnsi="Arial" w:cs="Arial"/>
        </w:rPr>
        <w:t>.</w:t>
      </w:r>
      <w:r w:rsidRPr="3F3FA5AC" w:rsidR="00C2547B">
        <w:rPr>
          <w:rFonts w:ascii="Arial" w:hAnsi="Arial" w:cs="Arial"/>
        </w:rPr>
        <w:t xml:space="preserve"> </w:t>
      </w:r>
    </w:p>
    <w:p w:rsidRPr="00D442DF" w:rsidR="00D442DF" w:rsidP="3F3FA5AC" w:rsidRDefault="00D442DF" w14:paraId="2147B535" w14:textId="2BA8152D">
      <w:pPr>
        <w:pStyle w:val="Heading1"/>
        <w:spacing w:line="360" w:lineRule="auto"/>
        <w:ind/>
        <w:jc w:val="center"/>
        <w:rPr>
          <w:rFonts w:ascii="Arial" w:hAnsi="Arial" w:eastAsia="Arial" w:cs="Arial"/>
          <w:sz w:val="36"/>
          <w:szCs w:val="36"/>
        </w:rPr>
      </w:pPr>
      <w:bookmarkStart w:name="_Toc1521729505" w:id="84503870"/>
      <w:r w:rsidRPr="3F3FA5AC" w:rsidR="00333DAC">
        <w:rPr>
          <w:rFonts w:ascii="Arial" w:hAnsi="Arial" w:eastAsia="Arial" w:cs="Arial"/>
          <w:sz w:val="36"/>
          <w:szCs w:val="36"/>
        </w:rPr>
        <w:t>How GCCs Underpin Person-Centred Care in Practice</w:t>
      </w:r>
      <w:bookmarkEnd w:id="84503870"/>
    </w:p>
    <w:p w:rsidRPr="00524FD5" w:rsidR="00AA3135" w:rsidP="00524FD5" w:rsidRDefault="00D30A3F" w14:paraId="700118B5" w14:textId="77777777">
      <w:pPr>
        <w:spacing w:line="360" w:lineRule="auto"/>
        <w:jc w:val="both"/>
        <w:rPr>
          <w:rFonts w:ascii="Arial" w:hAnsi="Arial" w:cs="Arial"/>
        </w:rPr>
      </w:pPr>
      <w:r w:rsidRPr="3F3FA5AC" w:rsidR="00D30A3F">
        <w:rPr>
          <w:rFonts w:ascii="Arial" w:hAnsi="Arial" w:cs="Arial"/>
        </w:rPr>
        <w:t xml:space="preserve">In theory, Global Care Chains (GCCs) </w:t>
      </w:r>
      <w:r w:rsidRPr="3F3FA5AC" w:rsidR="00D30A3F">
        <w:rPr>
          <w:rFonts w:ascii="Arial" w:hAnsi="Arial" w:cs="Arial"/>
        </w:rPr>
        <w:t>facilitate</w:t>
      </w:r>
      <w:r w:rsidRPr="3F3FA5AC" w:rsidR="00D30A3F">
        <w:rPr>
          <w:rFonts w:ascii="Arial" w:hAnsi="Arial" w:cs="Arial"/>
        </w:rPr>
        <w:t xml:space="preserve"> person-centred care (PCC) within resource-rich health and social care systems in several interconnected ways. Primarily, they address acute care deficits by filling staffing gaps in aging societies with low birth rates, thereby enabling the one-on-one, personalised support that is a hallmark of PCC in both domestic and institutional settings.</w:t>
      </w:r>
      <w:r w:rsidRPr="3F3FA5AC" w:rsidR="00147815">
        <w:rPr>
          <w:rFonts w:ascii="Arial" w:hAnsi="Arial" w:cs="Arial"/>
        </w:rPr>
        <w:t xml:space="preserve"> According to Taylor (202</w:t>
      </w:r>
      <w:r w:rsidRPr="3F3FA5AC" w:rsidR="00212C74">
        <w:rPr>
          <w:rFonts w:ascii="Arial" w:hAnsi="Arial" w:cs="Arial"/>
        </w:rPr>
        <w:t>5</w:t>
      </w:r>
      <w:r w:rsidRPr="3F3FA5AC" w:rsidR="00147815">
        <w:rPr>
          <w:rFonts w:ascii="Arial" w:hAnsi="Arial" w:cs="Arial"/>
        </w:rPr>
        <w:t>)</w:t>
      </w:r>
      <w:r w:rsidRPr="3F3FA5AC" w:rsidR="00212C74">
        <w:rPr>
          <w:rFonts w:ascii="Arial" w:hAnsi="Arial" w:cs="Arial"/>
        </w:rPr>
        <w:t xml:space="preserve"> the British Social System f</w:t>
      </w:r>
      <w:r w:rsidRPr="3F3FA5AC" w:rsidR="00212C74">
        <w:rPr>
          <w:rFonts w:ascii="Arial" w:hAnsi="Arial" w:cs="Arial"/>
        </w:rPr>
        <w:t xml:space="preserve">acing a critical staffing crisis with an 8.3% vacancy rate, the UK's care sector is sustained by a </w:t>
      </w:r>
      <w:r w:rsidRPr="3F3FA5AC" w:rsidR="00212C74">
        <w:rPr>
          <w:rFonts w:ascii="Arial" w:hAnsi="Arial" w:cs="Arial"/>
        </w:rPr>
        <w:t>substantial</w:t>
      </w:r>
      <w:r w:rsidRPr="3F3FA5AC" w:rsidR="00212C74">
        <w:rPr>
          <w:rFonts w:ascii="Arial" w:hAnsi="Arial" w:cs="Arial"/>
        </w:rPr>
        <w:t xml:space="preserve"> foreign-born workforce, making up about a quarter of all staff. This reliance exists alongside chronically low </w:t>
      </w:r>
      <w:r w:rsidRPr="3F3FA5AC" w:rsidR="00212C74">
        <w:rPr>
          <w:rFonts w:ascii="Arial" w:hAnsi="Arial" w:cs="Arial"/>
        </w:rPr>
        <w:t>remuneration</w:t>
      </w:r>
      <w:r w:rsidRPr="3F3FA5AC" w:rsidR="00212C74">
        <w:rPr>
          <w:rFonts w:ascii="Arial" w:hAnsi="Arial" w:cs="Arial"/>
        </w:rPr>
        <w:t>, wh</w:t>
      </w:r>
      <w:r w:rsidRPr="3F3FA5AC" w:rsidR="00212C74">
        <w:rPr>
          <w:rFonts w:ascii="Arial" w:hAnsi="Arial" w:cs="Arial"/>
        </w:rPr>
        <w:t>ich</w:t>
      </w:r>
      <w:r w:rsidRPr="3F3FA5AC" w:rsidR="00212C74">
        <w:rPr>
          <w:rFonts w:ascii="Arial" w:hAnsi="Arial" w:cs="Arial"/>
        </w:rPr>
        <w:t xml:space="preserve"> is widely regarded as inadequate.</w:t>
      </w:r>
      <w:r w:rsidRPr="3F3FA5AC" w:rsidR="00D30A3F">
        <w:rPr>
          <w:rFonts w:ascii="Arial" w:hAnsi="Arial" w:cs="Arial"/>
        </w:rPr>
        <w:t xml:space="preserve"> </w:t>
      </w:r>
      <w:r w:rsidRPr="3F3FA5AC" w:rsidR="00AA3135">
        <w:rPr>
          <w:rFonts w:ascii="Arial" w:hAnsi="Arial" w:cs="Arial"/>
        </w:rPr>
        <w:t xml:space="preserve">Besides that, this number can increase considering that the UK’s population is getting older. </w:t>
      </w:r>
      <w:r w:rsidRPr="3F3FA5AC" w:rsidR="00AA3135">
        <w:rPr>
          <w:rFonts w:ascii="Arial" w:hAnsi="Arial" w:cs="Arial"/>
        </w:rPr>
        <w:t>In accordance with</w:t>
      </w:r>
      <w:r w:rsidRPr="3F3FA5AC" w:rsidR="00AA3135">
        <w:rPr>
          <w:rFonts w:ascii="Arial" w:hAnsi="Arial" w:cs="Arial"/>
        </w:rPr>
        <w:t xml:space="preserve"> Skills for Care (2024) i</w:t>
      </w:r>
      <w:r w:rsidRPr="3F3FA5AC" w:rsidR="00AA3135">
        <w:rPr>
          <w:rFonts w:ascii="Arial" w:hAnsi="Arial" w:cs="Arial"/>
        </w:rPr>
        <w:t>t is projected that the United Kingdom will have 14.5 million residents aged 65 or older by 2040.</w:t>
      </w:r>
      <w:r w:rsidRPr="3F3FA5AC" w:rsidR="00AA3135">
        <w:rPr>
          <w:rFonts w:ascii="Arial" w:hAnsi="Arial" w:cs="Arial"/>
        </w:rPr>
        <w:t xml:space="preserve"> </w:t>
      </w:r>
    </w:p>
    <w:p w:rsidRPr="00524FD5" w:rsidR="00967D84" w:rsidP="00524FD5" w:rsidRDefault="00967D84" w14:paraId="19211EAE" w14:textId="3C44CF1C">
      <w:pPr>
        <w:spacing w:line="360" w:lineRule="auto"/>
        <w:jc w:val="both"/>
        <w:rPr>
          <w:rFonts w:ascii="Arial" w:hAnsi="Arial" w:cs="Arial"/>
        </w:rPr>
      </w:pPr>
      <w:r w:rsidRPr="00524FD5">
        <w:rPr>
          <w:rFonts w:ascii="Arial" w:hAnsi="Arial" w:cs="Arial"/>
        </w:rPr>
        <w:t>Furthermore,</w:t>
      </w:r>
      <w:r w:rsidRPr="00524FD5">
        <w:rPr>
          <w:rFonts w:ascii="Arial" w:hAnsi="Arial" w:cs="Arial"/>
        </w:rPr>
        <w:t xml:space="preserve"> employing migrant carers through Global Care Chains (GCCs), families in affluent nations can maintain home-based care and avoid institutionalisation. This system depends on migrant workers' 'affective labour'</w:t>
      </w:r>
      <w:r w:rsidRPr="00524FD5" w:rsidR="00246602">
        <w:rPr>
          <w:rFonts w:ascii="Arial" w:hAnsi="Arial" w:cs="Arial"/>
        </w:rPr>
        <w:t xml:space="preserve">, </w:t>
      </w:r>
      <w:r w:rsidRPr="00524FD5">
        <w:rPr>
          <w:rFonts w:ascii="Arial" w:hAnsi="Arial" w:cs="Arial"/>
        </w:rPr>
        <w:t xml:space="preserve">the emotional and relational work vital for dignified, person-centred care. Interviews reveal these workers often identify as resilient and committed, viewing these traits as professional assets (Hussein et al., 2011). </w:t>
      </w:r>
      <w:r w:rsidRPr="00524FD5">
        <w:rPr>
          <w:rFonts w:ascii="Arial" w:hAnsi="Arial" w:cs="Arial"/>
        </w:rPr>
        <w:t>The authors</w:t>
      </w:r>
      <w:r w:rsidRPr="00524FD5">
        <w:rPr>
          <w:rFonts w:ascii="Arial" w:hAnsi="Arial" w:cs="Arial"/>
        </w:rPr>
        <w:t xml:space="preserve"> emphasise, such characteristics are also necessary adaptations to the discrimination and unfair treatment many </w:t>
      </w:r>
      <w:r w:rsidRPr="00524FD5" w:rsidR="00246602">
        <w:rPr>
          <w:rFonts w:ascii="Arial" w:hAnsi="Arial" w:cs="Arial"/>
        </w:rPr>
        <w:t>faces</w:t>
      </w:r>
      <w:r w:rsidRPr="00524FD5">
        <w:rPr>
          <w:rFonts w:ascii="Arial" w:hAnsi="Arial" w:cs="Arial"/>
        </w:rPr>
        <w:t xml:space="preserve"> in their roles.</w:t>
      </w:r>
    </w:p>
    <w:p w:rsidRPr="00246602" w:rsidR="00072D1D" w:rsidP="3F3FA5AC" w:rsidRDefault="00072D1D" w14:paraId="58105E84" w14:textId="53DC949F">
      <w:pPr>
        <w:pStyle w:val="Heading1"/>
        <w:spacing w:line="360" w:lineRule="auto"/>
        <w:rPr>
          <w:rFonts w:ascii="Arial" w:hAnsi="Arial" w:cs="Arial"/>
          <w:sz w:val="36"/>
          <w:szCs w:val="36"/>
        </w:rPr>
      </w:pPr>
      <w:bookmarkStart w:name="_Toc1615565184" w:id="2064818492"/>
      <w:r w:rsidRPr="3F3FA5AC" w:rsidR="00333DAC">
        <w:rPr>
          <w:rFonts w:ascii="Arial" w:hAnsi="Arial" w:cs="Arial"/>
          <w:sz w:val="36"/>
          <w:szCs w:val="36"/>
        </w:rPr>
        <w:t>Critical Issues in Application to Policy and Practice</w:t>
      </w:r>
      <w:bookmarkEnd w:id="2064818492"/>
    </w:p>
    <w:p w:rsidRPr="00D442DF" w:rsidR="00333DAC" w:rsidP="3F3FA5AC" w:rsidRDefault="00D30A3F" w14:paraId="379B394C" w14:textId="1DB40188">
      <w:pPr>
        <w:pStyle w:val="Heading2"/>
        <w:spacing w:line="360" w:lineRule="auto"/>
        <w:rPr>
          <w:rFonts w:ascii="Arial" w:hAnsi="Arial" w:cs="Arial"/>
          <w:sz w:val="28"/>
          <w:szCs w:val="28"/>
        </w:rPr>
      </w:pPr>
      <w:bookmarkStart w:name="_Toc253859369" w:id="1566890066"/>
      <w:r w:rsidRPr="3F3FA5AC" w:rsidR="00D30A3F">
        <w:rPr>
          <w:rFonts w:ascii="Arial" w:hAnsi="Arial" w:cs="Arial"/>
          <w:sz w:val="28"/>
          <w:szCs w:val="28"/>
        </w:rPr>
        <w:t>1</w:t>
      </w:r>
      <w:r w:rsidRPr="3F3FA5AC" w:rsidR="00333DAC">
        <w:rPr>
          <w:rFonts w:ascii="Arial" w:hAnsi="Arial" w:cs="Arial"/>
          <w:sz w:val="28"/>
          <w:szCs w:val="28"/>
        </w:rPr>
        <w:t>. Ethical Contradictions and the Undermining of PCC</w:t>
      </w:r>
      <w:bookmarkEnd w:id="1566890066"/>
    </w:p>
    <w:p w:rsidRPr="00333DAC" w:rsidR="00333DAC" w:rsidP="004359EE" w:rsidRDefault="0010411D" w14:paraId="58F1EA94" w14:textId="4D49158A">
      <w:pPr>
        <w:spacing w:line="360" w:lineRule="auto"/>
        <w:jc w:val="both"/>
        <w:rPr>
          <w:rFonts w:ascii="Arial" w:hAnsi="Arial" w:cs="Arial"/>
        </w:rPr>
      </w:pPr>
      <w:r w:rsidRPr="3F3FA5AC" w:rsidR="0010411D">
        <w:rPr>
          <w:rFonts w:ascii="Arial" w:hAnsi="Arial" w:cs="Arial"/>
        </w:rPr>
        <w:t>A critical paradox lies at the heart of Global Care Chains: they deliver personalised care in the Global North through a system that often depersonalises the carer. Although the GCC approach successfully highlighted global inequalities in care work (Kofman, 2012), it can rely on a reductive definition of care as a service transaction. This stands in contrast to the philosophical ethics of care, which emphasises universal human vulnerability. Moving beyond this limitation, research calls for an understanding of care as a practice co-created within specific cultural and neoliberal contexts, revealing it as a key site of moral and political contradiction in globali</w:t>
      </w:r>
      <w:r w:rsidRPr="3F3FA5AC" w:rsidR="5841794F">
        <w:rPr>
          <w:rFonts w:ascii="Arial" w:hAnsi="Arial" w:cs="Arial"/>
        </w:rPr>
        <w:t>s</w:t>
      </w:r>
      <w:r w:rsidRPr="3F3FA5AC" w:rsidR="0010411D">
        <w:rPr>
          <w:rFonts w:ascii="Arial" w:hAnsi="Arial" w:cs="Arial"/>
        </w:rPr>
        <w:t>ed society (</w:t>
      </w:r>
      <w:r w:rsidRPr="3F3FA5AC" w:rsidR="0010411D">
        <w:rPr>
          <w:rFonts w:ascii="Arial" w:hAnsi="Arial" w:cs="Arial"/>
        </w:rPr>
        <w:t>Comaroff</w:t>
      </w:r>
      <w:r w:rsidRPr="3F3FA5AC" w:rsidR="0010411D">
        <w:rPr>
          <w:rFonts w:ascii="Arial" w:hAnsi="Arial" w:cs="Arial"/>
        </w:rPr>
        <w:t xml:space="preserve"> &amp; </w:t>
      </w:r>
      <w:r w:rsidRPr="3F3FA5AC" w:rsidR="0010411D">
        <w:rPr>
          <w:rFonts w:ascii="Arial" w:hAnsi="Arial" w:cs="Arial"/>
        </w:rPr>
        <w:t>Comaroff</w:t>
      </w:r>
      <w:r w:rsidRPr="3F3FA5AC" w:rsidR="0010411D">
        <w:rPr>
          <w:rFonts w:ascii="Arial" w:hAnsi="Arial" w:cs="Arial"/>
        </w:rPr>
        <w:t xml:space="preserve">, 2001; </w:t>
      </w:r>
      <w:r w:rsidRPr="3F3FA5AC" w:rsidR="0010411D">
        <w:rPr>
          <w:rFonts w:ascii="Arial" w:hAnsi="Arial" w:cs="Arial"/>
        </w:rPr>
        <w:t>Muehlebach</w:t>
      </w:r>
      <w:r w:rsidRPr="3F3FA5AC" w:rsidR="0010411D">
        <w:rPr>
          <w:rFonts w:ascii="Arial" w:hAnsi="Arial" w:cs="Arial"/>
        </w:rPr>
        <w:t>, 2012).</w:t>
      </w:r>
    </w:p>
    <w:p w:rsidRPr="00333DAC" w:rsidR="00333DAC" w:rsidP="00D30A3F" w:rsidRDefault="00333DAC" w14:paraId="53C12507" w14:textId="757346C8">
      <w:pPr>
        <w:spacing w:line="360" w:lineRule="auto"/>
        <w:jc w:val="both"/>
        <w:rPr>
          <w:rFonts w:ascii="Arial" w:hAnsi="Arial" w:cs="Arial"/>
        </w:rPr>
      </w:pPr>
      <w:r w:rsidRPr="3F3FA5AC" w:rsidR="47299E33">
        <w:rPr>
          <w:rFonts w:ascii="Arial" w:hAnsi="Arial" w:cs="Arial"/>
        </w:rPr>
        <w:t>Shutes and Walsh (2022) states that t</w:t>
      </w:r>
      <w:r w:rsidRPr="3F3FA5AC" w:rsidR="00333DAC">
        <w:rPr>
          <w:rFonts w:ascii="Arial" w:hAnsi="Arial" w:cs="Arial"/>
        </w:rPr>
        <w:t xml:space="preserve">he </w:t>
      </w:r>
      <w:r w:rsidRPr="3F3FA5AC" w:rsidR="00333DAC">
        <w:rPr>
          <w:rFonts w:ascii="Arial" w:hAnsi="Arial" w:cs="Arial"/>
        </w:rPr>
        <w:t xml:space="preserve">migrant care worker is </w:t>
      </w:r>
      <w:r w:rsidRPr="3F3FA5AC" w:rsidR="00333DAC">
        <w:rPr>
          <w:rFonts w:ascii="Arial" w:hAnsi="Arial" w:cs="Arial"/>
        </w:rPr>
        <w:t>frequently</w:t>
      </w:r>
      <w:r w:rsidRPr="3F3FA5AC" w:rsidR="00333DAC">
        <w:rPr>
          <w:rFonts w:ascii="Arial" w:hAnsi="Arial" w:cs="Arial"/>
        </w:rPr>
        <w:t xml:space="preserve"> treated as an instrument rather than a person. Policies like tied visas (linking immigration status to a single employer, poor working conditions</w:t>
      </w:r>
      <w:r w:rsidRPr="3F3FA5AC" w:rsidR="21D0D193">
        <w:rPr>
          <w:rFonts w:ascii="Arial" w:hAnsi="Arial" w:cs="Arial"/>
        </w:rPr>
        <w:t>)</w:t>
      </w:r>
      <w:r w:rsidRPr="3F3FA5AC" w:rsidR="00333DAC">
        <w:rPr>
          <w:rFonts w:ascii="Arial" w:hAnsi="Arial" w:cs="Arial"/>
        </w:rPr>
        <w:t>, and social isolation contradict the very ethos of dignity, respect, and autonomy central to PCC.</w:t>
      </w:r>
    </w:p>
    <w:p w:rsidRPr="00D442DF" w:rsidR="00333DAC" w:rsidP="00D442DF" w:rsidRDefault="00D30A3F" w14:paraId="76CCEA8E" w14:textId="72B1AF9B">
      <w:pPr>
        <w:pStyle w:val="Heading2"/>
        <w:rPr>
          <w:rFonts w:ascii="Arial" w:hAnsi="Arial" w:cs="Arial"/>
          <w:sz w:val="28"/>
          <w:szCs w:val="28"/>
        </w:rPr>
      </w:pPr>
      <w:bookmarkStart w:name="_Toc1150603566" w:id="436959496"/>
      <w:r w:rsidRPr="3F3FA5AC" w:rsidR="00D30A3F">
        <w:rPr>
          <w:rFonts w:ascii="Arial" w:hAnsi="Arial" w:cs="Arial"/>
          <w:sz w:val="28"/>
          <w:szCs w:val="28"/>
        </w:rPr>
        <w:t xml:space="preserve">2. </w:t>
      </w:r>
      <w:r w:rsidRPr="3F3FA5AC" w:rsidR="00333DAC">
        <w:rPr>
          <w:rFonts w:ascii="Arial" w:hAnsi="Arial" w:cs="Arial"/>
          <w:sz w:val="28"/>
          <w:szCs w:val="28"/>
        </w:rPr>
        <w:t>Policy Shortcomings and Systemic Exploitation</w:t>
      </w:r>
      <w:bookmarkEnd w:id="436959496"/>
    </w:p>
    <w:p w:rsidR="00DA6C08" w:rsidP="00D30A3F" w:rsidRDefault="00DA6C08" w14:paraId="47C0BEFF" w14:textId="16A556B6">
      <w:pPr>
        <w:spacing w:line="360" w:lineRule="auto"/>
        <w:jc w:val="both"/>
        <w:rPr>
          <w:rFonts w:ascii="Arial" w:hAnsi="Arial" w:cs="Arial"/>
        </w:rPr>
      </w:pPr>
      <w:r w:rsidRPr="00DA6C08">
        <w:rPr>
          <w:rFonts w:ascii="Arial" w:hAnsi="Arial" w:cs="Arial"/>
        </w:rPr>
        <w:t xml:space="preserve">To meet national </w:t>
      </w:r>
      <w:r w:rsidRPr="00DA6C08">
        <w:rPr>
          <w:rFonts w:ascii="Arial" w:hAnsi="Arial" w:cs="Arial"/>
        </w:rPr>
        <w:t>labour</w:t>
      </w:r>
      <w:r w:rsidRPr="00DA6C08">
        <w:rPr>
          <w:rFonts w:ascii="Arial" w:hAnsi="Arial" w:cs="Arial"/>
        </w:rPr>
        <w:t xml:space="preserve"> market goals, the UK</w:t>
      </w:r>
      <w:r w:rsidR="002125C8">
        <w:rPr>
          <w:rFonts w:ascii="Arial" w:hAnsi="Arial" w:cs="Arial"/>
        </w:rPr>
        <w:t xml:space="preserve"> (2025)</w:t>
      </w:r>
      <w:r w:rsidRPr="00DA6C08">
        <w:rPr>
          <w:rFonts w:ascii="Arial" w:hAnsi="Arial" w:cs="Arial"/>
        </w:rPr>
        <w:t xml:space="preserve"> has implemented major immigration restrictions on health and social care. Core changes are a ban on overseas hiring for care roles, new salary (£25,000) and skills (degree-level) thresholds for sponsorship, and a transition window for current workers. </w:t>
      </w:r>
      <w:r w:rsidR="002125C8">
        <w:rPr>
          <w:rFonts w:ascii="Arial" w:hAnsi="Arial" w:cs="Arial"/>
        </w:rPr>
        <w:t>However, according to Taylor (2025) t</w:t>
      </w:r>
      <w:r w:rsidRPr="00DA6C08">
        <w:rPr>
          <w:rFonts w:ascii="Arial" w:hAnsi="Arial" w:cs="Arial"/>
        </w:rPr>
        <w:t xml:space="preserve">he </w:t>
      </w:r>
      <w:r w:rsidR="002125C8">
        <w:rPr>
          <w:rFonts w:ascii="Arial" w:hAnsi="Arial" w:cs="Arial"/>
        </w:rPr>
        <w:t xml:space="preserve">government </w:t>
      </w:r>
      <w:r w:rsidRPr="00DA6C08">
        <w:rPr>
          <w:rFonts w:ascii="Arial" w:hAnsi="Arial" w:cs="Arial"/>
        </w:rPr>
        <w:t>policy aims to curb reliance on international staff but risks destabilizing vital care and NHS workforce pipelines.</w:t>
      </w:r>
    </w:p>
    <w:p w:rsidR="00E23E58" w:rsidP="00D30A3F" w:rsidRDefault="00333DAC" w14:paraId="7C5C1F84" w14:textId="2A941BA7">
      <w:pPr>
        <w:spacing w:line="360" w:lineRule="auto"/>
        <w:jc w:val="both"/>
        <w:rPr>
          <w:rFonts w:ascii="Arial" w:hAnsi="Arial" w:cs="Arial"/>
        </w:rPr>
      </w:pPr>
      <w:bookmarkStart w:name="_Toc1678817909" w:id="1811624747"/>
      <w:r w:rsidRPr="3F3FA5AC" w:rsidR="00333DAC">
        <w:rPr>
          <w:rStyle w:val="Heading3Char"/>
          <w:rFonts w:ascii="Arial" w:hAnsi="Arial" w:cs="Arial"/>
          <w:b w:val="1"/>
          <w:bCs w:val="1"/>
          <w:color w:val="000000" w:themeColor="text1" w:themeTint="FF" w:themeShade="FF"/>
          <w:sz w:val="26"/>
          <w:szCs w:val="26"/>
        </w:rPr>
        <w:t>Gendered and Racialised Hierarchies:</w:t>
      </w:r>
      <w:bookmarkEnd w:id="1811624747"/>
      <w:r w:rsidRPr="3F3FA5AC" w:rsidR="00333DAC">
        <w:rPr>
          <w:rFonts w:ascii="Arial" w:hAnsi="Arial" w:cs="Arial"/>
          <w:color w:val="000000" w:themeColor="text1" w:themeTint="FF" w:themeShade="FF"/>
        </w:rPr>
        <w:t> </w:t>
      </w:r>
      <w:r w:rsidRPr="3F3FA5AC" w:rsidR="00333DAC">
        <w:rPr>
          <w:rFonts w:ascii="Arial" w:hAnsi="Arial" w:cs="Arial"/>
        </w:rPr>
        <w:t xml:space="preserve">GCCs are </w:t>
      </w:r>
      <w:r w:rsidRPr="3F3FA5AC" w:rsidR="00333DAC">
        <w:rPr>
          <w:rFonts w:ascii="Arial" w:hAnsi="Arial" w:cs="Arial"/>
        </w:rPr>
        <w:t>predominantly female</w:t>
      </w:r>
      <w:r w:rsidRPr="3F3FA5AC" w:rsidR="00333DAC">
        <w:rPr>
          <w:rFonts w:ascii="Arial" w:hAnsi="Arial" w:cs="Arial"/>
        </w:rPr>
        <w:t xml:space="preserve"> and often follow colonial routes </w:t>
      </w:r>
      <w:r w:rsidRPr="3F3FA5AC" w:rsidR="00FB3FF8">
        <w:rPr>
          <w:rFonts w:ascii="Arial" w:hAnsi="Arial" w:cs="Arial"/>
        </w:rPr>
        <w:t>such as</w:t>
      </w:r>
      <w:r w:rsidRPr="3F3FA5AC" w:rsidR="00333DAC">
        <w:rPr>
          <w:rFonts w:ascii="Arial" w:hAnsi="Arial" w:cs="Arial"/>
        </w:rPr>
        <w:t xml:space="preserve"> Filipina, Sri Lankan, or West African carers in Europe</w:t>
      </w:r>
      <w:r w:rsidRPr="3F3FA5AC" w:rsidR="00FB3FF8">
        <w:rPr>
          <w:rFonts w:ascii="Arial" w:hAnsi="Arial" w:cs="Arial"/>
        </w:rPr>
        <w:t xml:space="preserve"> and </w:t>
      </w:r>
      <w:r w:rsidRPr="3F3FA5AC" w:rsidR="00333DAC">
        <w:rPr>
          <w:rFonts w:ascii="Arial" w:hAnsi="Arial" w:cs="Arial"/>
        </w:rPr>
        <w:t>North America</w:t>
      </w:r>
      <w:r w:rsidRPr="3F3FA5AC" w:rsidR="00E23E58">
        <w:rPr>
          <w:rFonts w:ascii="Arial" w:hAnsi="Arial" w:cs="Arial"/>
        </w:rPr>
        <w:t xml:space="preserve"> (see Figure 2)</w:t>
      </w:r>
      <w:r w:rsidRPr="3F3FA5AC" w:rsidR="00333DAC">
        <w:rPr>
          <w:rFonts w:ascii="Arial" w:hAnsi="Arial" w:cs="Arial"/>
        </w:rPr>
        <w:t xml:space="preserve">. </w:t>
      </w:r>
      <w:r w:rsidRPr="3F3FA5AC" w:rsidR="00E23E58">
        <w:rPr>
          <w:rFonts w:ascii="Arial" w:hAnsi="Arial" w:cs="Arial"/>
        </w:rPr>
        <w:t>Orozco (2010) connects the globali</w:t>
      </w:r>
      <w:r w:rsidRPr="3F3FA5AC" w:rsidR="007269DF">
        <w:rPr>
          <w:rFonts w:ascii="Arial" w:hAnsi="Arial" w:cs="Arial"/>
        </w:rPr>
        <w:t>s</w:t>
      </w:r>
      <w:r w:rsidRPr="3F3FA5AC" w:rsidR="00E23E58">
        <w:rPr>
          <w:rFonts w:ascii="Arial" w:hAnsi="Arial" w:cs="Arial"/>
        </w:rPr>
        <w:t xml:space="preserve">ation of care to dual crises in both sending and receiving countries, alongside shifts in gender relations. The analysis notes that migrant women are </w:t>
      </w:r>
      <w:r w:rsidRPr="3F3FA5AC" w:rsidR="00E23E58">
        <w:rPr>
          <w:rFonts w:ascii="Arial" w:hAnsi="Arial" w:cs="Arial"/>
        </w:rPr>
        <w:t>frequently</w:t>
      </w:r>
      <w:r w:rsidRPr="3F3FA5AC" w:rsidR="00E23E58">
        <w:rPr>
          <w:rFonts w:ascii="Arial" w:hAnsi="Arial" w:cs="Arial"/>
        </w:rPr>
        <w:t xml:space="preserve"> segregated into occupations aligned with traditional femininity, such as care and service work. Consequently, Orozco (2010) underscores the critical need to formally recogni</w:t>
      </w:r>
      <w:r w:rsidRPr="3F3FA5AC" w:rsidR="007269DF">
        <w:rPr>
          <w:rFonts w:ascii="Arial" w:hAnsi="Arial" w:cs="Arial"/>
        </w:rPr>
        <w:t>s</w:t>
      </w:r>
      <w:r w:rsidRPr="3F3FA5AC" w:rsidR="00E23E58">
        <w:rPr>
          <w:rFonts w:ascii="Arial" w:hAnsi="Arial" w:cs="Arial"/>
        </w:rPr>
        <w:t>e, value, and protect the socioeconomic rights of care workers.</w:t>
      </w:r>
    </w:p>
    <w:p w:rsidRPr="00333DAC" w:rsidR="00333DAC" w:rsidP="00D30A3F" w:rsidRDefault="00333DAC" w14:paraId="0EB31501" w14:textId="077403E1">
      <w:pPr>
        <w:spacing w:line="360" w:lineRule="auto"/>
        <w:jc w:val="both"/>
        <w:rPr>
          <w:rFonts w:ascii="Arial" w:hAnsi="Arial" w:cs="Arial"/>
        </w:rPr>
      </w:pPr>
      <w:bookmarkStart w:name="_Toc1954969334" w:id="435244045"/>
      <w:r w:rsidRPr="3F3FA5AC" w:rsidR="00333DAC">
        <w:rPr>
          <w:rStyle w:val="Heading3Char"/>
          <w:rFonts w:ascii="Arial" w:hAnsi="Arial" w:cs="Arial"/>
          <w:b w:val="1"/>
          <w:bCs w:val="1"/>
          <w:color w:val="000000" w:themeColor="text1" w:themeTint="FF" w:themeShade="FF"/>
          <w:sz w:val="26"/>
          <w:szCs w:val="26"/>
        </w:rPr>
        <w:t>Training and Recognition Paradox:</w:t>
      </w:r>
      <w:bookmarkEnd w:id="435244045"/>
      <w:r w:rsidRPr="3F3FA5AC" w:rsidR="00333DAC">
        <w:rPr>
          <w:rFonts w:ascii="Arial" w:hAnsi="Arial" w:cs="Arial"/>
          <w:color w:val="000000" w:themeColor="text1" w:themeTint="FF" w:themeShade="FF"/>
        </w:rPr>
        <w:t> </w:t>
      </w:r>
      <w:r w:rsidRPr="3F3FA5AC" w:rsidR="00333DAC">
        <w:rPr>
          <w:rFonts w:ascii="Arial" w:hAnsi="Arial" w:cs="Arial"/>
        </w:rPr>
        <w:t xml:space="preserve">While PCC frameworks emphasise carer training and empathy, the systemic devaluation of </w:t>
      </w:r>
      <w:r w:rsidRPr="3F3FA5AC" w:rsidR="001617D1">
        <w:rPr>
          <w:rFonts w:ascii="Arial" w:hAnsi="Arial" w:cs="Arial"/>
        </w:rPr>
        <w:t>Effectively addressing the challenges confronting migrant care workers requires a comprehensive strategy. This strategy must integrate public awareness campaigns, robust enforcement mechanisms for their rights, and dedicated training and upskilling initiatives</w:t>
      </w:r>
      <w:r w:rsidRPr="3F3FA5AC" w:rsidR="001617D1">
        <w:rPr>
          <w:rFonts w:ascii="Arial" w:hAnsi="Arial" w:cs="Arial"/>
        </w:rPr>
        <w:t xml:space="preserve"> (</w:t>
      </w:r>
      <w:r w:rsidRPr="3F3FA5AC" w:rsidR="001617D1">
        <w:rPr>
          <w:rFonts w:ascii="Arial" w:hAnsi="Arial" w:cs="Arial"/>
        </w:rPr>
        <w:t>Eurodiconia</w:t>
      </w:r>
      <w:r w:rsidRPr="3F3FA5AC" w:rsidR="001617D1">
        <w:rPr>
          <w:rFonts w:ascii="Arial" w:hAnsi="Arial" w:cs="Arial"/>
        </w:rPr>
        <w:t>, 2025)</w:t>
      </w:r>
      <w:r w:rsidRPr="3F3FA5AC" w:rsidR="001617D1">
        <w:rPr>
          <w:rFonts w:ascii="Arial" w:hAnsi="Arial" w:cs="Arial"/>
        </w:rPr>
        <w:t>.</w:t>
      </w:r>
    </w:p>
    <w:p w:rsidRPr="00D442DF" w:rsidR="00333DAC" w:rsidP="00D442DF" w:rsidRDefault="00D30A3F" w14:paraId="073974B3" w14:textId="24D189F5">
      <w:pPr>
        <w:pStyle w:val="Heading2"/>
        <w:rPr>
          <w:sz w:val="30"/>
          <w:szCs w:val="30"/>
        </w:rPr>
      </w:pPr>
      <w:bookmarkStart w:name="_Toc1406560893" w:id="398898108"/>
      <w:r w:rsidRPr="3F3FA5AC" w:rsidR="00D30A3F">
        <w:rPr>
          <w:sz w:val="30"/>
          <w:szCs w:val="30"/>
        </w:rPr>
        <w:t>3</w:t>
      </w:r>
      <w:r w:rsidRPr="3F3FA5AC" w:rsidR="00333DAC">
        <w:rPr>
          <w:sz w:val="30"/>
          <w:szCs w:val="30"/>
        </w:rPr>
        <w:t>. Practice-Level Tensions</w:t>
      </w:r>
      <w:bookmarkEnd w:id="398898108"/>
    </w:p>
    <w:p w:rsidRPr="00333DAC" w:rsidR="00333DAC" w:rsidP="3F3FA5AC" w:rsidRDefault="00333DAC" w14:paraId="423EA662" w14:textId="7C734AC0">
      <w:pPr>
        <w:pStyle w:val="Normal"/>
        <w:spacing w:line="360" w:lineRule="auto"/>
        <w:jc w:val="both"/>
        <w:rPr>
          <w:rFonts w:ascii="Arial" w:hAnsi="Arial" w:eastAsia="Arial" w:cs="Arial"/>
          <w:b w:val="0"/>
          <w:bCs w:val="0"/>
          <w:i w:val="0"/>
          <w:iCs w:val="0"/>
          <w:caps w:val="0"/>
          <w:smallCaps w:val="0"/>
          <w:noProof w:val="0"/>
          <w:color w:val="0F1115"/>
          <w:sz w:val="22"/>
          <w:szCs w:val="22"/>
          <w:lang w:val="en-GB"/>
        </w:rPr>
      </w:pPr>
      <w:bookmarkStart w:name="_Toc6146441" w:id="1761973757"/>
      <w:r w:rsidRPr="3F3FA5AC" w:rsidR="00333DAC">
        <w:rPr>
          <w:rStyle w:val="Heading3Char"/>
          <w:rFonts w:ascii="Arial" w:hAnsi="Arial" w:cs="Arial"/>
          <w:b w:val="1"/>
          <w:bCs w:val="1"/>
          <w:color w:val="000000" w:themeColor="text1" w:themeTint="FF" w:themeShade="FF"/>
          <w:sz w:val="26"/>
          <w:szCs w:val="26"/>
        </w:rPr>
        <w:t>Asymmetrical Relationships:</w:t>
      </w:r>
      <w:bookmarkEnd w:id="1761973757"/>
      <w:r w:rsidRPr="3F3FA5AC" w:rsidR="00333DAC">
        <w:rPr>
          <w:rFonts w:ascii="Arial" w:hAnsi="Arial" w:cs="Arial"/>
          <w:color w:val="000000" w:themeColor="text1" w:themeTint="FF" w:themeShade="FF"/>
        </w:rPr>
        <w:t> </w:t>
      </w:r>
      <w:r w:rsidRPr="3F3FA5AC" w:rsidR="00C77719">
        <w:rPr>
          <w:rFonts w:ascii="Arial" w:hAnsi="Arial" w:cs="Arial"/>
        </w:rPr>
        <w:t>T</w:t>
      </w:r>
      <w:r w:rsidRPr="3F3FA5AC" w:rsidR="00C77719">
        <w:rPr>
          <w:rFonts w:ascii="Arial" w:hAnsi="Arial" w:eastAsia="Arial" w:cs="Arial"/>
          <w:sz w:val="22"/>
          <w:szCs w:val="22"/>
        </w:rPr>
        <w:t>he social care workforce is gendered for all workers</w:t>
      </w:r>
      <w:r w:rsidRPr="3F3FA5AC" w:rsidR="5DA9A5A0">
        <w:rPr>
          <w:rFonts w:ascii="Arial" w:hAnsi="Arial" w:eastAsia="Arial" w:cs="Arial"/>
          <w:sz w:val="22"/>
          <w:szCs w:val="22"/>
        </w:rPr>
        <w:t xml:space="preserve"> </w:t>
      </w:r>
      <w:r w:rsidRPr="3F3FA5AC" w:rsidR="5DA9A5A0">
        <w:rPr>
          <w:rFonts w:ascii="Arial" w:hAnsi="Arial" w:eastAsia="Arial" w:cs="Arial"/>
          <w:b w:val="0"/>
          <w:bCs w:val="0"/>
          <w:i w:val="0"/>
          <w:iCs w:val="0"/>
          <w:caps w:val="0"/>
          <w:smallCaps w:val="0"/>
          <w:noProof w:val="0"/>
          <w:color w:val="0F1115"/>
          <w:sz w:val="22"/>
          <w:szCs w:val="22"/>
          <w:lang w:val="en-GB"/>
        </w:rPr>
        <w:t>(Rubery and Hebson, 2018</w:t>
      </w:r>
      <w:r w:rsidRPr="3F3FA5AC" w:rsidR="17B8E2CB">
        <w:rPr>
          <w:rFonts w:ascii="Arial" w:hAnsi="Arial" w:eastAsia="Arial" w:cs="Arial"/>
          <w:b w:val="0"/>
          <w:bCs w:val="0"/>
          <w:i w:val="0"/>
          <w:iCs w:val="0"/>
          <w:caps w:val="0"/>
          <w:smallCaps w:val="0"/>
          <w:noProof w:val="0"/>
          <w:color w:val="0F1115"/>
          <w:sz w:val="22"/>
          <w:szCs w:val="22"/>
          <w:lang w:val="en-GB"/>
        </w:rPr>
        <w:t>);</w:t>
      </w:r>
      <w:r w:rsidRPr="3F3FA5AC" w:rsidR="00C77719">
        <w:rPr>
          <w:rFonts w:ascii="Arial" w:hAnsi="Arial" w:eastAsia="Arial" w:cs="Arial"/>
          <w:sz w:val="22"/>
          <w:szCs w:val="22"/>
        </w:rPr>
        <w:t xml:space="preserve"> </w:t>
      </w:r>
      <w:r w:rsidRPr="3F3FA5AC" w:rsidR="6FB447FE">
        <w:rPr>
          <w:rFonts w:ascii="Arial" w:hAnsi="Arial" w:eastAsia="Arial" w:cs="Arial"/>
          <w:b w:val="0"/>
          <w:bCs w:val="0"/>
          <w:i w:val="0"/>
          <w:iCs w:val="0"/>
          <w:caps w:val="0"/>
          <w:smallCaps w:val="0"/>
          <w:noProof w:val="0"/>
          <w:color w:val="0F1115"/>
          <w:sz w:val="22"/>
          <w:szCs w:val="22"/>
          <w:lang w:val="en-GB"/>
        </w:rPr>
        <w:t>however, the nature of disadvantage is asymmetrically shaped by migration status. Evidence suggests a historical divergence where EU migrants primarily navigated practical obstacles</w:t>
      </w:r>
      <w:r w:rsidRPr="3F3FA5AC" w:rsidR="6689A707">
        <w:rPr>
          <w:rFonts w:ascii="Arial" w:hAnsi="Arial" w:eastAsia="Arial" w:cs="Arial"/>
          <w:b w:val="0"/>
          <w:bCs w:val="0"/>
          <w:i w:val="0"/>
          <w:iCs w:val="0"/>
          <w:caps w:val="0"/>
          <w:smallCaps w:val="0"/>
          <w:noProof w:val="0"/>
          <w:color w:val="0F1115"/>
          <w:sz w:val="22"/>
          <w:szCs w:val="22"/>
          <w:lang w:val="en-GB"/>
        </w:rPr>
        <w:t xml:space="preserve"> like language barriers</w:t>
      </w:r>
      <w:r w:rsidRPr="3F3FA5AC" w:rsidR="6FB447FE">
        <w:rPr>
          <w:rFonts w:ascii="Arial" w:hAnsi="Arial" w:eastAsia="Arial" w:cs="Arial"/>
          <w:b w:val="0"/>
          <w:bCs w:val="0"/>
          <w:i w:val="0"/>
          <w:iCs w:val="0"/>
          <w:caps w:val="0"/>
          <w:smallCaps w:val="0"/>
          <w:noProof w:val="0"/>
          <w:color w:val="0F1115"/>
          <w:sz w:val="22"/>
          <w:szCs w:val="22"/>
          <w:lang w:val="en-GB"/>
        </w:rPr>
        <w:t xml:space="preserve">, </w:t>
      </w:r>
      <w:r w:rsidRPr="3F3FA5AC" w:rsidR="6FB447FE">
        <w:rPr>
          <w:rFonts w:ascii="Arial" w:hAnsi="Arial" w:eastAsia="Arial" w:cs="Arial"/>
          <w:b w:val="0"/>
          <w:bCs w:val="0"/>
          <w:i w:val="0"/>
          <w:iCs w:val="0"/>
          <w:caps w:val="0"/>
          <w:smallCaps w:val="0"/>
          <w:noProof w:val="0"/>
          <w:color w:val="0F1115"/>
          <w:sz w:val="22"/>
          <w:szCs w:val="22"/>
          <w:lang w:val="en-GB"/>
        </w:rPr>
        <w:t>whereas</w:t>
      </w:r>
      <w:r w:rsidRPr="3F3FA5AC" w:rsidR="6FB447FE">
        <w:rPr>
          <w:rFonts w:ascii="Arial" w:hAnsi="Arial" w:eastAsia="Arial" w:cs="Arial"/>
          <w:b w:val="0"/>
          <w:bCs w:val="0"/>
          <w:i w:val="0"/>
          <w:iCs w:val="0"/>
          <w:caps w:val="0"/>
          <w:smallCaps w:val="0"/>
          <w:noProof w:val="0"/>
          <w:color w:val="0F1115"/>
          <w:sz w:val="22"/>
          <w:szCs w:val="22"/>
          <w:lang w:val="en-GB"/>
        </w:rPr>
        <w:t xml:space="preserve"> non-EU migrants were </w:t>
      </w:r>
      <w:r w:rsidRPr="3F3FA5AC" w:rsidR="6FB447FE">
        <w:rPr>
          <w:rFonts w:ascii="Arial" w:hAnsi="Arial" w:eastAsia="Arial" w:cs="Arial"/>
          <w:b w:val="0"/>
          <w:bCs w:val="0"/>
          <w:i w:val="0"/>
          <w:iCs w:val="0"/>
          <w:caps w:val="0"/>
          <w:smallCaps w:val="0"/>
          <w:noProof w:val="0"/>
          <w:color w:val="0F1115"/>
          <w:sz w:val="22"/>
          <w:szCs w:val="22"/>
          <w:lang w:val="en-GB"/>
        </w:rPr>
        <w:t>rendered</w:t>
      </w:r>
      <w:r w:rsidRPr="3F3FA5AC" w:rsidR="6FB447FE">
        <w:rPr>
          <w:rFonts w:ascii="Arial" w:hAnsi="Arial" w:eastAsia="Arial" w:cs="Arial"/>
          <w:b w:val="0"/>
          <w:bCs w:val="0"/>
          <w:i w:val="0"/>
          <w:iCs w:val="0"/>
          <w:caps w:val="0"/>
          <w:smallCaps w:val="0"/>
          <w:noProof w:val="0"/>
          <w:color w:val="0F1115"/>
          <w:sz w:val="22"/>
          <w:szCs w:val="22"/>
          <w:lang w:val="en-GB"/>
        </w:rPr>
        <w:t xml:space="preserve"> more vulnerable by legal structures, specifically restrictive immigration visas (Cangiano and Shutes, 2010). </w:t>
      </w:r>
      <w:r w:rsidRPr="3F3FA5AC" w:rsidR="6FB447FE">
        <w:rPr>
          <w:rFonts w:ascii="Arial" w:hAnsi="Arial" w:eastAsia="Arial" w:cs="Arial"/>
          <w:noProof w:val="0"/>
          <w:sz w:val="22"/>
          <w:szCs w:val="22"/>
          <w:lang w:val="en-GB"/>
        </w:rPr>
        <w:t xml:space="preserve"> </w:t>
      </w:r>
      <w:r w:rsidRPr="3F3FA5AC" w:rsidR="096231E1">
        <w:rPr>
          <w:rFonts w:ascii="Arial" w:hAnsi="Arial" w:eastAsia="Arial" w:cs="Arial"/>
          <w:b w:val="0"/>
          <w:bCs w:val="0"/>
          <w:i w:val="0"/>
          <w:iCs w:val="0"/>
          <w:caps w:val="0"/>
          <w:smallCaps w:val="0"/>
          <w:noProof w:val="0"/>
          <w:color w:val="0F1115"/>
          <w:sz w:val="22"/>
          <w:szCs w:val="22"/>
          <w:lang w:val="en-GB"/>
        </w:rPr>
        <w:t>This legally enforced precarity</w:t>
      </w:r>
      <w:r w:rsidRPr="3F3FA5AC" w:rsidR="27715100">
        <w:rPr>
          <w:rFonts w:ascii="Arial" w:hAnsi="Arial" w:eastAsia="Arial" w:cs="Arial"/>
          <w:b w:val="0"/>
          <w:bCs w:val="0"/>
          <w:i w:val="0"/>
          <w:iCs w:val="0"/>
          <w:caps w:val="0"/>
          <w:smallCaps w:val="0"/>
          <w:noProof w:val="0"/>
          <w:color w:val="0F1115"/>
          <w:sz w:val="22"/>
          <w:szCs w:val="22"/>
          <w:lang w:val="en-GB"/>
        </w:rPr>
        <w:t xml:space="preserve">, </w:t>
      </w:r>
      <w:r w:rsidRPr="3F3FA5AC" w:rsidR="096231E1">
        <w:rPr>
          <w:rFonts w:ascii="Arial" w:hAnsi="Arial" w:eastAsia="Arial" w:cs="Arial"/>
          <w:b w:val="0"/>
          <w:bCs w:val="0"/>
          <w:i w:val="0"/>
          <w:iCs w:val="0"/>
          <w:caps w:val="0"/>
          <w:smallCaps w:val="0"/>
          <w:noProof w:val="0"/>
          <w:color w:val="0F1115"/>
          <w:sz w:val="22"/>
          <w:szCs w:val="22"/>
          <w:lang w:val="en-GB"/>
        </w:rPr>
        <w:t>embodied in sponsor-dependent visas that curtail rights and bargaining power</w:t>
      </w:r>
      <w:r w:rsidRPr="3F3FA5AC" w:rsidR="72664CA2">
        <w:rPr>
          <w:rFonts w:ascii="Arial" w:hAnsi="Arial" w:eastAsia="Arial" w:cs="Arial"/>
          <w:b w:val="0"/>
          <w:bCs w:val="0"/>
          <w:i w:val="0"/>
          <w:iCs w:val="0"/>
          <w:caps w:val="0"/>
          <w:smallCaps w:val="0"/>
          <w:noProof w:val="0"/>
          <w:color w:val="0F1115"/>
          <w:sz w:val="22"/>
          <w:szCs w:val="22"/>
          <w:lang w:val="en-GB"/>
        </w:rPr>
        <w:t xml:space="preserve">, </w:t>
      </w:r>
      <w:r w:rsidRPr="3F3FA5AC" w:rsidR="096231E1">
        <w:rPr>
          <w:rFonts w:ascii="Arial" w:hAnsi="Arial" w:eastAsia="Arial" w:cs="Arial"/>
          <w:b w:val="0"/>
          <w:bCs w:val="0"/>
          <w:i w:val="0"/>
          <w:iCs w:val="0"/>
          <w:caps w:val="0"/>
          <w:smallCaps w:val="0"/>
          <w:noProof w:val="0"/>
          <w:color w:val="0F1115"/>
          <w:sz w:val="22"/>
          <w:szCs w:val="22"/>
          <w:lang w:val="en-GB"/>
        </w:rPr>
        <w:t>institutionally elevates the risk of exploitation for non-EU care workers (Shutes and Walsh, 2022).</w:t>
      </w:r>
    </w:p>
    <w:p w:rsidR="003C1651" w:rsidP="3F3FA5AC" w:rsidRDefault="00333DAC" w14:paraId="211A1715" w14:textId="432334D1">
      <w:pPr>
        <w:pStyle w:val="Normal"/>
        <w:spacing w:line="360" w:lineRule="auto"/>
        <w:jc w:val="both"/>
        <w:rPr>
          <w:rFonts w:ascii="Arial" w:hAnsi="Arial" w:cs="Arial"/>
        </w:rPr>
      </w:pPr>
      <w:bookmarkStart w:name="_Toc219782345" w:id="739284624"/>
      <w:r w:rsidRPr="3F3FA5AC" w:rsidR="00333DAC">
        <w:rPr>
          <w:rStyle w:val="Heading3Char"/>
          <w:rFonts w:ascii="Arial" w:hAnsi="Arial" w:cs="Arial"/>
          <w:b w:val="1"/>
          <w:bCs w:val="1"/>
          <w:color w:val="000000" w:themeColor="text1" w:themeTint="FF" w:themeShade="FF"/>
          <w:sz w:val="26"/>
          <w:szCs w:val="26"/>
        </w:rPr>
        <w:t>Emotional Extraction vs. Genuine Relationship</w:t>
      </w:r>
      <w:r w:rsidRPr="3F3FA5AC" w:rsidR="00333DAC">
        <w:rPr>
          <w:rStyle w:val="Heading3Char"/>
          <w:rFonts w:ascii="Arial" w:hAnsi="Arial" w:cs="Arial"/>
          <w:color w:val="000000" w:themeColor="text1" w:themeTint="FF" w:themeShade="FF"/>
          <w:sz w:val="26"/>
          <w:szCs w:val="26"/>
        </w:rPr>
        <w:t>:</w:t>
      </w:r>
      <w:bookmarkEnd w:id="739284624"/>
      <w:r w:rsidRPr="3F3FA5AC" w:rsidR="00333DAC">
        <w:rPr>
          <w:rFonts w:ascii="Arial" w:hAnsi="Arial" w:cs="Arial"/>
          <w:color w:val="000000" w:themeColor="text1" w:themeTint="FF" w:themeShade="FF"/>
        </w:rPr>
        <w:t> </w:t>
      </w:r>
      <w:r w:rsidRPr="3F3FA5AC" w:rsidR="00333DAC">
        <w:rPr>
          <w:rFonts w:ascii="Arial" w:hAnsi="Arial" w:cs="Arial"/>
        </w:rPr>
        <w:t xml:space="preserve">PCC </w:t>
      </w:r>
      <w:r w:rsidRPr="3F3FA5AC" w:rsidR="00333DAC">
        <w:rPr>
          <w:rFonts w:ascii="Arial" w:hAnsi="Arial" w:cs="Arial"/>
        </w:rPr>
        <w:t>requires</w:t>
      </w:r>
      <w:r w:rsidRPr="3F3FA5AC" w:rsidR="00333DAC">
        <w:rPr>
          <w:rFonts w:ascii="Arial" w:hAnsi="Arial" w:cs="Arial"/>
        </w:rPr>
        <w:t xml:space="preserve"> authentic relationship-building. GCCs can lead to "emotional extraction," where the carer’s empathy is a demanded resource, while her own emotional needs</w:t>
      </w:r>
      <w:r w:rsidRPr="3F3FA5AC" w:rsidR="00FB3FF8">
        <w:rPr>
          <w:rFonts w:ascii="Arial" w:hAnsi="Arial" w:cs="Arial"/>
        </w:rPr>
        <w:t xml:space="preserve">, for example, </w:t>
      </w:r>
      <w:r w:rsidRPr="3F3FA5AC" w:rsidR="00333DAC">
        <w:rPr>
          <w:rFonts w:ascii="Arial" w:hAnsi="Arial" w:cs="Arial"/>
        </w:rPr>
        <w:t xml:space="preserve">missing her family are ignored, leading to burnout and transactional </w:t>
      </w:r>
      <w:r w:rsidRPr="3F3FA5AC" w:rsidR="00333DAC">
        <w:rPr>
          <w:rFonts w:ascii="Arial" w:hAnsi="Arial" w:cs="Arial"/>
        </w:rPr>
        <w:t>care</w:t>
      </w:r>
      <w:r w:rsidRPr="3F3FA5AC" w:rsidR="14785344">
        <w:rPr>
          <w:rFonts w:ascii="Arial" w:hAnsi="Arial" w:cs="Arial"/>
        </w:rPr>
        <w:t xml:space="preserve"> </w:t>
      </w:r>
      <w:r w:rsidRPr="3F3FA5AC" w:rsidR="2CFD9D14">
        <w:rPr>
          <w:rFonts w:ascii="Arial" w:hAnsi="Arial" w:eastAsia="Arial" w:cs="Arial"/>
          <w:b w:val="0"/>
          <w:bCs w:val="0"/>
          <w:i w:val="0"/>
          <w:iCs w:val="0"/>
          <w:caps w:val="0"/>
          <w:smallCaps w:val="0"/>
          <w:noProof w:val="0"/>
          <w:color w:val="0F1115"/>
          <w:sz w:val="22"/>
          <w:szCs w:val="22"/>
          <w:lang w:val="en-GB"/>
        </w:rPr>
        <w:t>(Parreñas, 2001)</w:t>
      </w:r>
      <w:r w:rsidRPr="3F3FA5AC" w:rsidR="00333DAC">
        <w:rPr>
          <w:rFonts w:ascii="Arial" w:hAnsi="Arial" w:cs="Arial"/>
        </w:rPr>
        <w:t>.</w:t>
      </w:r>
      <w:r w:rsidRPr="3F3FA5AC" w:rsidR="003C1651">
        <w:rPr>
          <w:rFonts w:ascii="Arial" w:hAnsi="Arial" w:cs="Arial"/>
        </w:rPr>
        <w:t xml:space="preserve"> United Nation (2025) mention that the </w:t>
      </w:r>
      <w:r w:rsidRPr="3F3FA5AC" w:rsidR="003C1651">
        <w:rPr>
          <w:rFonts w:ascii="Arial" w:hAnsi="Arial" w:cs="Arial"/>
        </w:rPr>
        <w:t>Assistant Secretary-General</w:t>
      </w:r>
      <w:r w:rsidRPr="3F3FA5AC" w:rsidR="2CD1DF59">
        <w:rPr>
          <w:rFonts w:ascii="Arial" w:hAnsi="Arial" w:cs="Arial"/>
        </w:rPr>
        <w:t>,</w:t>
      </w:r>
      <w:r w:rsidRPr="3F3FA5AC" w:rsidR="003C1651">
        <w:rPr>
          <w:rFonts w:ascii="Arial" w:hAnsi="Arial" w:cs="Arial"/>
        </w:rPr>
        <w:t xml:space="preserve"> Bintou Keita, drawing on extensive peacekeeping experience, </w:t>
      </w:r>
      <w:r w:rsidRPr="3F3FA5AC" w:rsidR="003C1651">
        <w:rPr>
          <w:rFonts w:ascii="Arial" w:hAnsi="Arial" w:cs="Arial"/>
        </w:rPr>
        <w:t>emphasizes that active listening and creating space for emotional expression are vital to prevent feelings of exclusion, marginalization, and discrimination.</w:t>
      </w:r>
    </w:p>
    <w:p w:rsidR="002A536A" w:rsidP="004359EE" w:rsidRDefault="00307481" w14:paraId="4DD15D29" w14:textId="2C993F66">
      <w:pPr>
        <w:spacing w:line="360" w:lineRule="auto"/>
        <w:jc w:val="both"/>
        <w:rPr>
          <w:rFonts w:ascii="Arial" w:hAnsi="Arial" w:cs="Arial"/>
        </w:rPr>
      </w:pPr>
      <w:r w:rsidRPr="3F3FA5AC" w:rsidR="00307481">
        <w:rPr>
          <w:rFonts w:ascii="Arial" w:hAnsi="Arial" w:cs="Arial"/>
        </w:rPr>
        <w:t>Giusti et al. (2022) formulated a practice-based framework that serves two primary functions: it outlines actionable strategies for implementing PCC and reveals new, globally relevant dimensions of person-centredness. These dimensions encompass interdependency and collectivism, the locali</w:t>
      </w:r>
      <w:r w:rsidRPr="3F3FA5AC" w:rsidR="002A536A">
        <w:rPr>
          <w:rFonts w:ascii="Arial" w:hAnsi="Arial" w:cs="Arial"/>
        </w:rPr>
        <w:t>s</w:t>
      </w:r>
      <w:r w:rsidRPr="3F3FA5AC" w:rsidR="00307481">
        <w:rPr>
          <w:rFonts w:ascii="Arial" w:hAnsi="Arial" w:cs="Arial"/>
        </w:rPr>
        <w:t xml:space="preserve">ation of care to homes and communities, </w:t>
      </w:r>
      <w:r w:rsidRPr="3F3FA5AC" w:rsidR="00307481">
        <w:rPr>
          <w:rFonts w:ascii="Arial" w:hAnsi="Arial" w:cs="Arial"/>
        </w:rPr>
        <w:t>e</w:t>
      </w:r>
      <w:r w:rsidRPr="3F3FA5AC" w:rsidR="00307481">
        <w:rPr>
          <w:rFonts w:ascii="Arial" w:hAnsi="Arial" w:cs="Arial"/>
        </w:rPr>
        <w:t>quity</w:t>
      </w:r>
      <w:r w:rsidRPr="3F3FA5AC" w:rsidR="00307481">
        <w:rPr>
          <w:rFonts w:ascii="Arial" w:hAnsi="Arial" w:cs="Arial"/>
        </w:rPr>
        <w:t xml:space="preserve"> </w:t>
      </w:r>
      <w:r w:rsidRPr="3F3FA5AC" w:rsidR="00307481">
        <w:rPr>
          <w:rFonts w:ascii="Arial" w:hAnsi="Arial" w:cs="Arial"/>
        </w:rPr>
        <w:t>and non-discrimination, addressing health within contexts of limited resources, and workforce well-being.</w:t>
      </w:r>
    </w:p>
    <w:p w:rsidRPr="00333DAC" w:rsidR="00333DAC" w:rsidP="004359EE" w:rsidRDefault="00333DAC" w14:paraId="75891D1D" w14:textId="14364F35">
      <w:pPr>
        <w:spacing w:line="360" w:lineRule="auto"/>
        <w:jc w:val="both"/>
        <w:rPr>
          <w:rFonts w:ascii="Arial" w:hAnsi="Arial" w:cs="Arial"/>
        </w:rPr>
      </w:pPr>
      <w:bookmarkStart w:name="_Toc271066211" w:id="1092805114"/>
      <w:r w:rsidRPr="3F3FA5AC" w:rsidR="00333DAC">
        <w:rPr>
          <w:rStyle w:val="Heading3Char"/>
          <w:rFonts w:ascii="Arial" w:hAnsi="Arial" w:cs="Arial"/>
          <w:b w:val="1"/>
          <w:bCs w:val="1"/>
          <w:color w:val="000000" w:themeColor="text1" w:themeTint="FF" w:themeShade="FF"/>
          <w:sz w:val="26"/>
          <w:szCs w:val="26"/>
        </w:rPr>
        <w:t>Fragmentation of Care:</w:t>
      </w:r>
      <w:bookmarkEnd w:id="1092805114"/>
      <w:r w:rsidRPr="3F3FA5AC" w:rsidR="00333DAC">
        <w:rPr>
          <w:rFonts w:ascii="Arial" w:hAnsi="Arial" w:cs="Arial"/>
          <w:color w:val="000000" w:themeColor="text1" w:themeTint="FF" w:themeShade="FF"/>
        </w:rPr>
        <w:t> </w:t>
      </w:r>
      <w:r w:rsidRPr="3F3FA5AC" w:rsidR="00333DAC">
        <w:rPr>
          <w:rFonts w:ascii="Arial" w:hAnsi="Arial" w:cs="Arial"/>
        </w:rPr>
        <w:t>High turnover among a precarious migrant workforce, due to stressful conditions and restrictive visas, disrupts continuity of care</w:t>
      </w:r>
      <w:r w:rsidRPr="3F3FA5AC" w:rsidR="00523686">
        <w:rPr>
          <w:rFonts w:ascii="Arial" w:hAnsi="Arial" w:cs="Arial"/>
        </w:rPr>
        <w:t xml:space="preserve">, </w:t>
      </w:r>
      <w:r w:rsidRPr="3F3FA5AC" w:rsidR="00333DAC">
        <w:rPr>
          <w:rFonts w:ascii="Arial" w:hAnsi="Arial" w:cs="Arial"/>
        </w:rPr>
        <w:t>a core principle of PCC.</w:t>
      </w:r>
      <w:r w:rsidRPr="3F3FA5AC" w:rsidR="008905D0">
        <w:rPr>
          <w:rFonts w:ascii="Arial" w:hAnsi="Arial" w:cs="Arial"/>
        </w:rPr>
        <w:t xml:space="preserve"> </w:t>
      </w:r>
      <w:r w:rsidRPr="3F3FA5AC" w:rsidR="2D886861">
        <w:rPr>
          <w:rFonts w:ascii="Arial" w:hAnsi="Arial" w:cs="Arial"/>
        </w:rPr>
        <w:t xml:space="preserve">In line with the </w:t>
      </w:r>
      <w:r w:rsidRPr="3F3FA5AC" w:rsidR="008905D0">
        <w:rPr>
          <w:rFonts w:ascii="Arial" w:hAnsi="Arial" w:cs="Arial"/>
        </w:rPr>
        <w:t>Internation Labour Organisation</w:t>
      </w:r>
      <w:r w:rsidRPr="3F3FA5AC" w:rsidR="7BFA04B3">
        <w:rPr>
          <w:rFonts w:ascii="Arial" w:hAnsi="Arial" w:cs="Arial"/>
        </w:rPr>
        <w:t xml:space="preserve"> (ILO)</w:t>
      </w:r>
      <w:r w:rsidRPr="3F3FA5AC" w:rsidR="008905D0">
        <w:rPr>
          <w:rFonts w:ascii="Arial" w:hAnsi="Arial" w:cs="Arial"/>
        </w:rPr>
        <w:t xml:space="preserve"> (2024)</w:t>
      </w:r>
      <w:r w:rsidRPr="3F3FA5AC" w:rsidR="275E30E7">
        <w:rPr>
          <w:rFonts w:ascii="Arial" w:hAnsi="Arial" w:cs="Arial"/>
        </w:rPr>
        <w:t xml:space="preserve">, </w:t>
      </w:r>
      <w:r w:rsidRPr="3F3FA5AC" w:rsidR="2E805AD0">
        <w:rPr>
          <w:rFonts w:ascii="Arial" w:hAnsi="Arial" w:cs="Arial"/>
        </w:rPr>
        <w:t xml:space="preserve">research </w:t>
      </w:r>
      <w:r w:rsidRPr="3F3FA5AC" w:rsidR="2E805AD0">
        <w:rPr>
          <w:rFonts w:ascii="Arial" w:hAnsi="Arial" w:cs="Arial"/>
        </w:rPr>
        <w:t>indicates</w:t>
      </w:r>
      <w:r w:rsidRPr="3F3FA5AC" w:rsidR="008905D0">
        <w:rPr>
          <w:rFonts w:ascii="Arial" w:hAnsi="Arial" w:cs="Arial"/>
        </w:rPr>
        <w:t xml:space="preserve"> </w:t>
      </w:r>
      <w:r w:rsidRPr="3F3FA5AC" w:rsidR="008905D0">
        <w:rPr>
          <w:rFonts w:ascii="Arial" w:hAnsi="Arial" w:cs="Arial"/>
        </w:rPr>
        <w:t xml:space="preserve">that migrant care workers, particularly domestic workers, face significant challenges in accessing their rights, including decent working conditions, social protection, and freedom from violence and harassment. The study also finds that migrant workers are at a higher risk of forced labour, and that domestic work is one of the top five sectors that account for </w:t>
      </w:r>
      <w:r w:rsidRPr="3F3FA5AC" w:rsidR="008905D0">
        <w:rPr>
          <w:rFonts w:ascii="Arial" w:hAnsi="Arial" w:cs="Arial"/>
        </w:rPr>
        <w:t>the majority of</w:t>
      </w:r>
      <w:r w:rsidRPr="3F3FA5AC" w:rsidR="008905D0">
        <w:rPr>
          <w:rFonts w:ascii="Arial" w:hAnsi="Arial" w:cs="Arial"/>
        </w:rPr>
        <w:t xml:space="preserve"> adult forced labour.</w:t>
      </w:r>
    </w:p>
    <w:p w:rsidRPr="00D442DF" w:rsidR="00D442DF" w:rsidP="3F3FA5AC" w:rsidRDefault="00D442DF" w14:paraId="498EC683" w14:textId="697BCC86">
      <w:pPr>
        <w:pStyle w:val="Heading1"/>
        <w:ind/>
        <w:rPr>
          <w:rFonts w:ascii="Arial" w:hAnsi="Arial" w:cs="Arial"/>
          <w:sz w:val="36"/>
          <w:szCs w:val="36"/>
        </w:rPr>
      </w:pPr>
      <w:bookmarkStart w:name="_Toc866632133" w:id="456441044"/>
      <w:r w:rsidRPr="3F3FA5AC" w:rsidR="00333DAC">
        <w:rPr>
          <w:rFonts w:ascii="Arial" w:hAnsi="Arial" w:cs="Arial"/>
          <w:sz w:val="36"/>
          <w:szCs w:val="36"/>
        </w:rPr>
        <w:t>Implications for Reimagining Policy and Practice</w:t>
      </w:r>
      <w:bookmarkEnd w:id="456441044"/>
    </w:p>
    <w:p w:rsidRPr="00670059" w:rsidR="005A5016" w:rsidP="00670059" w:rsidRDefault="005A5016" w14:paraId="05711A06" w14:textId="16E02C8A">
      <w:pPr>
        <w:spacing w:line="360" w:lineRule="auto"/>
        <w:jc w:val="both"/>
        <w:rPr>
          <w:rFonts w:ascii="Arial" w:hAnsi="Arial" w:cs="Arial"/>
        </w:rPr>
      </w:pPr>
      <w:r w:rsidRPr="5FC8D9BD" w:rsidR="005A5016">
        <w:rPr>
          <w:rFonts w:ascii="Arial" w:hAnsi="Arial" w:cs="Arial"/>
        </w:rPr>
        <w:t xml:space="preserve">According to </w:t>
      </w:r>
      <w:r w:rsidRPr="5FC8D9BD" w:rsidR="00D442DF">
        <w:rPr>
          <w:rFonts w:ascii="Arial" w:hAnsi="Arial" w:cs="Arial"/>
        </w:rPr>
        <w:t>Yeates</w:t>
      </w:r>
      <w:r w:rsidRPr="5FC8D9BD" w:rsidR="005A5016">
        <w:rPr>
          <w:rFonts w:ascii="Arial" w:hAnsi="Arial" w:cs="Arial"/>
        </w:rPr>
        <w:t xml:space="preserve"> (20</w:t>
      </w:r>
      <w:r w:rsidRPr="5FC8D9BD" w:rsidR="06EAF0E1">
        <w:rPr>
          <w:rFonts w:ascii="Arial" w:hAnsi="Arial" w:cs="Arial"/>
        </w:rPr>
        <w:t>09</w:t>
      </w:r>
      <w:r w:rsidRPr="5FC8D9BD" w:rsidR="005A5016">
        <w:rPr>
          <w:rFonts w:ascii="Arial" w:hAnsi="Arial" w:cs="Arial"/>
        </w:rPr>
        <w:t>) the centres</w:t>
      </w:r>
      <w:r w:rsidRPr="5FC8D9BD" w:rsidR="005A5016">
        <w:rPr>
          <w:rFonts w:ascii="Arial" w:hAnsi="Arial" w:cs="Arial"/>
        </w:rPr>
        <w:t xml:space="preserve"> on </w:t>
      </w:r>
      <w:r w:rsidRPr="5FC8D9BD" w:rsidR="0033213F">
        <w:rPr>
          <w:rFonts w:ascii="Arial" w:hAnsi="Arial" w:cs="Arial"/>
        </w:rPr>
        <w:t>the</w:t>
      </w:r>
      <w:r w:rsidRPr="5FC8D9BD" w:rsidR="005A5016">
        <w:rPr>
          <w:rFonts w:ascii="Arial" w:hAnsi="Arial" w:cs="Arial"/>
        </w:rPr>
        <w:t xml:space="preserve"> critical analysis of </w:t>
      </w:r>
      <w:r w:rsidRPr="5FC8D9BD" w:rsidR="005A5016">
        <w:rPr>
          <w:rFonts w:ascii="Arial" w:hAnsi="Arial" w:cs="Arial"/>
        </w:rPr>
        <w:t>Global Care Chains (GCC),</w:t>
      </w:r>
      <w:r w:rsidRPr="5FC8D9BD" w:rsidR="005A5016">
        <w:rPr>
          <w:rFonts w:ascii="Arial" w:hAnsi="Arial" w:cs="Arial"/>
        </w:rPr>
        <w:t xml:space="preserve"> a leading feminist framework for understanding the </w:t>
      </w:r>
      <w:r w:rsidRPr="5FC8D9BD" w:rsidR="005A5016">
        <w:rPr>
          <w:rFonts w:ascii="Arial" w:hAnsi="Arial" w:cs="Arial"/>
        </w:rPr>
        <w:t>trans nationalization</w:t>
      </w:r>
      <w:r w:rsidRPr="5FC8D9BD" w:rsidR="005A5016">
        <w:rPr>
          <w:rFonts w:ascii="Arial" w:hAnsi="Arial" w:cs="Arial"/>
        </w:rPr>
        <w:t xml:space="preserve"> of care work.</w:t>
      </w:r>
      <w:r w:rsidRPr="5FC8D9BD" w:rsidR="005A5016">
        <w:rPr>
          <w:rFonts w:ascii="Arial" w:hAnsi="Arial" w:cs="Arial"/>
        </w:rPr>
        <w:t xml:space="preserve"> The Author </w:t>
      </w:r>
      <w:r w:rsidRPr="5FC8D9BD" w:rsidR="005A5016">
        <w:rPr>
          <w:rFonts w:ascii="Arial" w:hAnsi="Arial" w:cs="Arial"/>
        </w:rPr>
        <w:t>research synthesi</w:t>
      </w:r>
      <w:r w:rsidRPr="5FC8D9BD" w:rsidR="69EC959E">
        <w:rPr>
          <w:rFonts w:ascii="Arial" w:hAnsi="Arial" w:cs="Arial"/>
        </w:rPr>
        <w:t>s</w:t>
      </w:r>
      <w:r w:rsidRPr="5FC8D9BD" w:rsidR="005A5016">
        <w:rPr>
          <w:rFonts w:ascii="Arial" w:hAnsi="Arial" w:cs="Arial"/>
        </w:rPr>
        <w:t xml:space="preserve">es the evolution of this field over the past decade, mapping its development from a study of specific migrations </w:t>
      </w:r>
      <w:r w:rsidRPr="5FC8D9BD" w:rsidR="005A5016">
        <w:rPr>
          <w:rFonts w:ascii="Arial" w:hAnsi="Arial" w:cs="Arial"/>
        </w:rPr>
        <w:t>for example,</w:t>
      </w:r>
      <w:r w:rsidRPr="5FC8D9BD" w:rsidR="005A5016">
        <w:rPr>
          <w:rFonts w:ascii="Arial" w:hAnsi="Arial" w:cs="Arial"/>
        </w:rPr>
        <w:t xml:space="preserve"> </w:t>
      </w:r>
      <w:r w:rsidRPr="5FC8D9BD" w:rsidR="005A5016">
        <w:rPr>
          <w:rFonts w:ascii="Arial" w:hAnsi="Arial" w:cs="Arial"/>
        </w:rPr>
        <w:t>elderly care</w:t>
      </w:r>
      <w:r w:rsidRPr="5FC8D9BD" w:rsidR="005A5016">
        <w:rPr>
          <w:rFonts w:ascii="Arial" w:hAnsi="Arial" w:cs="Arial"/>
        </w:rPr>
        <w:t xml:space="preserve"> trade</w:t>
      </w:r>
      <w:r w:rsidRPr="5FC8D9BD" w:rsidR="005A5016">
        <w:rPr>
          <w:rFonts w:ascii="Arial" w:hAnsi="Arial" w:cs="Arial"/>
        </w:rPr>
        <w:t>,</w:t>
      </w:r>
      <w:r w:rsidRPr="5FC8D9BD" w:rsidR="005A5016">
        <w:rPr>
          <w:rFonts w:ascii="Arial" w:hAnsi="Arial" w:cs="Arial"/>
        </w:rPr>
        <w:t xml:space="preserve"> to a comprehensive analysis of diverse care occupations, regulatory contexts, and complex global networks.</w:t>
      </w:r>
    </w:p>
    <w:p w:rsidR="0017133D" w:rsidP="00670059" w:rsidRDefault="00D90C43" w14:paraId="2694E888" w14:textId="1E23EBB9">
      <w:pPr>
        <w:spacing w:line="360" w:lineRule="auto"/>
        <w:jc w:val="both"/>
        <w:rPr>
          <w:rFonts w:ascii="Arial" w:hAnsi="Arial" w:cs="Arial"/>
        </w:rPr>
      </w:pPr>
      <w:r w:rsidRPr="3F3FA5AC" w:rsidR="1FE2537E">
        <w:rPr>
          <w:rFonts w:ascii="Arial" w:hAnsi="Arial" w:cs="Arial"/>
        </w:rPr>
        <w:t xml:space="preserve">Additionally, the </w:t>
      </w:r>
      <w:r w:rsidRPr="3F3FA5AC" w:rsidR="00D90C43">
        <w:rPr>
          <w:rFonts w:ascii="Arial" w:hAnsi="Arial" w:cs="Arial"/>
        </w:rPr>
        <w:t>Internation Labour Organization (ILO)</w:t>
      </w:r>
      <w:r w:rsidRPr="3F3FA5AC" w:rsidR="6FF4EF0B">
        <w:rPr>
          <w:rFonts w:ascii="Arial" w:hAnsi="Arial" w:cs="Arial"/>
        </w:rPr>
        <w:t xml:space="preserve"> </w:t>
      </w:r>
      <w:r w:rsidRPr="3F3FA5AC" w:rsidR="00D90C43">
        <w:rPr>
          <w:rFonts w:ascii="Arial" w:hAnsi="Arial" w:cs="Arial"/>
        </w:rPr>
        <w:t xml:space="preserve">(2024) </w:t>
      </w:r>
      <w:r w:rsidRPr="3F3FA5AC" w:rsidR="49EFEB18">
        <w:rPr>
          <w:rFonts w:ascii="Arial" w:hAnsi="Arial" w:cs="Arial"/>
        </w:rPr>
        <w:t>p</w:t>
      </w:r>
      <w:r w:rsidRPr="3F3FA5AC" w:rsidR="00CD4A93">
        <w:rPr>
          <w:rFonts w:ascii="Arial" w:hAnsi="Arial" w:cs="Arial"/>
        </w:rPr>
        <w:t xml:space="preserve">ositioned at the nexus of gender equality, sustainable development, and social justice, the care economy requires urgent reform. To address contemporary </w:t>
      </w:r>
      <w:r w:rsidRPr="3F3FA5AC" w:rsidR="00CD4A93">
        <w:rPr>
          <w:rFonts w:ascii="Arial" w:hAnsi="Arial" w:cs="Arial"/>
        </w:rPr>
        <w:t>labour</w:t>
      </w:r>
      <w:r w:rsidRPr="3F3FA5AC" w:rsidR="00CD4A93">
        <w:rPr>
          <w:rFonts w:ascii="Arial" w:hAnsi="Arial" w:cs="Arial"/>
        </w:rPr>
        <w:t xml:space="preserve"> market shifts, major investments are needed to redesign care services, overhaul supporting policies, and secure fair working conditions for all care </w:t>
      </w:r>
      <w:r w:rsidRPr="3F3FA5AC" w:rsidR="00CD4A93">
        <w:rPr>
          <w:rFonts w:ascii="Arial" w:hAnsi="Arial" w:cs="Arial"/>
        </w:rPr>
        <w:t>labourers</w:t>
      </w:r>
      <w:r w:rsidRPr="3F3FA5AC" w:rsidR="00CD4A93">
        <w:rPr>
          <w:rFonts w:ascii="Arial" w:hAnsi="Arial" w:cs="Arial"/>
        </w:rPr>
        <w:t>, particularly migrant workers.</w:t>
      </w:r>
      <w:r w:rsidRPr="3F3FA5AC" w:rsidR="00D90C43">
        <w:rPr>
          <w:rFonts w:ascii="Arial" w:hAnsi="Arial" w:cs="Arial"/>
        </w:rPr>
        <w:t xml:space="preserve"> ILO argue that there are t</w:t>
      </w:r>
      <w:r w:rsidRPr="3F3FA5AC" w:rsidR="00D90C43">
        <w:rPr>
          <w:rFonts w:ascii="Arial" w:hAnsi="Arial" w:cs="Arial"/>
        </w:rPr>
        <w:t xml:space="preserve">wo interconnected challenges arise from care worker migration: the 'brain drain' that undermines care systems in origin countries, and the governance complexities that, if unaddressed, foster exploitation and market inefficiencies, </w:t>
      </w:r>
      <w:r w:rsidRPr="3F3FA5AC" w:rsidR="00D90C43">
        <w:rPr>
          <w:rFonts w:ascii="Arial" w:hAnsi="Arial" w:cs="Arial"/>
        </w:rPr>
        <w:t>ultimately detrimental</w:t>
      </w:r>
      <w:r w:rsidRPr="3F3FA5AC" w:rsidR="00D90C43">
        <w:rPr>
          <w:rFonts w:ascii="Arial" w:hAnsi="Arial" w:cs="Arial"/>
        </w:rPr>
        <w:t xml:space="preserve"> to employers and care beneficiaries.</w:t>
      </w:r>
      <w:r w:rsidRPr="3F3FA5AC" w:rsidR="0017133D">
        <w:rPr>
          <w:rFonts w:ascii="Arial" w:hAnsi="Arial" w:cs="Arial"/>
        </w:rPr>
        <w:t xml:space="preserve"> Furthermore, </w:t>
      </w:r>
      <w:r w:rsidRPr="3F3FA5AC" w:rsidR="0017133D">
        <w:rPr>
          <w:rFonts w:ascii="Arial" w:hAnsi="Arial" w:cs="Arial"/>
        </w:rPr>
        <w:t>Ornek</w:t>
      </w:r>
      <w:r w:rsidRPr="3F3FA5AC" w:rsidR="0017133D">
        <w:rPr>
          <w:rFonts w:ascii="Arial" w:hAnsi="Arial" w:cs="Arial"/>
        </w:rPr>
        <w:t xml:space="preserve"> et al. (2022) states that u</w:t>
      </w:r>
      <w:r w:rsidRPr="3F3FA5AC" w:rsidR="0017133D">
        <w:rPr>
          <w:rFonts w:ascii="Arial" w:hAnsi="Arial" w:cs="Arial"/>
        </w:rPr>
        <w:t xml:space="preserve">nderstanding and evaluating migrant workers' experiences of workplace precarity and its mental health consequences is crucial. This </w:t>
      </w:r>
      <w:r w:rsidRPr="3F3FA5AC" w:rsidR="0017133D">
        <w:rPr>
          <w:rFonts w:ascii="Arial" w:hAnsi="Arial" w:cs="Arial"/>
        </w:rPr>
        <w:t>research is vital for moving beyond theory to shape practical, evidence-based occupational health policies that are responsive to migrant workers' needs.</w:t>
      </w:r>
    </w:p>
    <w:p w:rsidRPr="00670059" w:rsidR="00011C2F" w:rsidP="00670059" w:rsidRDefault="00011C2F" w14:paraId="61F657C0" w14:textId="4BFF921B">
      <w:pPr>
        <w:spacing w:line="360" w:lineRule="auto"/>
        <w:jc w:val="both"/>
        <w:rPr>
          <w:rFonts w:ascii="Arial" w:hAnsi="Arial" w:cs="Arial"/>
        </w:rPr>
      </w:pPr>
      <w:r w:rsidRPr="00670059">
        <w:rPr>
          <w:rFonts w:ascii="Arial" w:hAnsi="Arial" w:cs="Arial"/>
        </w:rPr>
        <w:t>As stated by the UK Government (2025) t</w:t>
      </w:r>
      <w:r w:rsidRPr="00670059">
        <w:rPr>
          <w:rFonts w:ascii="Arial" w:hAnsi="Arial" w:cs="Arial"/>
        </w:rPr>
        <w:t xml:space="preserve">he UK Health and Care Worker visa permits qualified healthcare professionals and adult social care workers to undertake eligible roles within the National Health Service (NHS), its suppliers, or the adult social care sector. The visa is initially granted for a five-year period and is renewable. This route establishes a potential pathway to Indefinite Leave to Remain (permanent settlement). Eligibility is conditional upon several criteria: a confirmed job </w:t>
      </w:r>
      <w:r w:rsidRPr="00670059">
        <w:rPr>
          <w:rFonts w:ascii="Arial" w:hAnsi="Arial" w:cs="Arial"/>
        </w:rPr>
        <w:t>offers</w:t>
      </w:r>
      <w:r w:rsidRPr="00670059">
        <w:rPr>
          <w:rFonts w:ascii="Arial" w:hAnsi="Arial" w:cs="Arial"/>
        </w:rPr>
        <w:t xml:space="preserve"> from a Home Office-approved UK employer, a valid Certificate of Sponsorship from said employer, a salary meeting the minimum threshold for an eligible occupation, and proven proficiency in English.</w:t>
      </w:r>
    </w:p>
    <w:p w:rsidR="007E4BE3" w:rsidP="004359EE" w:rsidRDefault="00670059" w14:paraId="2FA8A245" w14:textId="04EA98BF">
      <w:pPr>
        <w:spacing w:line="360" w:lineRule="auto"/>
        <w:jc w:val="both"/>
        <w:rPr>
          <w:rFonts w:ascii="Arial" w:hAnsi="Arial" w:cs="Arial"/>
        </w:rPr>
      </w:pPr>
      <w:r w:rsidRPr="3F3FA5AC" w:rsidR="65354234">
        <w:rPr>
          <w:rFonts w:ascii="Arial" w:hAnsi="Arial" w:cs="Arial"/>
        </w:rPr>
        <w:t>Nevertheless, t</w:t>
      </w:r>
      <w:r w:rsidRPr="3F3FA5AC" w:rsidR="00670059">
        <w:rPr>
          <w:rFonts w:ascii="Arial" w:hAnsi="Arial" w:cs="Arial"/>
        </w:rPr>
        <w:t xml:space="preserve">he Uk Government made some changes on the Health and Social </w:t>
      </w:r>
      <w:r w:rsidRPr="3F3FA5AC" w:rsidR="00FFAD7C">
        <w:rPr>
          <w:rFonts w:ascii="Arial" w:hAnsi="Arial" w:cs="Arial"/>
        </w:rPr>
        <w:t>W</w:t>
      </w:r>
      <w:r w:rsidRPr="3F3FA5AC" w:rsidR="00670059">
        <w:rPr>
          <w:rFonts w:ascii="Arial" w:hAnsi="Arial" w:cs="Arial"/>
        </w:rPr>
        <w:t>orker visa recently. According to Santos (2025) t</w:t>
      </w:r>
      <w:r w:rsidRPr="3F3FA5AC" w:rsidR="00670059">
        <w:rPr>
          <w:rFonts w:ascii="Arial" w:hAnsi="Arial" w:cs="Arial"/>
        </w:rPr>
        <w:t>he</w:t>
      </w:r>
      <w:r w:rsidRPr="3F3FA5AC" w:rsidR="00670059">
        <w:rPr>
          <w:rFonts w:ascii="Arial" w:hAnsi="Arial" w:cs="Arial"/>
        </w:rPr>
        <w:t xml:space="preserve"> UK government </w:t>
      </w:r>
      <w:r w:rsidRPr="3F3FA5AC" w:rsidR="00670059">
        <w:rPr>
          <w:rFonts w:ascii="Arial" w:hAnsi="Arial" w:cs="Arial"/>
        </w:rPr>
        <w:t>stated</w:t>
      </w:r>
      <w:r w:rsidRPr="3F3FA5AC" w:rsidR="00670059">
        <w:rPr>
          <w:rFonts w:ascii="Arial" w:hAnsi="Arial" w:cs="Arial"/>
        </w:rPr>
        <w:t xml:space="preserve"> that </w:t>
      </w:r>
      <w:r w:rsidRPr="3F3FA5AC" w:rsidR="004D7342">
        <w:rPr>
          <w:rFonts w:ascii="Arial" w:hAnsi="Arial" w:cs="Arial"/>
        </w:rPr>
        <w:t>Driven by the acute staff shortages intensified by Brexit, the Health and Care Worker visa scheme was introduced. Yet this fostered exploitation, with unregulated care providers employing low-skilled migrants in inadequate positions. The policy also skewed priorities, emphasi</w:t>
      </w:r>
      <w:r w:rsidRPr="3F3FA5AC" w:rsidR="4F5DF013">
        <w:rPr>
          <w:rFonts w:ascii="Arial" w:hAnsi="Arial" w:cs="Arial"/>
        </w:rPr>
        <w:t>s</w:t>
      </w:r>
      <w:r w:rsidRPr="3F3FA5AC" w:rsidR="004D7342">
        <w:rPr>
          <w:rFonts w:ascii="Arial" w:hAnsi="Arial" w:cs="Arial"/>
        </w:rPr>
        <w:t>ing international recruitment over investing in homegrown talent. Consequently, the health and care system became increasingly reliant on overseas workers, even as domestic training and support were scaled back.</w:t>
      </w:r>
    </w:p>
    <w:p w:rsidRPr="00333DAC" w:rsidR="00333DAC" w:rsidP="004359EE" w:rsidRDefault="00275953" w14:paraId="32AB6D12" w14:textId="30EDB0C3">
      <w:pPr>
        <w:spacing w:line="360" w:lineRule="auto"/>
        <w:jc w:val="both"/>
        <w:rPr>
          <w:rFonts w:ascii="Arial" w:hAnsi="Arial" w:cs="Arial"/>
        </w:rPr>
      </w:pPr>
      <w:r w:rsidRPr="3F3FA5AC" w:rsidR="507F71C2">
        <w:rPr>
          <w:rFonts w:ascii="Arial" w:hAnsi="Arial" w:cs="Arial"/>
        </w:rPr>
        <w:t>In accordance with W</w:t>
      </w:r>
      <w:r w:rsidRPr="3F3FA5AC" w:rsidR="00275953">
        <w:rPr>
          <w:rFonts w:ascii="Arial" w:hAnsi="Arial" w:cs="Arial"/>
        </w:rPr>
        <w:t>ork Right Centre (WORC) (2025) m</w:t>
      </w:r>
      <w:r w:rsidRPr="3F3FA5AC" w:rsidR="00275953">
        <w:rPr>
          <w:rFonts w:ascii="Arial" w:hAnsi="Arial" w:cs="Arial"/>
        </w:rPr>
        <w:t xml:space="preserve">igrant care workers </w:t>
      </w:r>
      <w:r w:rsidRPr="3F3FA5AC" w:rsidR="00F274F1">
        <w:rPr>
          <w:rFonts w:ascii="Arial" w:hAnsi="Arial" w:cs="Arial"/>
        </w:rPr>
        <w:t xml:space="preserve">in the UK </w:t>
      </w:r>
      <w:r w:rsidRPr="3F3FA5AC" w:rsidR="00275953">
        <w:rPr>
          <w:rFonts w:ascii="Arial" w:hAnsi="Arial" w:cs="Arial"/>
        </w:rPr>
        <w:t>are increasingly subjected to exploitation, including fraudulent recruitment practices that extract substantial fees, intimidation and abuse by sponsoring employers, and a resultant climate of acute precarity encompassing their work, economic situation, and immigration standing.</w:t>
      </w:r>
    </w:p>
    <w:p w:rsidRPr="00524FD5" w:rsidR="00524FD5" w:rsidP="3F3FA5AC" w:rsidRDefault="00524FD5" w14:paraId="712CEFC4" w14:textId="19E28B2A">
      <w:pPr>
        <w:pStyle w:val="Heading1"/>
        <w:rPr>
          <w:rFonts w:ascii="Arial" w:hAnsi="Arial" w:cs="Arial"/>
          <w:sz w:val="36"/>
          <w:szCs w:val="36"/>
        </w:rPr>
      </w:pPr>
      <w:bookmarkStart w:name="_Toc1412039161" w:id="55024537"/>
      <w:r w:rsidRPr="3F3FA5AC" w:rsidR="00333DAC">
        <w:rPr>
          <w:rFonts w:ascii="Arial" w:hAnsi="Arial" w:cs="Arial"/>
          <w:sz w:val="36"/>
          <w:szCs w:val="36"/>
        </w:rPr>
        <w:t>Conclusion</w:t>
      </w:r>
      <w:bookmarkEnd w:id="55024537"/>
    </w:p>
    <w:p w:rsidRPr="00333DAC" w:rsidR="00333DAC" w:rsidP="004359EE" w:rsidRDefault="00333DAC" w14:paraId="6630F339" w14:textId="77777777">
      <w:pPr>
        <w:spacing w:line="360" w:lineRule="auto"/>
        <w:jc w:val="both"/>
        <w:rPr>
          <w:rFonts w:ascii="Arial" w:hAnsi="Arial" w:cs="Arial"/>
        </w:rPr>
      </w:pPr>
      <w:r w:rsidRPr="3F3FA5AC" w:rsidR="00333DAC">
        <w:rPr>
          <w:rFonts w:ascii="Arial" w:hAnsi="Arial" w:cs="Arial"/>
        </w:rPr>
        <w:t>The Global Care Chains model is not a prescriptive theory </w:t>
      </w:r>
      <w:r w:rsidRPr="3F3FA5AC" w:rsidR="00333DAC">
        <w:rPr>
          <w:rFonts w:ascii="Arial" w:hAnsi="Arial" w:cs="Arial"/>
          <w:i w:val="1"/>
          <w:iCs w:val="1"/>
        </w:rPr>
        <w:t>for</w:t>
      </w:r>
      <w:r w:rsidRPr="3F3FA5AC" w:rsidR="00333DAC">
        <w:rPr>
          <w:rFonts w:ascii="Arial" w:hAnsi="Arial" w:cs="Arial"/>
        </w:rPr>
        <w:t xml:space="preserve"> care, but a critical diagnostic tool. It exposes the hidden transnational infrastructure that makes person-centred care logistically </w:t>
      </w:r>
      <w:r w:rsidRPr="3F3FA5AC" w:rsidR="00333DAC">
        <w:rPr>
          <w:rFonts w:ascii="Arial" w:hAnsi="Arial" w:cs="Arial"/>
        </w:rPr>
        <w:t>feasible</w:t>
      </w:r>
      <w:r w:rsidRPr="3F3FA5AC" w:rsidR="00333DAC">
        <w:rPr>
          <w:rFonts w:ascii="Arial" w:hAnsi="Arial" w:cs="Arial"/>
        </w:rPr>
        <w:t xml:space="preserve"> yet ethically compromised in many wealthy nations. It reveals that the realisation of PCC in one context is </w:t>
      </w:r>
      <w:r w:rsidRPr="3F3FA5AC" w:rsidR="00333DAC">
        <w:rPr>
          <w:rFonts w:ascii="Arial" w:hAnsi="Arial" w:cs="Arial"/>
        </w:rPr>
        <w:t>frequently</w:t>
      </w:r>
      <w:r w:rsidRPr="3F3FA5AC" w:rsidR="00333DAC">
        <w:rPr>
          <w:rFonts w:ascii="Arial" w:hAnsi="Arial" w:cs="Arial"/>
        </w:rPr>
        <w:t xml:space="preserve"> predicated on its violation in another. Therefore, applying the GCC lens forces a reckoning: authentic person-centred care cannot exist within health and social care policy and practice that is exploitative, nationalistic, and blind to global interdependencies. Achieving genuine PCC requires a parallel commitment to global equity, migrant justice, and the revaluation of care labour as the foundational pillars of a truly ethical </w:t>
      </w:r>
      <w:r w:rsidRPr="3F3FA5AC" w:rsidR="00333DAC">
        <w:rPr>
          <w:rFonts w:ascii="Arial" w:hAnsi="Arial" w:cs="Arial"/>
        </w:rPr>
        <w:t>system. The ultimate challenge is to shorten the chains, strengthen every link, and build a model of care that is person-centred for </w:t>
      </w:r>
      <w:r w:rsidRPr="3F3FA5AC" w:rsidR="00333DAC">
        <w:rPr>
          <w:rFonts w:ascii="Arial" w:hAnsi="Arial" w:cs="Arial"/>
          <w:i w:val="1"/>
          <w:iCs w:val="1"/>
        </w:rPr>
        <w:t>all</w:t>
      </w:r>
      <w:r w:rsidRPr="3F3FA5AC" w:rsidR="00333DAC">
        <w:rPr>
          <w:rFonts w:ascii="Arial" w:hAnsi="Arial" w:cs="Arial"/>
        </w:rPr>
        <w:t> persons involved in its provision and receipt.</w:t>
      </w:r>
    </w:p>
    <w:p w:rsidR="3F3FA5AC" w:rsidP="3F3FA5AC" w:rsidRDefault="3F3FA5AC" w14:paraId="5CC91A30" w14:textId="475989B3">
      <w:pPr>
        <w:spacing w:line="360" w:lineRule="auto"/>
        <w:jc w:val="both"/>
        <w:rPr>
          <w:rFonts w:ascii="Arial" w:hAnsi="Arial" w:cs="Arial"/>
        </w:rPr>
      </w:pPr>
    </w:p>
    <w:p w:rsidR="3F3FA5AC" w:rsidP="3F3FA5AC" w:rsidRDefault="3F3FA5AC" w14:paraId="5E65368A" w14:textId="08183F93">
      <w:pPr>
        <w:spacing w:line="360" w:lineRule="auto"/>
        <w:jc w:val="both"/>
        <w:rPr>
          <w:rFonts w:ascii="Arial" w:hAnsi="Arial" w:cs="Arial"/>
        </w:rPr>
      </w:pPr>
    </w:p>
    <w:p w:rsidRPr="00477A1D" w:rsidR="00D85D18" w:rsidP="00553247" w:rsidRDefault="00553247" w14:paraId="36BC4D76" w14:textId="4DCB4A11">
      <w:pPr>
        <w:pStyle w:val="Heading1"/>
        <w:rPr>
          <w:rFonts w:ascii="Arial" w:hAnsi="Arial" w:cs="Arial"/>
          <w:sz w:val="36"/>
          <w:szCs w:val="36"/>
        </w:rPr>
      </w:pPr>
      <w:bookmarkStart w:name="_Toc944946911" w:id="1318218392"/>
      <w:r w:rsidRPr="3F3FA5AC" w:rsidR="00553247">
        <w:rPr>
          <w:rFonts w:ascii="Arial" w:hAnsi="Arial" w:cs="Arial"/>
          <w:sz w:val="36"/>
          <w:szCs w:val="36"/>
        </w:rPr>
        <w:t>Reference</w:t>
      </w:r>
      <w:r w:rsidRPr="3F3FA5AC" w:rsidR="4E9DE36A">
        <w:rPr>
          <w:rFonts w:ascii="Arial" w:hAnsi="Arial" w:cs="Arial"/>
          <w:sz w:val="36"/>
          <w:szCs w:val="36"/>
        </w:rPr>
        <w:t>s</w:t>
      </w:r>
      <w:bookmarkEnd w:id="1318218392"/>
    </w:p>
    <w:p w:rsidRPr="00477A1D" w:rsidR="00477A1D" w:rsidP="00477A1D" w:rsidRDefault="00477A1D" w14:paraId="0930CB26" w14:textId="77777777"/>
    <w:p w:rsidRPr="00524FD5" w:rsidR="00BB136C" w:rsidP="00524FD5" w:rsidRDefault="00AB11BF" w14:paraId="1894FC34" w14:textId="34844784">
      <w:pPr>
        <w:spacing w:line="360" w:lineRule="auto"/>
        <w:jc w:val="both"/>
        <w:rPr>
          <w:rFonts w:ascii="Arial" w:hAnsi="Arial" w:cs="Arial"/>
        </w:rPr>
      </w:pPr>
      <w:r w:rsidRPr="00524FD5">
        <w:rPr>
          <w:rFonts w:ascii="Arial" w:hAnsi="Arial" w:cs="Arial"/>
        </w:rPr>
        <w:t>Anderson, B. &amp; Shutes, I. (eds.) (2014) </w:t>
      </w:r>
      <w:r w:rsidRPr="00524FD5">
        <w:rPr>
          <w:rFonts w:ascii="Arial" w:hAnsi="Arial" w:cs="Arial"/>
          <w:i/>
          <w:iCs/>
        </w:rPr>
        <w:t>Migration and Care Labour: Theory, Policy and Politics</w:t>
      </w:r>
      <w:r w:rsidRPr="00524FD5">
        <w:rPr>
          <w:rFonts w:ascii="Arial" w:hAnsi="Arial" w:cs="Arial"/>
        </w:rPr>
        <w:t>. Palgrave Macmillan.</w:t>
      </w:r>
      <w:r w:rsidRPr="00524FD5">
        <w:rPr>
          <w:rFonts w:ascii="Arial" w:hAnsi="Arial" w:cs="Arial"/>
        </w:rPr>
        <w:t xml:space="preserve"> </w:t>
      </w:r>
      <w:r w:rsidRPr="00524FD5">
        <w:rPr>
          <w:rFonts w:ascii="Arial" w:hAnsi="Arial" w:cs="Arial"/>
        </w:rPr>
        <w:t>New York, United States.</w:t>
      </w:r>
    </w:p>
    <w:p w:rsidRPr="00524FD5" w:rsidR="00BB136C" w:rsidP="00524FD5" w:rsidRDefault="00BB136C" w14:paraId="4AC52FA4" w14:textId="51B852B7">
      <w:pPr>
        <w:spacing w:line="360" w:lineRule="auto"/>
        <w:jc w:val="both"/>
        <w:rPr>
          <w:rFonts w:ascii="Arial" w:hAnsi="Arial" w:cs="Arial"/>
        </w:rPr>
      </w:pPr>
      <w:r w:rsidRPr="3F3FA5AC" w:rsidR="00BB136C">
        <w:rPr>
          <w:rFonts w:ascii="Arial" w:hAnsi="Arial" w:cs="Arial"/>
        </w:rPr>
        <w:t>Belinda, S. N. (2024) ‘</w:t>
      </w:r>
      <w:r w:rsidRPr="3F3FA5AC" w:rsidR="00BB136C">
        <w:rPr>
          <w:rFonts w:ascii="Arial" w:hAnsi="Arial" w:cs="Arial"/>
        </w:rPr>
        <w:t>On Global Care Chains in a Deglobalizing World</w:t>
      </w:r>
      <w:r w:rsidRPr="3F3FA5AC" w:rsidR="00BB136C">
        <w:rPr>
          <w:rFonts w:ascii="Arial" w:hAnsi="Arial" w:cs="Arial"/>
        </w:rPr>
        <w:t xml:space="preserve">.’ </w:t>
      </w:r>
      <w:r w:rsidRPr="3F3FA5AC" w:rsidR="00BB136C">
        <w:rPr>
          <w:rFonts w:ascii="Arial" w:hAnsi="Arial" w:cs="Arial"/>
          <w:i w:val="1"/>
          <w:iCs w:val="1"/>
        </w:rPr>
        <w:t>Yale Journal of International Affairs</w:t>
      </w:r>
      <w:r w:rsidRPr="3F3FA5AC" w:rsidR="00BB136C">
        <w:rPr>
          <w:rFonts w:ascii="Arial" w:hAnsi="Arial" w:cs="Arial"/>
          <w:i w:val="1"/>
          <w:iCs w:val="1"/>
        </w:rPr>
        <w:t xml:space="preserve">. </w:t>
      </w:r>
      <w:r w:rsidRPr="3F3FA5AC" w:rsidR="00BB136C">
        <w:rPr>
          <w:rFonts w:ascii="Arial" w:hAnsi="Arial" w:cs="Arial"/>
        </w:rPr>
        <w:t xml:space="preserve">Available at: </w:t>
      </w:r>
      <w:hyperlink r:id="Re6ae31151f924c87">
        <w:r w:rsidRPr="3F3FA5AC" w:rsidR="00BB136C">
          <w:rPr>
            <w:rStyle w:val="Hyperlink"/>
            <w:rFonts w:ascii="Arial" w:hAnsi="Arial" w:cs="Arial"/>
          </w:rPr>
          <w:t>https://www.yalejournal.org/publications/on-global-care-chains-in-a-deglobalizing-world</w:t>
        </w:r>
      </w:hyperlink>
      <w:r w:rsidRPr="3F3FA5AC" w:rsidR="00BB136C">
        <w:rPr>
          <w:rFonts w:ascii="Arial" w:hAnsi="Arial" w:cs="Arial"/>
        </w:rPr>
        <w:t>. (Accessed: 5 December 2025).</w:t>
      </w:r>
    </w:p>
    <w:p w:rsidR="69C8298B" w:rsidP="3F3FA5AC" w:rsidRDefault="69C8298B" w14:paraId="0B9FF67D" w14:textId="4B87132D">
      <w:pPr>
        <w:pStyle w:val="Normal"/>
        <w:spacing w:line="360" w:lineRule="auto"/>
        <w:jc w:val="both"/>
        <w:rPr>
          <w:rFonts w:ascii="Arial" w:hAnsi="Arial" w:eastAsia="Arial" w:cs="Arial"/>
          <w:noProof w:val="0"/>
          <w:sz w:val="22"/>
          <w:szCs w:val="22"/>
          <w:lang w:val="en-GB"/>
        </w:rPr>
      </w:pPr>
      <w:r w:rsidRPr="3F3FA5AC" w:rsidR="69C8298B">
        <w:rPr>
          <w:rFonts w:ascii="Arial" w:hAnsi="Arial" w:eastAsia="Arial" w:cs="Arial"/>
          <w:b w:val="0"/>
          <w:bCs w:val="0"/>
          <w:i w:val="0"/>
          <w:iCs w:val="0"/>
          <w:caps w:val="0"/>
          <w:smallCaps w:val="0"/>
          <w:noProof w:val="0"/>
          <w:color w:val="0F1115"/>
          <w:sz w:val="22"/>
          <w:szCs w:val="22"/>
          <w:lang w:val="en-GB"/>
        </w:rPr>
        <w:t xml:space="preserve">Cangiano, A. and Shutes, I. (2010) </w:t>
      </w:r>
      <w:r w:rsidRPr="3F3FA5AC" w:rsidR="31597E0F">
        <w:rPr>
          <w:rFonts w:ascii="Arial" w:hAnsi="Arial" w:eastAsia="Arial" w:cs="Arial"/>
          <w:b w:val="0"/>
          <w:bCs w:val="0"/>
          <w:i w:val="0"/>
          <w:iCs w:val="0"/>
          <w:caps w:val="0"/>
          <w:smallCaps w:val="0"/>
          <w:noProof w:val="0"/>
          <w:color w:val="0F1115"/>
          <w:sz w:val="22"/>
          <w:szCs w:val="22"/>
          <w:lang w:val="en-GB"/>
        </w:rPr>
        <w:t>‘</w:t>
      </w:r>
      <w:r w:rsidRPr="3F3FA5AC" w:rsidR="69C8298B">
        <w:rPr>
          <w:rFonts w:ascii="Arial" w:hAnsi="Arial" w:eastAsia="Arial" w:cs="Arial"/>
          <w:b w:val="0"/>
          <w:bCs w:val="0"/>
          <w:i w:val="0"/>
          <w:iCs w:val="0"/>
          <w:caps w:val="0"/>
          <w:smallCaps w:val="0"/>
          <w:noProof w:val="0"/>
          <w:color w:val="0F1115"/>
          <w:sz w:val="22"/>
          <w:szCs w:val="22"/>
          <w:lang w:val="en-GB"/>
        </w:rPr>
        <w:t>Ageing, demand for care and the role of migrant care workers in the UK.</w:t>
      </w:r>
      <w:r w:rsidRPr="3F3FA5AC" w:rsidR="2F417150">
        <w:rPr>
          <w:rFonts w:ascii="Arial" w:hAnsi="Arial" w:eastAsia="Arial" w:cs="Arial"/>
          <w:b w:val="0"/>
          <w:bCs w:val="0"/>
          <w:i w:val="0"/>
          <w:iCs w:val="0"/>
          <w:caps w:val="0"/>
          <w:smallCaps w:val="0"/>
          <w:noProof w:val="0"/>
          <w:color w:val="0F1115"/>
          <w:sz w:val="22"/>
          <w:szCs w:val="22"/>
          <w:lang w:val="en-GB"/>
        </w:rPr>
        <w:t>’</w:t>
      </w:r>
      <w:r w:rsidRPr="3F3FA5AC" w:rsidR="69C8298B">
        <w:rPr>
          <w:rFonts w:ascii="Arial" w:hAnsi="Arial" w:eastAsia="Arial" w:cs="Arial"/>
          <w:b w:val="0"/>
          <w:bCs w:val="0"/>
          <w:i w:val="0"/>
          <w:iCs w:val="0"/>
          <w:caps w:val="0"/>
          <w:smallCaps w:val="0"/>
          <w:noProof w:val="0"/>
          <w:color w:val="0F1115"/>
          <w:sz w:val="22"/>
          <w:szCs w:val="22"/>
          <w:lang w:val="en-GB"/>
        </w:rPr>
        <w:t xml:space="preserve"> </w:t>
      </w:r>
      <w:r w:rsidRPr="3F3FA5AC" w:rsidR="69C8298B">
        <w:rPr>
          <w:rFonts w:ascii="Arial" w:hAnsi="Arial" w:eastAsia="Arial" w:cs="Arial"/>
          <w:b w:val="0"/>
          <w:bCs w:val="0"/>
          <w:i w:val="1"/>
          <w:iCs w:val="1"/>
          <w:caps w:val="0"/>
          <w:smallCaps w:val="0"/>
          <w:noProof w:val="0"/>
          <w:color w:val="0F1115"/>
          <w:sz w:val="22"/>
          <w:szCs w:val="22"/>
          <w:lang w:val="en-GB"/>
        </w:rPr>
        <w:t>Journal of Population Ageing</w:t>
      </w:r>
      <w:r w:rsidRPr="3F3FA5AC" w:rsidR="69C8298B">
        <w:rPr>
          <w:rFonts w:ascii="Arial" w:hAnsi="Arial" w:eastAsia="Arial" w:cs="Arial"/>
          <w:b w:val="0"/>
          <w:bCs w:val="0"/>
          <w:i w:val="0"/>
          <w:iCs w:val="0"/>
          <w:caps w:val="0"/>
          <w:smallCaps w:val="0"/>
          <w:noProof w:val="0"/>
          <w:color w:val="0F1115"/>
          <w:sz w:val="22"/>
          <w:szCs w:val="22"/>
          <w:lang w:val="en-GB"/>
        </w:rPr>
        <w:t>, 3(1-2), pp.39-57.</w:t>
      </w:r>
    </w:p>
    <w:p w:rsidR="5D742341" w:rsidP="3F3FA5AC" w:rsidRDefault="5D742341" w14:paraId="2B43153B" w14:textId="4F7EB0F3">
      <w:pPr>
        <w:pStyle w:val="Normal"/>
        <w:spacing w:line="360" w:lineRule="auto"/>
        <w:jc w:val="both"/>
        <w:rPr>
          <w:rFonts w:ascii="Arial" w:hAnsi="Arial" w:eastAsia="Arial" w:cs="Arial"/>
          <w:noProof w:val="0"/>
          <w:sz w:val="22"/>
          <w:szCs w:val="22"/>
          <w:lang w:val="en-GB"/>
        </w:rPr>
      </w:pPr>
      <w:r w:rsidRPr="3F3FA5AC" w:rsidR="5D742341">
        <w:rPr>
          <w:rFonts w:ascii="Arial" w:hAnsi="Arial" w:eastAsia="Arial" w:cs="Arial"/>
          <w:b w:val="0"/>
          <w:bCs w:val="0"/>
          <w:i w:val="0"/>
          <w:iCs w:val="0"/>
          <w:caps w:val="0"/>
          <w:smallCaps w:val="0"/>
          <w:noProof w:val="0"/>
          <w:color w:val="auto"/>
          <w:sz w:val="22"/>
          <w:szCs w:val="22"/>
          <w:lang w:val="en-GB"/>
        </w:rPr>
        <w:t>Comaroff</w:t>
      </w:r>
      <w:r w:rsidRPr="3F3FA5AC" w:rsidR="5D742341">
        <w:rPr>
          <w:rFonts w:ascii="Arial" w:hAnsi="Arial" w:eastAsia="Arial" w:cs="Arial"/>
          <w:b w:val="0"/>
          <w:bCs w:val="0"/>
          <w:i w:val="0"/>
          <w:iCs w:val="0"/>
          <w:caps w:val="0"/>
          <w:smallCaps w:val="0"/>
          <w:noProof w:val="0"/>
          <w:color w:val="auto"/>
          <w:sz w:val="22"/>
          <w:szCs w:val="22"/>
          <w:lang w:val="en-GB"/>
        </w:rPr>
        <w:t xml:space="preserve">, J. and </w:t>
      </w:r>
      <w:r w:rsidRPr="3F3FA5AC" w:rsidR="5D742341">
        <w:rPr>
          <w:rFonts w:ascii="Arial" w:hAnsi="Arial" w:eastAsia="Arial" w:cs="Arial"/>
          <w:b w:val="0"/>
          <w:bCs w:val="0"/>
          <w:i w:val="0"/>
          <w:iCs w:val="0"/>
          <w:caps w:val="0"/>
          <w:smallCaps w:val="0"/>
          <w:noProof w:val="0"/>
          <w:color w:val="auto"/>
          <w:sz w:val="22"/>
          <w:szCs w:val="22"/>
          <w:lang w:val="en-GB"/>
        </w:rPr>
        <w:t>Comaroff</w:t>
      </w:r>
      <w:r w:rsidRPr="3F3FA5AC" w:rsidR="5D742341">
        <w:rPr>
          <w:rFonts w:ascii="Arial" w:hAnsi="Arial" w:eastAsia="Arial" w:cs="Arial"/>
          <w:b w:val="0"/>
          <w:bCs w:val="0"/>
          <w:i w:val="0"/>
          <w:iCs w:val="0"/>
          <w:caps w:val="0"/>
          <w:smallCaps w:val="0"/>
          <w:noProof w:val="0"/>
          <w:color w:val="auto"/>
          <w:sz w:val="22"/>
          <w:szCs w:val="22"/>
          <w:lang w:val="en-GB"/>
        </w:rPr>
        <w:t xml:space="preserve">, J.L. (2000) </w:t>
      </w:r>
      <w:r w:rsidRPr="3F3FA5AC" w:rsidR="046F4003">
        <w:rPr>
          <w:rFonts w:ascii="Arial" w:hAnsi="Arial" w:eastAsia="Arial" w:cs="Arial"/>
          <w:b w:val="0"/>
          <w:bCs w:val="0"/>
          <w:i w:val="0"/>
          <w:iCs w:val="0"/>
          <w:caps w:val="0"/>
          <w:smallCaps w:val="0"/>
          <w:noProof w:val="0"/>
          <w:color w:val="auto"/>
          <w:sz w:val="22"/>
          <w:szCs w:val="22"/>
          <w:lang w:val="en-GB"/>
        </w:rPr>
        <w:t>‘</w:t>
      </w:r>
      <w:r w:rsidRPr="3F3FA5AC" w:rsidR="5D742341">
        <w:rPr>
          <w:rFonts w:ascii="Arial" w:hAnsi="Arial" w:eastAsia="Arial" w:cs="Arial"/>
          <w:b w:val="0"/>
          <w:bCs w:val="0"/>
          <w:i w:val="0"/>
          <w:iCs w:val="0"/>
          <w:caps w:val="0"/>
          <w:smallCaps w:val="0"/>
          <w:noProof w:val="0"/>
          <w:color w:val="auto"/>
          <w:sz w:val="22"/>
          <w:szCs w:val="22"/>
          <w:lang w:val="en-GB"/>
        </w:rPr>
        <w:t>Millennial Capitalism: First Thoughts on a Second Coming.</w:t>
      </w:r>
      <w:r w:rsidRPr="3F3FA5AC" w:rsidR="1B9DD532">
        <w:rPr>
          <w:rFonts w:ascii="Arial" w:hAnsi="Arial" w:eastAsia="Arial" w:cs="Arial"/>
          <w:b w:val="0"/>
          <w:bCs w:val="0"/>
          <w:i w:val="0"/>
          <w:iCs w:val="0"/>
          <w:caps w:val="0"/>
          <w:smallCaps w:val="0"/>
          <w:noProof w:val="0"/>
          <w:color w:val="auto"/>
          <w:sz w:val="22"/>
          <w:szCs w:val="22"/>
          <w:lang w:val="en-GB"/>
        </w:rPr>
        <w:t>’</w:t>
      </w:r>
      <w:r w:rsidRPr="3F3FA5AC" w:rsidR="5D742341">
        <w:rPr>
          <w:rFonts w:ascii="Arial" w:hAnsi="Arial" w:eastAsia="Arial" w:cs="Arial"/>
          <w:b w:val="0"/>
          <w:bCs w:val="0"/>
          <w:i w:val="0"/>
          <w:iCs w:val="0"/>
          <w:caps w:val="0"/>
          <w:smallCaps w:val="0"/>
          <w:noProof w:val="0"/>
          <w:color w:val="auto"/>
          <w:sz w:val="22"/>
          <w:szCs w:val="22"/>
          <w:lang w:val="en-GB"/>
        </w:rPr>
        <w:t xml:space="preserve"> </w:t>
      </w:r>
      <w:r w:rsidRPr="3F3FA5AC" w:rsidR="5D742341">
        <w:rPr>
          <w:rFonts w:ascii="Arial" w:hAnsi="Arial" w:eastAsia="Arial" w:cs="Arial"/>
          <w:b w:val="0"/>
          <w:bCs w:val="0"/>
          <w:i w:val="1"/>
          <w:iCs w:val="1"/>
          <w:caps w:val="0"/>
          <w:smallCaps w:val="0"/>
          <w:noProof w:val="0"/>
          <w:color w:val="auto"/>
          <w:sz w:val="22"/>
          <w:szCs w:val="22"/>
          <w:lang w:val="en-GB"/>
        </w:rPr>
        <w:t>Public Culture</w:t>
      </w:r>
      <w:r w:rsidRPr="3F3FA5AC" w:rsidR="5D742341">
        <w:rPr>
          <w:rFonts w:ascii="Arial" w:hAnsi="Arial" w:eastAsia="Arial" w:cs="Arial"/>
          <w:b w:val="0"/>
          <w:bCs w:val="0"/>
          <w:i w:val="0"/>
          <w:iCs w:val="0"/>
          <w:caps w:val="0"/>
          <w:smallCaps w:val="0"/>
          <w:noProof w:val="0"/>
          <w:color w:val="auto"/>
          <w:sz w:val="22"/>
          <w:szCs w:val="22"/>
          <w:lang w:val="en-GB"/>
        </w:rPr>
        <w:t xml:space="preserve">, 12(2), pp.291–343. </w:t>
      </w:r>
      <w:r w:rsidRPr="3F3FA5AC" w:rsidR="5D742341">
        <w:rPr>
          <w:rFonts w:ascii="Arial" w:hAnsi="Arial" w:eastAsia="Arial" w:cs="Arial"/>
          <w:b w:val="0"/>
          <w:bCs w:val="0"/>
          <w:i w:val="0"/>
          <w:iCs w:val="0"/>
          <w:caps w:val="0"/>
          <w:smallCaps w:val="0"/>
          <w:noProof w:val="0"/>
          <w:color w:val="auto"/>
          <w:sz w:val="22"/>
          <w:szCs w:val="22"/>
          <w:lang w:val="en-GB"/>
        </w:rPr>
        <w:t>doi:https</w:t>
      </w:r>
      <w:r w:rsidRPr="3F3FA5AC" w:rsidR="5D742341">
        <w:rPr>
          <w:rFonts w:ascii="Arial" w:hAnsi="Arial" w:eastAsia="Arial" w:cs="Arial"/>
          <w:b w:val="0"/>
          <w:bCs w:val="0"/>
          <w:i w:val="0"/>
          <w:iCs w:val="0"/>
          <w:caps w:val="0"/>
          <w:smallCaps w:val="0"/>
          <w:noProof w:val="0"/>
          <w:color w:val="auto"/>
          <w:sz w:val="22"/>
          <w:szCs w:val="22"/>
          <w:lang w:val="en-GB"/>
        </w:rPr>
        <w:t>://doi.org/10.1215/08992363-12-2-291</w:t>
      </w:r>
      <w:r w:rsidRPr="3F3FA5AC" w:rsidR="5D742341">
        <w:rPr>
          <w:rFonts w:ascii="Arial" w:hAnsi="Arial" w:eastAsia="Arial" w:cs="Arial"/>
          <w:b w:val="0"/>
          <w:bCs w:val="0"/>
          <w:i w:val="0"/>
          <w:iCs w:val="0"/>
          <w:caps w:val="0"/>
          <w:smallCaps w:val="0"/>
          <w:noProof w:val="0"/>
          <w:color w:val="2C3E50"/>
          <w:sz w:val="22"/>
          <w:szCs w:val="22"/>
          <w:lang w:val="en-GB"/>
        </w:rPr>
        <w:t>.</w:t>
      </w:r>
    </w:p>
    <w:p w:rsidRPr="00524FD5" w:rsidR="0010411D" w:rsidP="00524FD5" w:rsidRDefault="001617D1" w14:paraId="6129863C" w14:textId="6ED54F52">
      <w:pPr>
        <w:spacing w:line="360" w:lineRule="auto"/>
        <w:jc w:val="both"/>
        <w:rPr>
          <w:rFonts w:ascii="Arial" w:hAnsi="Arial" w:cs="Arial"/>
        </w:rPr>
      </w:pPr>
      <w:r w:rsidRPr="3F3FA5AC" w:rsidR="001617D1">
        <w:rPr>
          <w:rFonts w:ascii="Arial" w:hAnsi="Arial" w:cs="Arial"/>
        </w:rPr>
        <w:t>Eurodiconia</w:t>
      </w:r>
      <w:r w:rsidRPr="3F3FA5AC" w:rsidR="001617D1">
        <w:rPr>
          <w:rFonts w:ascii="Arial" w:hAnsi="Arial" w:cs="Arial"/>
        </w:rPr>
        <w:t xml:space="preserve"> Organisation (2025) </w:t>
      </w:r>
      <w:r w:rsidRPr="3F3FA5AC" w:rsidR="001617D1">
        <w:rPr>
          <w:rFonts w:ascii="Arial" w:hAnsi="Arial" w:cs="Arial"/>
          <w:i w:val="1"/>
          <w:iCs w:val="1"/>
        </w:rPr>
        <w:t>REPORT ON MIGRANT CARE WORKERS</w:t>
      </w:r>
      <w:r w:rsidRPr="3F3FA5AC" w:rsidR="001617D1">
        <w:rPr>
          <w:rFonts w:ascii="Arial" w:hAnsi="Arial" w:cs="Arial"/>
          <w:i w:val="1"/>
          <w:iCs w:val="1"/>
        </w:rPr>
        <w:t xml:space="preserve">: </w:t>
      </w:r>
      <w:r w:rsidRPr="3F3FA5AC" w:rsidR="001617D1">
        <w:rPr>
          <w:rFonts w:ascii="Arial" w:hAnsi="Arial" w:cs="Arial"/>
          <w:i w:val="1"/>
          <w:iCs w:val="1"/>
        </w:rPr>
        <w:t>Towards Fair Working Conditions and Inclusion of Migrants in the EU Care Workforce</w:t>
      </w:r>
      <w:r w:rsidRPr="3F3FA5AC" w:rsidR="001617D1">
        <w:rPr>
          <w:rFonts w:ascii="Arial" w:hAnsi="Arial" w:cs="Arial"/>
        </w:rPr>
        <w:t>. Available</w:t>
      </w:r>
      <w:r w:rsidRPr="3F3FA5AC" w:rsidR="700F5714">
        <w:rPr>
          <w:rFonts w:ascii="Arial" w:hAnsi="Arial" w:cs="Arial"/>
        </w:rPr>
        <w:t xml:space="preserve"> at</w:t>
      </w:r>
      <w:r w:rsidRPr="3F3FA5AC" w:rsidR="001617D1">
        <w:rPr>
          <w:rFonts w:ascii="Arial" w:hAnsi="Arial" w:cs="Arial"/>
        </w:rPr>
        <w:t xml:space="preserve">: </w:t>
      </w:r>
      <w:r>
        <w:br/>
      </w:r>
      <w:hyperlink r:id="R066510c91d1f4f84">
        <w:r w:rsidRPr="3F3FA5AC" w:rsidR="001617D1">
          <w:rPr>
            <w:rStyle w:val="Hyperlink"/>
            <w:rFonts w:ascii="Arial" w:hAnsi="Arial" w:cs="Arial"/>
          </w:rPr>
          <w:t>https://eurodiaconia.org/wp-content/uploads/2025/04/Migrant-Care-Workers-Report.pdf</w:t>
        </w:r>
      </w:hyperlink>
      <w:r w:rsidRPr="3F3FA5AC" w:rsidR="001617D1">
        <w:rPr>
          <w:rFonts w:ascii="Arial" w:hAnsi="Arial" w:cs="Arial"/>
          <w:u w:val="single"/>
        </w:rPr>
        <w:t>. (</w:t>
      </w:r>
      <w:r w:rsidRPr="3F3FA5AC" w:rsidR="001617D1">
        <w:rPr>
          <w:rFonts w:ascii="Arial" w:hAnsi="Arial" w:cs="Arial"/>
        </w:rPr>
        <w:t>Accessed: 6 December 2025)</w:t>
      </w:r>
    </w:p>
    <w:p w:rsidR="05836592" w:rsidP="3F3FA5AC" w:rsidRDefault="05836592" w14:paraId="6BA43B6B" w14:textId="0D448F1E">
      <w:pPr>
        <w:pStyle w:val="Normal"/>
        <w:spacing w:line="360" w:lineRule="auto"/>
        <w:jc w:val="both"/>
        <w:rPr>
          <w:rFonts w:ascii="Arial" w:hAnsi="Arial" w:eastAsia="Arial" w:cs="Arial"/>
          <w:noProof w:val="0"/>
          <w:sz w:val="22"/>
          <w:szCs w:val="22"/>
          <w:lang w:val="en-GB"/>
        </w:rPr>
      </w:pPr>
      <w:r w:rsidRPr="3F3FA5AC" w:rsidR="05836592">
        <w:rPr>
          <w:rFonts w:ascii="Arial" w:hAnsi="Arial" w:eastAsia="Arial" w:cs="Arial"/>
          <w:b w:val="0"/>
          <w:bCs w:val="0"/>
          <w:i w:val="0"/>
          <w:iCs w:val="0"/>
          <w:caps w:val="0"/>
          <w:smallCaps w:val="0"/>
          <w:noProof w:val="0"/>
          <w:color w:val="2C3E50"/>
          <w:sz w:val="22"/>
          <w:szCs w:val="22"/>
          <w:lang w:val="en-GB"/>
        </w:rPr>
        <w:t xml:space="preserve">Giusti, A., </w:t>
      </w:r>
      <w:r w:rsidRPr="3F3FA5AC" w:rsidR="05836592">
        <w:rPr>
          <w:rFonts w:ascii="Arial" w:hAnsi="Arial" w:eastAsia="Arial" w:cs="Arial"/>
          <w:b w:val="0"/>
          <w:bCs w:val="0"/>
          <w:i w:val="0"/>
          <w:iCs w:val="0"/>
          <w:caps w:val="0"/>
          <w:smallCaps w:val="0"/>
          <w:noProof w:val="0"/>
          <w:color w:val="2C3E50"/>
          <w:sz w:val="22"/>
          <w:szCs w:val="22"/>
          <w:lang w:val="en-GB"/>
        </w:rPr>
        <w:t>Pukrittayakamee</w:t>
      </w:r>
      <w:r w:rsidRPr="3F3FA5AC" w:rsidR="05836592">
        <w:rPr>
          <w:rFonts w:ascii="Arial" w:hAnsi="Arial" w:eastAsia="Arial" w:cs="Arial"/>
          <w:b w:val="0"/>
          <w:bCs w:val="0"/>
          <w:i w:val="0"/>
          <w:iCs w:val="0"/>
          <w:caps w:val="0"/>
          <w:smallCaps w:val="0"/>
          <w:noProof w:val="0"/>
          <w:color w:val="2C3E50"/>
          <w:sz w:val="22"/>
          <w:szCs w:val="22"/>
          <w:lang w:val="en-GB"/>
        </w:rPr>
        <w:t xml:space="preserve">, P., </w:t>
      </w:r>
      <w:r w:rsidRPr="3F3FA5AC" w:rsidR="05836592">
        <w:rPr>
          <w:rFonts w:ascii="Arial" w:hAnsi="Arial" w:eastAsia="Arial" w:cs="Arial"/>
          <w:b w:val="0"/>
          <w:bCs w:val="0"/>
          <w:i w:val="0"/>
          <w:iCs w:val="0"/>
          <w:caps w:val="0"/>
          <w:smallCaps w:val="0"/>
          <w:noProof w:val="0"/>
          <w:color w:val="2C3E50"/>
          <w:sz w:val="22"/>
          <w:szCs w:val="22"/>
          <w:lang w:val="en-GB"/>
        </w:rPr>
        <w:t>Alarja</w:t>
      </w:r>
      <w:r w:rsidRPr="3F3FA5AC" w:rsidR="05836592">
        <w:rPr>
          <w:rFonts w:ascii="Arial" w:hAnsi="Arial" w:eastAsia="Arial" w:cs="Arial"/>
          <w:b w:val="0"/>
          <w:bCs w:val="0"/>
          <w:i w:val="0"/>
          <w:iCs w:val="0"/>
          <w:caps w:val="0"/>
          <w:smallCaps w:val="0"/>
          <w:noProof w:val="0"/>
          <w:color w:val="2C3E50"/>
          <w:sz w:val="22"/>
          <w:szCs w:val="22"/>
          <w:lang w:val="en-GB"/>
        </w:rPr>
        <w:t xml:space="preserve">, G., Farrant, L., Hunter, J., </w:t>
      </w:r>
      <w:r w:rsidRPr="3F3FA5AC" w:rsidR="05836592">
        <w:rPr>
          <w:rFonts w:ascii="Arial" w:hAnsi="Arial" w:eastAsia="Arial" w:cs="Arial"/>
          <w:b w:val="0"/>
          <w:bCs w:val="0"/>
          <w:i w:val="0"/>
          <w:iCs w:val="0"/>
          <w:caps w:val="0"/>
          <w:smallCaps w:val="0"/>
          <w:noProof w:val="0"/>
          <w:color w:val="2C3E50"/>
          <w:sz w:val="22"/>
          <w:szCs w:val="22"/>
          <w:lang w:val="en-GB"/>
        </w:rPr>
        <w:t>Mzimkulu</w:t>
      </w:r>
      <w:r w:rsidRPr="3F3FA5AC" w:rsidR="05836592">
        <w:rPr>
          <w:rFonts w:ascii="Arial" w:hAnsi="Arial" w:eastAsia="Arial" w:cs="Arial"/>
          <w:b w:val="0"/>
          <w:bCs w:val="0"/>
          <w:i w:val="0"/>
          <w:iCs w:val="0"/>
          <w:caps w:val="0"/>
          <w:smallCaps w:val="0"/>
          <w:noProof w:val="0"/>
          <w:color w:val="2C3E50"/>
          <w:sz w:val="22"/>
          <w:szCs w:val="22"/>
          <w:lang w:val="en-GB"/>
        </w:rPr>
        <w:t xml:space="preserve">, O., Gwyther, L., Williams, N., Wannarit, K., </w:t>
      </w:r>
      <w:r w:rsidRPr="3F3FA5AC" w:rsidR="05836592">
        <w:rPr>
          <w:rFonts w:ascii="Arial" w:hAnsi="Arial" w:eastAsia="Arial" w:cs="Arial"/>
          <w:b w:val="0"/>
          <w:bCs w:val="0"/>
          <w:i w:val="0"/>
          <w:iCs w:val="0"/>
          <w:caps w:val="0"/>
          <w:smallCaps w:val="0"/>
          <w:noProof w:val="0"/>
          <w:color w:val="2C3E50"/>
          <w:sz w:val="22"/>
          <w:szCs w:val="22"/>
          <w:lang w:val="en-GB"/>
        </w:rPr>
        <w:t>Abusalem</w:t>
      </w:r>
      <w:r w:rsidRPr="3F3FA5AC" w:rsidR="05836592">
        <w:rPr>
          <w:rFonts w:ascii="Arial" w:hAnsi="Arial" w:eastAsia="Arial" w:cs="Arial"/>
          <w:b w:val="0"/>
          <w:bCs w:val="0"/>
          <w:i w:val="0"/>
          <w:iCs w:val="0"/>
          <w:caps w:val="0"/>
          <w:smallCaps w:val="0"/>
          <w:noProof w:val="0"/>
          <w:color w:val="2C3E50"/>
          <w:sz w:val="22"/>
          <w:szCs w:val="22"/>
          <w:lang w:val="en-GB"/>
        </w:rPr>
        <w:t xml:space="preserve">, L., Alajarmeh, S., Alrjoub, W., </w:t>
      </w:r>
      <w:r w:rsidRPr="3F3FA5AC" w:rsidR="05836592">
        <w:rPr>
          <w:rFonts w:ascii="Arial" w:hAnsi="Arial" w:eastAsia="Arial" w:cs="Arial"/>
          <w:b w:val="0"/>
          <w:bCs w:val="0"/>
          <w:i w:val="0"/>
          <w:iCs w:val="0"/>
          <w:caps w:val="0"/>
          <w:smallCaps w:val="0"/>
          <w:noProof w:val="0"/>
          <w:color w:val="2C3E50"/>
          <w:sz w:val="22"/>
          <w:szCs w:val="22"/>
          <w:lang w:val="en-GB"/>
        </w:rPr>
        <w:t>Thongchot</w:t>
      </w:r>
      <w:r w:rsidRPr="3F3FA5AC" w:rsidR="05836592">
        <w:rPr>
          <w:rFonts w:ascii="Arial" w:hAnsi="Arial" w:eastAsia="Arial" w:cs="Arial"/>
          <w:b w:val="0"/>
          <w:bCs w:val="0"/>
          <w:i w:val="0"/>
          <w:iCs w:val="0"/>
          <w:caps w:val="0"/>
          <w:smallCaps w:val="0"/>
          <w:noProof w:val="0"/>
          <w:color w:val="2C3E50"/>
          <w:sz w:val="22"/>
          <w:szCs w:val="22"/>
          <w:lang w:val="en-GB"/>
        </w:rPr>
        <w:t xml:space="preserve">, L., </w:t>
      </w:r>
      <w:r w:rsidRPr="3F3FA5AC" w:rsidR="05836592">
        <w:rPr>
          <w:rFonts w:ascii="Arial" w:hAnsi="Arial" w:eastAsia="Arial" w:cs="Arial"/>
          <w:b w:val="0"/>
          <w:bCs w:val="0"/>
          <w:i w:val="0"/>
          <w:iCs w:val="0"/>
          <w:caps w:val="0"/>
          <w:smallCaps w:val="0"/>
          <w:noProof w:val="0"/>
          <w:color w:val="2C3E50"/>
          <w:sz w:val="22"/>
          <w:szCs w:val="22"/>
          <w:lang w:val="en-GB"/>
        </w:rPr>
        <w:t>Janwanishstaporn</w:t>
      </w:r>
      <w:r w:rsidRPr="3F3FA5AC" w:rsidR="05836592">
        <w:rPr>
          <w:rFonts w:ascii="Arial" w:hAnsi="Arial" w:eastAsia="Arial" w:cs="Arial"/>
          <w:b w:val="0"/>
          <w:bCs w:val="0"/>
          <w:i w:val="0"/>
          <w:iCs w:val="0"/>
          <w:caps w:val="0"/>
          <w:smallCaps w:val="0"/>
          <w:noProof w:val="0"/>
          <w:color w:val="2C3E50"/>
          <w:sz w:val="22"/>
          <w:szCs w:val="22"/>
          <w:lang w:val="en-GB"/>
        </w:rPr>
        <w:t xml:space="preserve">, S., </w:t>
      </w:r>
      <w:r w:rsidRPr="3F3FA5AC" w:rsidR="05836592">
        <w:rPr>
          <w:rFonts w:ascii="Arial" w:hAnsi="Arial" w:eastAsia="Arial" w:cs="Arial"/>
          <w:b w:val="0"/>
          <w:bCs w:val="0"/>
          <w:i w:val="0"/>
          <w:iCs w:val="0"/>
          <w:caps w:val="0"/>
          <w:smallCaps w:val="0"/>
          <w:noProof w:val="0"/>
          <w:color w:val="2C3E50"/>
          <w:sz w:val="22"/>
          <w:szCs w:val="22"/>
          <w:lang w:val="en-GB"/>
        </w:rPr>
        <w:t>Edilbi</w:t>
      </w:r>
      <w:r w:rsidRPr="3F3FA5AC" w:rsidR="05836592">
        <w:rPr>
          <w:rFonts w:ascii="Arial" w:hAnsi="Arial" w:eastAsia="Arial" w:cs="Arial"/>
          <w:b w:val="0"/>
          <w:bCs w:val="0"/>
          <w:i w:val="0"/>
          <w:iCs w:val="0"/>
          <w:caps w:val="0"/>
          <w:smallCaps w:val="0"/>
          <w:noProof w:val="0"/>
          <w:color w:val="2C3E50"/>
          <w:sz w:val="22"/>
          <w:szCs w:val="22"/>
          <w:lang w:val="en-GB"/>
        </w:rPr>
        <w:t xml:space="preserve">, A., Al-Ani, R., Shamieh, O., Guo, P., Bashan Nkhoma, K. and </w:t>
      </w:r>
      <w:r w:rsidRPr="3F3FA5AC" w:rsidR="05836592">
        <w:rPr>
          <w:rFonts w:ascii="Arial" w:hAnsi="Arial" w:eastAsia="Arial" w:cs="Arial"/>
          <w:b w:val="0"/>
          <w:bCs w:val="0"/>
          <w:i w:val="0"/>
          <w:iCs w:val="0"/>
          <w:caps w:val="0"/>
          <w:smallCaps w:val="0"/>
          <w:noProof w:val="0"/>
          <w:color w:val="2C3E50"/>
          <w:sz w:val="22"/>
          <w:szCs w:val="22"/>
          <w:lang w:val="en-GB"/>
        </w:rPr>
        <w:t>Venkatapuram</w:t>
      </w:r>
      <w:r w:rsidRPr="3F3FA5AC" w:rsidR="05836592">
        <w:rPr>
          <w:rFonts w:ascii="Arial" w:hAnsi="Arial" w:eastAsia="Arial" w:cs="Arial"/>
          <w:b w:val="0"/>
          <w:bCs w:val="0"/>
          <w:i w:val="0"/>
          <w:iCs w:val="0"/>
          <w:caps w:val="0"/>
          <w:smallCaps w:val="0"/>
          <w:noProof w:val="0"/>
          <w:color w:val="2C3E50"/>
          <w:sz w:val="22"/>
          <w:szCs w:val="22"/>
          <w:lang w:val="en-GB"/>
        </w:rPr>
        <w:t xml:space="preserve">, S. (2022) </w:t>
      </w:r>
      <w:r w:rsidRPr="3F3FA5AC" w:rsidR="4C2904F2">
        <w:rPr>
          <w:rFonts w:ascii="Arial" w:hAnsi="Arial" w:eastAsia="Arial" w:cs="Arial"/>
          <w:b w:val="0"/>
          <w:bCs w:val="0"/>
          <w:i w:val="0"/>
          <w:iCs w:val="0"/>
          <w:caps w:val="0"/>
          <w:smallCaps w:val="0"/>
          <w:noProof w:val="0"/>
          <w:color w:val="2C3E50"/>
          <w:sz w:val="22"/>
          <w:szCs w:val="22"/>
          <w:lang w:val="en-GB"/>
        </w:rPr>
        <w:t>‘</w:t>
      </w:r>
      <w:r w:rsidRPr="3F3FA5AC" w:rsidR="05836592">
        <w:rPr>
          <w:rFonts w:ascii="Arial" w:hAnsi="Arial" w:eastAsia="Arial" w:cs="Arial"/>
          <w:b w:val="0"/>
          <w:bCs w:val="0"/>
          <w:i w:val="0"/>
          <w:iCs w:val="0"/>
          <w:caps w:val="0"/>
          <w:smallCaps w:val="0"/>
          <w:noProof w:val="0"/>
          <w:color w:val="2C3E50"/>
          <w:sz w:val="22"/>
          <w:szCs w:val="22"/>
          <w:lang w:val="en-GB"/>
        </w:rPr>
        <w:t xml:space="preserve">Developing a global practice-based framework of person-centred care from primary data: a cross-national qualitative study with patients, </w:t>
      </w:r>
      <w:r w:rsidRPr="3F3FA5AC" w:rsidR="05836592">
        <w:rPr>
          <w:rFonts w:ascii="Arial" w:hAnsi="Arial" w:eastAsia="Arial" w:cs="Arial"/>
          <w:b w:val="0"/>
          <w:bCs w:val="0"/>
          <w:i w:val="0"/>
          <w:iCs w:val="0"/>
          <w:caps w:val="0"/>
          <w:smallCaps w:val="0"/>
          <w:noProof w:val="0"/>
          <w:color w:val="2C3E50"/>
          <w:sz w:val="22"/>
          <w:szCs w:val="22"/>
          <w:lang w:val="en-GB"/>
        </w:rPr>
        <w:t>caregivers and healthcare professionals.</w:t>
      </w:r>
      <w:r w:rsidRPr="3F3FA5AC" w:rsidR="092B5110">
        <w:rPr>
          <w:rFonts w:ascii="Arial" w:hAnsi="Arial" w:eastAsia="Arial" w:cs="Arial"/>
          <w:b w:val="0"/>
          <w:bCs w:val="0"/>
          <w:i w:val="0"/>
          <w:iCs w:val="0"/>
          <w:caps w:val="0"/>
          <w:smallCaps w:val="0"/>
          <w:noProof w:val="0"/>
          <w:color w:val="2C3E50"/>
          <w:sz w:val="22"/>
          <w:szCs w:val="22"/>
          <w:lang w:val="en-GB"/>
        </w:rPr>
        <w:t xml:space="preserve">’ </w:t>
      </w:r>
      <w:r w:rsidRPr="3F3FA5AC" w:rsidR="05836592">
        <w:rPr>
          <w:rFonts w:ascii="Arial" w:hAnsi="Arial" w:eastAsia="Arial" w:cs="Arial"/>
          <w:b w:val="0"/>
          <w:bCs w:val="0"/>
          <w:i w:val="1"/>
          <w:iCs w:val="1"/>
          <w:caps w:val="0"/>
          <w:smallCaps w:val="0"/>
          <w:noProof w:val="0"/>
          <w:color w:val="2C3E50"/>
          <w:sz w:val="22"/>
          <w:szCs w:val="22"/>
          <w:lang w:val="en-GB"/>
        </w:rPr>
        <w:t>BMJ Global Health</w:t>
      </w:r>
      <w:r w:rsidRPr="3F3FA5AC" w:rsidR="05836592">
        <w:rPr>
          <w:rFonts w:ascii="Arial" w:hAnsi="Arial" w:eastAsia="Arial" w:cs="Arial"/>
          <w:b w:val="0"/>
          <w:bCs w:val="0"/>
          <w:i w:val="0"/>
          <w:iCs w:val="0"/>
          <w:caps w:val="0"/>
          <w:smallCaps w:val="0"/>
          <w:noProof w:val="0"/>
          <w:color w:val="2C3E50"/>
          <w:sz w:val="22"/>
          <w:szCs w:val="22"/>
          <w:lang w:val="en-GB"/>
        </w:rPr>
        <w:t xml:space="preserve">, [online] 7(7), p.e008843. </w:t>
      </w:r>
      <w:r w:rsidRPr="3F3FA5AC" w:rsidR="05836592">
        <w:rPr>
          <w:rFonts w:ascii="Arial" w:hAnsi="Arial" w:eastAsia="Arial" w:cs="Arial"/>
          <w:b w:val="0"/>
          <w:bCs w:val="0"/>
          <w:i w:val="0"/>
          <w:iCs w:val="0"/>
          <w:caps w:val="0"/>
          <w:smallCaps w:val="0"/>
          <w:noProof w:val="0"/>
          <w:color w:val="2C3E50"/>
          <w:sz w:val="22"/>
          <w:szCs w:val="22"/>
          <w:lang w:val="en-GB"/>
        </w:rPr>
        <w:t>doi:https</w:t>
      </w:r>
      <w:r w:rsidRPr="3F3FA5AC" w:rsidR="05836592">
        <w:rPr>
          <w:rFonts w:ascii="Arial" w:hAnsi="Arial" w:eastAsia="Arial" w:cs="Arial"/>
          <w:b w:val="0"/>
          <w:bCs w:val="0"/>
          <w:i w:val="0"/>
          <w:iCs w:val="0"/>
          <w:caps w:val="0"/>
          <w:smallCaps w:val="0"/>
          <w:noProof w:val="0"/>
          <w:color w:val="2C3E50"/>
          <w:sz w:val="22"/>
          <w:szCs w:val="22"/>
          <w:lang w:val="en-GB"/>
        </w:rPr>
        <w:t>://doi.org/10.1136/bmjgh-2022-008843.</w:t>
      </w:r>
    </w:p>
    <w:p w:rsidRPr="00524FD5" w:rsidR="00011C2F" w:rsidP="00524FD5" w:rsidRDefault="00011C2F" w14:paraId="2EAFF082" w14:textId="7E16B3C0">
      <w:pPr>
        <w:spacing w:line="360" w:lineRule="auto"/>
        <w:jc w:val="both"/>
        <w:rPr>
          <w:rFonts w:ascii="Arial" w:hAnsi="Arial" w:cs="Arial"/>
        </w:rPr>
      </w:pPr>
      <w:r w:rsidRPr="00524FD5">
        <w:rPr>
          <w:rFonts w:ascii="Arial" w:hAnsi="Arial" w:cs="Arial"/>
        </w:rPr>
        <w:t xml:space="preserve">Government UK (2025) </w:t>
      </w:r>
      <w:r w:rsidRPr="00524FD5">
        <w:rPr>
          <w:rFonts w:ascii="Arial" w:hAnsi="Arial" w:cs="Arial"/>
          <w:i/>
          <w:iCs/>
        </w:rPr>
        <w:t>Health and Care Worker Visa</w:t>
      </w:r>
      <w:r w:rsidRPr="00524FD5">
        <w:rPr>
          <w:rFonts w:ascii="Arial" w:hAnsi="Arial" w:cs="Arial"/>
        </w:rPr>
        <w:t xml:space="preserve">. Available at: </w:t>
      </w:r>
      <w:hyperlink w:history="1" r:id="rId17">
        <w:r w:rsidRPr="00524FD5">
          <w:rPr>
            <w:rStyle w:val="Hyperlink"/>
            <w:rFonts w:ascii="Arial" w:hAnsi="Arial" w:cs="Arial"/>
          </w:rPr>
          <w:t>https://www.gov.uk/health-care-worker-visa</w:t>
        </w:r>
      </w:hyperlink>
      <w:r w:rsidRPr="00524FD5">
        <w:rPr>
          <w:rFonts w:ascii="Arial" w:hAnsi="Arial" w:cs="Arial"/>
        </w:rPr>
        <w:t>. (Accessed: 8 December 2025).</w:t>
      </w:r>
    </w:p>
    <w:p w:rsidRPr="00524FD5" w:rsidR="00553247" w:rsidP="00524FD5" w:rsidRDefault="00553247" w14:paraId="02DB5F8B" w14:textId="269C06FF">
      <w:pPr>
        <w:spacing w:line="360" w:lineRule="auto"/>
        <w:jc w:val="both"/>
        <w:rPr>
          <w:rFonts w:ascii="Arial" w:hAnsi="Arial" w:cs="Arial"/>
        </w:rPr>
      </w:pPr>
      <w:r w:rsidRPr="3F3FA5AC" w:rsidR="00553247">
        <w:rPr>
          <w:rFonts w:ascii="Arial" w:hAnsi="Arial" w:cs="Arial"/>
        </w:rPr>
        <w:t>Ho</w:t>
      </w:r>
      <w:r w:rsidRPr="3F3FA5AC" w:rsidR="00F52228">
        <w:rPr>
          <w:rFonts w:ascii="Arial" w:hAnsi="Arial" w:cs="Arial"/>
        </w:rPr>
        <w:t xml:space="preserve">chschild, A. R. (2012) </w:t>
      </w:r>
      <w:r w:rsidRPr="3F3FA5AC" w:rsidR="00F52228">
        <w:rPr>
          <w:rFonts w:ascii="Arial" w:hAnsi="Arial" w:cs="Arial"/>
          <w:i w:val="1"/>
          <w:iCs w:val="1"/>
        </w:rPr>
        <w:t>The Managed Heart: Commercialization of Human Feeling</w:t>
      </w:r>
      <w:r w:rsidRPr="3F3FA5AC" w:rsidR="005D1078">
        <w:rPr>
          <w:rFonts w:ascii="Arial" w:hAnsi="Arial" w:cs="Arial"/>
          <w:i w:val="1"/>
          <w:iCs w:val="1"/>
        </w:rPr>
        <w:t xml:space="preserve">. </w:t>
      </w:r>
      <w:r w:rsidRPr="3F3FA5AC" w:rsidR="005D1078">
        <w:rPr>
          <w:rFonts w:ascii="Arial" w:hAnsi="Arial" w:cs="Arial"/>
        </w:rPr>
        <w:t>The University of California Press</w:t>
      </w:r>
      <w:r w:rsidRPr="3F3FA5AC" w:rsidR="005D1078">
        <w:rPr>
          <w:rFonts w:ascii="Arial" w:hAnsi="Arial" w:cs="Arial"/>
        </w:rPr>
        <w:t>. California, USA.</w:t>
      </w:r>
    </w:p>
    <w:p w:rsidR="7748842E" w:rsidP="3F3FA5AC" w:rsidRDefault="7748842E" w14:paraId="55E69FD2" w14:textId="7383F247">
      <w:pPr>
        <w:pStyle w:val="Normal"/>
        <w:spacing w:line="360" w:lineRule="auto"/>
        <w:jc w:val="both"/>
        <w:rPr>
          <w:rFonts w:ascii="Arial" w:hAnsi="Arial" w:eastAsia="Arial" w:cs="Arial"/>
          <w:noProof w:val="0"/>
          <w:sz w:val="22"/>
          <w:szCs w:val="22"/>
          <w:lang w:val="en-GB"/>
        </w:rPr>
      </w:pPr>
      <w:r w:rsidRPr="3F3FA5AC" w:rsidR="7748842E">
        <w:rPr>
          <w:rFonts w:ascii="Arial" w:hAnsi="Arial" w:eastAsia="Arial" w:cs="Arial"/>
          <w:b w:val="0"/>
          <w:bCs w:val="0"/>
          <w:i w:val="0"/>
          <w:iCs w:val="0"/>
          <w:caps w:val="0"/>
          <w:smallCaps w:val="0"/>
          <w:noProof w:val="0"/>
          <w:color w:val="0F1115"/>
          <w:sz w:val="22"/>
          <w:szCs w:val="22"/>
          <w:lang w:val="en-GB"/>
        </w:rPr>
        <w:t xml:space="preserve">Hochschild, A. R. (2000). </w:t>
      </w:r>
      <w:r w:rsidRPr="3F3FA5AC" w:rsidR="7748842E">
        <w:rPr>
          <w:rFonts w:ascii="Arial" w:hAnsi="Arial" w:eastAsia="Arial" w:cs="Arial"/>
          <w:b w:val="0"/>
          <w:bCs w:val="0"/>
          <w:i w:val="1"/>
          <w:iCs w:val="1"/>
          <w:caps w:val="0"/>
          <w:smallCaps w:val="0"/>
          <w:noProof w:val="0"/>
          <w:color w:val="0F1115"/>
          <w:sz w:val="22"/>
          <w:szCs w:val="22"/>
          <w:lang w:val="en-GB"/>
        </w:rPr>
        <w:t>Global care chains and emotional surplus value</w:t>
      </w:r>
      <w:r w:rsidRPr="3F3FA5AC" w:rsidR="7748842E">
        <w:rPr>
          <w:rFonts w:ascii="Arial" w:hAnsi="Arial" w:eastAsia="Arial" w:cs="Arial"/>
          <w:b w:val="0"/>
          <w:bCs w:val="0"/>
          <w:i w:val="0"/>
          <w:iCs w:val="0"/>
          <w:caps w:val="0"/>
          <w:smallCaps w:val="0"/>
          <w:noProof w:val="0"/>
          <w:color w:val="0F1115"/>
          <w:sz w:val="22"/>
          <w:szCs w:val="22"/>
          <w:lang w:val="en-GB"/>
        </w:rPr>
        <w:t xml:space="preserve">. In W. Hutton &amp; A. Giddens (Eds.), </w:t>
      </w:r>
      <w:r w:rsidRPr="3F3FA5AC" w:rsidR="7748842E">
        <w:rPr>
          <w:rFonts w:ascii="Arial" w:hAnsi="Arial" w:eastAsia="Arial" w:cs="Arial"/>
          <w:b w:val="0"/>
          <w:bCs w:val="0"/>
          <w:i w:val="1"/>
          <w:iCs w:val="1"/>
          <w:caps w:val="0"/>
          <w:smallCaps w:val="0"/>
          <w:noProof w:val="0"/>
          <w:color w:val="0F1115"/>
          <w:sz w:val="22"/>
          <w:szCs w:val="22"/>
          <w:lang w:val="en-GB"/>
        </w:rPr>
        <w:t>On the edge: Living with global capitalism</w:t>
      </w:r>
      <w:r w:rsidRPr="3F3FA5AC" w:rsidR="7748842E">
        <w:rPr>
          <w:rFonts w:ascii="Arial" w:hAnsi="Arial" w:eastAsia="Arial" w:cs="Arial"/>
          <w:b w:val="0"/>
          <w:bCs w:val="0"/>
          <w:i w:val="0"/>
          <w:iCs w:val="0"/>
          <w:caps w:val="0"/>
          <w:smallCaps w:val="0"/>
          <w:noProof w:val="0"/>
          <w:color w:val="0F1115"/>
          <w:sz w:val="22"/>
          <w:szCs w:val="22"/>
          <w:lang w:val="en-GB"/>
        </w:rPr>
        <w:t xml:space="preserve"> (pp. 130-146). London: Jonathan Cape.</w:t>
      </w:r>
    </w:p>
    <w:p w:rsidRPr="00524FD5" w:rsidR="00670059" w:rsidP="00524FD5" w:rsidRDefault="00246602" w14:paraId="5C2DA63A" w14:textId="217D377D">
      <w:pPr>
        <w:spacing w:line="360" w:lineRule="auto"/>
        <w:jc w:val="both"/>
        <w:rPr>
          <w:rFonts w:ascii="Arial" w:hAnsi="Arial" w:cs="Arial"/>
        </w:rPr>
      </w:pPr>
      <w:r w:rsidRPr="3F3FA5AC" w:rsidR="00246602">
        <w:rPr>
          <w:rFonts w:ascii="Arial" w:hAnsi="Arial" w:cs="Arial"/>
        </w:rPr>
        <w:t>Hussein, S., Manthorpe, J.</w:t>
      </w:r>
      <w:r w:rsidRPr="3F3FA5AC" w:rsidR="68E1EB07">
        <w:rPr>
          <w:rFonts w:ascii="Arial" w:hAnsi="Arial" w:cs="Arial"/>
        </w:rPr>
        <w:t>,</w:t>
      </w:r>
      <w:r w:rsidRPr="3F3FA5AC" w:rsidR="00246602">
        <w:rPr>
          <w:rFonts w:ascii="Arial" w:hAnsi="Arial" w:cs="Arial"/>
        </w:rPr>
        <w:t xml:space="preserve"> and Stevens, M. (2011) 'The experiences of migrant social care and social work professionals in the UK: findings from an online survey', </w:t>
      </w:r>
      <w:r w:rsidRPr="3F3FA5AC" w:rsidR="00246602">
        <w:rPr>
          <w:rFonts w:ascii="Arial" w:hAnsi="Arial" w:cs="Arial"/>
          <w:i w:val="1"/>
          <w:iCs w:val="1"/>
        </w:rPr>
        <w:t>British Journal of Social Work</w:t>
      </w:r>
      <w:r w:rsidRPr="3F3FA5AC" w:rsidR="00246602">
        <w:rPr>
          <w:rFonts w:ascii="Arial" w:hAnsi="Arial" w:cs="Arial"/>
        </w:rPr>
        <w:t>, 41(8), pp. 1480-1497. Available at: </w:t>
      </w:r>
      <w:hyperlink r:id="Rc5388e586f5c41ba">
        <w:r w:rsidRPr="3F3FA5AC" w:rsidR="00246602">
          <w:rPr>
            <w:rStyle w:val="Hyperlink"/>
            <w:rFonts w:ascii="Arial" w:hAnsi="Arial" w:cs="Arial"/>
          </w:rPr>
          <w:t>https://doi.org/10.1093/bjsw/bcr042</w:t>
        </w:r>
        <w:r w:rsidRPr="3F3FA5AC" w:rsidR="24463ECD">
          <w:rPr>
            <w:rStyle w:val="Hyperlink"/>
            <w:rFonts w:ascii="Arial" w:hAnsi="Arial" w:cs="Arial"/>
          </w:rPr>
          <w:t>.</w:t>
        </w:r>
      </w:hyperlink>
      <w:r w:rsidRPr="3F3FA5AC" w:rsidR="00246602">
        <w:rPr>
          <w:rFonts w:ascii="Arial" w:hAnsi="Arial" w:cs="Arial"/>
        </w:rPr>
        <w:t xml:space="preserve"> (Accessed: </w:t>
      </w:r>
      <w:r w:rsidRPr="3F3FA5AC" w:rsidR="00246602">
        <w:rPr>
          <w:rFonts w:ascii="Arial" w:hAnsi="Arial" w:cs="Arial"/>
        </w:rPr>
        <w:t>6 December 2025</w:t>
      </w:r>
      <w:r w:rsidRPr="3F3FA5AC" w:rsidR="00246602">
        <w:rPr>
          <w:rFonts w:ascii="Arial" w:hAnsi="Arial" w:cs="Arial"/>
        </w:rPr>
        <w:t>).</w:t>
      </w:r>
    </w:p>
    <w:p w:rsidRPr="00524FD5" w:rsidR="008905D0" w:rsidP="00524FD5" w:rsidRDefault="008905D0" w14:paraId="73EDB3E3" w14:textId="36AA54E3">
      <w:pPr>
        <w:spacing w:line="360" w:lineRule="auto"/>
        <w:jc w:val="both"/>
        <w:rPr>
          <w:rFonts w:ascii="Arial" w:hAnsi="Arial" w:cs="Arial"/>
        </w:rPr>
      </w:pPr>
      <w:r w:rsidRPr="00524FD5">
        <w:rPr>
          <w:rFonts w:ascii="Arial" w:hAnsi="Arial" w:cs="Arial"/>
        </w:rPr>
        <w:t>Internation Labour Organisation (2024)</w:t>
      </w:r>
      <w:r w:rsidRPr="00524FD5">
        <w:rPr>
          <w:rFonts w:ascii="Arial" w:hAnsi="Arial" w:cs="Arial"/>
        </w:rPr>
        <w:t xml:space="preserve"> </w:t>
      </w:r>
      <w:r w:rsidRPr="00524FD5">
        <w:rPr>
          <w:rFonts w:ascii="Arial" w:hAnsi="Arial" w:cs="Arial"/>
        </w:rPr>
        <w:t>Migrant workers in the care economy</w:t>
      </w:r>
      <w:r w:rsidRPr="00524FD5">
        <w:rPr>
          <w:rFonts w:ascii="Arial" w:hAnsi="Arial" w:cs="Arial"/>
        </w:rPr>
        <w:t xml:space="preserve">. Available at: </w:t>
      </w:r>
      <w:hyperlink w:history="1" r:id="rId19">
        <w:r w:rsidRPr="00524FD5">
          <w:rPr>
            <w:rStyle w:val="Hyperlink"/>
            <w:rFonts w:ascii="Arial" w:hAnsi="Arial" w:cs="Arial"/>
          </w:rPr>
          <w:t>Migrant Workers in the Care Economy_Note_2024_Final.pdf</w:t>
        </w:r>
      </w:hyperlink>
      <w:r w:rsidRPr="00524FD5">
        <w:rPr>
          <w:rFonts w:ascii="Arial" w:hAnsi="Arial" w:cs="Arial"/>
        </w:rPr>
        <w:t>. (Accessed: 7 December 2025).</w:t>
      </w:r>
    </w:p>
    <w:p w:rsidRPr="00524FD5" w:rsidR="00246602" w:rsidP="00524FD5" w:rsidRDefault="0010411D" w14:paraId="1114F09B" w14:textId="0D0BAE3D">
      <w:pPr>
        <w:spacing w:line="360" w:lineRule="auto"/>
        <w:jc w:val="both"/>
        <w:rPr>
          <w:rFonts w:ascii="Arial" w:hAnsi="Arial" w:cs="Arial"/>
        </w:rPr>
      </w:pPr>
      <w:r w:rsidRPr="3F3FA5AC" w:rsidR="0010411D">
        <w:rPr>
          <w:rFonts w:ascii="Arial" w:hAnsi="Arial" w:cs="Arial"/>
        </w:rPr>
        <w:t>Kofman, E. (2012) 'Rethinking care through social reproduction: Articulating circuits of migration', </w:t>
      </w:r>
      <w:r w:rsidRPr="3F3FA5AC" w:rsidR="0010411D">
        <w:rPr>
          <w:rFonts w:ascii="Arial" w:hAnsi="Arial" w:cs="Arial"/>
          <w:i w:val="1"/>
          <w:iCs w:val="1"/>
        </w:rPr>
        <w:t>Social Politics</w:t>
      </w:r>
      <w:r w:rsidRPr="3F3FA5AC" w:rsidR="0010411D">
        <w:rPr>
          <w:rFonts w:ascii="Arial" w:hAnsi="Arial" w:cs="Arial"/>
        </w:rPr>
        <w:t>, 19(1), pp. 142–162.</w:t>
      </w:r>
    </w:p>
    <w:p w:rsidR="21568858" w:rsidP="3F3FA5AC" w:rsidRDefault="21568858" w14:paraId="453AF2D9" w14:textId="16E3CA08">
      <w:pPr>
        <w:spacing w:line="360" w:lineRule="auto"/>
        <w:jc w:val="both"/>
        <w:rPr>
          <w:rFonts w:ascii="Arial" w:hAnsi="Arial" w:cs="Arial"/>
        </w:rPr>
      </w:pPr>
      <w:r w:rsidRPr="3F3FA5AC" w:rsidR="21568858">
        <w:rPr>
          <w:rFonts w:ascii="Arial" w:hAnsi="Arial" w:cs="Arial"/>
        </w:rPr>
        <w:t xml:space="preserve">McCormack, B. and McCance, T. (2017) </w:t>
      </w:r>
      <w:r w:rsidRPr="3F3FA5AC" w:rsidR="21568858">
        <w:rPr>
          <w:rFonts w:ascii="Arial" w:hAnsi="Arial" w:cs="Arial"/>
          <w:i w:val="1"/>
          <w:iCs w:val="1"/>
        </w:rPr>
        <w:t>Person-centred practice in nursing and health care: Theory and practice.</w:t>
      </w:r>
      <w:r w:rsidRPr="3F3FA5AC" w:rsidR="21568858">
        <w:rPr>
          <w:rFonts w:ascii="Arial" w:hAnsi="Arial" w:cs="Arial"/>
        </w:rPr>
        <w:t xml:space="preserve"> 2nd ed. Wiley Blackwell.</w:t>
      </w:r>
    </w:p>
    <w:p w:rsidRPr="00524FD5" w:rsidR="00397490" w:rsidP="3F3FA5AC" w:rsidRDefault="0010411D" w14:paraId="4FD93528" w14:textId="2C55E4A6">
      <w:pPr>
        <w:spacing w:line="360" w:lineRule="auto"/>
        <w:jc w:val="both"/>
        <w:rPr>
          <w:rFonts w:ascii="Arial" w:hAnsi="Arial" w:cs="Arial"/>
        </w:rPr>
      </w:pPr>
      <w:r w:rsidRPr="3F3FA5AC" w:rsidR="004B2596">
        <w:rPr>
          <w:rFonts w:ascii="Arial" w:hAnsi="Arial" w:cs="Arial"/>
        </w:rPr>
        <w:t xml:space="preserve">Minh T. N. Nguyen, Roberta </w:t>
      </w:r>
      <w:r w:rsidRPr="3F3FA5AC" w:rsidR="004B2596">
        <w:rPr>
          <w:rFonts w:ascii="Arial" w:hAnsi="Arial" w:cs="Arial"/>
        </w:rPr>
        <w:t>Zavoretti</w:t>
      </w:r>
      <w:r w:rsidRPr="3F3FA5AC" w:rsidR="004B2596">
        <w:rPr>
          <w:rFonts w:ascii="Arial" w:hAnsi="Arial" w:cs="Arial"/>
        </w:rPr>
        <w:t xml:space="preserve"> &amp; Joan </w:t>
      </w:r>
      <w:r w:rsidRPr="3F3FA5AC" w:rsidR="004B2596">
        <w:rPr>
          <w:rFonts w:ascii="Arial" w:hAnsi="Arial" w:cs="Arial"/>
        </w:rPr>
        <w:t>Tronto</w:t>
      </w:r>
      <w:r w:rsidRPr="3F3FA5AC" w:rsidR="004B2596">
        <w:rPr>
          <w:rFonts w:ascii="Arial" w:hAnsi="Arial" w:cs="Arial"/>
        </w:rPr>
        <w:t xml:space="preserve"> (2017) Beyond the Global Care Chain: </w:t>
      </w:r>
      <w:r w:rsidRPr="3F3FA5AC" w:rsidR="00246602">
        <w:rPr>
          <w:rFonts w:ascii="Arial" w:hAnsi="Arial" w:cs="Arial"/>
        </w:rPr>
        <w:t>B</w:t>
      </w:r>
      <w:r w:rsidRPr="3F3FA5AC" w:rsidR="00967D84">
        <w:rPr>
          <w:rFonts w:ascii="Arial" w:hAnsi="Arial" w:cs="Arial"/>
        </w:rPr>
        <w:t>oundaries, Institutions and Ethics of Care, Ethics and Social Welfare, 11:3, 199-212,</w:t>
      </w:r>
      <w:proofErr w:type="spellStart"/>
      <w:proofErr w:type="spellEnd"/>
    </w:p>
    <w:p w:rsidRPr="00524FD5" w:rsidR="00397490" w:rsidP="00524FD5" w:rsidRDefault="0010411D" w14:paraId="3E32AD73" w14:textId="7C71D338">
      <w:pPr>
        <w:spacing w:line="360" w:lineRule="auto"/>
        <w:jc w:val="both"/>
        <w:rPr>
          <w:rFonts w:ascii="Arial" w:hAnsi="Arial" w:cs="Arial"/>
        </w:rPr>
      </w:pPr>
      <w:r>
        <w:br/>
      </w:r>
      <w:r w:rsidRPr="3F3FA5AC" w:rsidR="0010411D">
        <w:rPr>
          <w:rFonts w:ascii="Arial" w:hAnsi="Arial" w:cs="Arial"/>
        </w:rPr>
        <w:t>Muehlebach</w:t>
      </w:r>
      <w:r w:rsidRPr="3F3FA5AC" w:rsidR="0010411D">
        <w:rPr>
          <w:rFonts w:ascii="Arial" w:hAnsi="Arial" w:cs="Arial"/>
        </w:rPr>
        <w:t>, A. (2012) </w:t>
      </w:r>
      <w:r w:rsidRPr="3F3FA5AC" w:rsidR="0010411D">
        <w:rPr>
          <w:rFonts w:ascii="Arial" w:hAnsi="Arial" w:cs="Arial"/>
          <w:i w:val="1"/>
          <w:iCs w:val="1"/>
        </w:rPr>
        <w:t>The moral neoliberal: Welfare and citizenship in Italy</w:t>
      </w:r>
      <w:r w:rsidRPr="3F3FA5AC" w:rsidR="0010411D">
        <w:rPr>
          <w:rFonts w:ascii="Arial" w:hAnsi="Arial" w:cs="Arial"/>
        </w:rPr>
        <w:t>. University of Chicago Press.</w:t>
      </w:r>
    </w:p>
    <w:p w:rsidRPr="00524FD5" w:rsidR="0017133D" w:rsidP="00524FD5" w:rsidRDefault="0017133D" w14:paraId="0F326642" w14:textId="09987AAD">
      <w:pPr>
        <w:spacing w:line="360" w:lineRule="auto"/>
        <w:jc w:val="both"/>
        <w:rPr>
          <w:rFonts w:ascii="Arial" w:hAnsi="Arial" w:cs="Arial"/>
        </w:rPr>
      </w:pPr>
      <w:r w:rsidRPr="3F3FA5AC" w:rsidR="0017133D">
        <w:rPr>
          <w:rFonts w:ascii="Arial" w:hAnsi="Arial" w:cs="Arial"/>
        </w:rPr>
        <w:t>Ornek</w:t>
      </w:r>
      <w:r w:rsidRPr="3F3FA5AC" w:rsidR="0017133D">
        <w:rPr>
          <w:rFonts w:ascii="Arial" w:hAnsi="Arial" w:cs="Arial"/>
        </w:rPr>
        <w:t xml:space="preserve">, O. K., Waibel J., </w:t>
      </w:r>
      <w:r w:rsidRPr="3F3FA5AC" w:rsidR="0017133D">
        <w:rPr>
          <w:rFonts w:ascii="Arial" w:hAnsi="Arial" w:cs="Arial"/>
        </w:rPr>
        <w:t>Will,I</w:t>
      </w:r>
      <w:r w:rsidRPr="3F3FA5AC" w:rsidR="0017133D">
        <w:rPr>
          <w:rFonts w:ascii="Arial" w:hAnsi="Arial" w:cs="Arial"/>
        </w:rPr>
        <w:t xml:space="preserve"> </w:t>
      </w:r>
      <w:r w:rsidRPr="3F3FA5AC" w:rsidR="0017133D">
        <w:rPr>
          <w:rFonts w:ascii="Arial" w:hAnsi="Arial" w:cs="Arial"/>
        </w:rPr>
        <w:t>ngerP</w:t>
      </w:r>
      <w:r w:rsidRPr="3F3FA5AC" w:rsidR="0017133D">
        <w:rPr>
          <w:rFonts w:ascii="Arial" w:hAnsi="Arial" w:cs="Arial"/>
        </w:rPr>
        <w:t xml:space="preserve">., Weinmann, T. (2022) </w:t>
      </w:r>
      <w:r w:rsidRPr="3F3FA5AC" w:rsidR="42CC3D31">
        <w:rPr>
          <w:rFonts w:ascii="Arial" w:hAnsi="Arial" w:cs="Arial"/>
        </w:rPr>
        <w:t>‘</w:t>
      </w:r>
      <w:r w:rsidRPr="3F3FA5AC" w:rsidR="0017133D">
        <w:rPr>
          <w:rFonts w:ascii="Arial" w:hAnsi="Arial" w:cs="Arial"/>
        </w:rPr>
        <w:t>Precarious employment and migrant workers’ mental health: a systematic review of quantitative and qualitative studies</w:t>
      </w:r>
      <w:r w:rsidRPr="3F3FA5AC" w:rsidR="0017133D">
        <w:rPr>
          <w:rFonts w:ascii="Arial" w:hAnsi="Arial" w:cs="Arial"/>
        </w:rPr>
        <w:t xml:space="preserve">. </w:t>
      </w:r>
      <w:r w:rsidRPr="3F3FA5AC" w:rsidR="0017133D">
        <w:rPr>
          <w:rFonts w:ascii="Arial" w:hAnsi="Arial" w:cs="Arial"/>
        </w:rPr>
        <w:t>Scand J Work Environ Health.</w:t>
      </w:r>
      <w:r w:rsidRPr="3F3FA5AC" w:rsidR="06A63F5C">
        <w:rPr>
          <w:rFonts w:ascii="Arial" w:hAnsi="Arial" w:cs="Arial"/>
        </w:rPr>
        <w:t>’</w:t>
      </w:r>
      <w:r w:rsidRPr="3F3FA5AC" w:rsidR="0017133D">
        <w:rPr>
          <w:rFonts w:ascii="Arial" w:hAnsi="Arial" w:cs="Arial"/>
        </w:rPr>
        <w:t xml:space="preserve"> 48(5):327–350. doi:10.5271/sjweh.4019</w:t>
      </w:r>
      <w:r w:rsidRPr="3F3FA5AC" w:rsidR="0017133D">
        <w:rPr>
          <w:rFonts w:ascii="Arial" w:hAnsi="Arial" w:cs="Arial"/>
        </w:rPr>
        <w:t xml:space="preserve">. </w:t>
      </w:r>
    </w:p>
    <w:p w:rsidRPr="00524FD5" w:rsidR="000C763E" w:rsidP="00524FD5" w:rsidRDefault="000C763E" w14:paraId="710D173D" w14:textId="035BB763">
      <w:pPr>
        <w:spacing w:line="360" w:lineRule="auto"/>
        <w:jc w:val="both"/>
        <w:rPr>
          <w:rFonts w:ascii="Arial" w:hAnsi="Arial" w:cs="Arial"/>
        </w:rPr>
      </w:pPr>
      <w:r w:rsidRPr="3F3FA5AC" w:rsidR="000C763E">
        <w:rPr>
          <w:rFonts w:ascii="Arial" w:hAnsi="Arial" w:cs="Arial"/>
        </w:rPr>
        <w:t>Orozco, A. P. (2010) </w:t>
      </w:r>
      <w:r w:rsidRPr="3F3FA5AC" w:rsidR="000C763E">
        <w:rPr>
          <w:rFonts w:ascii="Arial" w:hAnsi="Arial" w:cs="Arial"/>
          <w:i w:val="1"/>
          <w:iCs w:val="1"/>
        </w:rPr>
        <w:t>Global Care Chains: Towards a rights-based global care regime?</w:t>
      </w:r>
      <w:r w:rsidRPr="3F3FA5AC" w:rsidR="000C763E">
        <w:rPr>
          <w:rFonts w:ascii="Arial" w:hAnsi="Arial" w:cs="Arial"/>
        </w:rPr>
        <w:t> Santo Domingo: INSTRAW.</w:t>
      </w:r>
    </w:p>
    <w:p w:rsidR="015CB390" w:rsidP="3F3FA5AC" w:rsidRDefault="015CB390" w14:paraId="3CBF766E" w14:textId="306F1324">
      <w:pPr>
        <w:pStyle w:val="Normal"/>
        <w:spacing w:line="360" w:lineRule="auto"/>
        <w:jc w:val="both"/>
        <w:rPr>
          <w:rFonts w:ascii="Arial" w:hAnsi="Arial" w:eastAsia="Arial" w:cs="Arial"/>
          <w:b w:val="0"/>
          <w:bCs w:val="0"/>
          <w:i w:val="0"/>
          <w:iCs w:val="0"/>
          <w:caps w:val="0"/>
          <w:smallCaps w:val="0"/>
          <w:noProof w:val="0"/>
          <w:color w:val="0F1115"/>
          <w:sz w:val="24"/>
          <w:szCs w:val="24"/>
          <w:lang w:val="en-GB"/>
        </w:rPr>
      </w:pPr>
      <w:r w:rsidRPr="3F3FA5AC" w:rsidR="015CB390">
        <w:rPr>
          <w:rFonts w:ascii="Arial" w:hAnsi="Arial" w:eastAsia="Arial" w:cs="Arial"/>
          <w:noProof w:val="0"/>
          <w:lang w:val="en-GB"/>
        </w:rPr>
        <w:t xml:space="preserve">Parreñas, R.S., </w:t>
      </w:r>
      <w:r w:rsidRPr="3F3FA5AC" w:rsidR="18D9A85B">
        <w:rPr>
          <w:rFonts w:ascii="Arial" w:hAnsi="Arial" w:eastAsia="Arial" w:cs="Arial"/>
          <w:noProof w:val="0"/>
          <w:lang w:val="en-GB"/>
        </w:rPr>
        <w:t>(</w:t>
      </w:r>
      <w:r w:rsidRPr="3F3FA5AC" w:rsidR="015CB390">
        <w:rPr>
          <w:rFonts w:ascii="Arial" w:hAnsi="Arial" w:eastAsia="Arial" w:cs="Arial"/>
          <w:noProof w:val="0"/>
          <w:lang w:val="en-GB"/>
        </w:rPr>
        <w:t>2001</w:t>
      </w:r>
      <w:r w:rsidRPr="3F3FA5AC" w:rsidR="3B75F5A1">
        <w:rPr>
          <w:rFonts w:ascii="Arial" w:hAnsi="Arial" w:eastAsia="Arial" w:cs="Arial"/>
          <w:noProof w:val="0"/>
          <w:lang w:val="en-GB"/>
        </w:rPr>
        <w:t xml:space="preserve">) </w:t>
      </w:r>
      <w:r w:rsidRPr="3F3FA5AC" w:rsidR="015CB390">
        <w:rPr>
          <w:rFonts w:ascii="Arial" w:hAnsi="Arial" w:eastAsia="Arial" w:cs="Arial"/>
          <w:i w:val="1"/>
          <w:iCs w:val="1"/>
          <w:noProof w:val="0"/>
          <w:lang w:val="en-GB"/>
        </w:rPr>
        <w:t>Servants of globalization: Women, migration, and domestic work</w:t>
      </w:r>
      <w:r w:rsidRPr="3F3FA5AC" w:rsidR="015CB390">
        <w:rPr>
          <w:rFonts w:ascii="Arial" w:hAnsi="Arial" w:eastAsia="Arial" w:cs="Arial"/>
          <w:noProof w:val="0"/>
          <w:lang w:val="en-GB"/>
        </w:rPr>
        <w:t>. Stanford University Press.</w:t>
      </w:r>
    </w:p>
    <w:p w:rsidR="2A3E2363" w:rsidP="3F3FA5AC" w:rsidRDefault="2A3E2363" w14:paraId="5B9FEDC3" w14:textId="4EBC7EF6">
      <w:pPr>
        <w:pStyle w:val="Normal"/>
        <w:spacing w:line="360" w:lineRule="auto"/>
        <w:jc w:val="both"/>
        <w:rPr>
          <w:rFonts w:ascii="Arial" w:hAnsi="Arial" w:eastAsia="Arial" w:cs="Arial"/>
          <w:noProof w:val="0"/>
          <w:sz w:val="22"/>
          <w:szCs w:val="22"/>
          <w:lang w:val="en-GB"/>
        </w:rPr>
      </w:pPr>
      <w:r w:rsidRPr="3F3FA5AC" w:rsidR="2A3E2363">
        <w:rPr>
          <w:rFonts w:ascii="Arial" w:hAnsi="Arial" w:eastAsia="Arial" w:cs="Arial"/>
          <w:b w:val="0"/>
          <w:bCs w:val="0"/>
          <w:i w:val="0"/>
          <w:iCs w:val="0"/>
          <w:caps w:val="0"/>
          <w:smallCaps w:val="0"/>
          <w:noProof w:val="0"/>
          <w:color w:val="0F1115"/>
          <w:sz w:val="22"/>
          <w:szCs w:val="22"/>
          <w:lang w:val="en-GB"/>
        </w:rPr>
        <w:t xml:space="preserve">Rubery, </w:t>
      </w:r>
      <w:r w:rsidRPr="3F3FA5AC" w:rsidR="2A3E2363">
        <w:rPr>
          <w:rFonts w:ascii="Arial" w:hAnsi="Arial" w:eastAsia="Arial" w:cs="Arial"/>
          <w:b w:val="0"/>
          <w:bCs w:val="0"/>
          <w:i w:val="0"/>
          <w:iCs w:val="0"/>
          <w:caps w:val="0"/>
          <w:smallCaps w:val="0"/>
          <w:noProof w:val="0"/>
          <w:color w:val="0F1115"/>
          <w:sz w:val="22"/>
          <w:szCs w:val="22"/>
          <w:lang w:val="en-GB"/>
        </w:rPr>
        <w:t>J.</w:t>
      </w:r>
      <w:r w:rsidRPr="3F3FA5AC" w:rsidR="2A3E2363">
        <w:rPr>
          <w:rFonts w:ascii="Arial" w:hAnsi="Arial" w:eastAsia="Arial" w:cs="Arial"/>
          <w:b w:val="0"/>
          <w:bCs w:val="0"/>
          <w:i w:val="0"/>
          <w:iCs w:val="0"/>
          <w:caps w:val="0"/>
          <w:smallCaps w:val="0"/>
          <w:noProof w:val="0"/>
          <w:color w:val="0F1115"/>
          <w:sz w:val="22"/>
          <w:szCs w:val="22"/>
          <w:lang w:val="en-GB"/>
        </w:rPr>
        <w:t xml:space="preserve"> and Hebson, G. (2018) </w:t>
      </w:r>
      <w:r w:rsidRPr="3F3FA5AC" w:rsidR="69C40F48">
        <w:rPr>
          <w:rFonts w:ascii="Arial" w:hAnsi="Arial" w:eastAsia="Arial" w:cs="Arial"/>
          <w:b w:val="0"/>
          <w:bCs w:val="0"/>
          <w:i w:val="0"/>
          <w:iCs w:val="0"/>
          <w:caps w:val="0"/>
          <w:smallCaps w:val="0"/>
          <w:noProof w:val="0"/>
          <w:color w:val="0F1115"/>
          <w:sz w:val="22"/>
          <w:szCs w:val="22"/>
          <w:lang w:val="en-GB"/>
        </w:rPr>
        <w:t>‘</w:t>
      </w:r>
      <w:r w:rsidRPr="3F3FA5AC" w:rsidR="2A3E2363">
        <w:rPr>
          <w:rFonts w:ascii="Arial" w:hAnsi="Arial" w:eastAsia="Arial" w:cs="Arial"/>
          <w:b w:val="0"/>
          <w:bCs w:val="0"/>
          <w:i w:val="0"/>
          <w:iCs w:val="0"/>
          <w:caps w:val="0"/>
          <w:smallCaps w:val="0"/>
          <w:noProof w:val="0"/>
          <w:color w:val="0F1115"/>
          <w:sz w:val="22"/>
          <w:szCs w:val="22"/>
          <w:lang w:val="en-GB"/>
        </w:rPr>
        <w:t>The ‘gender gap’ in pay and the undervaluation of women’s work in the UK.</w:t>
      </w:r>
      <w:r w:rsidRPr="3F3FA5AC" w:rsidR="45B20ADB">
        <w:rPr>
          <w:rFonts w:ascii="Arial" w:hAnsi="Arial" w:eastAsia="Arial" w:cs="Arial"/>
          <w:b w:val="0"/>
          <w:bCs w:val="0"/>
          <w:i w:val="0"/>
          <w:iCs w:val="0"/>
          <w:caps w:val="0"/>
          <w:smallCaps w:val="0"/>
          <w:noProof w:val="0"/>
          <w:color w:val="0F1115"/>
          <w:sz w:val="22"/>
          <w:szCs w:val="22"/>
          <w:lang w:val="en-GB"/>
        </w:rPr>
        <w:t>’</w:t>
      </w:r>
      <w:r w:rsidRPr="3F3FA5AC" w:rsidR="2A3E2363">
        <w:rPr>
          <w:rFonts w:ascii="Arial" w:hAnsi="Arial" w:eastAsia="Arial" w:cs="Arial"/>
          <w:b w:val="0"/>
          <w:bCs w:val="0"/>
          <w:i w:val="0"/>
          <w:iCs w:val="0"/>
          <w:caps w:val="0"/>
          <w:smallCaps w:val="0"/>
          <w:noProof w:val="0"/>
          <w:color w:val="0F1115"/>
          <w:sz w:val="22"/>
          <w:szCs w:val="22"/>
          <w:lang w:val="en-GB"/>
        </w:rPr>
        <w:t xml:space="preserve"> </w:t>
      </w:r>
      <w:r w:rsidRPr="3F3FA5AC" w:rsidR="2A3E2363">
        <w:rPr>
          <w:rFonts w:ascii="Arial" w:hAnsi="Arial" w:eastAsia="Arial" w:cs="Arial"/>
          <w:b w:val="0"/>
          <w:bCs w:val="0"/>
          <w:i w:val="1"/>
          <w:iCs w:val="1"/>
          <w:caps w:val="0"/>
          <w:smallCaps w:val="0"/>
          <w:noProof w:val="0"/>
          <w:color w:val="0F1115"/>
          <w:sz w:val="22"/>
          <w:szCs w:val="22"/>
          <w:lang w:val="en-GB"/>
        </w:rPr>
        <w:t>Journal of Industrial Relations</w:t>
      </w:r>
      <w:r w:rsidRPr="3F3FA5AC" w:rsidR="2A3E2363">
        <w:rPr>
          <w:rFonts w:ascii="Arial" w:hAnsi="Arial" w:eastAsia="Arial" w:cs="Arial"/>
          <w:b w:val="0"/>
          <w:bCs w:val="0"/>
          <w:i w:val="0"/>
          <w:iCs w:val="0"/>
          <w:caps w:val="0"/>
          <w:smallCaps w:val="0"/>
          <w:noProof w:val="0"/>
          <w:color w:val="0F1115"/>
          <w:sz w:val="22"/>
          <w:szCs w:val="22"/>
          <w:lang w:val="en-GB"/>
        </w:rPr>
        <w:t>, 60(2), pp.190-214.</w:t>
      </w:r>
    </w:p>
    <w:p w:rsidRPr="00524FD5" w:rsidR="00670059" w:rsidP="00524FD5" w:rsidRDefault="00670059" w14:paraId="51CC7F86" w14:textId="5055EF1D">
      <w:pPr>
        <w:spacing w:line="360" w:lineRule="auto"/>
        <w:jc w:val="both"/>
        <w:rPr>
          <w:rFonts w:ascii="Arial" w:hAnsi="Arial" w:cs="Arial"/>
        </w:rPr>
      </w:pPr>
      <w:r w:rsidRPr="3F3FA5AC" w:rsidR="00670059">
        <w:rPr>
          <w:rFonts w:ascii="Arial" w:hAnsi="Arial" w:cs="Arial"/>
        </w:rPr>
        <w:t xml:space="preserve">Santos, A. P. (2025) </w:t>
      </w:r>
      <w:r w:rsidRPr="3F3FA5AC" w:rsidR="00670059">
        <w:rPr>
          <w:rFonts w:ascii="Arial" w:hAnsi="Arial" w:cs="Arial"/>
          <w:i w:val="1"/>
          <w:iCs w:val="1"/>
        </w:rPr>
        <w:t>Changes in the UK health and care worker visa</w:t>
      </w:r>
      <w:r w:rsidRPr="3F3FA5AC" w:rsidR="00670059">
        <w:rPr>
          <w:rFonts w:ascii="Arial" w:hAnsi="Arial" w:cs="Arial"/>
          <w:i w:val="1"/>
          <w:iCs w:val="1"/>
        </w:rPr>
        <w:t xml:space="preserve"> - </w:t>
      </w:r>
      <w:r w:rsidRPr="3F3FA5AC" w:rsidR="00670059">
        <w:rPr>
          <w:rFonts w:ascii="Arial" w:hAnsi="Arial" w:cs="Arial"/>
          <w:i w:val="1"/>
          <w:iCs w:val="1"/>
        </w:rPr>
        <w:t>What you need to know</w:t>
      </w:r>
      <w:r w:rsidRPr="3F3FA5AC" w:rsidR="00670059">
        <w:rPr>
          <w:rFonts w:ascii="Arial" w:hAnsi="Arial" w:cs="Arial"/>
        </w:rPr>
        <w:t xml:space="preserve">. Available at: </w:t>
      </w:r>
      <w:hyperlink r:id="R1159f161dce5444b">
        <w:r w:rsidRPr="3F3FA5AC" w:rsidR="00670059">
          <w:rPr>
            <w:rStyle w:val="Hyperlink"/>
            <w:rFonts w:ascii="Arial" w:hAnsi="Arial" w:cs="Arial"/>
          </w:rPr>
          <w:t>https://www.infomigrants.net/en/post/65812/changes-in-the-uk-health-and-care-worker-visa--what-you-need-to-know</w:t>
        </w:r>
      </w:hyperlink>
      <w:r w:rsidRPr="3F3FA5AC" w:rsidR="00670059">
        <w:rPr>
          <w:rFonts w:ascii="Arial" w:hAnsi="Arial" w:cs="Arial"/>
        </w:rPr>
        <w:t>. (Accessed: 9 December 2025).</w:t>
      </w:r>
    </w:p>
    <w:p w:rsidR="14DD5736" w:rsidP="3F3FA5AC" w:rsidRDefault="14DD5736" w14:paraId="2F9283CA" w14:textId="03BA77C9">
      <w:pPr>
        <w:pStyle w:val="Normal"/>
        <w:spacing w:line="360" w:lineRule="auto"/>
        <w:jc w:val="both"/>
        <w:rPr>
          <w:rFonts w:ascii="Arial" w:hAnsi="Arial" w:eastAsia="Arial" w:cs="Arial"/>
          <w:noProof w:val="0"/>
          <w:sz w:val="22"/>
          <w:szCs w:val="22"/>
          <w:lang w:val="en-GB"/>
        </w:rPr>
      </w:pPr>
      <w:r w:rsidRPr="3F3FA5AC" w:rsidR="14DD5736">
        <w:rPr>
          <w:rFonts w:ascii="Arial" w:hAnsi="Arial" w:eastAsia="Arial" w:cs="Arial"/>
          <w:b w:val="0"/>
          <w:bCs w:val="0"/>
          <w:i w:val="0"/>
          <w:iCs w:val="0"/>
          <w:caps w:val="0"/>
          <w:smallCaps w:val="0"/>
          <w:noProof w:val="0"/>
          <w:color w:val="0F1115"/>
          <w:sz w:val="22"/>
          <w:szCs w:val="22"/>
          <w:lang w:val="en-GB"/>
        </w:rPr>
        <w:t xml:space="preserve">Shutes, I. (2022). Migration and the welfare state: The care workforce in the UK. In C. Ledoux, K. Shire, &amp; A. </w:t>
      </w:r>
      <w:r w:rsidRPr="3F3FA5AC" w:rsidR="14DD5736">
        <w:rPr>
          <w:rFonts w:ascii="Arial" w:hAnsi="Arial" w:eastAsia="Arial" w:cs="Arial"/>
          <w:b w:val="0"/>
          <w:bCs w:val="0"/>
          <w:i w:val="0"/>
          <w:iCs w:val="0"/>
          <w:caps w:val="0"/>
          <w:smallCaps w:val="0"/>
          <w:noProof w:val="0"/>
          <w:color w:val="0F1115"/>
          <w:sz w:val="22"/>
          <w:szCs w:val="22"/>
          <w:lang w:val="en-GB"/>
        </w:rPr>
        <w:t>Valarino</w:t>
      </w:r>
      <w:r w:rsidRPr="3F3FA5AC" w:rsidR="14DD5736">
        <w:rPr>
          <w:rFonts w:ascii="Arial" w:hAnsi="Arial" w:eastAsia="Arial" w:cs="Arial"/>
          <w:b w:val="0"/>
          <w:bCs w:val="0"/>
          <w:i w:val="0"/>
          <w:iCs w:val="0"/>
          <w:caps w:val="0"/>
          <w:smallCaps w:val="0"/>
          <w:noProof w:val="0"/>
          <w:color w:val="0F1115"/>
          <w:sz w:val="22"/>
          <w:szCs w:val="22"/>
          <w:lang w:val="en-GB"/>
        </w:rPr>
        <w:t xml:space="preserve"> (Eds.), </w:t>
      </w:r>
      <w:r w:rsidRPr="3F3FA5AC" w:rsidR="14DD5736">
        <w:rPr>
          <w:rFonts w:ascii="Arial" w:hAnsi="Arial" w:eastAsia="Arial" w:cs="Arial"/>
          <w:b w:val="0"/>
          <w:bCs w:val="0"/>
          <w:i w:val="1"/>
          <w:iCs w:val="1"/>
          <w:caps w:val="0"/>
          <w:smallCaps w:val="0"/>
          <w:noProof w:val="0"/>
          <w:color w:val="0F1115"/>
          <w:sz w:val="22"/>
          <w:szCs w:val="22"/>
          <w:lang w:val="en-GB"/>
        </w:rPr>
        <w:t>Routledge Handbook of the Welfare State</w:t>
      </w:r>
      <w:r w:rsidRPr="3F3FA5AC" w:rsidR="14DD5736">
        <w:rPr>
          <w:rFonts w:ascii="Arial" w:hAnsi="Arial" w:eastAsia="Arial" w:cs="Arial"/>
          <w:b w:val="0"/>
          <w:bCs w:val="0"/>
          <w:i w:val="0"/>
          <w:iCs w:val="0"/>
          <w:caps w:val="0"/>
          <w:smallCaps w:val="0"/>
          <w:noProof w:val="0"/>
          <w:color w:val="0F1115"/>
          <w:sz w:val="22"/>
          <w:szCs w:val="22"/>
          <w:lang w:val="en-GB"/>
        </w:rPr>
        <w:t xml:space="preserve"> (2nd ed.). Routledge.</w:t>
      </w:r>
    </w:p>
    <w:p w:rsidR="2609A2F3" w:rsidP="3F3FA5AC" w:rsidRDefault="2609A2F3" w14:paraId="3CAD15DF" w14:textId="7327FA51">
      <w:pPr>
        <w:pStyle w:val="Normal"/>
        <w:spacing w:line="360" w:lineRule="auto"/>
        <w:jc w:val="both"/>
        <w:rPr>
          <w:rFonts w:ascii="Arial" w:hAnsi="Arial" w:eastAsia="Arial" w:cs="Arial"/>
          <w:noProof w:val="0"/>
          <w:sz w:val="22"/>
          <w:szCs w:val="22"/>
          <w:lang w:val="en-GB"/>
        </w:rPr>
      </w:pPr>
      <w:r w:rsidRPr="3F3FA5AC" w:rsidR="2609A2F3">
        <w:rPr>
          <w:rFonts w:ascii="Arial" w:hAnsi="Arial" w:eastAsia="Arial" w:cs="Arial"/>
          <w:b w:val="0"/>
          <w:bCs w:val="0"/>
          <w:i w:val="0"/>
          <w:iCs w:val="0"/>
          <w:caps w:val="0"/>
          <w:smallCaps w:val="0"/>
          <w:noProof w:val="0"/>
          <w:color w:val="0F1115"/>
          <w:sz w:val="22"/>
          <w:szCs w:val="22"/>
          <w:lang w:val="en-GB"/>
        </w:rPr>
        <w:t>Shutes, I.</w:t>
      </w:r>
      <w:r w:rsidRPr="3F3FA5AC" w:rsidR="03F178AF">
        <w:rPr>
          <w:rFonts w:ascii="Arial" w:hAnsi="Arial" w:eastAsia="Arial" w:cs="Arial"/>
          <w:b w:val="0"/>
          <w:bCs w:val="0"/>
          <w:i w:val="0"/>
          <w:iCs w:val="0"/>
          <w:caps w:val="0"/>
          <w:smallCaps w:val="0"/>
          <w:noProof w:val="0"/>
          <w:color w:val="0F1115"/>
          <w:sz w:val="22"/>
          <w:szCs w:val="22"/>
          <w:lang w:val="en-GB"/>
        </w:rPr>
        <w:t xml:space="preserve">, </w:t>
      </w:r>
      <w:r w:rsidRPr="3F3FA5AC" w:rsidR="2609A2F3">
        <w:rPr>
          <w:rFonts w:ascii="Arial" w:hAnsi="Arial" w:eastAsia="Arial" w:cs="Arial"/>
          <w:b w:val="0"/>
          <w:bCs w:val="0"/>
          <w:i w:val="0"/>
          <w:iCs w:val="0"/>
          <w:caps w:val="0"/>
          <w:smallCaps w:val="0"/>
          <w:noProof w:val="0"/>
          <w:color w:val="0F1115"/>
          <w:sz w:val="22"/>
          <w:szCs w:val="22"/>
          <w:lang w:val="en-GB"/>
        </w:rPr>
        <w:t xml:space="preserve">Walsh, K. </w:t>
      </w:r>
      <w:r w:rsidRPr="3F3FA5AC" w:rsidR="5FC2FCAE">
        <w:rPr>
          <w:rFonts w:ascii="Arial" w:hAnsi="Arial" w:eastAsia="Arial" w:cs="Arial"/>
          <w:b w:val="0"/>
          <w:bCs w:val="0"/>
          <w:i w:val="0"/>
          <w:iCs w:val="0"/>
          <w:caps w:val="0"/>
          <w:smallCaps w:val="0"/>
          <w:noProof w:val="0"/>
          <w:color w:val="0F1115"/>
          <w:sz w:val="22"/>
          <w:szCs w:val="22"/>
          <w:lang w:val="en-GB"/>
        </w:rPr>
        <w:t>(</w:t>
      </w:r>
      <w:r w:rsidRPr="3F3FA5AC" w:rsidR="2609A2F3">
        <w:rPr>
          <w:rFonts w:ascii="Arial" w:hAnsi="Arial" w:eastAsia="Arial" w:cs="Arial"/>
          <w:b w:val="0"/>
          <w:bCs w:val="0"/>
          <w:i w:val="0"/>
          <w:iCs w:val="0"/>
          <w:caps w:val="0"/>
          <w:smallCaps w:val="0"/>
          <w:noProof w:val="0"/>
          <w:color w:val="0F1115"/>
          <w:sz w:val="22"/>
          <w:szCs w:val="22"/>
          <w:lang w:val="en-GB"/>
        </w:rPr>
        <w:t>2022</w:t>
      </w:r>
      <w:r w:rsidRPr="3F3FA5AC" w:rsidR="130CE418">
        <w:rPr>
          <w:rFonts w:ascii="Arial" w:hAnsi="Arial" w:eastAsia="Arial" w:cs="Arial"/>
          <w:b w:val="0"/>
          <w:bCs w:val="0"/>
          <w:i w:val="0"/>
          <w:iCs w:val="0"/>
          <w:caps w:val="0"/>
          <w:smallCaps w:val="0"/>
          <w:noProof w:val="0"/>
          <w:color w:val="0F1115"/>
          <w:sz w:val="22"/>
          <w:szCs w:val="22"/>
          <w:lang w:val="en-GB"/>
        </w:rPr>
        <w:t>)</w:t>
      </w:r>
      <w:r w:rsidRPr="3F3FA5AC" w:rsidR="2609A2F3">
        <w:rPr>
          <w:rFonts w:ascii="Arial" w:hAnsi="Arial" w:eastAsia="Arial" w:cs="Arial"/>
          <w:b w:val="0"/>
          <w:bCs w:val="0"/>
          <w:i w:val="0"/>
          <w:iCs w:val="0"/>
          <w:caps w:val="0"/>
          <w:smallCaps w:val="0"/>
          <w:noProof w:val="0"/>
          <w:color w:val="0F1115"/>
          <w:sz w:val="22"/>
          <w:szCs w:val="22"/>
          <w:lang w:val="en-GB"/>
        </w:rPr>
        <w:t xml:space="preserve"> </w:t>
      </w:r>
      <w:r w:rsidRPr="3F3FA5AC" w:rsidR="112BC4EF">
        <w:rPr>
          <w:rFonts w:ascii="Arial" w:hAnsi="Arial" w:eastAsia="Arial" w:cs="Arial"/>
          <w:b w:val="0"/>
          <w:bCs w:val="0"/>
          <w:i w:val="0"/>
          <w:iCs w:val="0"/>
          <w:caps w:val="0"/>
          <w:smallCaps w:val="0"/>
          <w:noProof w:val="0"/>
          <w:color w:val="0F1115"/>
          <w:sz w:val="22"/>
          <w:szCs w:val="22"/>
          <w:lang w:val="en-GB"/>
        </w:rPr>
        <w:t>‘</w:t>
      </w:r>
      <w:r w:rsidRPr="3F3FA5AC" w:rsidR="2609A2F3">
        <w:rPr>
          <w:rFonts w:ascii="Arial" w:hAnsi="Arial" w:eastAsia="Arial" w:cs="Arial"/>
          <w:b w:val="0"/>
          <w:bCs w:val="0"/>
          <w:i w:val="0"/>
          <w:iCs w:val="0"/>
          <w:caps w:val="0"/>
          <w:smallCaps w:val="0"/>
          <w:noProof w:val="0"/>
          <w:color w:val="0F1115"/>
          <w:sz w:val="22"/>
          <w:szCs w:val="22"/>
          <w:lang w:val="en-GB"/>
        </w:rPr>
        <w:t>The UK’s points-based immigration system and the care workforce</w:t>
      </w:r>
      <w:r w:rsidRPr="3F3FA5AC" w:rsidR="1A98DFCB">
        <w:rPr>
          <w:rFonts w:ascii="Arial" w:hAnsi="Arial" w:eastAsia="Arial" w:cs="Arial"/>
          <w:b w:val="0"/>
          <w:bCs w:val="0"/>
          <w:i w:val="0"/>
          <w:iCs w:val="0"/>
          <w:caps w:val="0"/>
          <w:smallCaps w:val="0"/>
          <w:noProof w:val="0"/>
          <w:color w:val="0F1115"/>
          <w:sz w:val="22"/>
          <w:szCs w:val="22"/>
          <w:lang w:val="en-GB"/>
        </w:rPr>
        <w:t>’</w:t>
      </w:r>
      <w:r w:rsidRPr="3F3FA5AC" w:rsidR="2609A2F3">
        <w:rPr>
          <w:rFonts w:ascii="Arial" w:hAnsi="Arial" w:eastAsia="Arial" w:cs="Arial"/>
          <w:b w:val="0"/>
          <w:bCs w:val="0"/>
          <w:i w:val="0"/>
          <w:iCs w:val="0"/>
          <w:caps w:val="0"/>
          <w:smallCaps w:val="0"/>
          <w:noProof w:val="0"/>
          <w:color w:val="0F1115"/>
          <w:sz w:val="22"/>
          <w:szCs w:val="22"/>
          <w:lang w:val="en-GB"/>
        </w:rPr>
        <w:t xml:space="preserve">. </w:t>
      </w:r>
      <w:r w:rsidRPr="3F3FA5AC" w:rsidR="2609A2F3">
        <w:rPr>
          <w:rFonts w:ascii="Arial" w:hAnsi="Arial" w:eastAsia="Arial" w:cs="Arial"/>
          <w:b w:val="0"/>
          <w:bCs w:val="0"/>
          <w:i w:val="1"/>
          <w:iCs w:val="1"/>
          <w:caps w:val="0"/>
          <w:smallCaps w:val="0"/>
          <w:noProof w:val="0"/>
          <w:color w:val="0F1115"/>
          <w:sz w:val="22"/>
          <w:szCs w:val="22"/>
          <w:lang w:val="en-GB"/>
        </w:rPr>
        <w:t>Journal of Ethnic and Migration Studies</w:t>
      </w:r>
      <w:r w:rsidRPr="3F3FA5AC" w:rsidR="2609A2F3">
        <w:rPr>
          <w:rFonts w:ascii="Arial" w:hAnsi="Arial" w:eastAsia="Arial" w:cs="Arial"/>
          <w:b w:val="0"/>
          <w:bCs w:val="0"/>
          <w:i w:val="0"/>
          <w:iCs w:val="0"/>
          <w:caps w:val="0"/>
          <w:smallCaps w:val="0"/>
          <w:noProof w:val="0"/>
          <w:color w:val="0F1115"/>
          <w:sz w:val="22"/>
          <w:szCs w:val="22"/>
          <w:lang w:val="en-GB"/>
        </w:rPr>
        <w:t>, 48(16), pp.3868-3886.</w:t>
      </w:r>
    </w:p>
    <w:p w:rsidRPr="00524FD5" w:rsidR="00397490" w:rsidP="00524FD5" w:rsidRDefault="00397490" w14:paraId="6B4BA3B7" w14:textId="2649ACDC">
      <w:pPr>
        <w:spacing w:line="360" w:lineRule="auto"/>
        <w:jc w:val="both"/>
        <w:rPr>
          <w:rFonts w:ascii="Arial" w:hAnsi="Arial" w:cs="Arial"/>
        </w:rPr>
      </w:pPr>
      <w:r w:rsidRPr="00524FD5">
        <w:rPr>
          <w:rFonts w:ascii="Arial" w:hAnsi="Arial" w:cs="Arial"/>
        </w:rPr>
        <w:t xml:space="preserve">UK Government (2025) </w:t>
      </w:r>
      <w:r w:rsidRPr="00524FD5">
        <w:rPr>
          <w:rFonts w:ascii="Arial" w:hAnsi="Arial" w:cs="Arial"/>
          <w:i/>
          <w:iCs/>
        </w:rPr>
        <w:t>New rules to prioritise recruiting care workers in England</w:t>
      </w:r>
      <w:r w:rsidRPr="00524FD5">
        <w:rPr>
          <w:rFonts w:ascii="Arial" w:hAnsi="Arial" w:cs="Arial"/>
        </w:rPr>
        <w:t xml:space="preserve">. Available at: </w:t>
      </w:r>
      <w:hyperlink w:history="1" r:id="rId21">
        <w:r w:rsidRPr="00524FD5">
          <w:rPr>
            <w:rStyle w:val="Hyperlink"/>
            <w:rFonts w:ascii="Arial" w:hAnsi="Arial" w:cs="Arial"/>
          </w:rPr>
          <w:t>https://www.gov.uk/government/news/new-rules-to-prioritise-recruiting-care-workers-in-england</w:t>
        </w:r>
      </w:hyperlink>
      <w:r w:rsidRPr="00524FD5">
        <w:rPr>
          <w:rFonts w:ascii="Arial" w:hAnsi="Arial" w:cs="Arial"/>
        </w:rPr>
        <w:t>. (Accessed: 6 December 2025)</w:t>
      </w:r>
    </w:p>
    <w:p w:rsidRPr="00524FD5" w:rsidR="0010411D" w:rsidP="00524FD5" w:rsidRDefault="00397490" w14:paraId="2E150B46" w14:textId="2AAF4520">
      <w:pPr>
        <w:spacing w:line="360" w:lineRule="auto"/>
        <w:jc w:val="both"/>
        <w:rPr>
          <w:rFonts w:ascii="Arial" w:hAnsi="Arial" w:cs="Arial"/>
        </w:rPr>
      </w:pPr>
      <w:r w:rsidRPr="3F3FA5AC" w:rsidR="00397490">
        <w:rPr>
          <w:rFonts w:ascii="Arial" w:hAnsi="Arial" w:cs="Arial"/>
        </w:rPr>
        <w:t xml:space="preserve">Taylor, L. (2025) </w:t>
      </w:r>
      <w:r w:rsidRPr="3F3FA5AC" w:rsidR="00397490">
        <w:rPr>
          <w:rFonts w:ascii="Arial" w:hAnsi="Arial" w:cs="Arial"/>
          <w:i w:val="1"/>
          <w:iCs w:val="1"/>
        </w:rPr>
        <w:t>Why does Britain need migrant care workers?</w:t>
      </w:r>
      <w:r w:rsidRPr="3F3FA5AC" w:rsidR="00397490">
        <w:rPr>
          <w:rFonts w:ascii="Arial" w:hAnsi="Arial" w:cs="Arial"/>
        </w:rPr>
        <w:t xml:space="preserve"> Available at: </w:t>
      </w:r>
      <w:hyperlink r:id="R4a5ce4fcf4c642f0">
        <w:r w:rsidRPr="3F3FA5AC" w:rsidR="00D7497A">
          <w:rPr>
            <w:rStyle w:val="Hyperlink"/>
            <w:rFonts w:ascii="Arial" w:hAnsi="Arial" w:cs="Arial"/>
          </w:rPr>
          <w:t>https://www.context.news/socioeconomic-inclusion/why-does-britain-rely-on-migrant-care-workers?utm_source=copy-url&amp;utm_medium=share&amp;utm_campaign=context-share</w:t>
        </w:r>
      </w:hyperlink>
      <w:r w:rsidRPr="3F3FA5AC" w:rsidR="00D7497A">
        <w:rPr>
          <w:rFonts w:ascii="Arial" w:hAnsi="Arial" w:cs="Arial"/>
        </w:rPr>
        <w:t>. (Accessed: 6 December 2025).</w:t>
      </w:r>
    </w:p>
    <w:p w:rsidRPr="00524FD5" w:rsidR="0010411D" w:rsidP="00524FD5" w:rsidRDefault="00B77090" w14:paraId="5991B4BC" w14:textId="7E4BF30E">
      <w:pPr>
        <w:spacing w:line="360" w:lineRule="auto"/>
        <w:jc w:val="both"/>
        <w:rPr>
          <w:rFonts w:ascii="Arial" w:hAnsi="Arial" w:cs="Arial"/>
        </w:rPr>
      </w:pPr>
      <w:r w:rsidRPr="3F3FA5AC" w:rsidR="00B77090">
        <w:rPr>
          <w:rFonts w:ascii="Arial" w:hAnsi="Arial" w:cs="Arial"/>
        </w:rPr>
        <w:t>Yeates</w:t>
      </w:r>
      <w:r w:rsidRPr="3F3FA5AC" w:rsidR="0010411D">
        <w:rPr>
          <w:rFonts w:ascii="Arial" w:hAnsi="Arial" w:cs="Arial"/>
        </w:rPr>
        <w:t>, N. (200</w:t>
      </w:r>
      <w:r w:rsidRPr="3F3FA5AC" w:rsidR="2A09F721">
        <w:rPr>
          <w:rFonts w:ascii="Arial" w:hAnsi="Arial" w:cs="Arial"/>
        </w:rPr>
        <w:t>9</w:t>
      </w:r>
      <w:r w:rsidRPr="3F3FA5AC" w:rsidR="0010411D">
        <w:rPr>
          <w:rFonts w:ascii="Arial" w:hAnsi="Arial" w:cs="Arial"/>
        </w:rPr>
        <w:t>) Globalizing Care Economies and Migrant Workers: Explorations in Global Care Chains. Palgrave Macmillan The Limited. New York, United States.</w:t>
      </w:r>
    </w:p>
    <w:p w:rsidR="5B7BEBD8" w:rsidP="3F3FA5AC" w:rsidRDefault="5B7BEBD8" w14:paraId="14DBCF73" w14:textId="7A94C4C2">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4"/>
          <w:szCs w:val="24"/>
          <w:lang w:val="en-GB"/>
        </w:rPr>
      </w:pPr>
      <w:r w:rsidRPr="3F3FA5AC" w:rsidR="5B7BEBD8">
        <w:rPr>
          <w:rFonts w:ascii="Arial" w:hAnsi="Arial" w:eastAsia="Arial" w:cs="Arial"/>
          <w:b w:val="0"/>
          <w:bCs w:val="0"/>
          <w:i w:val="0"/>
          <w:iCs w:val="0"/>
          <w:caps w:val="0"/>
          <w:smallCaps w:val="0"/>
          <w:noProof w:val="0"/>
          <w:color w:val="0F1115"/>
          <w:sz w:val="24"/>
          <w:szCs w:val="24"/>
          <w:lang w:val="en-GB"/>
        </w:rPr>
        <w:t xml:space="preserve">Williams, F. (2012) </w:t>
      </w:r>
      <w:r w:rsidRPr="3F3FA5AC" w:rsidR="5082E065">
        <w:rPr>
          <w:rFonts w:ascii="Arial" w:hAnsi="Arial" w:eastAsia="Arial" w:cs="Arial"/>
          <w:b w:val="0"/>
          <w:bCs w:val="0"/>
          <w:i w:val="0"/>
          <w:iCs w:val="0"/>
          <w:caps w:val="0"/>
          <w:smallCaps w:val="0"/>
          <w:noProof w:val="0"/>
          <w:color w:val="0F1115"/>
          <w:sz w:val="24"/>
          <w:szCs w:val="24"/>
          <w:lang w:val="en-GB"/>
        </w:rPr>
        <w:t>‘</w:t>
      </w:r>
      <w:r w:rsidRPr="3F3FA5AC" w:rsidR="5B7BEBD8">
        <w:rPr>
          <w:rFonts w:ascii="Arial" w:hAnsi="Arial" w:eastAsia="Arial" w:cs="Arial"/>
          <w:b w:val="0"/>
          <w:bCs w:val="0"/>
          <w:i w:val="0"/>
          <w:iCs w:val="0"/>
          <w:caps w:val="0"/>
          <w:smallCaps w:val="0"/>
          <w:noProof w:val="0"/>
          <w:color w:val="0F1115"/>
          <w:sz w:val="24"/>
          <w:szCs w:val="24"/>
          <w:lang w:val="en-GB"/>
        </w:rPr>
        <w:t>Converging variations in migrant care work in Europe.</w:t>
      </w:r>
      <w:r w:rsidRPr="3F3FA5AC" w:rsidR="26591036">
        <w:rPr>
          <w:rFonts w:ascii="Arial" w:hAnsi="Arial" w:eastAsia="Arial" w:cs="Arial"/>
          <w:b w:val="0"/>
          <w:bCs w:val="0"/>
          <w:i w:val="0"/>
          <w:iCs w:val="0"/>
          <w:caps w:val="0"/>
          <w:smallCaps w:val="0"/>
          <w:noProof w:val="0"/>
          <w:color w:val="0F1115"/>
          <w:sz w:val="24"/>
          <w:szCs w:val="24"/>
          <w:lang w:val="en-GB"/>
        </w:rPr>
        <w:t>’</w:t>
      </w:r>
      <w:r w:rsidRPr="3F3FA5AC" w:rsidR="5B7BEBD8">
        <w:rPr>
          <w:rFonts w:ascii="Arial" w:hAnsi="Arial" w:eastAsia="Arial" w:cs="Arial"/>
          <w:b w:val="0"/>
          <w:bCs w:val="0"/>
          <w:i w:val="0"/>
          <w:iCs w:val="0"/>
          <w:caps w:val="0"/>
          <w:smallCaps w:val="0"/>
          <w:noProof w:val="0"/>
          <w:color w:val="0F1115"/>
          <w:sz w:val="24"/>
          <w:szCs w:val="24"/>
          <w:lang w:val="en-GB"/>
        </w:rPr>
        <w:t xml:space="preserve"> </w:t>
      </w:r>
      <w:r w:rsidRPr="3F3FA5AC" w:rsidR="5B7BEBD8">
        <w:rPr>
          <w:rFonts w:ascii="Arial" w:hAnsi="Arial" w:eastAsia="Arial" w:cs="Arial"/>
          <w:b w:val="0"/>
          <w:bCs w:val="0"/>
          <w:i w:val="1"/>
          <w:iCs w:val="1"/>
          <w:caps w:val="0"/>
          <w:smallCaps w:val="0"/>
          <w:noProof w:val="0"/>
          <w:color w:val="0F1115"/>
          <w:sz w:val="24"/>
          <w:szCs w:val="24"/>
          <w:lang w:val="en-GB"/>
        </w:rPr>
        <w:t>Journal of European Social Policy</w:t>
      </w:r>
      <w:r w:rsidRPr="3F3FA5AC" w:rsidR="5B7BEBD8">
        <w:rPr>
          <w:rFonts w:ascii="Arial" w:hAnsi="Arial" w:eastAsia="Arial" w:cs="Arial"/>
          <w:b w:val="0"/>
          <w:bCs w:val="0"/>
          <w:i w:val="0"/>
          <w:iCs w:val="0"/>
          <w:caps w:val="0"/>
          <w:smallCaps w:val="0"/>
          <w:noProof w:val="0"/>
          <w:color w:val="0F1115"/>
          <w:sz w:val="24"/>
          <w:szCs w:val="24"/>
          <w:lang w:val="en-GB"/>
        </w:rPr>
        <w:t>, 22(4), pp.363-376.</w:t>
      </w:r>
    </w:p>
    <w:p w:rsidR="3F3FA5AC" w:rsidP="3F3FA5AC" w:rsidRDefault="3F3FA5AC" w14:paraId="743444BC" w14:textId="2DC43813">
      <w:pPr>
        <w:spacing w:line="360" w:lineRule="auto"/>
        <w:jc w:val="both"/>
        <w:rPr>
          <w:rFonts w:ascii="Arial" w:hAnsi="Arial" w:cs="Arial"/>
        </w:rPr>
      </w:pPr>
    </w:p>
    <w:p w:rsidR="3F3FA5AC" w:rsidP="3F3FA5AC" w:rsidRDefault="3F3FA5AC" w14:paraId="4CD3A56A" w14:textId="3E0BBB53">
      <w:pPr>
        <w:spacing w:line="360" w:lineRule="auto"/>
        <w:jc w:val="both"/>
        <w:rPr>
          <w:rFonts w:ascii="Arial" w:hAnsi="Arial" w:cs="Arial"/>
        </w:rPr>
      </w:pPr>
    </w:p>
    <w:p w:rsidRPr="0010411D" w:rsidR="0010411D" w:rsidP="00524FD5" w:rsidRDefault="0010411D" w14:paraId="246F8554" w14:textId="77777777">
      <w:pPr>
        <w:spacing w:line="360" w:lineRule="auto"/>
        <w:jc w:val="both"/>
        <w:rPr>
          <w:rFonts w:ascii="Arial" w:hAnsi="Arial" w:cs="Arial"/>
        </w:rPr>
      </w:pPr>
    </w:p>
    <w:p w:rsidRPr="00AB11BF" w:rsidR="004B2596" w:rsidP="00553247" w:rsidRDefault="004B2596" w14:paraId="3EAB195A" w14:textId="52D22BAA">
      <w:pPr>
        <w:rPr>
          <w:rFonts w:ascii="Arial" w:hAnsi="Arial" w:cs="Arial"/>
        </w:rPr>
      </w:pPr>
    </w:p>
    <w:sectPr w:rsidRPr="00AB11BF" w:rsidR="004B2596">
      <w:footerReference w:type="default" r:id="rId2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16DC5" w:rsidP="00D442DF" w:rsidRDefault="00616DC5" w14:paraId="490ECFC0" w14:textId="77777777">
      <w:pPr>
        <w:spacing w:after="0" w:line="240" w:lineRule="auto"/>
      </w:pPr>
      <w:r>
        <w:separator/>
      </w:r>
    </w:p>
  </w:endnote>
  <w:endnote w:type="continuationSeparator" w:id="0">
    <w:p w:rsidR="00616DC5" w:rsidP="00D442DF" w:rsidRDefault="00616DC5" w14:paraId="63A318C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4227603"/>
      <w:docPartObj>
        <w:docPartGallery w:val="Page Numbers (Bottom of Page)"/>
        <w:docPartUnique/>
      </w:docPartObj>
    </w:sdtPr>
    <w:sdtContent>
      <w:p w:rsidR="00524FD5" w:rsidRDefault="00524FD5" w14:paraId="5A607D59" w14:textId="633B2535">
        <w:pPr>
          <w:pStyle w:val="Footer"/>
          <w:jc w:val="right"/>
        </w:pPr>
        <w:r>
          <w:fldChar w:fldCharType="begin"/>
        </w:r>
        <w:r>
          <w:instrText>PAGE   \* MERGEFORMAT</w:instrText>
        </w:r>
        <w:r>
          <w:fldChar w:fldCharType="separate"/>
        </w:r>
        <w:r>
          <w:t>2</w:t>
        </w:r>
        <w:r>
          <w:fldChar w:fldCharType="end"/>
        </w:r>
      </w:p>
    </w:sdtContent>
  </w:sdt>
  <w:p w:rsidR="00524FD5" w:rsidRDefault="00524FD5" w14:paraId="3C05BA6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16DC5" w:rsidP="00D442DF" w:rsidRDefault="00616DC5" w14:paraId="6EF1427D" w14:textId="77777777">
      <w:pPr>
        <w:spacing w:after="0" w:line="240" w:lineRule="auto"/>
      </w:pPr>
      <w:r>
        <w:separator/>
      </w:r>
    </w:p>
  </w:footnote>
  <w:footnote w:type="continuationSeparator" w:id="0">
    <w:p w:rsidR="00616DC5" w:rsidP="00D442DF" w:rsidRDefault="00616DC5" w14:paraId="1E7DC8D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1">
    <w:nsid w:val="7cc43d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44d4c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92e33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3b812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7DC0C99"/>
    <w:multiLevelType w:val="multilevel"/>
    <w:tmpl w:val="015696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2F406ADE"/>
    <w:multiLevelType w:val="multilevel"/>
    <w:tmpl w:val="41E667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1ED0740"/>
    <w:multiLevelType w:val="multilevel"/>
    <w:tmpl w:val="9FA882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35CB7A1C"/>
    <w:multiLevelType w:val="hybridMultilevel"/>
    <w:tmpl w:val="8DC06794"/>
    <w:lvl w:ilvl="0" w:tplc="C6F2C0C2">
      <w:start w:val="1"/>
      <w:numFmt w:val="decimal"/>
      <w:lvlText w:val="%1."/>
      <w:lvlJc w:val="left"/>
      <w:pPr>
        <w:ind w:left="740" w:hanging="380"/>
      </w:pPr>
      <w:rPr>
        <w:rFonts w:hint="default" w:asciiTheme="majorHAnsi" w:hAnsiTheme="majorHAnsi" w:cstheme="majorBidi"/>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815EE5"/>
    <w:multiLevelType w:val="multilevel"/>
    <w:tmpl w:val="754C55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B77724B"/>
    <w:multiLevelType w:val="multilevel"/>
    <w:tmpl w:val="FFA4EA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E0F1779"/>
    <w:multiLevelType w:val="multilevel"/>
    <w:tmpl w:val="A97ECD86"/>
    <w:lvl w:ilvl="0">
      <w:start w:val="1"/>
      <w:numFmt w:val="decimal"/>
      <w:lvlText w:val="%1."/>
      <w:lvlJc w:val="left"/>
      <w:pPr>
        <w:tabs>
          <w:tab w:val="num" w:pos="720"/>
        </w:tabs>
        <w:ind w:left="720" w:hanging="360"/>
      </w:pPr>
      <w:rPr>
        <w:rFonts w:ascii="Arial" w:hAnsi="Arial" w:cs="Arial" w:eastAsiaTheme="minorHAns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6C31F8"/>
    <w:multiLevelType w:val="multilevel"/>
    <w:tmpl w:val="46D261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2">
    <w:abstractNumId w:val="11"/>
  </w:num>
  <w:num w:numId="11">
    <w:abstractNumId w:val="10"/>
  </w:num>
  <w:num w:numId="10">
    <w:abstractNumId w:val="9"/>
  </w:num>
  <w:num w:numId="9">
    <w:abstractNumId w:val="8"/>
  </w:num>
  <w:num w:numId="1" w16cid:durableId="351273591">
    <w:abstractNumId w:val="7"/>
  </w:num>
  <w:num w:numId="2" w16cid:durableId="1436053412">
    <w:abstractNumId w:val="5"/>
  </w:num>
  <w:num w:numId="3" w16cid:durableId="2065981379">
    <w:abstractNumId w:val="1"/>
  </w:num>
  <w:num w:numId="4" w16cid:durableId="2142647687">
    <w:abstractNumId w:val="0"/>
  </w:num>
  <w:num w:numId="5" w16cid:durableId="802847374">
    <w:abstractNumId w:val="6"/>
  </w:num>
  <w:num w:numId="6" w16cid:durableId="491219825">
    <w:abstractNumId w:val="2"/>
  </w:num>
  <w:num w:numId="7" w16cid:durableId="2026832470">
    <w:abstractNumId w:val="4"/>
  </w:num>
  <w:num w:numId="8" w16cid:durableId="19057256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DAC"/>
    <w:rsid w:val="00004D2A"/>
    <w:rsid w:val="00011C2F"/>
    <w:rsid w:val="000222F5"/>
    <w:rsid w:val="00072D1D"/>
    <w:rsid w:val="000C34B5"/>
    <w:rsid w:val="000C763E"/>
    <w:rsid w:val="0010411D"/>
    <w:rsid w:val="00147815"/>
    <w:rsid w:val="001617D1"/>
    <w:rsid w:val="0017133D"/>
    <w:rsid w:val="001902C7"/>
    <w:rsid w:val="002125C8"/>
    <w:rsid w:val="00212C74"/>
    <w:rsid w:val="00246602"/>
    <w:rsid w:val="002634F8"/>
    <w:rsid w:val="00275953"/>
    <w:rsid w:val="002A536A"/>
    <w:rsid w:val="00307481"/>
    <w:rsid w:val="00322390"/>
    <w:rsid w:val="0033213F"/>
    <w:rsid w:val="00333DAC"/>
    <w:rsid w:val="00397490"/>
    <w:rsid w:val="003C1651"/>
    <w:rsid w:val="003F7AF3"/>
    <w:rsid w:val="004359EE"/>
    <w:rsid w:val="0044ECCA"/>
    <w:rsid w:val="00477A1D"/>
    <w:rsid w:val="004B2596"/>
    <w:rsid w:val="004D7342"/>
    <w:rsid w:val="004E57A1"/>
    <w:rsid w:val="004F36BB"/>
    <w:rsid w:val="00523686"/>
    <w:rsid w:val="00524FD5"/>
    <w:rsid w:val="00527249"/>
    <w:rsid w:val="00553247"/>
    <w:rsid w:val="00585396"/>
    <w:rsid w:val="005A5016"/>
    <w:rsid w:val="005D1078"/>
    <w:rsid w:val="00613D26"/>
    <w:rsid w:val="00616DC5"/>
    <w:rsid w:val="00670059"/>
    <w:rsid w:val="006E0C57"/>
    <w:rsid w:val="006E3592"/>
    <w:rsid w:val="00703209"/>
    <w:rsid w:val="007269DF"/>
    <w:rsid w:val="007412D9"/>
    <w:rsid w:val="007E4BE3"/>
    <w:rsid w:val="00834938"/>
    <w:rsid w:val="00882BEB"/>
    <w:rsid w:val="008905D0"/>
    <w:rsid w:val="008E5C42"/>
    <w:rsid w:val="00965D1F"/>
    <w:rsid w:val="00967D84"/>
    <w:rsid w:val="009A75B6"/>
    <w:rsid w:val="00A2547A"/>
    <w:rsid w:val="00A80358"/>
    <w:rsid w:val="00AA3135"/>
    <w:rsid w:val="00AB11BF"/>
    <w:rsid w:val="00AD6466"/>
    <w:rsid w:val="00B77090"/>
    <w:rsid w:val="00B81283"/>
    <w:rsid w:val="00B9625A"/>
    <w:rsid w:val="00BB136C"/>
    <w:rsid w:val="00BF6553"/>
    <w:rsid w:val="00C2547B"/>
    <w:rsid w:val="00C54B29"/>
    <w:rsid w:val="00C77719"/>
    <w:rsid w:val="00CD4A93"/>
    <w:rsid w:val="00D30A3F"/>
    <w:rsid w:val="00D442DF"/>
    <w:rsid w:val="00D7497A"/>
    <w:rsid w:val="00D85D18"/>
    <w:rsid w:val="00D90C43"/>
    <w:rsid w:val="00DA6C08"/>
    <w:rsid w:val="00E23E58"/>
    <w:rsid w:val="00E85166"/>
    <w:rsid w:val="00F274F1"/>
    <w:rsid w:val="00F52228"/>
    <w:rsid w:val="00FB3FF8"/>
    <w:rsid w:val="00FFAD7C"/>
    <w:rsid w:val="015CB390"/>
    <w:rsid w:val="020A426A"/>
    <w:rsid w:val="02CFDBCB"/>
    <w:rsid w:val="03F178AF"/>
    <w:rsid w:val="046F4003"/>
    <w:rsid w:val="04D872BC"/>
    <w:rsid w:val="05836592"/>
    <w:rsid w:val="0649876E"/>
    <w:rsid w:val="06A63F5C"/>
    <w:rsid w:val="06EAF0E1"/>
    <w:rsid w:val="075AAAED"/>
    <w:rsid w:val="08260088"/>
    <w:rsid w:val="086436E8"/>
    <w:rsid w:val="092B5110"/>
    <w:rsid w:val="093BD709"/>
    <w:rsid w:val="096231E1"/>
    <w:rsid w:val="0A9BD677"/>
    <w:rsid w:val="0AE14F78"/>
    <w:rsid w:val="0B13D12A"/>
    <w:rsid w:val="0B178ADC"/>
    <w:rsid w:val="0BAA8B7B"/>
    <w:rsid w:val="0C84C944"/>
    <w:rsid w:val="0CFFE05D"/>
    <w:rsid w:val="0DB21D18"/>
    <w:rsid w:val="0EE5211F"/>
    <w:rsid w:val="103A4782"/>
    <w:rsid w:val="10AC677D"/>
    <w:rsid w:val="112BC4EF"/>
    <w:rsid w:val="11CC4804"/>
    <w:rsid w:val="130CE418"/>
    <w:rsid w:val="14785344"/>
    <w:rsid w:val="14DD5736"/>
    <w:rsid w:val="17B8E2CB"/>
    <w:rsid w:val="18560003"/>
    <w:rsid w:val="18D9A85B"/>
    <w:rsid w:val="19147083"/>
    <w:rsid w:val="197FBC56"/>
    <w:rsid w:val="19823219"/>
    <w:rsid w:val="198B6D58"/>
    <w:rsid w:val="1A7852A0"/>
    <w:rsid w:val="1A98DFCB"/>
    <w:rsid w:val="1AFECE6B"/>
    <w:rsid w:val="1B9DD532"/>
    <w:rsid w:val="1BC293C2"/>
    <w:rsid w:val="1BF1FA6F"/>
    <w:rsid w:val="1D993099"/>
    <w:rsid w:val="1E5D0046"/>
    <w:rsid w:val="1FBBEDB1"/>
    <w:rsid w:val="1FE2537E"/>
    <w:rsid w:val="20389C18"/>
    <w:rsid w:val="2052716C"/>
    <w:rsid w:val="207CE144"/>
    <w:rsid w:val="2110EABB"/>
    <w:rsid w:val="21568858"/>
    <w:rsid w:val="21C8E951"/>
    <w:rsid w:val="21D0D193"/>
    <w:rsid w:val="228B6A57"/>
    <w:rsid w:val="23E558DB"/>
    <w:rsid w:val="24463ECD"/>
    <w:rsid w:val="244A2FC6"/>
    <w:rsid w:val="2609A2F3"/>
    <w:rsid w:val="264A5927"/>
    <w:rsid w:val="26591036"/>
    <w:rsid w:val="265F8EB0"/>
    <w:rsid w:val="275E30E7"/>
    <w:rsid w:val="27715100"/>
    <w:rsid w:val="28E6686C"/>
    <w:rsid w:val="296D2E44"/>
    <w:rsid w:val="29BDABAA"/>
    <w:rsid w:val="2A09F721"/>
    <w:rsid w:val="2A1EBF02"/>
    <w:rsid w:val="2A3E2363"/>
    <w:rsid w:val="2AB8E519"/>
    <w:rsid w:val="2B9E9AA6"/>
    <w:rsid w:val="2C0BCA27"/>
    <w:rsid w:val="2C84A215"/>
    <w:rsid w:val="2CD1DF59"/>
    <w:rsid w:val="2CFD9D14"/>
    <w:rsid w:val="2D886861"/>
    <w:rsid w:val="2DC08173"/>
    <w:rsid w:val="2E763228"/>
    <w:rsid w:val="2E805AD0"/>
    <w:rsid w:val="2F0A1C5D"/>
    <w:rsid w:val="2F0F79F3"/>
    <w:rsid w:val="2F417150"/>
    <w:rsid w:val="30AD57D7"/>
    <w:rsid w:val="31597E0F"/>
    <w:rsid w:val="322BA0CE"/>
    <w:rsid w:val="32DBFF22"/>
    <w:rsid w:val="331C1838"/>
    <w:rsid w:val="37C6C01A"/>
    <w:rsid w:val="389B4B83"/>
    <w:rsid w:val="38F2EFB5"/>
    <w:rsid w:val="3AC1F5BB"/>
    <w:rsid w:val="3B75F5A1"/>
    <w:rsid w:val="3C023C48"/>
    <w:rsid w:val="3D7E508F"/>
    <w:rsid w:val="3E0BD453"/>
    <w:rsid w:val="3F3FA5AC"/>
    <w:rsid w:val="3F6B1440"/>
    <w:rsid w:val="40714BAA"/>
    <w:rsid w:val="40714BAA"/>
    <w:rsid w:val="4158BEE7"/>
    <w:rsid w:val="4288A55A"/>
    <w:rsid w:val="42AACEF3"/>
    <w:rsid w:val="42CC3D31"/>
    <w:rsid w:val="42DE26D6"/>
    <w:rsid w:val="432694A6"/>
    <w:rsid w:val="44231FC4"/>
    <w:rsid w:val="449F346B"/>
    <w:rsid w:val="45792CFA"/>
    <w:rsid w:val="457BAE01"/>
    <w:rsid w:val="45B20ADB"/>
    <w:rsid w:val="45B9AFFA"/>
    <w:rsid w:val="463E93E9"/>
    <w:rsid w:val="47299E33"/>
    <w:rsid w:val="4745BD8E"/>
    <w:rsid w:val="47BCD2C2"/>
    <w:rsid w:val="4876B197"/>
    <w:rsid w:val="489BAA22"/>
    <w:rsid w:val="49CEAC15"/>
    <w:rsid w:val="49DDB765"/>
    <w:rsid w:val="49EFEB18"/>
    <w:rsid w:val="4AD63FFD"/>
    <w:rsid w:val="4BA46F43"/>
    <w:rsid w:val="4C2904F2"/>
    <w:rsid w:val="4D7257EA"/>
    <w:rsid w:val="4D7D59DB"/>
    <w:rsid w:val="4E9DE36A"/>
    <w:rsid w:val="4EF3C394"/>
    <w:rsid w:val="4F5DF013"/>
    <w:rsid w:val="50149FD1"/>
    <w:rsid w:val="507F71C2"/>
    <w:rsid w:val="5082E065"/>
    <w:rsid w:val="5124F2E5"/>
    <w:rsid w:val="53F51417"/>
    <w:rsid w:val="549D222C"/>
    <w:rsid w:val="54ACAFF9"/>
    <w:rsid w:val="54EFCD82"/>
    <w:rsid w:val="55167967"/>
    <w:rsid w:val="553BF4DE"/>
    <w:rsid w:val="55495294"/>
    <w:rsid w:val="55E00996"/>
    <w:rsid w:val="564108F8"/>
    <w:rsid w:val="56D5F7C6"/>
    <w:rsid w:val="57933F1F"/>
    <w:rsid w:val="5841794F"/>
    <w:rsid w:val="586F5E7E"/>
    <w:rsid w:val="58F08443"/>
    <w:rsid w:val="599F9904"/>
    <w:rsid w:val="5AAB06B5"/>
    <w:rsid w:val="5B7BEBD8"/>
    <w:rsid w:val="5D742341"/>
    <w:rsid w:val="5D79B9CA"/>
    <w:rsid w:val="5DA9A5A0"/>
    <w:rsid w:val="5DED65C0"/>
    <w:rsid w:val="5F9876C6"/>
    <w:rsid w:val="5FC2FCAE"/>
    <w:rsid w:val="5FC8D9BD"/>
    <w:rsid w:val="5FD0CEFE"/>
    <w:rsid w:val="6142360F"/>
    <w:rsid w:val="61D6DCD4"/>
    <w:rsid w:val="62F84B67"/>
    <w:rsid w:val="634478AA"/>
    <w:rsid w:val="63481354"/>
    <w:rsid w:val="646380C6"/>
    <w:rsid w:val="65354234"/>
    <w:rsid w:val="658C4D70"/>
    <w:rsid w:val="65C4AEA4"/>
    <w:rsid w:val="66028881"/>
    <w:rsid w:val="6625F9A8"/>
    <w:rsid w:val="6689A707"/>
    <w:rsid w:val="66A4FCC9"/>
    <w:rsid w:val="672F0A66"/>
    <w:rsid w:val="67CBE7FE"/>
    <w:rsid w:val="684C19A3"/>
    <w:rsid w:val="6890E33A"/>
    <w:rsid w:val="68E1EB07"/>
    <w:rsid w:val="6914085E"/>
    <w:rsid w:val="6952C081"/>
    <w:rsid w:val="699A9ECE"/>
    <w:rsid w:val="69C40F48"/>
    <w:rsid w:val="69C8298B"/>
    <w:rsid w:val="69EC959E"/>
    <w:rsid w:val="6A32550A"/>
    <w:rsid w:val="6A82C008"/>
    <w:rsid w:val="6ABCE8BB"/>
    <w:rsid w:val="6B94B19C"/>
    <w:rsid w:val="6EC00AFD"/>
    <w:rsid w:val="6FB447FE"/>
    <w:rsid w:val="6FEA2137"/>
    <w:rsid w:val="6FF4EF0B"/>
    <w:rsid w:val="700F5714"/>
    <w:rsid w:val="7049F414"/>
    <w:rsid w:val="72664CA2"/>
    <w:rsid w:val="72DCD8A7"/>
    <w:rsid w:val="732F4CFF"/>
    <w:rsid w:val="740F3CAB"/>
    <w:rsid w:val="748FF0A3"/>
    <w:rsid w:val="74B1CCED"/>
    <w:rsid w:val="753739DC"/>
    <w:rsid w:val="764C0473"/>
    <w:rsid w:val="76CD6C4E"/>
    <w:rsid w:val="7748842E"/>
    <w:rsid w:val="799C1A01"/>
    <w:rsid w:val="7BFA04B3"/>
    <w:rsid w:val="7C1FBCED"/>
    <w:rsid w:val="7DC81222"/>
    <w:rsid w:val="7F7E9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65762"/>
  <w15:chartTrackingRefBased/>
  <w15:docId w15:val="{6AA8A7D9-76FD-49C7-B6EA-1A766062F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33DA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3DA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33D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3D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3D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3D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3D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3D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3DA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33DA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333DA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333DA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33DA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33DA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33DA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33DA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33DA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33DAC"/>
    <w:rPr>
      <w:rFonts w:eastAsiaTheme="majorEastAsia" w:cstheme="majorBidi"/>
      <w:color w:val="272727" w:themeColor="text1" w:themeTint="D8"/>
    </w:rPr>
  </w:style>
  <w:style w:type="paragraph" w:styleId="Title">
    <w:name w:val="Title"/>
    <w:basedOn w:val="Normal"/>
    <w:next w:val="Normal"/>
    <w:link w:val="TitleChar"/>
    <w:uiPriority w:val="10"/>
    <w:qFormat/>
    <w:rsid w:val="00333DA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33DA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33DA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33D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3DAC"/>
    <w:pPr>
      <w:spacing w:before="160"/>
      <w:jc w:val="center"/>
    </w:pPr>
    <w:rPr>
      <w:i/>
      <w:iCs/>
      <w:color w:val="404040" w:themeColor="text1" w:themeTint="BF"/>
    </w:rPr>
  </w:style>
  <w:style w:type="character" w:styleId="QuoteChar" w:customStyle="1">
    <w:name w:val="Quote Char"/>
    <w:basedOn w:val="DefaultParagraphFont"/>
    <w:link w:val="Quote"/>
    <w:uiPriority w:val="29"/>
    <w:rsid w:val="00333DAC"/>
    <w:rPr>
      <w:i/>
      <w:iCs/>
      <w:color w:val="404040" w:themeColor="text1" w:themeTint="BF"/>
    </w:rPr>
  </w:style>
  <w:style w:type="paragraph" w:styleId="ListParagraph">
    <w:name w:val="List Paragraph"/>
    <w:basedOn w:val="Normal"/>
    <w:uiPriority w:val="34"/>
    <w:qFormat/>
    <w:rsid w:val="00333DAC"/>
    <w:pPr>
      <w:ind w:left="720"/>
      <w:contextualSpacing/>
    </w:pPr>
  </w:style>
  <w:style w:type="character" w:styleId="IntenseEmphasis">
    <w:name w:val="Intense Emphasis"/>
    <w:basedOn w:val="DefaultParagraphFont"/>
    <w:uiPriority w:val="21"/>
    <w:qFormat/>
    <w:rsid w:val="00333DAC"/>
    <w:rPr>
      <w:i/>
      <w:iCs/>
      <w:color w:val="0F4761" w:themeColor="accent1" w:themeShade="BF"/>
    </w:rPr>
  </w:style>
  <w:style w:type="paragraph" w:styleId="IntenseQuote">
    <w:name w:val="Intense Quote"/>
    <w:basedOn w:val="Normal"/>
    <w:next w:val="Normal"/>
    <w:link w:val="IntenseQuoteChar"/>
    <w:uiPriority w:val="30"/>
    <w:qFormat/>
    <w:rsid w:val="00333DA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33DAC"/>
    <w:rPr>
      <w:i/>
      <w:iCs/>
      <w:color w:val="0F4761" w:themeColor="accent1" w:themeShade="BF"/>
    </w:rPr>
  </w:style>
  <w:style w:type="character" w:styleId="IntenseReference">
    <w:name w:val="Intense Reference"/>
    <w:basedOn w:val="DefaultParagraphFont"/>
    <w:uiPriority w:val="32"/>
    <w:qFormat/>
    <w:rsid w:val="00333DAC"/>
    <w:rPr>
      <w:b/>
      <w:bCs/>
      <w:smallCaps/>
      <w:color w:val="0F4761" w:themeColor="accent1" w:themeShade="BF"/>
      <w:spacing w:val="5"/>
    </w:rPr>
  </w:style>
  <w:style w:type="character" w:styleId="Hyperlink">
    <w:name w:val="Hyperlink"/>
    <w:basedOn w:val="DefaultParagraphFont"/>
    <w:uiPriority w:val="99"/>
    <w:unhideWhenUsed/>
    <w:rsid w:val="00BB136C"/>
    <w:rPr>
      <w:color w:val="467886" w:themeColor="hyperlink"/>
      <w:u w:val="single"/>
    </w:rPr>
  </w:style>
  <w:style w:type="character" w:styleId="UnresolvedMention">
    <w:name w:val="Unresolved Mention"/>
    <w:basedOn w:val="DefaultParagraphFont"/>
    <w:uiPriority w:val="99"/>
    <w:semiHidden/>
    <w:unhideWhenUsed/>
    <w:rsid w:val="00BB136C"/>
    <w:rPr>
      <w:color w:val="605E5C"/>
      <w:shd w:val="clear" w:color="auto" w:fill="E1DFDD"/>
    </w:rPr>
  </w:style>
  <w:style w:type="paragraph" w:styleId="Header">
    <w:name w:val="header"/>
    <w:basedOn w:val="Normal"/>
    <w:link w:val="HeaderChar"/>
    <w:uiPriority w:val="99"/>
    <w:unhideWhenUsed/>
    <w:rsid w:val="00D442DF"/>
    <w:pPr>
      <w:tabs>
        <w:tab w:val="center" w:pos="4513"/>
        <w:tab w:val="right" w:pos="9026"/>
      </w:tabs>
      <w:spacing w:after="0" w:line="240" w:lineRule="auto"/>
    </w:pPr>
  </w:style>
  <w:style w:type="character" w:styleId="HeaderChar" w:customStyle="1">
    <w:name w:val="Header Char"/>
    <w:basedOn w:val="DefaultParagraphFont"/>
    <w:link w:val="Header"/>
    <w:uiPriority w:val="99"/>
    <w:rsid w:val="00D442DF"/>
  </w:style>
  <w:style w:type="paragraph" w:styleId="Footer">
    <w:name w:val="footer"/>
    <w:basedOn w:val="Normal"/>
    <w:link w:val="FooterChar"/>
    <w:uiPriority w:val="99"/>
    <w:unhideWhenUsed/>
    <w:rsid w:val="00D442DF"/>
    <w:pPr>
      <w:tabs>
        <w:tab w:val="center" w:pos="4513"/>
        <w:tab w:val="right" w:pos="9026"/>
      </w:tabs>
      <w:spacing w:after="0" w:line="240" w:lineRule="auto"/>
    </w:pPr>
  </w:style>
  <w:style w:type="character" w:styleId="FooterChar" w:customStyle="1">
    <w:name w:val="Footer Char"/>
    <w:basedOn w:val="DefaultParagraphFont"/>
    <w:link w:val="Footer"/>
    <w:uiPriority w:val="99"/>
    <w:rsid w:val="00D442DF"/>
  </w:style>
  <w:style w:type="paragraph" w:styleId="TOCHeading">
    <w:name w:val="TOC Heading"/>
    <w:basedOn w:val="Heading1"/>
    <w:next w:val="Normal"/>
    <w:uiPriority w:val="39"/>
    <w:unhideWhenUsed/>
    <w:qFormat/>
    <w:rsid w:val="00524FD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524FD5"/>
    <w:pPr>
      <w:spacing w:after="100"/>
    </w:pPr>
  </w:style>
  <w:style w:type="paragraph" w:styleId="TOC2">
    <w:name w:val="toc 2"/>
    <w:basedOn w:val="Normal"/>
    <w:next w:val="Normal"/>
    <w:autoRedefine/>
    <w:uiPriority w:val="39"/>
    <w:unhideWhenUsed/>
    <w:rsid w:val="00524FD5"/>
    <w:pPr>
      <w:spacing w:after="100"/>
      <w:ind w:left="220"/>
    </w:pPr>
  </w:style>
  <w:style w:type="paragraph" w:styleId="TOC3">
    <w:name w:val="toc 3"/>
    <w:basedOn w:val="Normal"/>
    <w:next w:val="Normal"/>
    <w:autoRedefine/>
    <w:uiPriority w:val="39"/>
    <w:unhideWhenUsed/>
    <w:rsid w:val="00524FD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hyperlink" Target="https://www.gov.uk/government/news/new-rules-to-prioritise-recruiting-care-workers-in-england" TargetMode="External" Id="rId21"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hyperlink" Target="https://www.gov.uk/health-care-worker-visa" TargetMode="External"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fontTable" Target="fontTable.xml" Id="rId24" /><Relationship Type="http://schemas.openxmlformats.org/officeDocument/2006/relationships/numbering" Target="numbering.xml" Id="rId5" /><Relationship Type="http://schemas.openxmlformats.org/officeDocument/2006/relationships/footer" Target="footer1.xml" Id="rId23" /><Relationship Type="http://schemas.openxmlformats.org/officeDocument/2006/relationships/endnotes" Target="endnotes.xml" Id="rId10" /><Relationship Type="http://schemas.openxmlformats.org/officeDocument/2006/relationships/hyperlink" Target="https://www.ilo.org/sites/default/files/2024-10/Migrant%20Workers%20in%20the%20Care%20Economy_Note_2024_Final.pdf"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yalejournal.org/publications/on-global-care-chains-in-a-deglobalizing-world" TargetMode="External" Id="Re6ae31151f924c87" /><Relationship Type="http://schemas.openxmlformats.org/officeDocument/2006/relationships/hyperlink" Target="https://eurodiaconia.org/wp-content/uploads/2025/04/Migrant-Care-Workers-Report.pdf" TargetMode="External" Id="R066510c91d1f4f84" /><Relationship Type="http://schemas.openxmlformats.org/officeDocument/2006/relationships/hyperlink" Target="https://doi.org/10.1093/bjsw/bcr042." TargetMode="External" Id="Rc5388e586f5c41ba" /><Relationship Type="http://schemas.openxmlformats.org/officeDocument/2006/relationships/hyperlink" Target="https://www.infomigrants.net/en/post/65812/changes-in-the-uk-health-and-care-worker-visa--what-you-need-to-know" TargetMode="External" Id="R1159f161dce5444b" /><Relationship Type="http://schemas.openxmlformats.org/officeDocument/2006/relationships/hyperlink" Target="https://www.context.news/socioeconomic-inclusion/why-does-britain-rely-on-migrant-care-workers?utm_source=copy-url&amp;utm_medium=share&amp;utm_campaign=context-share" TargetMode="External" Id="R4a5ce4fcf4c642f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b6b4bdf9efda73e494027cb77051d55d">
  <xsd:schema xmlns:xsd="http://www.w3.org/2001/XMLSchema" xmlns:xs="http://www.w3.org/2001/XMLSchema" xmlns:p="http://schemas.microsoft.com/office/2006/metadata/properties" xmlns:ns3="bf244c3e-e0b4-4871-bb4e-fd032a14544d" targetNamespace="http://schemas.microsoft.com/office/2006/metadata/properties" ma:root="true" ma:fieldsID="1a9f4826b4d5161ff4200e3f719eee0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87FDEC76-E6BB-4D72-88E3-CF1256F2FE4B}">
  <ds:schemaRefs>
    <ds:schemaRef ds:uri="http://schemas.openxmlformats.org/officeDocument/2006/bibliography"/>
  </ds:schemaRefs>
</ds:datastoreItem>
</file>

<file path=customXml/itemProps2.xml><?xml version="1.0" encoding="utf-8"?>
<ds:datastoreItem xmlns:ds="http://schemas.openxmlformats.org/officeDocument/2006/customXml" ds:itemID="{F4BD99C2-AFB6-4F43-8283-28C71B46E4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E89D23-4366-46DB-AA15-8A494ED5391E}">
  <ds:schemaRefs>
    <ds:schemaRef ds:uri="http://schemas.microsoft.com/sharepoint/v3/contenttype/forms"/>
  </ds:schemaRefs>
</ds:datastoreItem>
</file>

<file path=customXml/itemProps4.xml><?xml version="1.0" encoding="utf-8"?>
<ds:datastoreItem xmlns:ds="http://schemas.openxmlformats.org/officeDocument/2006/customXml" ds:itemID="{8E095B26-8746-4440-94FF-4DEC69DD42A9}">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Lourdes Fabre</dc:creator>
  <keywords/>
  <dc:description/>
  <lastModifiedBy>Lourdes Cristina Fabre (2412080)</lastModifiedBy>
  <revision>10</revision>
  <dcterms:created xsi:type="dcterms:W3CDTF">2025-12-11T09:48:00.0000000Z</dcterms:created>
  <dcterms:modified xsi:type="dcterms:W3CDTF">2025-12-16T19:25:15.5491226Z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