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4884A6" w14:textId="7F69924D" w:rsidR="00B131C9" w:rsidRDefault="00DD5535" w:rsidP="00E24950">
      <w:pPr>
        <w:jc w:val="both"/>
      </w:pPr>
    </w:p>
    <w:p w14:paraId="101E8199" w14:textId="0C25B88A" w:rsidR="00E24950" w:rsidRPr="004E17C1" w:rsidRDefault="00E24950" w:rsidP="00E24950">
      <w:pPr>
        <w:jc w:val="both"/>
        <w:rPr>
          <w:rFonts w:ascii="Arial" w:hAnsi="Arial" w:cs="Arial"/>
          <w:sz w:val="20"/>
          <w:szCs w:val="20"/>
          <w:u w:val="single"/>
        </w:rPr>
      </w:pPr>
      <w:r w:rsidRPr="004E17C1">
        <w:rPr>
          <w:rFonts w:ascii="Arial" w:hAnsi="Arial" w:cs="Arial"/>
          <w:sz w:val="20"/>
          <w:szCs w:val="20"/>
          <w:u w:val="single"/>
        </w:rPr>
        <w:t>Section One</w:t>
      </w:r>
    </w:p>
    <w:p w14:paraId="1E253291" w14:textId="4C55A0D2" w:rsidR="00E24950" w:rsidRPr="004E17C1" w:rsidRDefault="00E24950" w:rsidP="002217E9">
      <w:pPr>
        <w:spacing w:line="360" w:lineRule="auto"/>
        <w:jc w:val="both"/>
        <w:rPr>
          <w:rFonts w:ascii="Arial" w:hAnsi="Arial" w:cs="Arial"/>
          <w:sz w:val="20"/>
          <w:szCs w:val="20"/>
        </w:rPr>
      </w:pPr>
    </w:p>
    <w:p w14:paraId="386D7997" w14:textId="0D0C2876" w:rsidR="000C4805" w:rsidRPr="004E17C1" w:rsidRDefault="00DD008D" w:rsidP="007915C3">
      <w:pPr>
        <w:spacing w:line="360" w:lineRule="auto"/>
        <w:jc w:val="both"/>
        <w:rPr>
          <w:rFonts w:ascii="Arial" w:hAnsi="Arial" w:cs="Arial"/>
          <w:sz w:val="20"/>
          <w:szCs w:val="20"/>
        </w:rPr>
      </w:pPr>
      <w:r w:rsidRPr="004E17C1">
        <w:rPr>
          <w:rFonts w:ascii="Arial" w:hAnsi="Arial" w:cs="Arial"/>
          <w:sz w:val="20"/>
          <w:szCs w:val="20"/>
        </w:rPr>
        <w:t xml:space="preserve">Play within the early years has a great significance on a child’s development and well-being, it is a way of learning for a child that can be seen by them as enjoyable but also allows them to develop skills needed for adult life. </w:t>
      </w:r>
      <w:r w:rsidR="00DB3C52" w:rsidRPr="004E17C1">
        <w:rPr>
          <w:rFonts w:ascii="Arial" w:hAnsi="Arial" w:cs="Arial"/>
          <w:sz w:val="20"/>
          <w:szCs w:val="20"/>
        </w:rPr>
        <w:t xml:space="preserve">Play is something that is human right for children, this can be seen under Article 31 of the United Nations Convention for the Rights of the Child </w:t>
      </w:r>
      <w:r w:rsidR="00244654" w:rsidRPr="004E17C1">
        <w:rPr>
          <w:rFonts w:ascii="Arial" w:hAnsi="Arial" w:cs="Arial"/>
          <w:sz w:val="20"/>
          <w:szCs w:val="20"/>
        </w:rPr>
        <w:t>UNICEF</w:t>
      </w:r>
      <w:r w:rsidR="00DB3C52" w:rsidRPr="004E17C1">
        <w:rPr>
          <w:rFonts w:ascii="Arial" w:hAnsi="Arial" w:cs="Arial"/>
          <w:sz w:val="20"/>
          <w:szCs w:val="20"/>
        </w:rPr>
        <w:t xml:space="preserve"> UK. (n.d.). </w:t>
      </w:r>
      <w:r w:rsidRPr="004E17C1">
        <w:rPr>
          <w:rFonts w:ascii="Arial" w:hAnsi="Arial" w:cs="Arial"/>
          <w:sz w:val="20"/>
          <w:szCs w:val="20"/>
        </w:rPr>
        <w:t>Play is also crucial for children to be able to build a sense of self-worth through using their abilities; this can also improve self-esteem for a child. (Family Lives, 2018) Play is also seen as a crucial element of child development. (Brėdikytė, 2015) According to Play Wales (2019), All children need to play; it is a necessity in childhood. There is no definitive definition of play; however, there are many explanations of what play could mean or what it should be. “Play is a process that is freely chosen, personally directed and intrinsically motivated.” Play Wales (2019). The above quote highlights the importance of self-directed play within early childhood; children get to decide the rules and roles within their play. Adults can support self-directed play by allowing the children to lead their play. The adult should only intervene in the play if there is a concern for the children’s well-being or if the child has specifically asked them to join in with them. The adult should be prepared to take a step back during play so that the activity can be controlled and taken from the child’s point of view and driven by their motivation. (Play Wales, 2019) According to Moor (2008), play is directly linked to social development and the development of skills such as empathy, respect and co-operation.</w:t>
      </w:r>
    </w:p>
    <w:p w14:paraId="1FC8EC66" w14:textId="77777777" w:rsidR="00DD008D" w:rsidRPr="004E17C1" w:rsidRDefault="00DD008D" w:rsidP="007915C3">
      <w:pPr>
        <w:spacing w:line="360" w:lineRule="auto"/>
        <w:jc w:val="both"/>
        <w:rPr>
          <w:rFonts w:ascii="Arial" w:hAnsi="Arial" w:cs="Arial"/>
          <w:sz w:val="20"/>
          <w:szCs w:val="20"/>
        </w:rPr>
      </w:pPr>
    </w:p>
    <w:p w14:paraId="4889F776" w14:textId="12E7AACA" w:rsidR="000C4805" w:rsidRPr="004E17C1" w:rsidRDefault="00DD008D" w:rsidP="007915C3">
      <w:pPr>
        <w:spacing w:line="360" w:lineRule="auto"/>
        <w:jc w:val="both"/>
        <w:rPr>
          <w:rFonts w:ascii="Arial" w:hAnsi="Arial" w:cs="Arial"/>
          <w:sz w:val="20"/>
          <w:szCs w:val="20"/>
        </w:rPr>
      </w:pPr>
      <w:r w:rsidRPr="004E17C1">
        <w:rPr>
          <w:rFonts w:ascii="Arial" w:hAnsi="Arial" w:cs="Arial"/>
          <w:sz w:val="20"/>
          <w:szCs w:val="20"/>
        </w:rPr>
        <w:t>There are many different types of play that a child can take part in; an example of this is symbolic play. Symbolic play, which is also known as pretend play, is the ability for children to be able to use actions, ideas or objects to represent other things. For instance, a child may use a banana as a phone or assign roles within a play scenario. (California Department of Education, 2019). This type of play can be seen as a holistic type of play. This is because the child may play as an individual or in a group. When playing on their own, development of cognitive abilities such as imagination and creativity can be seen. Whereas when playing in a group, essential skills of negotiation, listening, sharing, and respecting others is seen. (Pellegrini, 2009) Many influential theorists have ideas which are centric to symbolic play. Sigmund Freud (1965) observed that pretend play can provide a safe space for children to explore and express their emotions and also learn to conciliate with them. (Russ and Wallace, 2013) Freud also considered that pretend play can be related to a child’s wish fulfilment. The theory of pretend play being linked to wish fulfilment is also an essential part of Vygotsky’s play theory. (Pellegrini, 2009)</w:t>
      </w:r>
    </w:p>
    <w:p w14:paraId="5C8FD29C" w14:textId="77777777" w:rsidR="00DD008D" w:rsidRPr="004E17C1" w:rsidRDefault="00DD008D" w:rsidP="007915C3">
      <w:pPr>
        <w:spacing w:line="360" w:lineRule="auto"/>
        <w:jc w:val="both"/>
        <w:rPr>
          <w:rFonts w:ascii="Arial" w:hAnsi="Arial" w:cs="Arial"/>
          <w:sz w:val="20"/>
          <w:szCs w:val="20"/>
        </w:rPr>
      </w:pPr>
    </w:p>
    <w:p w14:paraId="0B5DA5F1" w14:textId="3FA9A926" w:rsidR="00305DF8" w:rsidRPr="004E17C1" w:rsidRDefault="00DD008D" w:rsidP="007915C3">
      <w:pPr>
        <w:spacing w:line="360" w:lineRule="auto"/>
        <w:jc w:val="both"/>
        <w:rPr>
          <w:rFonts w:ascii="Arial" w:hAnsi="Arial" w:cs="Arial"/>
          <w:sz w:val="20"/>
          <w:szCs w:val="20"/>
        </w:rPr>
      </w:pPr>
      <w:r w:rsidRPr="004E17C1">
        <w:rPr>
          <w:rFonts w:ascii="Arial" w:hAnsi="Arial" w:cs="Arial"/>
          <w:sz w:val="20"/>
          <w:szCs w:val="20"/>
        </w:rPr>
        <w:t xml:space="preserve">Another example of a type of play which supports the development of a child is adventurous play. This type of play can be defined as an activity which can involve risk or be dangerous; it can develop their survival skills and allow them to overcome fear or anxiety. (Play Scotland, 2019) An example of risky play could be a child climbing a tree and the child then wanting to jump from the tree down to the floor. The risk involved with this activity would be injury from falling. Naturally, each child will have a different viewpoint on what risk play is and what is too dangerous for them to do. (Hansen Sandseter, 2007) We must also consider that cultural differences influence what risk is and what is not. Allowing the child to </w:t>
      </w:r>
      <w:r w:rsidRPr="004E17C1">
        <w:rPr>
          <w:rFonts w:ascii="Arial" w:hAnsi="Arial" w:cs="Arial"/>
          <w:sz w:val="20"/>
          <w:szCs w:val="20"/>
        </w:rPr>
        <w:lastRenderedPageBreak/>
        <w:t>choose how much risk they want to take during their play and how they will overcome the uncertainty or fear can be categorised as self-directed play. Risky play usually involves playing outdoors or physical activity at the least, therefore, participation in this type of play can benefit the development of their motor skills. Risky play can also help the development of their cognitive abilities, for example, problem solving, self-esteem and confidence. (Little, Sandseter and Wyver, 2012)</w:t>
      </w:r>
    </w:p>
    <w:p w14:paraId="6ACAF177" w14:textId="069E5A32" w:rsidR="0072169B" w:rsidRPr="004E17C1" w:rsidRDefault="0072169B" w:rsidP="007915C3">
      <w:pPr>
        <w:spacing w:line="360" w:lineRule="auto"/>
        <w:jc w:val="both"/>
        <w:rPr>
          <w:rFonts w:ascii="Arial" w:hAnsi="Arial" w:cs="Arial"/>
          <w:sz w:val="20"/>
          <w:szCs w:val="20"/>
        </w:rPr>
      </w:pPr>
    </w:p>
    <w:p w14:paraId="03F6DC4D" w14:textId="60CCF3AD" w:rsidR="0072169B" w:rsidRPr="004E17C1" w:rsidRDefault="0072169B" w:rsidP="007915C3">
      <w:pPr>
        <w:spacing w:line="360" w:lineRule="auto"/>
        <w:jc w:val="both"/>
        <w:rPr>
          <w:rFonts w:ascii="Arial" w:hAnsi="Arial" w:cs="Arial"/>
          <w:sz w:val="20"/>
          <w:szCs w:val="20"/>
          <w:u w:val="single"/>
        </w:rPr>
      </w:pPr>
      <w:r w:rsidRPr="004E17C1">
        <w:rPr>
          <w:rFonts w:ascii="Arial" w:hAnsi="Arial" w:cs="Arial"/>
          <w:sz w:val="20"/>
          <w:szCs w:val="20"/>
          <w:u w:val="single"/>
        </w:rPr>
        <w:t>Section Two</w:t>
      </w:r>
    </w:p>
    <w:p w14:paraId="4555CC21" w14:textId="19D90884" w:rsidR="001115A2" w:rsidRPr="004E17C1" w:rsidRDefault="00744F12" w:rsidP="007915C3">
      <w:pPr>
        <w:spacing w:line="360" w:lineRule="auto"/>
        <w:jc w:val="both"/>
        <w:rPr>
          <w:rFonts w:ascii="Arial" w:hAnsi="Arial" w:cs="Arial"/>
          <w:sz w:val="20"/>
          <w:szCs w:val="20"/>
        </w:rPr>
      </w:pPr>
      <w:r w:rsidRPr="004E17C1">
        <w:rPr>
          <w:rFonts w:ascii="Arial" w:hAnsi="Arial" w:cs="Arial"/>
          <w:sz w:val="20"/>
          <w:szCs w:val="20"/>
        </w:rPr>
        <w:t>Risk can be defined as “</w:t>
      </w:r>
      <w:r w:rsidRPr="004E17C1">
        <w:rPr>
          <w:rFonts w:ascii="Arial" w:hAnsi="Arial" w:cs="Arial"/>
          <w:i/>
          <w:iCs/>
          <w:sz w:val="20"/>
          <w:szCs w:val="20"/>
        </w:rPr>
        <w:t xml:space="preserve">an activity which there is uncertainty about the outcome…” </w:t>
      </w:r>
      <w:r w:rsidRPr="004E17C1">
        <w:rPr>
          <w:rFonts w:ascii="Arial" w:hAnsi="Arial" w:cs="Arial"/>
          <w:sz w:val="20"/>
          <w:szCs w:val="20"/>
        </w:rPr>
        <w:t xml:space="preserve">(Little, 2006) </w:t>
      </w:r>
      <w:r w:rsidR="0072169B" w:rsidRPr="004E17C1">
        <w:rPr>
          <w:rFonts w:ascii="Arial" w:hAnsi="Arial" w:cs="Arial"/>
          <w:sz w:val="20"/>
          <w:szCs w:val="20"/>
        </w:rPr>
        <w:t xml:space="preserve">Children need to have an element of risk present within their childhood and especially within play, this is because exposure to potential risk </w:t>
      </w:r>
      <w:r w:rsidR="002613EB" w:rsidRPr="004E17C1">
        <w:rPr>
          <w:rFonts w:ascii="Arial" w:hAnsi="Arial" w:cs="Arial"/>
          <w:sz w:val="20"/>
          <w:szCs w:val="20"/>
        </w:rPr>
        <w:t xml:space="preserve">develop their risk-taking skills and learn how to cope in risky situations. (Brussoni et al. 2012) </w:t>
      </w:r>
      <w:r w:rsidR="0056706F" w:rsidRPr="004E17C1">
        <w:rPr>
          <w:rFonts w:ascii="Arial" w:hAnsi="Arial" w:cs="Arial"/>
          <w:sz w:val="20"/>
          <w:szCs w:val="20"/>
        </w:rPr>
        <w:t>The Welsh Government (2002) recognised the importance of controlled risk within play and that children have a natural desire to take part in risky activities as doing so can be beneficial for development.</w:t>
      </w:r>
      <w:r w:rsidR="005F5A32" w:rsidRPr="004E17C1">
        <w:rPr>
          <w:rFonts w:ascii="Arial" w:hAnsi="Arial" w:cs="Arial"/>
          <w:sz w:val="20"/>
          <w:szCs w:val="20"/>
        </w:rPr>
        <w:t xml:space="preserve"> There are a variety of different skills that risk-taking activity can develop, these may include but are not limited to; managing risk and avoiding injury, self-awareness, self-confidence, independence, perseverance, motor skills, conflict resolving and social interaction. (Cevher-Kalburan and Ivrendi, 2015).</w:t>
      </w:r>
      <w:r w:rsidR="00383348" w:rsidRPr="004E17C1">
        <w:rPr>
          <w:rFonts w:ascii="Arial" w:hAnsi="Arial" w:cs="Arial"/>
          <w:sz w:val="20"/>
          <w:szCs w:val="20"/>
        </w:rPr>
        <w:t xml:space="preserve"> Risky play or rough and tumble play is usually found to be done outdoors, this is due to the fact that there is more open space, a range of terrain and the general dynamic nature of the outdoors. According to Play Scotland (2018)</w:t>
      </w:r>
      <w:r w:rsidR="00215064" w:rsidRPr="004E17C1">
        <w:rPr>
          <w:rFonts w:ascii="Arial" w:hAnsi="Arial" w:cs="Arial"/>
          <w:sz w:val="20"/>
          <w:szCs w:val="20"/>
        </w:rPr>
        <w:t xml:space="preserve">, outdoor play can improve a child’s fine and gross motor skills, development of muscle strength and it is related to the improvement and development of other skills. </w:t>
      </w:r>
    </w:p>
    <w:p w14:paraId="36286D2C" w14:textId="47F0F3D2" w:rsidR="007A3B06" w:rsidRPr="004E17C1" w:rsidRDefault="007A3B06" w:rsidP="007915C3">
      <w:pPr>
        <w:spacing w:line="360" w:lineRule="auto"/>
        <w:jc w:val="both"/>
        <w:rPr>
          <w:rFonts w:ascii="Arial" w:hAnsi="Arial" w:cs="Arial"/>
          <w:sz w:val="20"/>
          <w:szCs w:val="20"/>
        </w:rPr>
      </w:pPr>
    </w:p>
    <w:p w14:paraId="01C69A08" w14:textId="3628B2D0" w:rsidR="007A3B06" w:rsidRPr="004E17C1" w:rsidRDefault="007A3B06" w:rsidP="007915C3">
      <w:pPr>
        <w:spacing w:line="360" w:lineRule="auto"/>
        <w:jc w:val="both"/>
        <w:rPr>
          <w:rFonts w:ascii="Arial" w:hAnsi="Arial" w:cs="Arial"/>
          <w:sz w:val="20"/>
          <w:szCs w:val="20"/>
        </w:rPr>
      </w:pPr>
      <w:r w:rsidRPr="004E17C1">
        <w:rPr>
          <w:rFonts w:ascii="Arial" w:hAnsi="Arial" w:cs="Arial"/>
          <w:sz w:val="20"/>
          <w:szCs w:val="20"/>
        </w:rPr>
        <w:t xml:space="preserve">An example of outdoor play which has been implemented into the curriculum or general education system is a Forest School. These are schools which conduct their learning through the use of outdoor space and natural resources. According to The Forest School Association (n.d.) the schools are an ‘inspirational process’ which gives children the opportunity to develop their self-esteem and confidence. The forest school ethos is shared with many practitioners worldwide; this ethos is shown in an educational video titled “Kids Gone Wild” by SBS Dateline. (2016) The video shows </w:t>
      </w:r>
      <w:r w:rsidR="00F742FE" w:rsidRPr="004E17C1">
        <w:rPr>
          <w:rFonts w:ascii="Arial" w:hAnsi="Arial" w:cs="Arial"/>
          <w:sz w:val="20"/>
          <w:szCs w:val="20"/>
        </w:rPr>
        <w:t xml:space="preserve">a Danish Kindergarten with </w:t>
      </w:r>
      <w:r w:rsidRPr="004E17C1">
        <w:rPr>
          <w:rFonts w:ascii="Arial" w:hAnsi="Arial" w:cs="Arial"/>
          <w:sz w:val="20"/>
          <w:szCs w:val="20"/>
        </w:rPr>
        <w:t xml:space="preserve">children freely playing outdoors, climbing up trees, using knives to carve </w:t>
      </w:r>
      <w:r w:rsidR="00F742FE" w:rsidRPr="004E17C1">
        <w:rPr>
          <w:rFonts w:ascii="Arial" w:hAnsi="Arial" w:cs="Arial"/>
          <w:sz w:val="20"/>
          <w:szCs w:val="20"/>
        </w:rPr>
        <w:t xml:space="preserve">wood into tools, running around on their own. The idea of the video demonstrates that children are able to cope in risky situations on their own just fine and that they don’t need adults to wrap them up in cotton wool so to speak. </w:t>
      </w:r>
    </w:p>
    <w:p w14:paraId="1031A807" w14:textId="77777777" w:rsidR="001115A2" w:rsidRPr="004E17C1" w:rsidRDefault="001115A2" w:rsidP="007915C3">
      <w:pPr>
        <w:spacing w:line="360" w:lineRule="auto"/>
        <w:jc w:val="both"/>
        <w:rPr>
          <w:rFonts w:ascii="Arial" w:hAnsi="Arial" w:cs="Arial"/>
          <w:sz w:val="20"/>
          <w:szCs w:val="20"/>
        </w:rPr>
      </w:pPr>
    </w:p>
    <w:p w14:paraId="31AD14BB" w14:textId="0C4BF317" w:rsidR="0072169B" w:rsidRPr="004E17C1" w:rsidRDefault="00556798" w:rsidP="007915C3">
      <w:pPr>
        <w:spacing w:line="360" w:lineRule="auto"/>
        <w:jc w:val="both"/>
        <w:rPr>
          <w:rFonts w:ascii="Arial" w:hAnsi="Arial" w:cs="Arial"/>
          <w:sz w:val="20"/>
          <w:szCs w:val="20"/>
        </w:rPr>
      </w:pPr>
      <w:r w:rsidRPr="004E17C1">
        <w:rPr>
          <w:rFonts w:ascii="Arial" w:hAnsi="Arial" w:cs="Arial"/>
          <w:sz w:val="20"/>
          <w:szCs w:val="20"/>
        </w:rPr>
        <w:t>As adults, it is important for us to distinguish the difference between a risk and a hazard. Practitioners, key workers and all other adults involved with children have the responsibility of keeping children out of harm’s reach</w:t>
      </w:r>
      <w:r w:rsidR="001115A2" w:rsidRPr="004E17C1">
        <w:rPr>
          <w:rFonts w:ascii="Arial" w:hAnsi="Arial" w:cs="Arial"/>
          <w:sz w:val="20"/>
          <w:szCs w:val="20"/>
        </w:rPr>
        <w:t>. However, it must also be considered that ‘protecting’ a child too much from risk could limit the child’s opportunity for developing risk-taking skills. (Cevher-Kalburan and Ivrendi, 2015)</w:t>
      </w:r>
      <w:r w:rsidR="00744F12" w:rsidRPr="004E17C1">
        <w:rPr>
          <w:rFonts w:ascii="Arial" w:hAnsi="Arial" w:cs="Arial"/>
          <w:sz w:val="20"/>
          <w:szCs w:val="20"/>
        </w:rPr>
        <w:t xml:space="preserve">. </w:t>
      </w:r>
      <w:r w:rsidR="00477D53" w:rsidRPr="004E17C1">
        <w:rPr>
          <w:rFonts w:ascii="Arial" w:hAnsi="Arial" w:cs="Arial"/>
          <w:sz w:val="20"/>
          <w:szCs w:val="20"/>
        </w:rPr>
        <w:t xml:space="preserve">According to </w:t>
      </w:r>
      <w:r w:rsidR="00265004" w:rsidRPr="004E17C1">
        <w:rPr>
          <w:rFonts w:ascii="Arial" w:hAnsi="Arial" w:cs="Arial"/>
          <w:sz w:val="20"/>
          <w:szCs w:val="20"/>
        </w:rPr>
        <w:t xml:space="preserve">Play Safety Forum (2008) </w:t>
      </w:r>
      <w:r w:rsidR="00477D53" w:rsidRPr="004E17C1">
        <w:rPr>
          <w:rFonts w:ascii="Arial" w:hAnsi="Arial" w:cs="Arial"/>
          <w:sz w:val="20"/>
          <w:szCs w:val="20"/>
        </w:rPr>
        <w:t xml:space="preserve">taking the approach of “as safe as necessary, rather than as safe as possible” is particularly important when assessing risks within play. </w:t>
      </w:r>
      <w:r w:rsidR="00744F12" w:rsidRPr="004E17C1">
        <w:rPr>
          <w:rFonts w:ascii="Arial" w:hAnsi="Arial" w:cs="Arial"/>
          <w:sz w:val="20"/>
          <w:szCs w:val="20"/>
        </w:rPr>
        <w:t>When</w:t>
      </w:r>
      <w:r w:rsidR="00477D53" w:rsidRPr="004E17C1">
        <w:rPr>
          <w:rFonts w:ascii="Arial" w:hAnsi="Arial" w:cs="Arial"/>
          <w:sz w:val="20"/>
          <w:szCs w:val="20"/>
        </w:rPr>
        <w:t xml:space="preserve"> </w:t>
      </w:r>
      <w:r w:rsidR="00744F12" w:rsidRPr="004E17C1">
        <w:rPr>
          <w:rFonts w:ascii="Arial" w:hAnsi="Arial" w:cs="Arial"/>
          <w:sz w:val="20"/>
          <w:szCs w:val="20"/>
        </w:rPr>
        <w:t xml:space="preserve">incorporating risk into a play setting for children, adults are required to carefully plan any activity which involves an element of risk or could possibly be dangerous. </w:t>
      </w:r>
      <w:r w:rsidR="00F06470" w:rsidRPr="004E17C1">
        <w:rPr>
          <w:rFonts w:ascii="Arial" w:hAnsi="Arial" w:cs="Arial"/>
          <w:sz w:val="20"/>
          <w:szCs w:val="20"/>
        </w:rPr>
        <w:t xml:space="preserve">To be able to do this effectively, </w:t>
      </w:r>
      <w:r w:rsidR="00BC39D2" w:rsidRPr="004E17C1">
        <w:rPr>
          <w:rFonts w:ascii="Arial" w:hAnsi="Arial" w:cs="Arial"/>
          <w:sz w:val="20"/>
          <w:szCs w:val="20"/>
        </w:rPr>
        <w:t xml:space="preserve">practitioners are required to </w:t>
      </w:r>
      <w:r w:rsidR="00BC39D2" w:rsidRPr="004E17C1">
        <w:rPr>
          <w:rFonts w:ascii="Arial" w:hAnsi="Arial" w:cs="Arial"/>
          <w:sz w:val="20"/>
          <w:szCs w:val="20"/>
        </w:rPr>
        <w:lastRenderedPageBreak/>
        <w:t xml:space="preserve">undertake a risk assessment for all situations which could pose a risk or danger to a child. Local and national government bodies require risk assessments to be completed for these scenarios or activities. As well as being required by the government, many schools or education settings will have their own risk policy in place. </w:t>
      </w:r>
      <w:r w:rsidR="00EF2008" w:rsidRPr="004E17C1">
        <w:rPr>
          <w:rFonts w:ascii="Arial" w:hAnsi="Arial" w:cs="Arial"/>
          <w:sz w:val="20"/>
          <w:szCs w:val="20"/>
        </w:rPr>
        <w:t xml:space="preserve">Victoria State Government (2019) have a policy which requires day-to-day risk assessments for the infrastructure of the building, outside play areas, indoor play areas and classroom checks. </w:t>
      </w:r>
      <w:r w:rsidR="00F415F1" w:rsidRPr="004E17C1">
        <w:rPr>
          <w:rFonts w:ascii="Arial" w:hAnsi="Arial" w:cs="Arial"/>
          <w:sz w:val="20"/>
          <w:szCs w:val="20"/>
        </w:rPr>
        <w:t xml:space="preserve">They would also then follow the same structure of risk assessment for an individual activity such as a trip away from the school, or even going to the woods. The basic structure is as follows: </w:t>
      </w:r>
    </w:p>
    <w:p w14:paraId="58B98302" w14:textId="3AE7D6AA" w:rsidR="00F415F1" w:rsidRPr="004E17C1" w:rsidRDefault="00F415F1" w:rsidP="007915C3">
      <w:pPr>
        <w:pStyle w:val="ListParagraph"/>
        <w:numPr>
          <w:ilvl w:val="0"/>
          <w:numId w:val="1"/>
        </w:numPr>
        <w:spacing w:line="360" w:lineRule="auto"/>
        <w:jc w:val="both"/>
        <w:rPr>
          <w:rFonts w:ascii="Arial" w:hAnsi="Arial" w:cs="Arial"/>
          <w:sz w:val="20"/>
          <w:szCs w:val="20"/>
        </w:rPr>
      </w:pPr>
      <w:r w:rsidRPr="004E17C1">
        <w:rPr>
          <w:rFonts w:ascii="Arial" w:hAnsi="Arial" w:cs="Arial"/>
          <w:sz w:val="20"/>
          <w:szCs w:val="20"/>
        </w:rPr>
        <w:t xml:space="preserve">Establish the context of the risk assessment. </w:t>
      </w:r>
    </w:p>
    <w:p w14:paraId="6B22FA5E" w14:textId="4B24CFE2" w:rsidR="00F415F1" w:rsidRPr="004E17C1" w:rsidRDefault="00F415F1" w:rsidP="007915C3">
      <w:pPr>
        <w:pStyle w:val="ListParagraph"/>
        <w:numPr>
          <w:ilvl w:val="0"/>
          <w:numId w:val="1"/>
        </w:numPr>
        <w:spacing w:line="360" w:lineRule="auto"/>
        <w:jc w:val="both"/>
        <w:rPr>
          <w:rFonts w:ascii="Arial" w:hAnsi="Arial" w:cs="Arial"/>
          <w:sz w:val="20"/>
          <w:szCs w:val="20"/>
        </w:rPr>
      </w:pPr>
      <w:r w:rsidRPr="004E17C1">
        <w:rPr>
          <w:rFonts w:ascii="Arial" w:hAnsi="Arial" w:cs="Arial"/>
          <w:sz w:val="20"/>
          <w:szCs w:val="20"/>
        </w:rPr>
        <w:t>Identify</w:t>
      </w:r>
      <w:r w:rsidR="003172E7" w:rsidRPr="004E17C1">
        <w:rPr>
          <w:rFonts w:ascii="Arial" w:hAnsi="Arial" w:cs="Arial"/>
          <w:sz w:val="20"/>
          <w:szCs w:val="20"/>
        </w:rPr>
        <w:t>ing</w:t>
      </w:r>
      <w:r w:rsidRPr="004E17C1">
        <w:rPr>
          <w:rFonts w:ascii="Arial" w:hAnsi="Arial" w:cs="Arial"/>
          <w:sz w:val="20"/>
          <w:szCs w:val="20"/>
        </w:rPr>
        <w:t xml:space="preserve"> potential risks</w:t>
      </w:r>
      <w:r w:rsidR="003172E7" w:rsidRPr="004E17C1">
        <w:rPr>
          <w:rFonts w:ascii="Arial" w:hAnsi="Arial" w:cs="Arial"/>
          <w:sz w:val="20"/>
          <w:szCs w:val="20"/>
        </w:rPr>
        <w:t xml:space="preserve">, causes of risk, and any consequences </w:t>
      </w:r>
    </w:p>
    <w:p w14:paraId="5E47EF0F" w14:textId="0E831C76" w:rsidR="00CC1904" w:rsidRPr="004E17C1" w:rsidRDefault="00CC1904" w:rsidP="007915C3">
      <w:pPr>
        <w:pStyle w:val="ListParagraph"/>
        <w:numPr>
          <w:ilvl w:val="0"/>
          <w:numId w:val="1"/>
        </w:numPr>
        <w:spacing w:line="360" w:lineRule="auto"/>
        <w:jc w:val="both"/>
        <w:rPr>
          <w:rFonts w:ascii="Arial" w:hAnsi="Arial" w:cs="Arial"/>
          <w:sz w:val="20"/>
          <w:szCs w:val="20"/>
        </w:rPr>
      </w:pPr>
      <w:r w:rsidRPr="004E17C1">
        <w:rPr>
          <w:rFonts w:ascii="Arial" w:hAnsi="Arial" w:cs="Arial"/>
          <w:sz w:val="20"/>
          <w:szCs w:val="20"/>
        </w:rPr>
        <w:t xml:space="preserve">Determine the likelihood of the risk and the likely consequence. </w:t>
      </w:r>
    </w:p>
    <w:p w14:paraId="240C94B3" w14:textId="77777777" w:rsidR="00CC1904" w:rsidRPr="004E17C1" w:rsidRDefault="00CC1904" w:rsidP="007915C3">
      <w:pPr>
        <w:pStyle w:val="ListParagraph"/>
        <w:numPr>
          <w:ilvl w:val="0"/>
          <w:numId w:val="1"/>
        </w:numPr>
        <w:spacing w:line="360" w:lineRule="auto"/>
        <w:jc w:val="both"/>
        <w:rPr>
          <w:rFonts w:ascii="Arial" w:hAnsi="Arial" w:cs="Arial"/>
          <w:sz w:val="20"/>
          <w:szCs w:val="20"/>
        </w:rPr>
      </w:pPr>
      <w:r w:rsidRPr="004E17C1">
        <w:rPr>
          <w:rFonts w:ascii="Arial" w:hAnsi="Arial" w:cs="Arial"/>
          <w:sz w:val="20"/>
          <w:szCs w:val="20"/>
        </w:rPr>
        <w:t xml:space="preserve">Evaluate the level of risk that is proposed. Victoria State government recommend using the acceptability chart to compare the level of risk. </w:t>
      </w:r>
    </w:p>
    <w:p w14:paraId="56E7A3C5" w14:textId="74F91A9E" w:rsidR="00CC1904" w:rsidRPr="004E17C1" w:rsidRDefault="00CC1904" w:rsidP="007915C3">
      <w:pPr>
        <w:pStyle w:val="ListParagraph"/>
        <w:numPr>
          <w:ilvl w:val="0"/>
          <w:numId w:val="1"/>
        </w:numPr>
        <w:spacing w:line="360" w:lineRule="auto"/>
        <w:jc w:val="both"/>
        <w:rPr>
          <w:rFonts w:ascii="Arial" w:hAnsi="Arial" w:cs="Arial"/>
          <w:sz w:val="20"/>
          <w:szCs w:val="20"/>
        </w:rPr>
      </w:pPr>
      <w:r w:rsidRPr="004E17C1">
        <w:rPr>
          <w:rFonts w:ascii="Arial" w:hAnsi="Arial" w:cs="Arial"/>
          <w:sz w:val="20"/>
          <w:szCs w:val="20"/>
        </w:rPr>
        <w:t>Identifying treatment or resolution for the risk if necessary.</w:t>
      </w:r>
    </w:p>
    <w:p w14:paraId="137F1B68" w14:textId="4EA6BB20" w:rsidR="00CC1904" w:rsidRPr="004E17C1" w:rsidRDefault="00CC1904" w:rsidP="007915C3">
      <w:pPr>
        <w:pStyle w:val="ListParagraph"/>
        <w:numPr>
          <w:ilvl w:val="0"/>
          <w:numId w:val="1"/>
        </w:numPr>
        <w:spacing w:line="360" w:lineRule="auto"/>
        <w:jc w:val="both"/>
        <w:rPr>
          <w:rFonts w:ascii="Arial" w:hAnsi="Arial" w:cs="Arial"/>
          <w:sz w:val="20"/>
          <w:szCs w:val="20"/>
        </w:rPr>
      </w:pPr>
      <w:r w:rsidRPr="004E17C1">
        <w:rPr>
          <w:rFonts w:ascii="Arial" w:hAnsi="Arial" w:cs="Arial"/>
          <w:sz w:val="20"/>
          <w:szCs w:val="20"/>
        </w:rPr>
        <w:t xml:space="preserve">Communication at all stages of the risk assessment. </w:t>
      </w:r>
    </w:p>
    <w:p w14:paraId="6D65A29F" w14:textId="5BD59C1D" w:rsidR="00CC1904" w:rsidRPr="004E17C1" w:rsidRDefault="00CC1904" w:rsidP="007915C3">
      <w:pPr>
        <w:pStyle w:val="ListParagraph"/>
        <w:numPr>
          <w:ilvl w:val="0"/>
          <w:numId w:val="1"/>
        </w:numPr>
        <w:spacing w:line="360" w:lineRule="auto"/>
        <w:jc w:val="both"/>
        <w:rPr>
          <w:rFonts w:ascii="Arial" w:hAnsi="Arial" w:cs="Arial"/>
          <w:sz w:val="20"/>
          <w:szCs w:val="20"/>
        </w:rPr>
      </w:pPr>
      <w:r w:rsidRPr="004E17C1">
        <w:rPr>
          <w:rFonts w:ascii="Arial" w:hAnsi="Arial" w:cs="Arial"/>
          <w:sz w:val="20"/>
          <w:szCs w:val="20"/>
        </w:rPr>
        <w:t xml:space="preserve">Monitor and review the risk assessment. </w:t>
      </w:r>
    </w:p>
    <w:p w14:paraId="2CD2E2B9" w14:textId="3948CD72" w:rsidR="00FD5095" w:rsidRPr="004E17C1" w:rsidRDefault="00FD5095" w:rsidP="007915C3">
      <w:pPr>
        <w:spacing w:line="360" w:lineRule="auto"/>
        <w:jc w:val="both"/>
        <w:rPr>
          <w:rFonts w:ascii="Arial" w:hAnsi="Arial" w:cs="Arial"/>
          <w:sz w:val="20"/>
          <w:szCs w:val="20"/>
        </w:rPr>
      </w:pPr>
      <w:r w:rsidRPr="004E17C1">
        <w:rPr>
          <w:rFonts w:ascii="Arial" w:hAnsi="Arial" w:cs="Arial"/>
          <w:sz w:val="20"/>
          <w:szCs w:val="20"/>
        </w:rPr>
        <w:t xml:space="preserve">Another way of managing risk is the ABC model which was introduced by Play Wales </w:t>
      </w:r>
      <w:r w:rsidRPr="004E17C1">
        <w:rPr>
          <w:rFonts w:ascii="Arial" w:hAnsi="Arial" w:cs="Arial"/>
          <w:sz w:val="20"/>
          <w:szCs w:val="20"/>
        </w:rPr>
        <w:t>(Barclay, Bazley and Bullough, 2016)</w:t>
      </w:r>
      <w:r w:rsidRPr="004E17C1">
        <w:rPr>
          <w:rFonts w:ascii="Arial" w:hAnsi="Arial" w:cs="Arial"/>
          <w:sz w:val="20"/>
          <w:szCs w:val="20"/>
        </w:rPr>
        <w:t>. This entails</w:t>
      </w:r>
      <w:r w:rsidR="00BF1187" w:rsidRPr="004E17C1">
        <w:rPr>
          <w:rFonts w:ascii="Arial" w:hAnsi="Arial" w:cs="Arial"/>
          <w:sz w:val="20"/>
          <w:szCs w:val="20"/>
        </w:rPr>
        <w:t xml:space="preserve"> identifying actions that could cause harm; having an awareness of children who may have diminished awareness of risk and lack the ability to manage risk for themselves; setting context in which the risk assessment is for, an example of this would be identifying if certain scenarios have an increased likelihood of causing harm.</w:t>
      </w:r>
    </w:p>
    <w:p w14:paraId="0F7CFF1F" w14:textId="77777777" w:rsidR="00BF1187" w:rsidRPr="004E17C1" w:rsidRDefault="00BF1187" w:rsidP="007915C3">
      <w:pPr>
        <w:spacing w:line="360" w:lineRule="auto"/>
        <w:jc w:val="both"/>
        <w:rPr>
          <w:rFonts w:ascii="Arial" w:hAnsi="Arial" w:cs="Arial"/>
          <w:sz w:val="20"/>
          <w:szCs w:val="20"/>
        </w:rPr>
      </w:pPr>
    </w:p>
    <w:p w14:paraId="646EF2C9" w14:textId="38FE512D" w:rsidR="00C61C4D" w:rsidRPr="004E17C1" w:rsidRDefault="00C61C4D" w:rsidP="007915C3">
      <w:pPr>
        <w:spacing w:line="360" w:lineRule="auto"/>
        <w:jc w:val="both"/>
        <w:rPr>
          <w:rFonts w:ascii="Arial" w:hAnsi="Arial" w:cs="Arial"/>
          <w:sz w:val="20"/>
          <w:szCs w:val="20"/>
        </w:rPr>
      </w:pPr>
      <w:r w:rsidRPr="004E17C1">
        <w:rPr>
          <w:rFonts w:ascii="Arial" w:hAnsi="Arial" w:cs="Arial"/>
          <w:sz w:val="20"/>
          <w:szCs w:val="20"/>
        </w:rPr>
        <w:t xml:space="preserve">According to the UK Department </w:t>
      </w:r>
      <w:r w:rsidR="009E059E" w:rsidRPr="004E17C1">
        <w:rPr>
          <w:rFonts w:ascii="Arial" w:hAnsi="Arial" w:cs="Arial"/>
          <w:sz w:val="20"/>
          <w:szCs w:val="20"/>
        </w:rPr>
        <w:t>for</w:t>
      </w:r>
      <w:r w:rsidRPr="004E17C1">
        <w:rPr>
          <w:rFonts w:ascii="Arial" w:hAnsi="Arial" w:cs="Arial"/>
          <w:sz w:val="20"/>
          <w:szCs w:val="20"/>
        </w:rPr>
        <w:t xml:space="preserve"> Education</w:t>
      </w:r>
      <w:r w:rsidR="009E059E" w:rsidRPr="004E17C1">
        <w:rPr>
          <w:rFonts w:ascii="Arial" w:hAnsi="Arial" w:cs="Arial"/>
          <w:sz w:val="20"/>
          <w:szCs w:val="20"/>
        </w:rPr>
        <w:t xml:space="preserve"> (n.d.)</w:t>
      </w:r>
      <w:r w:rsidRPr="004E17C1">
        <w:rPr>
          <w:rFonts w:ascii="Arial" w:hAnsi="Arial" w:cs="Arial"/>
          <w:sz w:val="20"/>
          <w:szCs w:val="20"/>
        </w:rPr>
        <w:t>, all education settings must identify measures to control any risk. This is part of the law</w:t>
      </w:r>
      <w:r w:rsidR="009E059E" w:rsidRPr="004E17C1">
        <w:rPr>
          <w:rFonts w:ascii="Arial" w:hAnsi="Arial" w:cs="Arial"/>
          <w:sz w:val="20"/>
          <w:szCs w:val="20"/>
        </w:rPr>
        <w:t xml:space="preserve"> and can be seen in the Health and Safety at Work Act 1974 and the Management of Health and Safety at Work Regulations 1999. This means all practitioners have the responsibility undertake risk assessments when working in an educational setting to support and protect the safety of children. </w:t>
      </w:r>
    </w:p>
    <w:p w14:paraId="3DFA1DC9" w14:textId="77777777" w:rsidR="0072169B" w:rsidRPr="004E17C1" w:rsidRDefault="0072169B" w:rsidP="007915C3">
      <w:pPr>
        <w:spacing w:line="360" w:lineRule="auto"/>
        <w:jc w:val="both"/>
        <w:rPr>
          <w:rFonts w:ascii="Arial" w:hAnsi="Arial" w:cs="Arial"/>
          <w:sz w:val="20"/>
          <w:szCs w:val="20"/>
          <w:u w:val="single"/>
        </w:rPr>
      </w:pPr>
    </w:p>
    <w:p w14:paraId="107E854F" w14:textId="3EBCECA3" w:rsidR="0072169B" w:rsidRPr="004E17C1" w:rsidRDefault="009E059E" w:rsidP="007915C3">
      <w:pPr>
        <w:spacing w:line="360" w:lineRule="auto"/>
        <w:jc w:val="both"/>
        <w:rPr>
          <w:rFonts w:ascii="Arial" w:hAnsi="Arial" w:cs="Arial"/>
          <w:sz w:val="20"/>
          <w:szCs w:val="20"/>
          <w:u w:val="single"/>
        </w:rPr>
      </w:pPr>
      <w:r w:rsidRPr="004E17C1">
        <w:rPr>
          <w:rFonts w:ascii="Arial" w:hAnsi="Arial" w:cs="Arial"/>
          <w:sz w:val="20"/>
          <w:szCs w:val="20"/>
          <w:u w:val="single"/>
        </w:rPr>
        <w:t xml:space="preserve">Section Three </w:t>
      </w:r>
    </w:p>
    <w:p w14:paraId="493CF95F" w14:textId="12F0D23A" w:rsidR="0033035F" w:rsidRPr="004E17C1" w:rsidRDefault="000532B5" w:rsidP="007915C3">
      <w:pPr>
        <w:spacing w:line="360" w:lineRule="auto"/>
        <w:jc w:val="both"/>
        <w:rPr>
          <w:rFonts w:ascii="Arial" w:hAnsi="Arial" w:cs="Arial"/>
          <w:sz w:val="20"/>
          <w:szCs w:val="20"/>
        </w:rPr>
      </w:pPr>
      <w:r w:rsidRPr="004E17C1">
        <w:rPr>
          <w:rFonts w:ascii="Arial" w:hAnsi="Arial" w:cs="Arial"/>
          <w:sz w:val="20"/>
          <w:szCs w:val="20"/>
        </w:rPr>
        <w:t xml:space="preserve">The Foundation phase is a curriculum </w:t>
      </w:r>
      <w:r w:rsidR="00C0659D" w:rsidRPr="004E17C1">
        <w:rPr>
          <w:rFonts w:ascii="Arial" w:hAnsi="Arial" w:cs="Arial"/>
          <w:sz w:val="20"/>
          <w:szCs w:val="20"/>
        </w:rPr>
        <w:t xml:space="preserve">that was introduced into the Welsh education system in September 2010. The main purpose of the foundation phase is to encourage children to be imaginative and creative. It also has a focus on making learning more enjoyable for children </w:t>
      </w:r>
      <w:r w:rsidR="00C0659D" w:rsidRPr="004E17C1">
        <w:rPr>
          <w:rFonts w:ascii="Arial" w:hAnsi="Arial" w:cs="Arial"/>
          <w:sz w:val="20"/>
          <w:szCs w:val="20"/>
        </w:rPr>
        <w:t xml:space="preserve">(Welsh </w:t>
      </w:r>
      <w:r w:rsidR="00C0659D" w:rsidRPr="004E17C1">
        <w:rPr>
          <w:rFonts w:ascii="Arial" w:hAnsi="Arial" w:cs="Arial"/>
          <w:sz w:val="20"/>
          <w:szCs w:val="20"/>
        </w:rPr>
        <w:t xml:space="preserve">Assembly </w:t>
      </w:r>
      <w:r w:rsidR="00C0659D" w:rsidRPr="004E17C1">
        <w:rPr>
          <w:rFonts w:ascii="Arial" w:hAnsi="Arial" w:cs="Arial"/>
          <w:sz w:val="20"/>
          <w:szCs w:val="20"/>
        </w:rPr>
        <w:t>Government, 2015)</w:t>
      </w:r>
      <w:r w:rsidR="00C0659D" w:rsidRPr="004E17C1">
        <w:rPr>
          <w:rFonts w:ascii="Arial" w:hAnsi="Arial" w:cs="Arial"/>
          <w:sz w:val="20"/>
          <w:szCs w:val="20"/>
        </w:rPr>
        <w:t xml:space="preserve">. The foundation phase uses a compact profile to assess the learning and development of children throughout education. According to the WAG (2015) the use of the compact profile assessment tool </w:t>
      </w:r>
      <w:r w:rsidR="0033035F" w:rsidRPr="004E17C1">
        <w:rPr>
          <w:rFonts w:ascii="Arial" w:hAnsi="Arial" w:cs="Arial"/>
          <w:sz w:val="20"/>
          <w:szCs w:val="20"/>
        </w:rPr>
        <w:t xml:space="preserve">supports the holistic development of children through the curriculum. The compact profile looks at four main areas of development, these are: </w:t>
      </w:r>
    </w:p>
    <w:p w14:paraId="3BBDC028" w14:textId="60BFE6E8" w:rsidR="0033035F" w:rsidRPr="004E17C1" w:rsidRDefault="0033035F" w:rsidP="007915C3">
      <w:pPr>
        <w:pStyle w:val="ListParagraph"/>
        <w:numPr>
          <w:ilvl w:val="0"/>
          <w:numId w:val="2"/>
        </w:numPr>
        <w:spacing w:line="360" w:lineRule="auto"/>
        <w:jc w:val="both"/>
        <w:rPr>
          <w:rFonts w:ascii="Arial" w:hAnsi="Arial" w:cs="Arial"/>
          <w:sz w:val="20"/>
          <w:szCs w:val="20"/>
        </w:rPr>
      </w:pPr>
      <w:r w:rsidRPr="004E17C1">
        <w:rPr>
          <w:rFonts w:ascii="Arial" w:hAnsi="Arial" w:cs="Arial"/>
          <w:sz w:val="20"/>
          <w:szCs w:val="20"/>
        </w:rPr>
        <w:t xml:space="preserve">Personal and social development, well-being and cultural diversity. </w:t>
      </w:r>
    </w:p>
    <w:p w14:paraId="3D0A2D2B" w14:textId="4E0790C4" w:rsidR="0033035F" w:rsidRPr="004E17C1" w:rsidRDefault="0033035F" w:rsidP="007915C3">
      <w:pPr>
        <w:pStyle w:val="ListParagraph"/>
        <w:numPr>
          <w:ilvl w:val="0"/>
          <w:numId w:val="2"/>
        </w:numPr>
        <w:spacing w:line="360" w:lineRule="auto"/>
        <w:jc w:val="both"/>
        <w:rPr>
          <w:rFonts w:ascii="Arial" w:hAnsi="Arial" w:cs="Arial"/>
          <w:sz w:val="20"/>
          <w:szCs w:val="20"/>
        </w:rPr>
      </w:pPr>
      <w:r w:rsidRPr="004E17C1">
        <w:rPr>
          <w:rFonts w:ascii="Arial" w:hAnsi="Arial" w:cs="Arial"/>
          <w:sz w:val="20"/>
          <w:szCs w:val="20"/>
        </w:rPr>
        <w:t xml:space="preserve">Language, literacy and communication skills. </w:t>
      </w:r>
    </w:p>
    <w:p w14:paraId="13498CF1" w14:textId="71AC68FF" w:rsidR="0033035F" w:rsidRPr="004E17C1" w:rsidRDefault="0033035F" w:rsidP="007915C3">
      <w:pPr>
        <w:pStyle w:val="ListParagraph"/>
        <w:numPr>
          <w:ilvl w:val="0"/>
          <w:numId w:val="2"/>
        </w:numPr>
        <w:spacing w:line="360" w:lineRule="auto"/>
        <w:jc w:val="both"/>
        <w:rPr>
          <w:rFonts w:ascii="Arial" w:hAnsi="Arial" w:cs="Arial"/>
          <w:sz w:val="20"/>
          <w:szCs w:val="20"/>
        </w:rPr>
      </w:pPr>
      <w:r w:rsidRPr="004E17C1">
        <w:rPr>
          <w:rFonts w:ascii="Arial" w:hAnsi="Arial" w:cs="Arial"/>
          <w:sz w:val="20"/>
          <w:szCs w:val="20"/>
        </w:rPr>
        <w:t>Mathematical development.</w:t>
      </w:r>
    </w:p>
    <w:p w14:paraId="4D9918D4" w14:textId="177689B2" w:rsidR="000E163E" w:rsidRPr="004E17C1" w:rsidRDefault="0033035F" w:rsidP="007915C3">
      <w:pPr>
        <w:pStyle w:val="ListParagraph"/>
        <w:numPr>
          <w:ilvl w:val="0"/>
          <w:numId w:val="2"/>
        </w:numPr>
        <w:spacing w:line="360" w:lineRule="auto"/>
        <w:jc w:val="both"/>
        <w:rPr>
          <w:rFonts w:ascii="Arial" w:hAnsi="Arial" w:cs="Arial"/>
          <w:sz w:val="20"/>
          <w:szCs w:val="20"/>
        </w:rPr>
      </w:pPr>
      <w:r w:rsidRPr="004E17C1">
        <w:rPr>
          <w:rFonts w:ascii="Arial" w:hAnsi="Arial" w:cs="Arial"/>
          <w:sz w:val="20"/>
          <w:szCs w:val="20"/>
        </w:rPr>
        <w:t xml:space="preserve">Physical development. </w:t>
      </w:r>
    </w:p>
    <w:p w14:paraId="398D3B0F" w14:textId="6AD3C511" w:rsidR="000E163E" w:rsidRPr="004E17C1" w:rsidRDefault="000E163E" w:rsidP="007915C3">
      <w:pPr>
        <w:spacing w:line="360" w:lineRule="auto"/>
        <w:jc w:val="both"/>
        <w:rPr>
          <w:rFonts w:ascii="Arial" w:hAnsi="Arial" w:cs="Arial"/>
          <w:sz w:val="20"/>
          <w:szCs w:val="20"/>
        </w:rPr>
      </w:pPr>
      <w:r w:rsidRPr="004E17C1">
        <w:rPr>
          <w:rFonts w:ascii="Arial" w:hAnsi="Arial" w:cs="Arial"/>
          <w:sz w:val="20"/>
          <w:szCs w:val="20"/>
        </w:rPr>
        <w:lastRenderedPageBreak/>
        <w:t xml:space="preserve">It is important to understand that to be able to conduct this assessment effectively it needs to be planned correctly. Enough time needs to be allocated to do the assessment to be able to get an accurate view of the child’s development, there needs to also be sufficient space for the children to play and have free reign of their play time. It is also important for there to be enough equipment for both the children and the adult conducting the assessment to use. For example, the children will need equipment for them to be able to take part in different activities with; for the adult, equipment such as pens, paper and recording equipment needs to be given. </w:t>
      </w:r>
    </w:p>
    <w:p w14:paraId="593C0600" w14:textId="77777777" w:rsidR="000E163E" w:rsidRPr="004E17C1" w:rsidRDefault="000E163E" w:rsidP="007915C3">
      <w:pPr>
        <w:spacing w:line="360" w:lineRule="auto"/>
        <w:jc w:val="both"/>
        <w:rPr>
          <w:rFonts w:ascii="Arial" w:hAnsi="Arial" w:cs="Arial"/>
          <w:sz w:val="20"/>
          <w:szCs w:val="20"/>
        </w:rPr>
      </w:pPr>
    </w:p>
    <w:p w14:paraId="33393658" w14:textId="5BA807BB" w:rsidR="00BF1187" w:rsidRPr="004E17C1" w:rsidRDefault="008831E1" w:rsidP="007915C3">
      <w:pPr>
        <w:spacing w:line="360" w:lineRule="auto"/>
        <w:jc w:val="both"/>
        <w:rPr>
          <w:rFonts w:ascii="Arial" w:hAnsi="Arial" w:cs="Arial"/>
          <w:sz w:val="20"/>
          <w:szCs w:val="20"/>
        </w:rPr>
      </w:pPr>
      <w:r w:rsidRPr="004E17C1">
        <w:rPr>
          <w:rFonts w:ascii="Arial" w:hAnsi="Arial" w:cs="Arial"/>
          <w:sz w:val="20"/>
          <w:szCs w:val="20"/>
        </w:rPr>
        <w:t xml:space="preserve">The compact profile gives practitioners an outcome for the different areas of development. The </w:t>
      </w:r>
      <w:r w:rsidR="00FD5095" w:rsidRPr="004E17C1">
        <w:rPr>
          <w:rFonts w:ascii="Arial" w:hAnsi="Arial" w:cs="Arial"/>
          <w:sz w:val="20"/>
          <w:szCs w:val="20"/>
        </w:rPr>
        <w:t xml:space="preserve">compact profile </w:t>
      </w:r>
      <w:r w:rsidRPr="004E17C1">
        <w:rPr>
          <w:rFonts w:ascii="Arial" w:hAnsi="Arial" w:cs="Arial"/>
          <w:sz w:val="20"/>
          <w:szCs w:val="20"/>
        </w:rPr>
        <w:t xml:space="preserve">itself uses both </w:t>
      </w:r>
      <w:r w:rsidR="00FD5095" w:rsidRPr="004E17C1">
        <w:rPr>
          <w:rFonts w:ascii="Arial" w:hAnsi="Arial" w:cs="Arial"/>
          <w:sz w:val="20"/>
          <w:szCs w:val="20"/>
        </w:rPr>
        <w:t xml:space="preserve">observation and set tasks to undertake assessment. The compact profile benefits children as it allows practitioners to observe their strengths and weaknesses accurately. Being able to </w:t>
      </w:r>
      <w:r w:rsidR="00BF1187" w:rsidRPr="004E17C1">
        <w:rPr>
          <w:rFonts w:ascii="Arial" w:hAnsi="Arial" w:cs="Arial"/>
          <w:sz w:val="20"/>
          <w:szCs w:val="20"/>
        </w:rPr>
        <w:t>identify their potential weaknesses will give the opportunity to give the child any extra support that may be needed. Another benefit of the tool is that it gives a view of each developmen</w:t>
      </w:r>
      <w:r w:rsidR="00FE3098" w:rsidRPr="004E17C1">
        <w:rPr>
          <w:rFonts w:ascii="Arial" w:hAnsi="Arial" w:cs="Arial"/>
          <w:sz w:val="20"/>
          <w:szCs w:val="20"/>
        </w:rPr>
        <w:t xml:space="preserve">t area. For example, the </w:t>
      </w:r>
      <w:r w:rsidR="003D1027" w:rsidRPr="004E17C1">
        <w:rPr>
          <w:rFonts w:ascii="Arial" w:hAnsi="Arial" w:cs="Arial"/>
          <w:sz w:val="20"/>
          <w:szCs w:val="20"/>
        </w:rPr>
        <w:t xml:space="preserve">assessment tool gives nine different outcomes for each section of the assessment. Due to the </w:t>
      </w:r>
      <w:r w:rsidR="00326196" w:rsidRPr="004E17C1">
        <w:rPr>
          <w:rFonts w:ascii="Arial" w:hAnsi="Arial" w:cs="Arial"/>
          <w:sz w:val="20"/>
          <w:szCs w:val="20"/>
        </w:rPr>
        <w:t>number</w:t>
      </w:r>
      <w:r w:rsidR="003D1027" w:rsidRPr="004E17C1">
        <w:rPr>
          <w:rFonts w:ascii="Arial" w:hAnsi="Arial" w:cs="Arial"/>
          <w:sz w:val="20"/>
          <w:szCs w:val="20"/>
        </w:rPr>
        <w:t xml:space="preserve"> of outcomes available, the compact profile allows for practitioners to see patterns of behaviour. Being able to identify these patterns will also allow practitioners to see the triggers for </w:t>
      </w:r>
      <w:r w:rsidR="00326196" w:rsidRPr="004E17C1">
        <w:rPr>
          <w:rFonts w:ascii="Arial" w:hAnsi="Arial" w:cs="Arial"/>
          <w:sz w:val="20"/>
          <w:szCs w:val="20"/>
        </w:rPr>
        <w:t>behavioural</w:t>
      </w:r>
      <w:r w:rsidR="003D1027" w:rsidRPr="004E17C1">
        <w:rPr>
          <w:rFonts w:ascii="Arial" w:hAnsi="Arial" w:cs="Arial"/>
          <w:sz w:val="20"/>
          <w:szCs w:val="20"/>
        </w:rPr>
        <w:t xml:space="preserve"> issues and then accommodate for any potential needs of the child. It also allows practitioners to see a child’s level of engagement in an activity, being able to see this will allow teachers or key workers to understand what they may need to change to be able to increase engagement levels. As well as showing levels of engagement, the assessment can show what kind of activity a child prefers, and what they do not prefer. </w:t>
      </w:r>
      <w:r w:rsidR="00326196" w:rsidRPr="004E17C1">
        <w:rPr>
          <w:rFonts w:ascii="Arial" w:hAnsi="Arial" w:cs="Arial"/>
          <w:sz w:val="20"/>
          <w:szCs w:val="20"/>
        </w:rPr>
        <w:t>For example, understanding the child’s preferences</w:t>
      </w:r>
      <w:r w:rsidR="003D1027" w:rsidRPr="004E17C1">
        <w:rPr>
          <w:rFonts w:ascii="Arial" w:hAnsi="Arial" w:cs="Arial"/>
          <w:sz w:val="20"/>
          <w:szCs w:val="20"/>
        </w:rPr>
        <w:t xml:space="preserve"> can be used to incorporate learning into an activity that a child enjoys, so that they will be learning without realising they are; they will still consider the activity as play. </w:t>
      </w:r>
      <w:r w:rsidR="00DF426B" w:rsidRPr="004E17C1">
        <w:rPr>
          <w:rFonts w:ascii="Arial" w:hAnsi="Arial" w:cs="Arial"/>
          <w:sz w:val="20"/>
          <w:szCs w:val="20"/>
        </w:rPr>
        <w:t>Linking in with the child’s engagement, the compact profile can show if a child likes to play within a group or whether they prefer individual play. This can show the friendships and relationships they have made with both peers and adults.</w:t>
      </w:r>
    </w:p>
    <w:p w14:paraId="68545C5F" w14:textId="07689277" w:rsidR="003D1027" w:rsidRPr="004E17C1" w:rsidRDefault="003D1027" w:rsidP="007915C3">
      <w:pPr>
        <w:spacing w:line="360" w:lineRule="auto"/>
        <w:jc w:val="both"/>
        <w:rPr>
          <w:rFonts w:ascii="Arial" w:hAnsi="Arial" w:cs="Arial"/>
          <w:sz w:val="20"/>
          <w:szCs w:val="20"/>
        </w:rPr>
      </w:pPr>
    </w:p>
    <w:p w14:paraId="51C78C90" w14:textId="1ABADB77" w:rsidR="003D1027" w:rsidRPr="004E17C1" w:rsidRDefault="00DF426B" w:rsidP="007915C3">
      <w:pPr>
        <w:spacing w:line="360" w:lineRule="auto"/>
        <w:jc w:val="both"/>
        <w:rPr>
          <w:rFonts w:ascii="Arial" w:hAnsi="Arial" w:cs="Arial"/>
          <w:sz w:val="20"/>
          <w:szCs w:val="20"/>
        </w:rPr>
      </w:pPr>
      <w:r w:rsidRPr="004E17C1">
        <w:rPr>
          <w:rFonts w:ascii="Arial" w:hAnsi="Arial" w:cs="Arial"/>
          <w:sz w:val="20"/>
          <w:szCs w:val="20"/>
        </w:rPr>
        <w:t>There are many benefits to the use of the compact profile, h</w:t>
      </w:r>
      <w:r w:rsidR="003D1027" w:rsidRPr="004E17C1">
        <w:rPr>
          <w:rFonts w:ascii="Arial" w:hAnsi="Arial" w:cs="Arial"/>
          <w:sz w:val="20"/>
          <w:szCs w:val="20"/>
        </w:rPr>
        <w:t>owever,</w:t>
      </w:r>
      <w:r w:rsidRPr="004E17C1">
        <w:rPr>
          <w:rFonts w:ascii="Arial" w:hAnsi="Arial" w:cs="Arial"/>
          <w:sz w:val="20"/>
          <w:szCs w:val="20"/>
        </w:rPr>
        <w:t xml:space="preserve"> there are still limitations that are seen.</w:t>
      </w:r>
      <w:r w:rsidR="003D1027" w:rsidRPr="004E17C1">
        <w:rPr>
          <w:rFonts w:ascii="Arial" w:hAnsi="Arial" w:cs="Arial"/>
          <w:sz w:val="20"/>
          <w:szCs w:val="20"/>
        </w:rPr>
        <w:t xml:space="preserve"> </w:t>
      </w:r>
      <w:r w:rsidRPr="004E17C1">
        <w:rPr>
          <w:rFonts w:ascii="Arial" w:hAnsi="Arial" w:cs="Arial"/>
          <w:sz w:val="20"/>
          <w:szCs w:val="20"/>
        </w:rPr>
        <w:t>T</w:t>
      </w:r>
      <w:r w:rsidR="003D1027" w:rsidRPr="004E17C1">
        <w:rPr>
          <w:rFonts w:ascii="Arial" w:hAnsi="Arial" w:cs="Arial"/>
          <w:sz w:val="20"/>
          <w:szCs w:val="20"/>
        </w:rPr>
        <w:t>he compact profile does not have a separate section for children who require extra support already or have additional learning needs such as children who have dyslexia, dyspraxia or autism. This means that when they are assessed through the compact profile it may show their development is lower than children who do not have additional learning needs. This limitation of the tool can be seen as not providing a holistic view of each child’s development.</w:t>
      </w:r>
      <w:r w:rsidRPr="004E17C1">
        <w:rPr>
          <w:rFonts w:ascii="Arial" w:hAnsi="Arial" w:cs="Arial"/>
          <w:sz w:val="20"/>
          <w:szCs w:val="20"/>
        </w:rPr>
        <w:t xml:space="preserve"> </w:t>
      </w:r>
      <w:r w:rsidR="00957C93" w:rsidRPr="004E17C1">
        <w:rPr>
          <w:rFonts w:ascii="Arial" w:hAnsi="Arial" w:cs="Arial"/>
          <w:sz w:val="20"/>
          <w:szCs w:val="20"/>
        </w:rPr>
        <w:t xml:space="preserve">Another limitation of the compact profile is that it does not take into consideration environmental factors such as whether a child is less socio-economically disadvantaged, which in some cases may affect their previous learning opportunities or on the other hand, if they are more advantaged in a socio-economic sense. </w:t>
      </w:r>
      <w:r w:rsidR="000E69F6" w:rsidRPr="004E17C1">
        <w:rPr>
          <w:rFonts w:ascii="Arial" w:hAnsi="Arial" w:cs="Arial"/>
          <w:sz w:val="20"/>
          <w:szCs w:val="20"/>
        </w:rPr>
        <w:t xml:space="preserve">It can also be said that the </w:t>
      </w:r>
      <w:r w:rsidR="000E163E" w:rsidRPr="004E17C1">
        <w:rPr>
          <w:rFonts w:ascii="Arial" w:hAnsi="Arial" w:cs="Arial"/>
          <w:sz w:val="20"/>
          <w:szCs w:val="20"/>
        </w:rPr>
        <w:t xml:space="preserve">compact profile does not take into account if a new adult has recently started working the classroom; if there has recently been a new key worker or teacher working with the children, they children may not have built a relationship as strong with them as they may have with an adult who has been with them for a longer period of time throughout their education. As explained in the benefits of using the tool, the compact profile may show patterns of behaviour, but it won’t show the cause of that behaviour. </w:t>
      </w:r>
    </w:p>
    <w:p w14:paraId="0D8221AD" w14:textId="54529B39" w:rsidR="00872052" w:rsidRPr="004E17C1" w:rsidRDefault="00872052" w:rsidP="007915C3">
      <w:pPr>
        <w:spacing w:line="360" w:lineRule="auto"/>
        <w:jc w:val="both"/>
        <w:rPr>
          <w:rFonts w:ascii="Arial" w:hAnsi="Arial" w:cs="Arial"/>
          <w:sz w:val="20"/>
          <w:szCs w:val="20"/>
        </w:rPr>
      </w:pPr>
    </w:p>
    <w:p w14:paraId="31AC25AB" w14:textId="5A5380BF" w:rsidR="00872052" w:rsidRPr="004E17C1" w:rsidRDefault="00872052" w:rsidP="007915C3">
      <w:pPr>
        <w:spacing w:line="360" w:lineRule="auto"/>
        <w:jc w:val="both"/>
        <w:rPr>
          <w:rFonts w:ascii="Arial" w:hAnsi="Arial" w:cs="Arial"/>
          <w:sz w:val="20"/>
          <w:szCs w:val="20"/>
          <w:u w:val="single"/>
        </w:rPr>
      </w:pPr>
      <w:r w:rsidRPr="004E17C1">
        <w:rPr>
          <w:rFonts w:ascii="Arial" w:hAnsi="Arial" w:cs="Arial"/>
          <w:sz w:val="20"/>
          <w:szCs w:val="20"/>
          <w:u w:val="single"/>
        </w:rPr>
        <w:t>Section Four</w:t>
      </w:r>
    </w:p>
    <w:p w14:paraId="507F14A6" w14:textId="62D11ED8" w:rsidR="00872052" w:rsidRPr="004E17C1" w:rsidRDefault="00872052" w:rsidP="007915C3">
      <w:pPr>
        <w:spacing w:line="360" w:lineRule="auto"/>
        <w:jc w:val="both"/>
        <w:rPr>
          <w:rFonts w:ascii="Arial" w:hAnsi="Arial" w:cs="Arial"/>
          <w:sz w:val="20"/>
          <w:szCs w:val="20"/>
        </w:rPr>
      </w:pPr>
      <w:r w:rsidRPr="004E17C1">
        <w:rPr>
          <w:rFonts w:ascii="Arial" w:hAnsi="Arial" w:cs="Arial"/>
          <w:sz w:val="20"/>
          <w:szCs w:val="20"/>
        </w:rPr>
        <w:t xml:space="preserve">When observing children, it is important to have a holistic view of the child’s development. As explained in section three, the use of an assessment tool such as the compact profile used in the Foundation Phase can assess </w:t>
      </w:r>
      <w:r w:rsidR="001B0D82" w:rsidRPr="004E17C1">
        <w:rPr>
          <w:rFonts w:ascii="Arial" w:hAnsi="Arial" w:cs="Arial"/>
          <w:sz w:val="20"/>
          <w:szCs w:val="20"/>
        </w:rPr>
        <w:t xml:space="preserve">many different areas of </w:t>
      </w:r>
      <w:r w:rsidR="004C09E3" w:rsidRPr="004E17C1">
        <w:rPr>
          <w:rFonts w:ascii="Arial" w:hAnsi="Arial" w:cs="Arial"/>
          <w:sz w:val="20"/>
          <w:szCs w:val="20"/>
        </w:rPr>
        <w:t xml:space="preserve">a child’s development. Observation gives practitioners information about a child which can put a pinpoint on where their development is. </w:t>
      </w:r>
      <w:r w:rsidR="004C09E3" w:rsidRPr="004E17C1">
        <w:rPr>
          <w:rFonts w:ascii="Arial" w:hAnsi="Arial" w:cs="Arial"/>
          <w:sz w:val="20"/>
          <w:szCs w:val="20"/>
        </w:rPr>
        <w:t>(Early Years Careers, 2020)</w:t>
      </w:r>
      <w:r w:rsidR="00077478" w:rsidRPr="004E17C1">
        <w:rPr>
          <w:rFonts w:ascii="Arial" w:hAnsi="Arial" w:cs="Arial"/>
          <w:sz w:val="20"/>
          <w:szCs w:val="20"/>
        </w:rPr>
        <w:t xml:space="preserve">. According to Nursery World (2006) </w:t>
      </w:r>
      <w:r w:rsidR="00BF79FC" w:rsidRPr="004E17C1">
        <w:rPr>
          <w:rFonts w:ascii="Arial" w:hAnsi="Arial" w:cs="Arial"/>
          <w:sz w:val="20"/>
          <w:szCs w:val="20"/>
        </w:rPr>
        <w:t xml:space="preserve">the best way to observe a child is when they are in a setting which is self-initiated and natural to them. Assessing children in these types of settings will lead to more accurate assessment of learning and development. </w:t>
      </w:r>
    </w:p>
    <w:p w14:paraId="0B9938E9" w14:textId="10290077" w:rsidR="00BF79FC" w:rsidRPr="004E17C1" w:rsidRDefault="00BF79FC" w:rsidP="007915C3">
      <w:pPr>
        <w:spacing w:line="360" w:lineRule="auto"/>
        <w:jc w:val="both"/>
        <w:rPr>
          <w:rFonts w:ascii="Arial" w:hAnsi="Arial" w:cs="Arial"/>
          <w:sz w:val="20"/>
          <w:szCs w:val="20"/>
        </w:rPr>
      </w:pPr>
    </w:p>
    <w:p w14:paraId="10038317" w14:textId="054BACD7" w:rsidR="00BF79FC" w:rsidRPr="004E17C1" w:rsidRDefault="00BF79FC" w:rsidP="007915C3">
      <w:pPr>
        <w:spacing w:line="360" w:lineRule="auto"/>
        <w:jc w:val="both"/>
        <w:rPr>
          <w:rFonts w:ascii="Arial" w:hAnsi="Arial" w:cs="Arial"/>
          <w:sz w:val="20"/>
          <w:szCs w:val="20"/>
        </w:rPr>
      </w:pPr>
      <w:r w:rsidRPr="004E17C1">
        <w:rPr>
          <w:rFonts w:ascii="Arial" w:hAnsi="Arial" w:cs="Arial"/>
          <w:sz w:val="20"/>
          <w:szCs w:val="20"/>
        </w:rPr>
        <w:t xml:space="preserve">To be able to make sure an accurate depiction of the child’s learning </w:t>
      </w:r>
      <w:r w:rsidR="00FF2200" w:rsidRPr="004E17C1">
        <w:rPr>
          <w:rFonts w:ascii="Arial" w:hAnsi="Arial" w:cs="Arial"/>
          <w:sz w:val="20"/>
          <w:szCs w:val="20"/>
        </w:rPr>
        <w:t xml:space="preserve">is observed, adults and practitioners alike must be able to understand the difference between what a child perceives as play and what is not play. A study by Howard and McInnes (2012) </w:t>
      </w:r>
      <w:r w:rsidR="00A05A6E" w:rsidRPr="004E17C1">
        <w:rPr>
          <w:rFonts w:ascii="Arial" w:hAnsi="Arial" w:cs="Arial"/>
          <w:sz w:val="20"/>
          <w:szCs w:val="20"/>
        </w:rPr>
        <w:t>looked at what children’s perception of play is. Howard and McInnes found that when a child thought of an activity like play</w:t>
      </w:r>
      <w:r w:rsidR="00B7439B" w:rsidRPr="004E17C1">
        <w:rPr>
          <w:rFonts w:ascii="Arial" w:hAnsi="Arial" w:cs="Arial"/>
          <w:sz w:val="20"/>
          <w:szCs w:val="20"/>
        </w:rPr>
        <w:t xml:space="preserve">, there was a higher level of involvement; this was compared with the </w:t>
      </w:r>
      <w:r w:rsidR="002175BF" w:rsidRPr="004E17C1">
        <w:rPr>
          <w:rFonts w:ascii="Arial" w:hAnsi="Arial" w:cs="Arial"/>
          <w:sz w:val="20"/>
          <w:szCs w:val="20"/>
        </w:rPr>
        <w:t>Leuven’s</w:t>
      </w:r>
      <w:r w:rsidR="00B7439B" w:rsidRPr="004E17C1">
        <w:rPr>
          <w:rFonts w:ascii="Arial" w:hAnsi="Arial" w:cs="Arial"/>
          <w:sz w:val="20"/>
          <w:szCs w:val="20"/>
        </w:rPr>
        <w:t xml:space="preserve"> Involvement scale which is used to assess a child’s emotional well-being (Laevers, 2008). </w:t>
      </w:r>
      <w:r w:rsidR="002E3546" w:rsidRPr="004E17C1">
        <w:rPr>
          <w:rFonts w:ascii="Arial" w:hAnsi="Arial" w:cs="Arial"/>
          <w:sz w:val="20"/>
          <w:szCs w:val="20"/>
        </w:rPr>
        <w:t xml:space="preserve">Increased levels of involvement during the activity that was ‘like play’ were seen among the children the study was conducted on, they were more engaged with the activity, had more free movement and smiled more than the children who took part in the same activity but it was made to be ‘not like play’. The study </w:t>
      </w:r>
      <w:r w:rsidR="00FF2200" w:rsidRPr="004E17C1">
        <w:rPr>
          <w:rFonts w:ascii="Arial" w:hAnsi="Arial" w:cs="Arial"/>
          <w:sz w:val="20"/>
          <w:szCs w:val="20"/>
        </w:rPr>
        <w:t xml:space="preserve">found that children perceived an activity as </w:t>
      </w:r>
      <w:r w:rsidR="00A05A6E" w:rsidRPr="004E17C1">
        <w:rPr>
          <w:rFonts w:ascii="Arial" w:hAnsi="Arial" w:cs="Arial"/>
          <w:sz w:val="20"/>
          <w:szCs w:val="20"/>
        </w:rPr>
        <w:t>‘</w:t>
      </w:r>
      <w:r w:rsidR="00FF2200" w:rsidRPr="004E17C1">
        <w:rPr>
          <w:rFonts w:ascii="Arial" w:hAnsi="Arial" w:cs="Arial"/>
          <w:sz w:val="20"/>
          <w:szCs w:val="20"/>
        </w:rPr>
        <w:t>play</w:t>
      </w:r>
      <w:r w:rsidR="00A05A6E" w:rsidRPr="004E17C1">
        <w:rPr>
          <w:rFonts w:ascii="Arial" w:hAnsi="Arial" w:cs="Arial"/>
          <w:sz w:val="20"/>
          <w:szCs w:val="20"/>
        </w:rPr>
        <w:t>’</w:t>
      </w:r>
      <w:r w:rsidR="00FF2200" w:rsidRPr="004E17C1">
        <w:rPr>
          <w:rFonts w:ascii="Arial" w:hAnsi="Arial" w:cs="Arial"/>
          <w:sz w:val="20"/>
          <w:szCs w:val="20"/>
        </w:rPr>
        <w:t xml:space="preserve"> when an adult was closed but not directly present, the child had free movement during the activity and when the child had a choice of what activity they wanted to take part in. Whereas, children viewed an activity as ‘not play’ </w:t>
      </w:r>
      <w:r w:rsidR="00A05A6E" w:rsidRPr="004E17C1">
        <w:rPr>
          <w:rFonts w:ascii="Arial" w:hAnsi="Arial" w:cs="Arial"/>
          <w:sz w:val="20"/>
          <w:szCs w:val="20"/>
        </w:rPr>
        <w:t xml:space="preserve">when the adult or key worker was directly present, when the child was asked or told to take part and the activity took place at a table. </w:t>
      </w:r>
    </w:p>
    <w:p w14:paraId="3D58F9AE" w14:textId="460ABE9F" w:rsidR="002E3546" w:rsidRPr="004E17C1" w:rsidRDefault="002E3546" w:rsidP="007915C3">
      <w:pPr>
        <w:spacing w:line="360" w:lineRule="auto"/>
        <w:jc w:val="both"/>
        <w:rPr>
          <w:rFonts w:ascii="Arial" w:hAnsi="Arial" w:cs="Arial"/>
          <w:sz w:val="20"/>
          <w:szCs w:val="20"/>
        </w:rPr>
      </w:pPr>
    </w:p>
    <w:p w14:paraId="253FBEB1" w14:textId="2A5A07F1" w:rsidR="002E3546" w:rsidRDefault="002E3546" w:rsidP="007915C3">
      <w:pPr>
        <w:spacing w:line="360" w:lineRule="auto"/>
        <w:jc w:val="both"/>
        <w:rPr>
          <w:rFonts w:ascii="Arial" w:hAnsi="Arial" w:cs="Arial"/>
          <w:sz w:val="20"/>
          <w:szCs w:val="20"/>
        </w:rPr>
      </w:pPr>
      <w:r w:rsidRPr="004E17C1">
        <w:rPr>
          <w:rFonts w:ascii="Arial" w:hAnsi="Arial" w:cs="Arial"/>
          <w:sz w:val="20"/>
          <w:szCs w:val="20"/>
        </w:rPr>
        <w:t>The study by Howard and McInnes shows that children are more likely to show their true capabilities when taking part in an activity that is what they think is play. Taking this into account, if children are observed while they play, it will give a better reflection of where they are in their development</w:t>
      </w:r>
      <w:r w:rsidR="004E17C1" w:rsidRPr="004E17C1">
        <w:rPr>
          <w:rFonts w:ascii="Arial" w:hAnsi="Arial" w:cs="Arial"/>
          <w:sz w:val="20"/>
          <w:szCs w:val="20"/>
        </w:rPr>
        <w:t xml:space="preserve">. According to </w:t>
      </w:r>
      <w:r w:rsidR="004E17C1" w:rsidRPr="004E17C1">
        <w:rPr>
          <w:rFonts w:ascii="Arial" w:hAnsi="Arial" w:cs="Arial"/>
          <w:sz w:val="20"/>
          <w:szCs w:val="20"/>
        </w:rPr>
        <w:t>Farmer</w:t>
      </w:r>
      <w:r w:rsidR="004E17C1" w:rsidRPr="004E17C1">
        <w:rPr>
          <w:rFonts w:ascii="Cambria Math" w:hAnsi="Cambria Math" w:cs="Cambria Math"/>
          <w:sz w:val="20"/>
          <w:szCs w:val="20"/>
        </w:rPr>
        <w:t>‐</w:t>
      </w:r>
      <w:r w:rsidR="004E17C1" w:rsidRPr="004E17C1">
        <w:rPr>
          <w:rFonts w:ascii="Arial" w:hAnsi="Arial" w:cs="Arial"/>
          <w:sz w:val="20"/>
          <w:szCs w:val="20"/>
        </w:rPr>
        <w:t>Dougan and Kaszuba</w:t>
      </w:r>
      <w:r w:rsidR="004E17C1" w:rsidRPr="004E17C1">
        <w:rPr>
          <w:rFonts w:ascii="Arial" w:hAnsi="Arial" w:cs="Arial"/>
          <w:sz w:val="20"/>
          <w:szCs w:val="20"/>
        </w:rPr>
        <w:t xml:space="preserve"> (</w:t>
      </w:r>
      <w:r w:rsidR="004E17C1" w:rsidRPr="004E17C1">
        <w:rPr>
          <w:rFonts w:ascii="Arial" w:hAnsi="Arial" w:cs="Arial"/>
          <w:sz w:val="20"/>
          <w:szCs w:val="20"/>
        </w:rPr>
        <w:t>1999)</w:t>
      </w:r>
      <w:r w:rsidR="004E17C1" w:rsidRPr="004E17C1">
        <w:rPr>
          <w:rFonts w:ascii="Arial" w:hAnsi="Arial" w:cs="Arial"/>
          <w:sz w:val="20"/>
          <w:szCs w:val="20"/>
        </w:rPr>
        <w:t>, children who had a higher engagement in play activities were rated higher in their cognitive and social development.</w:t>
      </w:r>
      <w:r w:rsidR="004E17C1" w:rsidRPr="004E17C1">
        <w:rPr>
          <w:rFonts w:ascii="Arial" w:hAnsi="Arial" w:cs="Arial"/>
        </w:rPr>
        <w:t xml:space="preserve"> </w:t>
      </w:r>
      <w:r w:rsidRPr="004E17C1">
        <w:rPr>
          <w:rFonts w:ascii="Arial" w:hAnsi="Arial" w:cs="Arial"/>
          <w:sz w:val="20"/>
          <w:szCs w:val="20"/>
        </w:rPr>
        <w:t>Understandably, some activit</w:t>
      </w:r>
      <w:r w:rsidR="00F53472" w:rsidRPr="004E17C1">
        <w:rPr>
          <w:rFonts w:ascii="Arial" w:hAnsi="Arial" w:cs="Arial"/>
          <w:sz w:val="20"/>
          <w:szCs w:val="20"/>
        </w:rPr>
        <w:t>i</w:t>
      </w:r>
      <w:r w:rsidRPr="004E17C1">
        <w:rPr>
          <w:rFonts w:ascii="Arial" w:hAnsi="Arial" w:cs="Arial"/>
          <w:sz w:val="20"/>
          <w:szCs w:val="20"/>
        </w:rPr>
        <w:t xml:space="preserve">es during an observation or assessment </w:t>
      </w:r>
      <w:r w:rsidR="00F53472" w:rsidRPr="004E17C1">
        <w:rPr>
          <w:rFonts w:ascii="Arial" w:hAnsi="Arial" w:cs="Arial"/>
          <w:sz w:val="20"/>
          <w:szCs w:val="20"/>
        </w:rPr>
        <w:t xml:space="preserve">will need to have some form of control from the adult. However, this could possibly be combatted by the adult giving different options for what activities the child can do. Doing this will lead to a child being able to self-direct their own play, therefore increasing the likelihood they will perceive the activity as play and will increase their involvement in the activity. </w:t>
      </w:r>
      <w:r w:rsidR="004E17C1" w:rsidRPr="004E17C1">
        <w:rPr>
          <w:rFonts w:ascii="Arial" w:hAnsi="Arial" w:cs="Arial"/>
          <w:sz w:val="20"/>
          <w:szCs w:val="20"/>
        </w:rPr>
        <w:t xml:space="preserve">As well as adults supporting self-directed play during assessment, it should also be supported in non-assessment or observational situations as it promotes the child’s physical, social and emotional development. </w:t>
      </w:r>
    </w:p>
    <w:p w14:paraId="5AEF7F9E" w14:textId="30FFACC9" w:rsidR="007915C3" w:rsidRDefault="007915C3" w:rsidP="007915C3">
      <w:pPr>
        <w:spacing w:line="360" w:lineRule="auto"/>
        <w:jc w:val="both"/>
        <w:rPr>
          <w:rFonts w:ascii="Arial" w:hAnsi="Arial" w:cs="Arial"/>
          <w:sz w:val="20"/>
          <w:szCs w:val="20"/>
        </w:rPr>
      </w:pPr>
    </w:p>
    <w:p w14:paraId="5B94736F" w14:textId="7DD4821E" w:rsidR="007915C3" w:rsidRDefault="007915C3" w:rsidP="007915C3">
      <w:pPr>
        <w:spacing w:line="360" w:lineRule="auto"/>
        <w:jc w:val="both"/>
        <w:rPr>
          <w:rFonts w:ascii="Arial" w:hAnsi="Arial" w:cs="Arial"/>
          <w:sz w:val="20"/>
          <w:szCs w:val="20"/>
          <w:u w:val="single"/>
        </w:rPr>
      </w:pPr>
      <w:r w:rsidRPr="007915C3">
        <w:rPr>
          <w:rFonts w:ascii="Arial" w:hAnsi="Arial" w:cs="Arial"/>
          <w:sz w:val="20"/>
          <w:szCs w:val="20"/>
          <w:u w:val="single"/>
        </w:rPr>
        <w:t>References</w:t>
      </w:r>
    </w:p>
    <w:p w14:paraId="33DD098D" w14:textId="7D35CDE5" w:rsidR="007915C3" w:rsidRPr="0088714E" w:rsidRDefault="007915C3" w:rsidP="007915C3">
      <w:pPr>
        <w:jc w:val="both"/>
        <w:rPr>
          <w:rFonts w:ascii="Arial" w:hAnsi="Arial" w:cs="Arial"/>
          <w:sz w:val="20"/>
          <w:szCs w:val="20"/>
        </w:rPr>
      </w:pPr>
      <w:r w:rsidRPr="0088714E">
        <w:rPr>
          <w:rFonts w:ascii="Arial" w:hAnsi="Arial" w:cs="Arial"/>
          <w:color w:val="000000"/>
          <w:sz w:val="20"/>
          <w:szCs w:val="20"/>
          <w:shd w:val="clear" w:color="auto" w:fill="FFFFFF"/>
        </w:rPr>
        <w:t>Barclay, M., Bazley, S. and Bullough, D. (2016). Dy</w:t>
      </w:r>
      <w:r w:rsidRPr="0088714E">
        <w:rPr>
          <w:rFonts w:ascii="Arial" w:hAnsi="Arial" w:cs="Arial"/>
          <w:i/>
          <w:iCs/>
          <w:color w:val="000000"/>
          <w:sz w:val="20"/>
          <w:szCs w:val="20"/>
        </w:rPr>
        <w:t xml:space="preserve">namic risk management of common but potentially hazardous play </w:t>
      </w:r>
      <w:r w:rsidR="002175BF" w:rsidRPr="0088714E">
        <w:rPr>
          <w:rFonts w:ascii="Arial" w:hAnsi="Arial" w:cs="Arial"/>
          <w:i/>
          <w:iCs/>
          <w:color w:val="000000"/>
          <w:sz w:val="20"/>
          <w:szCs w:val="20"/>
        </w:rPr>
        <w:t>behaviours.</w:t>
      </w:r>
      <w:r w:rsidRPr="0088714E">
        <w:rPr>
          <w:rFonts w:ascii="Arial" w:hAnsi="Arial" w:cs="Arial"/>
          <w:color w:val="000000"/>
          <w:sz w:val="20"/>
          <w:szCs w:val="20"/>
          <w:shd w:val="clear" w:color="auto" w:fill="FFFFFF"/>
        </w:rPr>
        <w:t xml:space="preserve"> [online] Play Wales. Available at: https://www.playwales.org.uk/login/uploaded/documents/Play%20and%20Challenge/RBA%20guidance%20paper.pdf [Accessed 13 Jan. 2020].</w:t>
      </w:r>
    </w:p>
    <w:p w14:paraId="41C434D3" w14:textId="77777777" w:rsidR="007915C3" w:rsidRPr="0088714E" w:rsidRDefault="007915C3" w:rsidP="007915C3">
      <w:pPr>
        <w:pStyle w:val="ListParagraph"/>
        <w:jc w:val="both"/>
        <w:rPr>
          <w:rFonts w:ascii="Arial" w:hAnsi="Arial" w:cs="Arial"/>
          <w:sz w:val="20"/>
          <w:szCs w:val="20"/>
        </w:rPr>
      </w:pPr>
    </w:p>
    <w:p w14:paraId="1F2B4AE3" w14:textId="78F4487C" w:rsidR="007915C3" w:rsidRPr="0088714E" w:rsidRDefault="007915C3" w:rsidP="007915C3">
      <w:pPr>
        <w:jc w:val="both"/>
        <w:rPr>
          <w:rFonts w:ascii="Arial" w:hAnsi="Arial" w:cs="Arial"/>
          <w:sz w:val="20"/>
          <w:szCs w:val="20"/>
        </w:rPr>
      </w:pPr>
      <w:r w:rsidRPr="0088714E">
        <w:rPr>
          <w:rFonts w:ascii="Arial" w:hAnsi="Arial" w:cs="Arial"/>
          <w:sz w:val="20"/>
          <w:szCs w:val="20"/>
        </w:rPr>
        <w:lastRenderedPageBreak/>
        <w:t>Brėdikytė, M</w:t>
      </w:r>
      <w:r w:rsidR="001F34B5">
        <w:rPr>
          <w:rFonts w:ascii="Arial" w:hAnsi="Arial" w:cs="Arial"/>
          <w:sz w:val="20"/>
          <w:szCs w:val="20"/>
        </w:rPr>
        <w:t>. (</w:t>
      </w:r>
      <w:r w:rsidRPr="0088714E">
        <w:rPr>
          <w:rFonts w:ascii="Arial" w:hAnsi="Arial" w:cs="Arial"/>
          <w:sz w:val="20"/>
          <w:szCs w:val="20"/>
        </w:rPr>
        <w:t>2015</w:t>
      </w:r>
      <w:r w:rsidR="001F34B5">
        <w:rPr>
          <w:rFonts w:ascii="Arial" w:hAnsi="Arial" w:cs="Arial"/>
          <w:sz w:val="20"/>
          <w:szCs w:val="20"/>
        </w:rPr>
        <w:t>)</w:t>
      </w:r>
      <w:r w:rsidRPr="0088714E">
        <w:rPr>
          <w:rFonts w:ascii="Arial" w:hAnsi="Arial" w:cs="Arial"/>
          <w:sz w:val="20"/>
          <w:szCs w:val="20"/>
        </w:rPr>
        <w:t xml:space="preserve">. </w:t>
      </w:r>
      <w:r w:rsidRPr="0088714E">
        <w:rPr>
          <w:rFonts w:ascii="Arial" w:hAnsi="Arial" w:cs="Arial"/>
          <w:i/>
          <w:iCs/>
          <w:sz w:val="20"/>
          <w:szCs w:val="20"/>
        </w:rPr>
        <w:t>The Dynamics of Pretend Play Development in Early Childhood</w:t>
      </w:r>
      <w:r w:rsidRPr="0088714E">
        <w:rPr>
          <w:rFonts w:ascii="Arial" w:hAnsi="Arial" w:cs="Arial"/>
          <w:sz w:val="20"/>
          <w:szCs w:val="20"/>
        </w:rPr>
        <w:t>. Pedagogy Studies / Pedagogika, 118(2), pp.174–188.</w:t>
      </w:r>
    </w:p>
    <w:p w14:paraId="5AE49DD6" w14:textId="77777777" w:rsidR="007915C3" w:rsidRDefault="007915C3" w:rsidP="007915C3">
      <w:pPr>
        <w:jc w:val="both"/>
        <w:rPr>
          <w:rFonts w:ascii="Arial" w:hAnsi="Arial" w:cs="Arial"/>
          <w:sz w:val="20"/>
          <w:szCs w:val="20"/>
        </w:rPr>
      </w:pPr>
    </w:p>
    <w:p w14:paraId="0F87FD80" w14:textId="2E90D2C6" w:rsidR="007915C3" w:rsidRPr="0088714E" w:rsidRDefault="007915C3" w:rsidP="007915C3">
      <w:pPr>
        <w:jc w:val="both"/>
        <w:rPr>
          <w:rFonts w:ascii="Arial" w:hAnsi="Arial" w:cs="Arial"/>
          <w:sz w:val="20"/>
          <w:szCs w:val="20"/>
        </w:rPr>
      </w:pPr>
      <w:r w:rsidRPr="0088714E">
        <w:rPr>
          <w:rFonts w:ascii="Arial" w:hAnsi="Arial" w:cs="Arial"/>
          <w:sz w:val="20"/>
          <w:szCs w:val="20"/>
        </w:rPr>
        <w:t xml:space="preserve">Brussoni, M., S. Brunelle, I. Pike, E. B. H. Sandseter, S. Herrington, H. Turner, et al. </w:t>
      </w:r>
      <w:r w:rsidR="001F34B5">
        <w:rPr>
          <w:rFonts w:ascii="Arial" w:hAnsi="Arial" w:cs="Arial"/>
          <w:sz w:val="20"/>
          <w:szCs w:val="20"/>
        </w:rPr>
        <w:t>(</w:t>
      </w:r>
      <w:r w:rsidRPr="0088714E">
        <w:rPr>
          <w:rFonts w:ascii="Arial" w:hAnsi="Arial" w:cs="Arial"/>
          <w:sz w:val="20"/>
          <w:szCs w:val="20"/>
        </w:rPr>
        <w:t>2014</w:t>
      </w:r>
      <w:r w:rsidR="001F34B5">
        <w:rPr>
          <w:rFonts w:ascii="Arial" w:hAnsi="Arial" w:cs="Arial"/>
          <w:sz w:val="20"/>
          <w:szCs w:val="20"/>
        </w:rPr>
        <w:t>)</w:t>
      </w:r>
      <w:r w:rsidRPr="0088714E">
        <w:rPr>
          <w:rFonts w:ascii="Arial" w:hAnsi="Arial" w:cs="Arial"/>
          <w:sz w:val="20"/>
          <w:szCs w:val="20"/>
        </w:rPr>
        <w:t xml:space="preserve">. </w:t>
      </w:r>
      <w:r w:rsidRPr="0088714E">
        <w:rPr>
          <w:rFonts w:ascii="Arial" w:hAnsi="Arial" w:cs="Arial"/>
          <w:i/>
          <w:iCs/>
          <w:sz w:val="20"/>
          <w:szCs w:val="20"/>
        </w:rPr>
        <w:t>“Can Child Injury Prevention Include Healthy Risk Promotion?”</w:t>
      </w:r>
      <w:r w:rsidRPr="0088714E">
        <w:rPr>
          <w:rFonts w:ascii="Arial" w:hAnsi="Arial" w:cs="Arial"/>
          <w:sz w:val="20"/>
          <w:szCs w:val="20"/>
        </w:rPr>
        <w:t xml:space="preserve"> Injury Prevention: 1–4. doi:10.1136/injuryprev-2014-041241.</w:t>
      </w:r>
    </w:p>
    <w:p w14:paraId="6F14DA69" w14:textId="77777777" w:rsidR="007915C3" w:rsidRDefault="007915C3" w:rsidP="007915C3">
      <w:pPr>
        <w:jc w:val="both"/>
        <w:rPr>
          <w:rFonts w:ascii="Arial" w:hAnsi="Arial" w:cs="Arial"/>
          <w:color w:val="000000"/>
          <w:sz w:val="20"/>
          <w:szCs w:val="20"/>
          <w:shd w:val="clear" w:color="auto" w:fill="FFFFFF"/>
        </w:rPr>
      </w:pPr>
    </w:p>
    <w:p w14:paraId="0E0BCFDB" w14:textId="77777777" w:rsidR="007915C3" w:rsidRPr="0088714E" w:rsidRDefault="007915C3" w:rsidP="007915C3">
      <w:pPr>
        <w:jc w:val="both"/>
        <w:rPr>
          <w:rFonts w:ascii="Arial" w:hAnsi="Arial" w:cs="Arial"/>
          <w:sz w:val="20"/>
          <w:szCs w:val="20"/>
        </w:rPr>
      </w:pPr>
      <w:r w:rsidRPr="0088714E">
        <w:rPr>
          <w:rFonts w:ascii="Arial" w:hAnsi="Arial" w:cs="Arial"/>
          <w:color w:val="000000"/>
          <w:sz w:val="20"/>
          <w:szCs w:val="20"/>
          <w:shd w:val="clear" w:color="auto" w:fill="FFFFFF"/>
        </w:rPr>
        <w:t>California Department of Education. (2019).</w:t>
      </w:r>
      <w:r w:rsidRPr="0088714E">
        <w:rPr>
          <w:rStyle w:val="apple-converted-space"/>
          <w:rFonts w:ascii="Arial" w:hAnsi="Arial" w:cs="Arial"/>
          <w:color w:val="000000"/>
          <w:sz w:val="20"/>
          <w:szCs w:val="20"/>
          <w:shd w:val="clear" w:color="auto" w:fill="FFFFFF"/>
        </w:rPr>
        <w:t> </w:t>
      </w:r>
      <w:r w:rsidRPr="0088714E">
        <w:rPr>
          <w:rFonts w:ascii="Arial" w:hAnsi="Arial" w:cs="Arial"/>
          <w:i/>
          <w:iCs/>
          <w:color w:val="000000"/>
          <w:sz w:val="20"/>
          <w:szCs w:val="20"/>
        </w:rPr>
        <w:t>Foundation: Symbolic Play</w:t>
      </w:r>
      <w:r w:rsidRPr="0088714E">
        <w:rPr>
          <w:rFonts w:ascii="Arial" w:hAnsi="Arial" w:cs="Arial"/>
          <w:color w:val="000000"/>
          <w:sz w:val="20"/>
          <w:szCs w:val="20"/>
          <w:shd w:val="clear" w:color="auto" w:fill="FFFFFF"/>
        </w:rPr>
        <w:t>. [online] Available at: https://www.cde.ca.gov/sp/cd/re/itf09cogdevfdsym.asp [Accessed 6 Jan. 2020].</w:t>
      </w:r>
    </w:p>
    <w:p w14:paraId="7631B2A3" w14:textId="77777777" w:rsidR="007915C3" w:rsidRDefault="007915C3" w:rsidP="007915C3">
      <w:pPr>
        <w:jc w:val="both"/>
        <w:rPr>
          <w:rFonts w:ascii="Arial" w:hAnsi="Arial" w:cs="Arial"/>
          <w:sz w:val="20"/>
          <w:szCs w:val="20"/>
        </w:rPr>
      </w:pPr>
    </w:p>
    <w:p w14:paraId="6B9F0C40" w14:textId="77777777" w:rsidR="007915C3" w:rsidRPr="0088714E" w:rsidRDefault="007915C3" w:rsidP="007915C3">
      <w:pPr>
        <w:jc w:val="both"/>
        <w:rPr>
          <w:rFonts w:ascii="Arial" w:hAnsi="Arial" w:cs="Arial"/>
          <w:sz w:val="20"/>
          <w:szCs w:val="20"/>
        </w:rPr>
      </w:pPr>
      <w:r w:rsidRPr="0088714E">
        <w:rPr>
          <w:rFonts w:ascii="Arial" w:hAnsi="Arial" w:cs="Arial"/>
          <w:sz w:val="20"/>
          <w:szCs w:val="20"/>
        </w:rPr>
        <w:t xml:space="preserve">Cevher-Kalburan, N. &amp; Ivrendi, A., 2016. </w:t>
      </w:r>
      <w:r w:rsidRPr="0088714E">
        <w:rPr>
          <w:rFonts w:ascii="Arial" w:hAnsi="Arial" w:cs="Arial"/>
          <w:i/>
          <w:iCs/>
          <w:sz w:val="20"/>
          <w:szCs w:val="20"/>
        </w:rPr>
        <w:t>Risky Play and Parenting Styles</w:t>
      </w:r>
      <w:r w:rsidRPr="0088714E">
        <w:rPr>
          <w:rFonts w:ascii="Arial" w:hAnsi="Arial" w:cs="Arial"/>
          <w:sz w:val="20"/>
          <w:szCs w:val="20"/>
        </w:rPr>
        <w:t>. Journal of Child and Family Studies, 25(2), pp.355–366.</w:t>
      </w:r>
    </w:p>
    <w:p w14:paraId="4FA5E8F6" w14:textId="77777777" w:rsidR="007915C3" w:rsidRDefault="007915C3" w:rsidP="007915C3">
      <w:pPr>
        <w:jc w:val="both"/>
        <w:rPr>
          <w:rFonts w:ascii="Arial" w:hAnsi="Arial" w:cs="Arial"/>
          <w:color w:val="000000"/>
          <w:sz w:val="20"/>
          <w:szCs w:val="20"/>
          <w:shd w:val="clear" w:color="auto" w:fill="FFFFFF"/>
        </w:rPr>
      </w:pPr>
    </w:p>
    <w:p w14:paraId="2AE70CFF" w14:textId="77777777" w:rsidR="007915C3" w:rsidRPr="0088714E" w:rsidRDefault="007915C3" w:rsidP="007915C3">
      <w:pPr>
        <w:jc w:val="both"/>
        <w:rPr>
          <w:rFonts w:ascii="Arial" w:hAnsi="Arial" w:cs="Arial"/>
          <w:sz w:val="20"/>
          <w:szCs w:val="20"/>
        </w:rPr>
      </w:pPr>
      <w:r w:rsidRPr="0088714E">
        <w:rPr>
          <w:rFonts w:ascii="Arial" w:hAnsi="Arial" w:cs="Arial"/>
          <w:color w:val="000000"/>
          <w:sz w:val="20"/>
          <w:szCs w:val="20"/>
          <w:shd w:val="clear" w:color="auto" w:fill="FFFFFF"/>
        </w:rPr>
        <w:t>Department for Education. (n.d.). </w:t>
      </w:r>
      <w:r w:rsidRPr="0088714E">
        <w:rPr>
          <w:rFonts w:ascii="Arial" w:hAnsi="Arial" w:cs="Arial"/>
          <w:i/>
          <w:iCs/>
          <w:color w:val="000000"/>
          <w:sz w:val="20"/>
          <w:szCs w:val="20"/>
        </w:rPr>
        <w:t>Health and Safety: Responsibilities and Duties for Schools</w:t>
      </w:r>
      <w:r w:rsidRPr="0088714E">
        <w:rPr>
          <w:rFonts w:ascii="Arial" w:hAnsi="Arial" w:cs="Arial"/>
          <w:color w:val="000000"/>
          <w:sz w:val="20"/>
          <w:szCs w:val="20"/>
          <w:shd w:val="clear" w:color="auto" w:fill="FFFFFF"/>
        </w:rPr>
        <w:t>. [online] Available at: https://www.gov.uk/government/publications/health-and-safety-advice-for-schools/responsibilities-and-duties-for-schools#assessing-and-managing-risks [Accessed 14 Jan. 2020].</w:t>
      </w:r>
    </w:p>
    <w:p w14:paraId="7CEA4E20" w14:textId="77777777" w:rsidR="007915C3" w:rsidRDefault="007915C3" w:rsidP="007915C3">
      <w:pPr>
        <w:jc w:val="both"/>
        <w:rPr>
          <w:rFonts w:ascii="Arial" w:hAnsi="Arial" w:cs="Arial"/>
          <w:sz w:val="20"/>
          <w:szCs w:val="20"/>
        </w:rPr>
      </w:pPr>
    </w:p>
    <w:p w14:paraId="43C42A5F" w14:textId="77777777" w:rsidR="007915C3" w:rsidRPr="0088714E" w:rsidRDefault="007915C3" w:rsidP="007915C3">
      <w:pPr>
        <w:jc w:val="both"/>
        <w:rPr>
          <w:rFonts w:ascii="Arial" w:hAnsi="Arial" w:cs="Arial"/>
          <w:sz w:val="20"/>
          <w:szCs w:val="20"/>
        </w:rPr>
      </w:pPr>
      <w:r>
        <w:rPr>
          <w:rFonts w:ascii="Arial" w:hAnsi="Arial" w:cs="Arial"/>
          <w:sz w:val="20"/>
          <w:szCs w:val="20"/>
        </w:rPr>
        <w:t xml:space="preserve">Drake, J. (2006) </w:t>
      </w:r>
      <w:r>
        <w:rPr>
          <w:rFonts w:ascii="Arial" w:hAnsi="Arial" w:cs="Arial"/>
          <w:i/>
          <w:iCs/>
          <w:sz w:val="20"/>
          <w:szCs w:val="20"/>
        </w:rPr>
        <w:t xml:space="preserve">Observing Children. </w:t>
      </w:r>
      <w:r w:rsidRPr="0088714E">
        <w:rPr>
          <w:rFonts w:ascii="Arial" w:hAnsi="Arial" w:cs="Arial"/>
          <w:sz w:val="20"/>
          <w:szCs w:val="20"/>
        </w:rPr>
        <w:t>Nursery World. Available at: https://www.nurseryworld.co.uk/news/article/observing-children [Accessed 19 Jan. 2020].</w:t>
      </w:r>
    </w:p>
    <w:p w14:paraId="579A4505" w14:textId="77777777" w:rsidR="007915C3" w:rsidRDefault="007915C3" w:rsidP="007915C3">
      <w:pPr>
        <w:jc w:val="both"/>
        <w:rPr>
          <w:rFonts w:ascii="Arial" w:hAnsi="Arial" w:cs="Arial"/>
          <w:color w:val="000000"/>
          <w:sz w:val="20"/>
          <w:szCs w:val="20"/>
          <w:shd w:val="clear" w:color="auto" w:fill="FFFFFF"/>
        </w:rPr>
      </w:pPr>
    </w:p>
    <w:p w14:paraId="5456A7BB" w14:textId="77777777" w:rsidR="007915C3" w:rsidRPr="0088714E" w:rsidRDefault="007915C3" w:rsidP="007915C3">
      <w:pPr>
        <w:jc w:val="both"/>
        <w:rPr>
          <w:rFonts w:ascii="Arial" w:hAnsi="Arial" w:cs="Arial"/>
          <w:sz w:val="20"/>
          <w:szCs w:val="20"/>
        </w:rPr>
      </w:pPr>
      <w:r w:rsidRPr="0088714E">
        <w:rPr>
          <w:rFonts w:ascii="Arial" w:hAnsi="Arial" w:cs="Arial"/>
          <w:color w:val="000000"/>
          <w:sz w:val="20"/>
          <w:szCs w:val="20"/>
          <w:shd w:val="clear" w:color="auto" w:fill="FFFFFF"/>
        </w:rPr>
        <w:t>Early Years Careers. (2020). </w:t>
      </w:r>
      <w:r w:rsidRPr="0088714E">
        <w:rPr>
          <w:rFonts w:ascii="Arial" w:hAnsi="Arial" w:cs="Arial"/>
          <w:i/>
          <w:iCs/>
          <w:color w:val="000000"/>
          <w:sz w:val="20"/>
          <w:szCs w:val="20"/>
        </w:rPr>
        <w:t>Observing children’s play</w:t>
      </w:r>
      <w:r w:rsidRPr="0088714E">
        <w:rPr>
          <w:rFonts w:ascii="Arial" w:hAnsi="Arial" w:cs="Arial"/>
          <w:color w:val="000000"/>
          <w:sz w:val="20"/>
          <w:szCs w:val="20"/>
          <w:shd w:val="clear" w:color="auto" w:fill="FFFFFF"/>
        </w:rPr>
        <w:t>. [online] Available at: https://www.earlyyearscareers.com/eyc/latest-news/observing-childrens-play/ [Accessed 19 Jan. 2020].</w:t>
      </w:r>
    </w:p>
    <w:p w14:paraId="1B6DA5C0" w14:textId="77777777" w:rsidR="007915C3" w:rsidRDefault="007915C3" w:rsidP="007915C3">
      <w:pPr>
        <w:jc w:val="both"/>
        <w:rPr>
          <w:rFonts w:ascii="Arial" w:hAnsi="Arial" w:cs="Arial"/>
          <w:sz w:val="20"/>
          <w:szCs w:val="20"/>
        </w:rPr>
      </w:pPr>
    </w:p>
    <w:p w14:paraId="587C710B" w14:textId="77777777" w:rsidR="007915C3" w:rsidRPr="0088714E" w:rsidRDefault="007915C3" w:rsidP="007915C3">
      <w:pPr>
        <w:jc w:val="both"/>
        <w:rPr>
          <w:rFonts w:ascii="Arial" w:hAnsi="Arial" w:cs="Arial"/>
          <w:sz w:val="20"/>
          <w:szCs w:val="20"/>
        </w:rPr>
      </w:pPr>
      <w:r w:rsidRPr="0088714E">
        <w:rPr>
          <w:rFonts w:ascii="Arial" w:hAnsi="Arial" w:cs="Arial"/>
          <w:sz w:val="20"/>
          <w:szCs w:val="20"/>
        </w:rPr>
        <w:t xml:space="preserve">Family Lives. (2018). </w:t>
      </w:r>
      <w:r w:rsidRPr="0088714E">
        <w:rPr>
          <w:rFonts w:ascii="Arial" w:hAnsi="Arial" w:cs="Arial"/>
          <w:i/>
          <w:iCs/>
          <w:sz w:val="20"/>
          <w:szCs w:val="20"/>
        </w:rPr>
        <w:t>Why Play Matters</w:t>
      </w:r>
      <w:r w:rsidRPr="0088714E">
        <w:rPr>
          <w:rFonts w:ascii="Arial" w:hAnsi="Arial" w:cs="Arial"/>
          <w:sz w:val="20"/>
          <w:szCs w:val="20"/>
        </w:rPr>
        <w:t>. [online] Available at: https://www.familylives.org.uk/advice/early-years-development/learning-and-play/why-play-matters/ [Accessed 6 Jan. 2020].</w:t>
      </w:r>
    </w:p>
    <w:p w14:paraId="390998F9" w14:textId="77777777" w:rsidR="007915C3" w:rsidRDefault="007915C3" w:rsidP="007915C3">
      <w:pPr>
        <w:jc w:val="both"/>
        <w:rPr>
          <w:rFonts w:ascii="Arial" w:hAnsi="Arial" w:cs="Arial"/>
          <w:sz w:val="20"/>
          <w:szCs w:val="20"/>
        </w:rPr>
      </w:pPr>
    </w:p>
    <w:p w14:paraId="403E6A77" w14:textId="77777777" w:rsidR="007915C3" w:rsidRPr="0088714E" w:rsidRDefault="007915C3" w:rsidP="007915C3">
      <w:pPr>
        <w:jc w:val="both"/>
        <w:rPr>
          <w:rFonts w:ascii="Arial" w:hAnsi="Arial" w:cs="Arial"/>
          <w:sz w:val="20"/>
          <w:szCs w:val="20"/>
        </w:rPr>
      </w:pPr>
      <w:r w:rsidRPr="0088714E">
        <w:rPr>
          <w:rFonts w:ascii="Arial" w:hAnsi="Arial" w:cs="Arial"/>
          <w:sz w:val="20"/>
          <w:szCs w:val="20"/>
        </w:rPr>
        <w:t>Farmer</w:t>
      </w:r>
      <w:r w:rsidRPr="0088714E">
        <w:rPr>
          <w:rFonts w:ascii="Cambria Math" w:hAnsi="Cambria Math" w:cs="Cambria Math"/>
          <w:sz w:val="20"/>
          <w:szCs w:val="20"/>
        </w:rPr>
        <w:t>‐</w:t>
      </w:r>
      <w:r w:rsidRPr="0088714E">
        <w:rPr>
          <w:rFonts w:ascii="Arial" w:hAnsi="Arial" w:cs="Arial"/>
          <w:sz w:val="20"/>
          <w:szCs w:val="20"/>
        </w:rPr>
        <w:t xml:space="preserve">Dougan, V. and Kaszuba, T. (1999). </w:t>
      </w:r>
      <w:r w:rsidRPr="0088714E">
        <w:rPr>
          <w:rFonts w:ascii="Arial" w:hAnsi="Arial" w:cs="Arial"/>
          <w:i/>
          <w:iCs/>
          <w:sz w:val="20"/>
          <w:szCs w:val="20"/>
        </w:rPr>
        <w:t>Reliability and Validity of Play</w:t>
      </w:r>
      <w:r w:rsidRPr="0088714E">
        <w:rPr>
          <w:rFonts w:ascii="Cambria Math" w:hAnsi="Cambria Math" w:cs="Cambria Math"/>
          <w:i/>
          <w:iCs/>
          <w:sz w:val="20"/>
          <w:szCs w:val="20"/>
        </w:rPr>
        <w:t>‐</w:t>
      </w:r>
      <w:r w:rsidRPr="0088714E">
        <w:rPr>
          <w:rFonts w:ascii="Arial" w:hAnsi="Arial" w:cs="Arial"/>
          <w:i/>
          <w:iCs/>
          <w:sz w:val="20"/>
          <w:szCs w:val="20"/>
        </w:rPr>
        <w:t>based Observations: relationship between the PLAY behaviour observation system and standardised measures of cognitive and social skills</w:t>
      </w:r>
      <w:r w:rsidRPr="0088714E">
        <w:rPr>
          <w:rFonts w:ascii="Arial" w:hAnsi="Arial" w:cs="Arial"/>
          <w:sz w:val="20"/>
          <w:szCs w:val="20"/>
        </w:rPr>
        <w:t>. Educational Psychology, 19(4), pp.429-440.</w:t>
      </w:r>
    </w:p>
    <w:p w14:paraId="71087686" w14:textId="77777777" w:rsidR="001F34B5" w:rsidRDefault="001F34B5" w:rsidP="007915C3">
      <w:pPr>
        <w:jc w:val="both"/>
        <w:rPr>
          <w:rFonts w:ascii="Arial" w:hAnsi="Arial" w:cs="Arial"/>
          <w:color w:val="000000"/>
          <w:sz w:val="20"/>
          <w:szCs w:val="20"/>
          <w:shd w:val="clear" w:color="auto" w:fill="FFFFFF"/>
        </w:rPr>
      </w:pPr>
    </w:p>
    <w:p w14:paraId="35872130" w14:textId="04F2C8A8" w:rsidR="007915C3" w:rsidRPr="0088714E" w:rsidRDefault="007915C3" w:rsidP="007915C3">
      <w:pPr>
        <w:jc w:val="both"/>
        <w:rPr>
          <w:rFonts w:ascii="Arial" w:hAnsi="Arial" w:cs="Arial"/>
          <w:sz w:val="20"/>
          <w:szCs w:val="20"/>
        </w:rPr>
      </w:pPr>
      <w:r w:rsidRPr="0088714E">
        <w:rPr>
          <w:rFonts w:ascii="Arial" w:hAnsi="Arial" w:cs="Arial"/>
          <w:color w:val="000000"/>
          <w:sz w:val="20"/>
          <w:szCs w:val="20"/>
          <w:shd w:val="clear" w:color="auto" w:fill="FFFFFF"/>
        </w:rPr>
        <w:t>Forest School Association. (n.d.). </w:t>
      </w:r>
      <w:r w:rsidRPr="0088714E">
        <w:rPr>
          <w:rFonts w:ascii="Arial" w:hAnsi="Arial" w:cs="Arial"/>
          <w:i/>
          <w:iCs/>
          <w:color w:val="000000"/>
          <w:sz w:val="20"/>
          <w:szCs w:val="20"/>
        </w:rPr>
        <w:t xml:space="preserve">What is Forest </w:t>
      </w:r>
      <w:r w:rsidR="002175BF" w:rsidRPr="0088714E">
        <w:rPr>
          <w:rFonts w:ascii="Arial" w:hAnsi="Arial" w:cs="Arial"/>
          <w:i/>
          <w:iCs/>
          <w:color w:val="000000"/>
          <w:sz w:val="20"/>
          <w:szCs w:val="20"/>
        </w:rPr>
        <w:t>School?</w:t>
      </w:r>
      <w:r w:rsidRPr="0088714E">
        <w:rPr>
          <w:rFonts w:ascii="Arial" w:hAnsi="Arial" w:cs="Arial"/>
          <w:color w:val="000000"/>
          <w:sz w:val="20"/>
          <w:szCs w:val="20"/>
          <w:shd w:val="clear" w:color="auto" w:fill="FFFFFF"/>
        </w:rPr>
        <w:t xml:space="preserve"> [online] Available at: https://www.forestschoolassociation.org/what-is-forest-school/ [Accessed 10 Jan. 2020].</w:t>
      </w:r>
    </w:p>
    <w:p w14:paraId="1C10ECA1" w14:textId="77777777" w:rsidR="007915C3" w:rsidRDefault="007915C3" w:rsidP="007915C3">
      <w:pPr>
        <w:jc w:val="both"/>
        <w:rPr>
          <w:rFonts w:ascii="Arial" w:hAnsi="Arial" w:cs="Arial"/>
          <w:color w:val="000000"/>
          <w:sz w:val="20"/>
          <w:szCs w:val="20"/>
          <w:shd w:val="clear" w:color="auto" w:fill="FFFFFF"/>
        </w:rPr>
      </w:pPr>
    </w:p>
    <w:p w14:paraId="5052AD2F" w14:textId="571DE9D5" w:rsidR="007915C3" w:rsidRPr="0088714E" w:rsidRDefault="007915C3" w:rsidP="007915C3">
      <w:pPr>
        <w:jc w:val="both"/>
        <w:rPr>
          <w:rFonts w:ascii="Arial" w:hAnsi="Arial" w:cs="Arial"/>
          <w:sz w:val="20"/>
          <w:szCs w:val="20"/>
        </w:rPr>
      </w:pPr>
      <w:r w:rsidRPr="0088714E">
        <w:rPr>
          <w:rFonts w:ascii="Arial" w:hAnsi="Arial" w:cs="Arial"/>
          <w:color w:val="000000"/>
          <w:sz w:val="20"/>
          <w:szCs w:val="20"/>
          <w:shd w:val="clear" w:color="auto" w:fill="FFFFFF"/>
        </w:rPr>
        <w:t xml:space="preserve">Hansen Sandseter, E. (2007). </w:t>
      </w:r>
      <w:r w:rsidRPr="0088714E">
        <w:rPr>
          <w:rFonts w:ascii="Arial" w:hAnsi="Arial" w:cs="Arial"/>
          <w:i/>
          <w:iCs/>
          <w:color w:val="000000"/>
          <w:sz w:val="20"/>
          <w:szCs w:val="20"/>
          <w:shd w:val="clear" w:color="auto" w:fill="FFFFFF"/>
        </w:rPr>
        <w:t>Categorising risky play—how can we identify risk</w:t>
      </w:r>
      <w:r w:rsidRPr="0088714E">
        <w:rPr>
          <w:rFonts w:ascii="Cambria Math" w:hAnsi="Cambria Math" w:cs="Cambria Math"/>
          <w:i/>
          <w:iCs/>
          <w:color w:val="000000"/>
          <w:sz w:val="20"/>
          <w:szCs w:val="20"/>
          <w:shd w:val="clear" w:color="auto" w:fill="FFFFFF"/>
        </w:rPr>
        <w:t>‐</w:t>
      </w:r>
      <w:r w:rsidRPr="0088714E">
        <w:rPr>
          <w:rFonts w:ascii="Arial" w:hAnsi="Arial" w:cs="Arial"/>
          <w:i/>
          <w:iCs/>
          <w:color w:val="000000"/>
          <w:sz w:val="20"/>
          <w:szCs w:val="20"/>
          <w:shd w:val="clear" w:color="auto" w:fill="FFFFFF"/>
        </w:rPr>
        <w:t xml:space="preserve">taking in children's </w:t>
      </w:r>
      <w:r w:rsidR="002175BF" w:rsidRPr="0088714E">
        <w:rPr>
          <w:rFonts w:ascii="Arial" w:hAnsi="Arial" w:cs="Arial"/>
          <w:i/>
          <w:iCs/>
          <w:color w:val="000000"/>
          <w:sz w:val="20"/>
          <w:szCs w:val="20"/>
          <w:shd w:val="clear" w:color="auto" w:fill="FFFFFF"/>
        </w:rPr>
        <w:t>play?</w:t>
      </w:r>
      <w:r w:rsidRPr="0088714E">
        <w:rPr>
          <w:rStyle w:val="apple-converted-space"/>
          <w:rFonts w:ascii="Arial" w:hAnsi="Arial" w:cs="Arial"/>
          <w:color w:val="000000"/>
          <w:sz w:val="20"/>
          <w:szCs w:val="20"/>
          <w:shd w:val="clear" w:color="auto" w:fill="FFFFFF"/>
        </w:rPr>
        <w:t> </w:t>
      </w:r>
      <w:r w:rsidRPr="0088714E">
        <w:rPr>
          <w:rFonts w:ascii="Arial" w:hAnsi="Arial" w:cs="Arial"/>
          <w:i/>
          <w:iCs/>
          <w:color w:val="000000"/>
          <w:sz w:val="20"/>
          <w:szCs w:val="20"/>
        </w:rPr>
        <w:t>European Early Childhood Education Research Journal</w:t>
      </w:r>
      <w:r w:rsidRPr="0088714E">
        <w:rPr>
          <w:rFonts w:ascii="Arial" w:hAnsi="Arial" w:cs="Arial"/>
          <w:color w:val="000000"/>
          <w:sz w:val="20"/>
          <w:szCs w:val="20"/>
          <w:shd w:val="clear" w:color="auto" w:fill="FFFFFF"/>
        </w:rPr>
        <w:t>, 15(2), pp.237-252.</w:t>
      </w:r>
    </w:p>
    <w:p w14:paraId="0ECAD5F8" w14:textId="77777777" w:rsidR="007915C3" w:rsidRDefault="007915C3" w:rsidP="007915C3">
      <w:pPr>
        <w:jc w:val="both"/>
        <w:rPr>
          <w:rFonts w:ascii="Arial" w:hAnsi="Arial" w:cs="Arial"/>
          <w:sz w:val="20"/>
          <w:szCs w:val="20"/>
        </w:rPr>
      </w:pPr>
    </w:p>
    <w:p w14:paraId="167F422B" w14:textId="77777777" w:rsidR="007915C3" w:rsidRPr="0088714E" w:rsidRDefault="007915C3" w:rsidP="007915C3">
      <w:pPr>
        <w:jc w:val="both"/>
        <w:rPr>
          <w:rFonts w:ascii="Arial" w:hAnsi="Arial" w:cs="Arial"/>
          <w:sz w:val="20"/>
          <w:szCs w:val="20"/>
        </w:rPr>
      </w:pPr>
      <w:r w:rsidRPr="0088714E">
        <w:rPr>
          <w:rFonts w:ascii="Arial" w:hAnsi="Arial" w:cs="Arial"/>
          <w:sz w:val="20"/>
          <w:szCs w:val="20"/>
        </w:rPr>
        <w:t xml:space="preserve">Laevers, F., Vandenbussche, E., Kog, M. and Depondt, L. (1994) </w:t>
      </w:r>
      <w:r w:rsidRPr="0088714E">
        <w:rPr>
          <w:rFonts w:ascii="Arial" w:hAnsi="Arial" w:cs="Arial"/>
          <w:i/>
          <w:iCs/>
          <w:sz w:val="20"/>
          <w:szCs w:val="20"/>
        </w:rPr>
        <w:t xml:space="preserve">A Process-Oriented Child Monitoring System for Young Children. </w:t>
      </w:r>
      <w:r w:rsidRPr="0088714E">
        <w:rPr>
          <w:rFonts w:ascii="Arial" w:hAnsi="Arial" w:cs="Arial"/>
          <w:sz w:val="20"/>
          <w:szCs w:val="20"/>
        </w:rPr>
        <w:t>Centre for Experimental Education, Leuven, Belgium.</w:t>
      </w:r>
    </w:p>
    <w:p w14:paraId="2B1A3281" w14:textId="77777777" w:rsidR="007915C3" w:rsidRDefault="007915C3" w:rsidP="007915C3">
      <w:pPr>
        <w:jc w:val="both"/>
        <w:rPr>
          <w:rFonts w:ascii="Arial" w:hAnsi="Arial" w:cs="Arial"/>
          <w:color w:val="000000"/>
          <w:sz w:val="20"/>
          <w:szCs w:val="20"/>
          <w:shd w:val="clear" w:color="auto" w:fill="FFFFFF"/>
        </w:rPr>
      </w:pPr>
    </w:p>
    <w:p w14:paraId="27105243" w14:textId="77777777" w:rsidR="007915C3" w:rsidRPr="0088714E" w:rsidRDefault="007915C3" w:rsidP="007915C3">
      <w:pPr>
        <w:jc w:val="both"/>
        <w:rPr>
          <w:rFonts w:ascii="Arial" w:hAnsi="Arial" w:cs="Arial"/>
          <w:sz w:val="20"/>
          <w:szCs w:val="20"/>
        </w:rPr>
      </w:pPr>
      <w:r w:rsidRPr="0088714E">
        <w:rPr>
          <w:rFonts w:ascii="Arial" w:hAnsi="Arial" w:cs="Arial"/>
          <w:color w:val="000000"/>
          <w:sz w:val="20"/>
          <w:szCs w:val="20"/>
          <w:shd w:val="clear" w:color="auto" w:fill="FFFFFF"/>
        </w:rPr>
        <w:t>Little, H., Sandseter, E. and Wyver, S. (2012</w:t>
      </w:r>
      <w:r w:rsidRPr="0088714E">
        <w:rPr>
          <w:rFonts w:ascii="Arial" w:hAnsi="Arial" w:cs="Arial"/>
          <w:i/>
          <w:iCs/>
          <w:color w:val="000000"/>
          <w:sz w:val="20"/>
          <w:szCs w:val="20"/>
          <w:shd w:val="clear" w:color="auto" w:fill="FFFFFF"/>
        </w:rPr>
        <w:t>). Early Childhood Teachers' Beliefs about Children's Risky Play in Australia and Norway.</w:t>
      </w:r>
      <w:r w:rsidRPr="0088714E">
        <w:rPr>
          <w:rStyle w:val="apple-converted-space"/>
          <w:rFonts w:ascii="Arial" w:hAnsi="Arial" w:cs="Arial"/>
          <w:i/>
          <w:iCs/>
          <w:color w:val="000000"/>
          <w:sz w:val="20"/>
          <w:szCs w:val="20"/>
          <w:shd w:val="clear" w:color="auto" w:fill="FFFFFF"/>
        </w:rPr>
        <w:t> </w:t>
      </w:r>
      <w:r w:rsidRPr="0088714E">
        <w:rPr>
          <w:rFonts w:ascii="Arial" w:hAnsi="Arial" w:cs="Arial"/>
          <w:i/>
          <w:iCs/>
          <w:color w:val="000000"/>
          <w:sz w:val="20"/>
          <w:szCs w:val="20"/>
        </w:rPr>
        <w:t>Contemporary Issues in Early Childhood</w:t>
      </w:r>
      <w:r w:rsidRPr="0088714E">
        <w:rPr>
          <w:rFonts w:ascii="Arial" w:hAnsi="Arial" w:cs="Arial"/>
          <w:color w:val="000000"/>
          <w:sz w:val="20"/>
          <w:szCs w:val="20"/>
          <w:shd w:val="clear" w:color="auto" w:fill="FFFFFF"/>
        </w:rPr>
        <w:t>, 13(4), pp.300-316.</w:t>
      </w:r>
    </w:p>
    <w:p w14:paraId="38308E2F" w14:textId="77777777" w:rsidR="007915C3" w:rsidRDefault="007915C3" w:rsidP="007915C3">
      <w:pPr>
        <w:jc w:val="both"/>
        <w:rPr>
          <w:rFonts w:ascii="Arial" w:hAnsi="Arial" w:cs="Arial"/>
          <w:color w:val="000000"/>
          <w:sz w:val="20"/>
          <w:szCs w:val="20"/>
          <w:shd w:val="clear" w:color="auto" w:fill="FFFFFF"/>
        </w:rPr>
      </w:pPr>
    </w:p>
    <w:p w14:paraId="39CB839B" w14:textId="77777777" w:rsidR="007915C3" w:rsidRPr="0088714E" w:rsidRDefault="007915C3" w:rsidP="007915C3">
      <w:pPr>
        <w:jc w:val="both"/>
        <w:rPr>
          <w:rFonts w:ascii="Arial" w:hAnsi="Arial" w:cs="Arial"/>
          <w:sz w:val="20"/>
          <w:szCs w:val="20"/>
        </w:rPr>
      </w:pPr>
      <w:r w:rsidRPr="0088714E">
        <w:rPr>
          <w:rFonts w:ascii="Arial" w:hAnsi="Arial" w:cs="Arial"/>
          <w:color w:val="000000"/>
          <w:sz w:val="20"/>
          <w:szCs w:val="20"/>
          <w:shd w:val="clear" w:color="auto" w:fill="FFFFFF"/>
        </w:rPr>
        <w:t>Moor, J. (2008). </w:t>
      </w:r>
      <w:r w:rsidRPr="0088714E">
        <w:rPr>
          <w:rFonts w:ascii="Arial" w:hAnsi="Arial" w:cs="Arial"/>
          <w:i/>
          <w:iCs/>
          <w:color w:val="000000"/>
          <w:sz w:val="20"/>
          <w:szCs w:val="20"/>
        </w:rPr>
        <w:t>Playing, laughing and learning with children on the autism spectrum</w:t>
      </w:r>
      <w:r w:rsidRPr="0088714E">
        <w:rPr>
          <w:rFonts w:ascii="Arial" w:hAnsi="Arial" w:cs="Arial"/>
          <w:color w:val="000000"/>
          <w:sz w:val="20"/>
          <w:szCs w:val="20"/>
          <w:shd w:val="clear" w:color="auto" w:fill="FFFFFF"/>
        </w:rPr>
        <w:t>. 2nd ed. London: Jessica Kingsley Publishers, pp.17, 18, 20.</w:t>
      </w:r>
    </w:p>
    <w:p w14:paraId="4F84A5AD" w14:textId="77777777" w:rsidR="007915C3" w:rsidRDefault="007915C3" w:rsidP="007915C3">
      <w:pPr>
        <w:jc w:val="both"/>
        <w:rPr>
          <w:rFonts w:ascii="Arial" w:hAnsi="Arial" w:cs="Arial"/>
          <w:sz w:val="20"/>
          <w:szCs w:val="20"/>
        </w:rPr>
      </w:pPr>
    </w:p>
    <w:p w14:paraId="2ED4CBEB" w14:textId="77777777" w:rsidR="007915C3" w:rsidRPr="0088714E" w:rsidRDefault="007915C3" w:rsidP="007915C3">
      <w:pPr>
        <w:jc w:val="both"/>
        <w:rPr>
          <w:rFonts w:ascii="Arial" w:hAnsi="Arial" w:cs="Arial"/>
          <w:sz w:val="20"/>
          <w:szCs w:val="20"/>
        </w:rPr>
      </w:pPr>
      <w:r w:rsidRPr="0088714E">
        <w:rPr>
          <w:rFonts w:ascii="Arial" w:hAnsi="Arial" w:cs="Arial"/>
          <w:sz w:val="20"/>
          <w:szCs w:val="20"/>
        </w:rPr>
        <w:t xml:space="preserve">Pellegrini, A.D., </w:t>
      </w:r>
      <w:r>
        <w:rPr>
          <w:rFonts w:ascii="Arial" w:hAnsi="Arial" w:cs="Arial"/>
          <w:sz w:val="20"/>
          <w:szCs w:val="20"/>
        </w:rPr>
        <w:t>(</w:t>
      </w:r>
      <w:r w:rsidRPr="0088714E">
        <w:rPr>
          <w:rFonts w:ascii="Arial" w:hAnsi="Arial" w:cs="Arial"/>
          <w:sz w:val="20"/>
          <w:szCs w:val="20"/>
        </w:rPr>
        <w:t>2009</w:t>
      </w:r>
      <w:r>
        <w:rPr>
          <w:rFonts w:ascii="Arial" w:hAnsi="Arial" w:cs="Arial"/>
          <w:sz w:val="20"/>
          <w:szCs w:val="20"/>
        </w:rPr>
        <w:t>)</w:t>
      </w:r>
      <w:r w:rsidRPr="0088714E">
        <w:rPr>
          <w:rFonts w:ascii="Arial" w:hAnsi="Arial" w:cs="Arial"/>
          <w:i/>
          <w:iCs/>
          <w:sz w:val="20"/>
          <w:szCs w:val="20"/>
        </w:rPr>
        <w:t>. The role of play in human development</w:t>
      </w:r>
      <w:r w:rsidRPr="0088714E">
        <w:rPr>
          <w:rFonts w:ascii="Arial" w:hAnsi="Arial" w:cs="Arial"/>
          <w:sz w:val="20"/>
          <w:szCs w:val="20"/>
        </w:rPr>
        <w:t>, Oxford: Oxford University Press.</w:t>
      </w:r>
    </w:p>
    <w:p w14:paraId="349FC9B1" w14:textId="77777777" w:rsidR="007915C3" w:rsidRPr="0088714E" w:rsidRDefault="007915C3" w:rsidP="007915C3">
      <w:pPr>
        <w:pStyle w:val="citation"/>
        <w:spacing w:before="240" w:beforeAutospacing="0" w:after="240" w:afterAutospacing="0"/>
        <w:jc w:val="both"/>
        <w:rPr>
          <w:rFonts w:ascii="Arial" w:hAnsi="Arial" w:cs="Arial"/>
          <w:color w:val="000000" w:themeColor="text1"/>
          <w:spacing w:val="2"/>
          <w:sz w:val="20"/>
          <w:szCs w:val="20"/>
        </w:rPr>
      </w:pPr>
      <w:r w:rsidRPr="0088714E">
        <w:rPr>
          <w:rFonts w:ascii="Arial" w:hAnsi="Arial" w:cs="Arial"/>
          <w:color w:val="000000" w:themeColor="text1"/>
          <w:spacing w:val="2"/>
          <w:sz w:val="20"/>
          <w:szCs w:val="20"/>
        </w:rPr>
        <w:t>Play Safety Forum.</w:t>
      </w:r>
      <w:r>
        <w:rPr>
          <w:rFonts w:ascii="Arial" w:hAnsi="Arial" w:cs="Arial"/>
          <w:color w:val="000000" w:themeColor="text1"/>
          <w:spacing w:val="2"/>
          <w:sz w:val="20"/>
          <w:szCs w:val="20"/>
        </w:rPr>
        <w:t xml:space="preserve"> </w:t>
      </w:r>
      <w:r w:rsidRPr="0088714E">
        <w:rPr>
          <w:rFonts w:ascii="Arial" w:hAnsi="Arial" w:cs="Arial"/>
          <w:color w:val="000000" w:themeColor="text1"/>
          <w:spacing w:val="2"/>
          <w:sz w:val="20"/>
          <w:szCs w:val="20"/>
        </w:rPr>
        <w:t>(2008).</w:t>
      </w:r>
      <w:r w:rsidRPr="0088714E">
        <w:rPr>
          <w:rStyle w:val="apple-converted-space"/>
          <w:rFonts w:ascii="Arial" w:hAnsi="Arial" w:cs="Arial"/>
          <w:color w:val="000000" w:themeColor="text1"/>
          <w:spacing w:val="2"/>
          <w:sz w:val="20"/>
          <w:szCs w:val="20"/>
        </w:rPr>
        <w:t> </w:t>
      </w:r>
      <w:r w:rsidRPr="0088714E">
        <w:rPr>
          <w:rStyle w:val="Emphasis"/>
          <w:rFonts w:ascii="Arial" w:hAnsi="Arial" w:cs="Arial"/>
          <w:color w:val="000000" w:themeColor="text1"/>
          <w:spacing w:val="2"/>
          <w:sz w:val="20"/>
          <w:szCs w:val="20"/>
        </w:rPr>
        <w:t>Managing risk in play provision: A position statement</w:t>
      </w:r>
      <w:r w:rsidRPr="0088714E">
        <w:rPr>
          <w:rFonts w:ascii="Arial" w:hAnsi="Arial" w:cs="Arial"/>
          <w:color w:val="000000" w:themeColor="text1"/>
          <w:spacing w:val="2"/>
          <w:sz w:val="20"/>
          <w:szCs w:val="20"/>
        </w:rPr>
        <w:t>.</w:t>
      </w:r>
      <w:r w:rsidRPr="0088714E">
        <w:rPr>
          <w:rStyle w:val="apple-converted-space"/>
          <w:rFonts w:ascii="Arial" w:hAnsi="Arial" w:cs="Arial"/>
          <w:color w:val="000000" w:themeColor="text1"/>
          <w:spacing w:val="2"/>
          <w:sz w:val="20"/>
          <w:szCs w:val="20"/>
        </w:rPr>
        <w:t> </w:t>
      </w:r>
      <w:hyperlink r:id="rId7" w:tgtFrame="_blank" w:history="1">
        <w:r w:rsidRPr="0088714E">
          <w:rPr>
            <w:rStyle w:val="refsource"/>
            <w:rFonts w:ascii="Arial" w:hAnsi="Arial" w:cs="Arial"/>
            <w:color w:val="000000" w:themeColor="text1"/>
            <w:spacing w:val="2"/>
            <w:sz w:val="20"/>
            <w:szCs w:val="20"/>
            <w:u w:val="single"/>
          </w:rPr>
          <w:t>http://www.playengland.org.uk/media/120462/managing-risk-play-safety-forum.pdf</w:t>
        </w:r>
      </w:hyperlink>
    </w:p>
    <w:p w14:paraId="7109648A" w14:textId="77777777" w:rsidR="007915C3" w:rsidRPr="0088714E" w:rsidRDefault="007915C3" w:rsidP="007915C3">
      <w:pPr>
        <w:jc w:val="both"/>
        <w:rPr>
          <w:rFonts w:ascii="Arial" w:hAnsi="Arial" w:cs="Arial"/>
          <w:sz w:val="20"/>
          <w:szCs w:val="20"/>
        </w:rPr>
      </w:pPr>
      <w:r w:rsidRPr="0088714E">
        <w:rPr>
          <w:rFonts w:ascii="Arial" w:hAnsi="Arial" w:cs="Arial"/>
          <w:sz w:val="20"/>
          <w:szCs w:val="20"/>
        </w:rPr>
        <w:t xml:space="preserve">Play Scotland. (2018). </w:t>
      </w:r>
      <w:r w:rsidRPr="0088714E">
        <w:rPr>
          <w:rFonts w:ascii="Arial" w:hAnsi="Arial" w:cs="Arial"/>
          <w:i/>
          <w:iCs/>
          <w:sz w:val="20"/>
          <w:szCs w:val="20"/>
        </w:rPr>
        <w:t>The Benefits of Outdoor Play.</w:t>
      </w:r>
      <w:r w:rsidRPr="0088714E">
        <w:rPr>
          <w:rFonts w:ascii="Arial" w:hAnsi="Arial" w:cs="Arial"/>
          <w:sz w:val="20"/>
          <w:szCs w:val="20"/>
        </w:rPr>
        <w:t xml:space="preserve"> [online] Available at: https://www.playscotland.org/benefits-outdoor-play/ [Accessed 10 Jan. 2020].</w:t>
      </w:r>
    </w:p>
    <w:p w14:paraId="1062E8CA" w14:textId="77777777" w:rsidR="007915C3" w:rsidRDefault="007915C3" w:rsidP="007915C3">
      <w:pPr>
        <w:jc w:val="both"/>
        <w:rPr>
          <w:rFonts w:ascii="Arial" w:hAnsi="Arial" w:cs="Arial"/>
          <w:sz w:val="20"/>
          <w:szCs w:val="20"/>
        </w:rPr>
      </w:pPr>
    </w:p>
    <w:p w14:paraId="3D893B2A" w14:textId="77777777" w:rsidR="007915C3" w:rsidRPr="0088714E" w:rsidRDefault="007915C3" w:rsidP="007915C3">
      <w:pPr>
        <w:jc w:val="both"/>
        <w:rPr>
          <w:rFonts w:ascii="Arial" w:hAnsi="Arial" w:cs="Arial"/>
          <w:sz w:val="20"/>
          <w:szCs w:val="20"/>
        </w:rPr>
      </w:pPr>
      <w:r w:rsidRPr="0088714E">
        <w:rPr>
          <w:rFonts w:ascii="Arial" w:hAnsi="Arial" w:cs="Arial"/>
          <w:sz w:val="20"/>
          <w:szCs w:val="20"/>
        </w:rPr>
        <w:t>Russ, S. and Wallace, C. (2013). Pretend Play and Creative Processes. </w:t>
      </w:r>
      <w:r w:rsidRPr="0088714E">
        <w:rPr>
          <w:rFonts w:ascii="Arial" w:hAnsi="Arial" w:cs="Arial"/>
          <w:i/>
          <w:iCs/>
          <w:sz w:val="20"/>
          <w:szCs w:val="20"/>
        </w:rPr>
        <w:t>American Journal of Play</w:t>
      </w:r>
      <w:r w:rsidRPr="0088714E">
        <w:rPr>
          <w:rFonts w:ascii="Arial" w:hAnsi="Arial" w:cs="Arial"/>
          <w:sz w:val="20"/>
          <w:szCs w:val="20"/>
        </w:rPr>
        <w:t>, 6(1), pp.138,140.</w:t>
      </w:r>
    </w:p>
    <w:p w14:paraId="54AF936C" w14:textId="77777777" w:rsidR="007915C3" w:rsidRDefault="007915C3" w:rsidP="007915C3">
      <w:pPr>
        <w:jc w:val="both"/>
        <w:rPr>
          <w:rFonts w:ascii="Arial" w:hAnsi="Arial" w:cs="Arial"/>
          <w:color w:val="000000"/>
          <w:sz w:val="20"/>
          <w:szCs w:val="20"/>
          <w:shd w:val="clear" w:color="auto" w:fill="FFFFFF"/>
        </w:rPr>
      </w:pPr>
    </w:p>
    <w:p w14:paraId="6EB775EA" w14:textId="7608AA9F" w:rsidR="007915C3" w:rsidRPr="0088714E" w:rsidRDefault="002175BF" w:rsidP="007915C3">
      <w:pPr>
        <w:jc w:val="both"/>
        <w:rPr>
          <w:rFonts w:ascii="Arial" w:hAnsi="Arial" w:cs="Arial"/>
          <w:sz w:val="20"/>
          <w:szCs w:val="20"/>
        </w:rPr>
      </w:pPr>
      <w:r w:rsidRPr="0088714E">
        <w:rPr>
          <w:rFonts w:ascii="Arial" w:hAnsi="Arial" w:cs="Arial"/>
          <w:color w:val="000000"/>
          <w:sz w:val="20"/>
          <w:szCs w:val="20"/>
          <w:shd w:val="clear" w:color="auto" w:fill="FFFFFF"/>
        </w:rPr>
        <w:lastRenderedPageBreak/>
        <w:t>UNICEF</w:t>
      </w:r>
      <w:r w:rsidR="007915C3" w:rsidRPr="0088714E">
        <w:rPr>
          <w:rFonts w:ascii="Arial" w:hAnsi="Arial" w:cs="Arial"/>
          <w:color w:val="000000"/>
          <w:sz w:val="20"/>
          <w:szCs w:val="20"/>
          <w:shd w:val="clear" w:color="auto" w:fill="FFFFFF"/>
        </w:rPr>
        <w:t xml:space="preserve"> UK. (n.d.). </w:t>
      </w:r>
      <w:r w:rsidR="007915C3" w:rsidRPr="0088714E">
        <w:rPr>
          <w:rFonts w:ascii="Arial" w:hAnsi="Arial" w:cs="Arial"/>
          <w:i/>
          <w:iCs/>
          <w:color w:val="000000"/>
          <w:sz w:val="20"/>
          <w:szCs w:val="20"/>
        </w:rPr>
        <w:t>UN Convention on the Rights of the Child (UNCRC)</w:t>
      </w:r>
      <w:r w:rsidR="007915C3" w:rsidRPr="0088714E">
        <w:rPr>
          <w:rFonts w:ascii="Arial" w:hAnsi="Arial" w:cs="Arial"/>
          <w:color w:val="000000"/>
          <w:sz w:val="20"/>
          <w:szCs w:val="20"/>
          <w:shd w:val="clear" w:color="auto" w:fill="FFFFFF"/>
        </w:rPr>
        <w:t>. [online] Available at: https://www.unicef.org.uk/what-we-do/un-convention-child-rights/ [Accessed 5 Jan. 2020].</w:t>
      </w:r>
    </w:p>
    <w:p w14:paraId="0F33907D" w14:textId="77777777" w:rsidR="007915C3" w:rsidRDefault="007915C3" w:rsidP="007915C3">
      <w:pPr>
        <w:jc w:val="both"/>
        <w:rPr>
          <w:rFonts w:ascii="Arial" w:hAnsi="Arial" w:cs="Arial"/>
          <w:color w:val="000000"/>
          <w:sz w:val="20"/>
          <w:szCs w:val="20"/>
          <w:shd w:val="clear" w:color="auto" w:fill="FFFFFF"/>
        </w:rPr>
      </w:pPr>
    </w:p>
    <w:p w14:paraId="483AD643" w14:textId="77777777" w:rsidR="007915C3" w:rsidRPr="0088714E" w:rsidRDefault="007915C3" w:rsidP="007915C3">
      <w:pPr>
        <w:jc w:val="both"/>
        <w:rPr>
          <w:rFonts w:ascii="Arial" w:hAnsi="Arial" w:cs="Arial"/>
          <w:sz w:val="20"/>
          <w:szCs w:val="20"/>
        </w:rPr>
      </w:pPr>
      <w:r w:rsidRPr="0088714E">
        <w:rPr>
          <w:rFonts w:ascii="Arial" w:hAnsi="Arial" w:cs="Arial"/>
          <w:color w:val="000000"/>
          <w:sz w:val="20"/>
          <w:szCs w:val="20"/>
          <w:shd w:val="clear" w:color="auto" w:fill="FFFFFF"/>
        </w:rPr>
        <w:t>Victoria State Government. (2019). </w:t>
      </w:r>
      <w:r w:rsidRPr="0088714E">
        <w:rPr>
          <w:rFonts w:ascii="Arial" w:hAnsi="Arial" w:cs="Arial"/>
          <w:i/>
          <w:iCs/>
          <w:color w:val="000000"/>
          <w:sz w:val="20"/>
          <w:szCs w:val="20"/>
        </w:rPr>
        <w:t>Risk in Planning and School Operations</w:t>
      </w:r>
      <w:r w:rsidRPr="0088714E">
        <w:rPr>
          <w:rFonts w:ascii="Arial" w:hAnsi="Arial" w:cs="Arial"/>
          <w:color w:val="000000"/>
          <w:sz w:val="20"/>
          <w:szCs w:val="20"/>
          <w:shd w:val="clear" w:color="auto" w:fill="FFFFFF"/>
        </w:rPr>
        <w:t>. [online] Available at: https://www.education.vic.gov.au/school/principals/spag/governance/Pages/riskinplanning.aspx#link14 [Accessed 14 Jan</w:t>
      </w:r>
      <w:r>
        <w:rPr>
          <w:rFonts w:ascii="Arial" w:hAnsi="Arial" w:cs="Arial"/>
          <w:color w:val="000000"/>
          <w:sz w:val="20"/>
          <w:szCs w:val="20"/>
          <w:shd w:val="clear" w:color="auto" w:fill="FFFFFF"/>
        </w:rPr>
        <w:t xml:space="preserve"> </w:t>
      </w:r>
      <w:r w:rsidRPr="0088714E">
        <w:rPr>
          <w:rFonts w:ascii="Arial" w:hAnsi="Arial" w:cs="Arial"/>
          <w:color w:val="000000"/>
          <w:sz w:val="20"/>
          <w:szCs w:val="20"/>
          <w:shd w:val="clear" w:color="auto" w:fill="FFFFFF"/>
        </w:rPr>
        <w:t>2020].</w:t>
      </w:r>
    </w:p>
    <w:p w14:paraId="143AB3CA" w14:textId="77777777" w:rsidR="007915C3" w:rsidRDefault="007915C3" w:rsidP="007915C3">
      <w:pPr>
        <w:jc w:val="both"/>
        <w:rPr>
          <w:rFonts w:ascii="Arial" w:hAnsi="Arial" w:cs="Arial"/>
          <w:color w:val="000000"/>
          <w:sz w:val="20"/>
          <w:szCs w:val="20"/>
          <w:shd w:val="clear" w:color="auto" w:fill="FFFFFF"/>
        </w:rPr>
      </w:pPr>
    </w:p>
    <w:p w14:paraId="2B1011FE" w14:textId="77777777" w:rsidR="007915C3" w:rsidRPr="0088714E" w:rsidRDefault="007915C3" w:rsidP="007915C3">
      <w:pPr>
        <w:jc w:val="both"/>
        <w:rPr>
          <w:rFonts w:ascii="Arial" w:hAnsi="Arial" w:cs="Arial"/>
          <w:sz w:val="20"/>
          <w:szCs w:val="20"/>
        </w:rPr>
      </w:pPr>
      <w:r w:rsidRPr="0088714E">
        <w:rPr>
          <w:rFonts w:ascii="Arial" w:hAnsi="Arial" w:cs="Arial"/>
          <w:color w:val="000000"/>
          <w:sz w:val="20"/>
          <w:szCs w:val="20"/>
          <w:shd w:val="clear" w:color="auto" w:fill="FFFFFF"/>
        </w:rPr>
        <w:t>Welsh Assembly Government (2015). </w:t>
      </w:r>
      <w:r w:rsidRPr="0088714E">
        <w:rPr>
          <w:rFonts w:ascii="Arial" w:hAnsi="Arial" w:cs="Arial"/>
          <w:i/>
          <w:iCs/>
          <w:color w:val="000000"/>
          <w:sz w:val="20"/>
          <w:szCs w:val="20"/>
        </w:rPr>
        <w:t>Foundation Phase Framework</w:t>
      </w:r>
      <w:r w:rsidRPr="0088714E">
        <w:rPr>
          <w:rFonts w:ascii="Arial" w:hAnsi="Arial" w:cs="Arial"/>
          <w:color w:val="000000"/>
          <w:sz w:val="20"/>
          <w:szCs w:val="20"/>
          <w:shd w:val="clear" w:color="auto" w:fill="FFFFFF"/>
        </w:rPr>
        <w:t>. Cardiff: Welsh Assembly Government, pp.3-10.</w:t>
      </w:r>
    </w:p>
    <w:p w14:paraId="5C90A8FD" w14:textId="6B565DED" w:rsidR="007915C3" w:rsidRPr="007915C3" w:rsidRDefault="007915C3" w:rsidP="007915C3">
      <w:pPr>
        <w:spacing w:line="360" w:lineRule="auto"/>
        <w:jc w:val="both"/>
        <w:rPr>
          <w:rFonts w:ascii="Arial" w:hAnsi="Arial" w:cs="Arial"/>
          <w:u w:val="single"/>
        </w:rPr>
      </w:pPr>
      <w:r w:rsidRPr="0088714E">
        <w:rPr>
          <w:rFonts w:ascii="Arial" w:hAnsi="Arial" w:cs="Arial"/>
          <w:color w:val="000000" w:themeColor="text1"/>
          <w:sz w:val="20"/>
          <w:szCs w:val="20"/>
        </w:rPr>
        <w:t xml:space="preserve">Welsh </w:t>
      </w:r>
      <w:r w:rsidR="002175BF" w:rsidRPr="0088714E">
        <w:rPr>
          <w:rFonts w:ascii="Arial" w:hAnsi="Arial" w:cs="Arial"/>
          <w:color w:val="000000" w:themeColor="text1"/>
          <w:sz w:val="20"/>
          <w:szCs w:val="20"/>
        </w:rPr>
        <w:t>Government (</w:t>
      </w:r>
      <w:r w:rsidRPr="0088714E">
        <w:rPr>
          <w:rFonts w:ascii="Arial" w:hAnsi="Arial" w:cs="Arial"/>
          <w:color w:val="000000" w:themeColor="text1"/>
          <w:sz w:val="20"/>
          <w:szCs w:val="20"/>
        </w:rPr>
        <w:t xml:space="preserve">2002) </w:t>
      </w:r>
      <w:r w:rsidRPr="0088714E">
        <w:rPr>
          <w:rFonts w:ascii="Arial" w:hAnsi="Arial" w:cs="Arial"/>
          <w:i/>
          <w:iCs/>
          <w:color w:val="000000" w:themeColor="text1"/>
          <w:sz w:val="20"/>
          <w:szCs w:val="20"/>
        </w:rPr>
        <w:t>Play Policy</w:t>
      </w:r>
      <w:r w:rsidRPr="0088714E">
        <w:rPr>
          <w:rFonts w:ascii="Arial" w:hAnsi="Arial" w:cs="Arial"/>
          <w:color w:val="000000" w:themeColor="text1"/>
          <w:sz w:val="20"/>
          <w:szCs w:val="20"/>
        </w:rPr>
        <w:t xml:space="preserve">. Cardiff: Welsh Government </w:t>
      </w:r>
      <w:bookmarkStart w:id="0" w:name="_GoBack"/>
      <w:bookmarkEnd w:id="0"/>
      <w:r>
        <w:rPr>
          <w:rFonts w:ascii="Arial" w:hAnsi="Arial" w:cs="Arial"/>
          <w:color w:val="000000" w:themeColor="text1"/>
          <w:sz w:val="20"/>
          <w:szCs w:val="20"/>
        </w:rPr>
        <w:fldChar w:fldCharType="begin"/>
      </w:r>
      <w:r>
        <w:rPr>
          <w:rFonts w:ascii="Arial" w:hAnsi="Arial" w:cs="Arial"/>
          <w:color w:val="000000" w:themeColor="text1"/>
          <w:sz w:val="20"/>
          <w:szCs w:val="20"/>
        </w:rPr>
        <w:instrText xml:space="preserve"> HYPERLINK "http://</w:instrText>
      </w:r>
      <w:r w:rsidRPr="0088714E">
        <w:rPr>
          <w:rFonts w:ascii="Arial" w:hAnsi="Arial" w:cs="Arial"/>
          <w:color w:val="000000" w:themeColor="text1"/>
          <w:sz w:val="20"/>
          <w:szCs w:val="20"/>
        </w:rPr>
        <w:instrText>www.playwales.org.uk/eng/walesplaypolicy</w:instrText>
      </w:r>
      <w:r>
        <w:rPr>
          <w:rFonts w:ascii="Arial" w:hAnsi="Arial" w:cs="Arial"/>
          <w:color w:val="000000" w:themeColor="text1"/>
          <w:sz w:val="20"/>
          <w:szCs w:val="20"/>
        </w:rPr>
        <w:instrText xml:space="preserve">" </w:instrText>
      </w:r>
      <w:r>
        <w:rPr>
          <w:rFonts w:ascii="Arial" w:hAnsi="Arial" w:cs="Arial"/>
          <w:color w:val="000000" w:themeColor="text1"/>
          <w:sz w:val="20"/>
          <w:szCs w:val="20"/>
        </w:rPr>
        <w:fldChar w:fldCharType="separate"/>
      </w:r>
      <w:r w:rsidRPr="00D848A5">
        <w:rPr>
          <w:rStyle w:val="Hyperlink"/>
          <w:rFonts w:ascii="Arial" w:hAnsi="Arial" w:cs="Arial"/>
          <w:sz w:val="20"/>
          <w:szCs w:val="20"/>
        </w:rPr>
        <w:t>www.playwales.org.uk/eng/walesplaypolicy</w:t>
      </w:r>
      <w:r>
        <w:rPr>
          <w:rFonts w:ascii="Arial" w:hAnsi="Arial" w:cs="Arial"/>
          <w:color w:val="000000" w:themeColor="text1"/>
          <w:sz w:val="20"/>
          <w:szCs w:val="20"/>
        </w:rPr>
        <w:fldChar w:fldCharType="end"/>
      </w:r>
      <w:r w:rsidRPr="0088714E">
        <w:rPr>
          <w:rFonts w:ascii="Arial" w:hAnsi="Arial" w:cs="Arial"/>
          <w:color w:val="000000" w:themeColor="text1"/>
          <w:sz w:val="20"/>
          <w:szCs w:val="20"/>
        </w:rPr>
        <w:t xml:space="preserve"> </w:t>
      </w:r>
      <w:r>
        <w:rPr>
          <w:rFonts w:ascii="Arial" w:hAnsi="Arial" w:cs="Arial"/>
          <w:color w:val="000000" w:themeColor="text1"/>
          <w:sz w:val="20"/>
          <w:szCs w:val="20"/>
        </w:rPr>
        <w:t xml:space="preserve"> </w:t>
      </w:r>
    </w:p>
    <w:sectPr w:rsidR="007915C3" w:rsidRPr="007915C3" w:rsidSect="008C05D5">
      <w:head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7699A7" w14:textId="77777777" w:rsidR="00DD5535" w:rsidRDefault="00DD5535" w:rsidP="00E24950">
      <w:r>
        <w:separator/>
      </w:r>
    </w:p>
  </w:endnote>
  <w:endnote w:type="continuationSeparator" w:id="0">
    <w:p w14:paraId="55616E7D" w14:textId="77777777" w:rsidR="00DD5535" w:rsidRDefault="00DD5535" w:rsidP="00E249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819D95" w14:textId="77777777" w:rsidR="00DD5535" w:rsidRDefault="00DD5535" w:rsidP="00E24950">
      <w:r>
        <w:separator/>
      </w:r>
    </w:p>
  </w:footnote>
  <w:footnote w:type="continuationSeparator" w:id="0">
    <w:p w14:paraId="17DCE443" w14:textId="77777777" w:rsidR="00DD5535" w:rsidRDefault="00DD5535" w:rsidP="00E2495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FD2073" w14:textId="47AC30E8" w:rsidR="00E24950" w:rsidRPr="00E24950" w:rsidRDefault="00E24950">
    <w:pPr>
      <w:pStyle w:val="Header"/>
      <w:rPr>
        <w:rFonts w:ascii="Arial" w:hAnsi="Arial" w:cs="Arial"/>
        <w:sz w:val="18"/>
        <w:szCs w:val="18"/>
      </w:rPr>
    </w:pPr>
    <w:r w:rsidRPr="00E24950">
      <w:rPr>
        <w:rFonts w:ascii="Arial" w:hAnsi="Arial" w:cs="Arial"/>
        <w:sz w:val="18"/>
        <w:szCs w:val="18"/>
      </w:rPr>
      <w:t>1906195</w:t>
    </w:r>
    <w:r w:rsidRPr="00E24950">
      <w:rPr>
        <w:rFonts w:ascii="Arial" w:hAnsi="Arial" w:cs="Arial"/>
        <w:sz w:val="18"/>
        <w:szCs w:val="18"/>
      </w:rPr>
      <w:ptab w:relativeTo="margin" w:alignment="center" w:leader="none"/>
    </w:r>
    <w:r w:rsidRPr="00E24950">
      <w:rPr>
        <w:rFonts w:ascii="Arial" w:hAnsi="Arial" w:cs="Arial"/>
        <w:sz w:val="18"/>
        <w:szCs w:val="18"/>
      </w:rPr>
      <w:t>EAEE4004</w:t>
    </w:r>
    <w:r w:rsidRPr="00E24950">
      <w:rPr>
        <w:rFonts w:ascii="Arial" w:hAnsi="Arial" w:cs="Arial"/>
        <w:sz w:val="18"/>
        <w:szCs w:val="18"/>
      </w:rPr>
      <w:ptab w:relativeTo="margin" w:alignment="right" w:leader="none"/>
    </w:r>
    <w:r w:rsidRPr="00E24950">
      <w:rPr>
        <w:rFonts w:ascii="Arial" w:hAnsi="Arial" w:cs="Arial"/>
        <w:sz w:val="18"/>
        <w:szCs w:val="18"/>
      </w:rPr>
      <w:t>Word Count:</w:t>
    </w:r>
    <w:r w:rsidR="007915C3">
      <w:rPr>
        <w:rFonts w:ascii="Arial" w:hAnsi="Arial" w:cs="Arial"/>
        <w:sz w:val="18"/>
        <w:szCs w:val="18"/>
      </w:rPr>
      <w:t xml:space="preserve"> 2808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373761"/>
    <w:multiLevelType w:val="hybridMultilevel"/>
    <w:tmpl w:val="C6EA9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B0048F"/>
    <w:multiLevelType w:val="hybridMultilevel"/>
    <w:tmpl w:val="3A5E9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950"/>
    <w:rsid w:val="000532B5"/>
    <w:rsid w:val="00077478"/>
    <w:rsid w:val="00084323"/>
    <w:rsid w:val="000C4805"/>
    <w:rsid w:val="000E163E"/>
    <w:rsid w:val="000E69F6"/>
    <w:rsid w:val="001115A2"/>
    <w:rsid w:val="001702C9"/>
    <w:rsid w:val="001B0D82"/>
    <w:rsid w:val="001B62E2"/>
    <w:rsid w:val="001F34B5"/>
    <w:rsid w:val="00215064"/>
    <w:rsid w:val="002175BF"/>
    <w:rsid w:val="002217E9"/>
    <w:rsid w:val="00244654"/>
    <w:rsid w:val="002613EB"/>
    <w:rsid w:val="00265004"/>
    <w:rsid w:val="002E3546"/>
    <w:rsid w:val="00305DF8"/>
    <w:rsid w:val="003172E7"/>
    <w:rsid w:val="00326196"/>
    <w:rsid w:val="0033035F"/>
    <w:rsid w:val="00383348"/>
    <w:rsid w:val="003D1027"/>
    <w:rsid w:val="00477D53"/>
    <w:rsid w:val="004B7C1F"/>
    <w:rsid w:val="004C09E3"/>
    <w:rsid w:val="004D210E"/>
    <w:rsid w:val="004E17C1"/>
    <w:rsid w:val="004F1A7A"/>
    <w:rsid w:val="00556798"/>
    <w:rsid w:val="0056706F"/>
    <w:rsid w:val="00583298"/>
    <w:rsid w:val="00592464"/>
    <w:rsid w:val="005D729E"/>
    <w:rsid w:val="005F5A32"/>
    <w:rsid w:val="006142DE"/>
    <w:rsid w:val="0072169B"/>
    <w:rsid w:val="00744F12"/>
    <w:rsid w:val="007843AD"/>
    <w:rsid w:val="007915C3"/>
    <w:rsid w:val="007A3B06"/>
    <w:rsid w:val="00833A3A"/>
    <w:rsid w:val="00872052"/>
    <w:rsid w:val="008831E1"/>
    <w:rsid w:val="008B1D66"/>
    <w:rsid w:val="008C05D5"/>
    <w:rsid w:val="00932921"/>
    <w:rsid w:val="00957C93"/>
    <w:rsid w:val="009E059E"/>
    <w:rsid w:val="00A05A6E"/>
    <w:rsid w:val="00A64C3C"/>
    <w:rsid w:val="00B029FB"/>
    <w:rsid w:val="00B7439B"/>
    <w:rsid w:val="00BC39D2"/>
    <w:rsid w:val="00BF1187"/>
    <w:rsid w:val="00BF79FC"/>
    <w:rsid w:val="00C00538"/>
    <w:rsid w:val="00C0659D"/>
    <w:rsid w:val="00C16A6A"/>
    <w:rsid w:val="00C61C4D"/>
    <w:rsid w:val="00C81994"/>
    <w:rsid w:val="00CC1904"/>
    <w:rsid w:val="00DB3C52"/>
    <w:rsid w:val="00DD008D"/>
    <w:rsid w:val="00DD4518"/>
    <w:rsid w:val="00DD5535"/>
    <w:rsid w:val="00DF426B"/>
    <w:rsid w:val="00E24950"/>
    <w:rsid w:val="00EA7C2D"/>
    <w:rsid w:val="00EF2008"/>
    <w:rsid w:val="00F06470"/>
    <w:rsid w:val="00F415F1"/>
    <w:rsid w:val="00F53472"/>
    <w:rsid w:val="00F742FE"/>
    <w:rsid w:val="00F9167E"/>
    <w:rsid w:val="00FD5095"/>
    <w:rsid w:val="00FE3098"/>
    <w:rsid w:val="00FF22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33D04"/>
  <w15:chartTrackingRefBased/>
  <w15:docId w15:val="{A5BAE60C-72C6-1D43-B2A9-A98D20D74A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24950"/>
    <w:pPr>
      <w:tabs>
        <w:tab w:val="center" w:pos="4513"/>
        <w:tab w:val="right" w:pos="9026"/>
      </w:tabs>
    </w:pPr>
  </w:style>
  <w:style w:type="character" w:customStyle="1" w:styleId="HeaderChar">
    <w:name w:val="Header Char"/>
    <w:basedOn w:val="DefaultParagraphFont"/>
    <w:link w:val="Header"/>
    <w:uiPriority w:val="99"/>
    <w:rsid w:val="00E24950"/>
  </w:style>
  <w:style w:type="paragraph" w:styleId="Footer">
    <w:name w:val="footer"/>
    <w:basedOn w:val="Normal"/>
    <w:link w:val="FooterChar"/>
    <w:uiPriority w:val="99"/>
    <w:unhideWhenUsed/>
    <w:rsid w:val="00E24950"/>
    <w:pPr>
      <w:tabs>
        <w:tab w:val="center" w:pos="4513"/>
        <w:tab w:val="right" w:pos="9026"/>
      </w:tabs>
    </w:pPr>
  </w:style>
  <w:style w:type="character" w:customStyle="1" w:styleId="FooterChar">
    <w:name w:val="Footer Char"/>
    <w:basedOn w:val="DefaultParagraphFont"/>
    <w:link w:val="Footer"/>
    <w:uiPriority w:val="99"/>
    <w:rsid w:val="00E24950"/>
  </w:style>
  <w:style w:type="paragraph" w:styleId="ListParagraph">
    <w:name w:val="List Paragraph"/>
    <w:basedOn w:val="Normal"/>
    <w:uiPriority w:val="34"/>
    <w:qFormat/>
    <w:rsid w:val="00F415F1"/>
    <w:pPr>
      <w:ind w:left="720"/>
      <w:contextualSpacing/>
    </w:pPr>
  </w:style>
  <w:style w:type="character" w:customStyle="1" w:styleId="apple-converted-space">
    <w:name w:val="apple-converted-space"/>
    <w:basedOn w:val="DefaultParagraphFont"/>
    <w:rsid w:val="007915C3"/>
  </w:style>
  <w:style w:type="paragraph" w:customStyle="1" w:styleId="citation">
    <w:name w:val="citation"/>
    <w:basedOn w:val="Normal"/>
    <w:rsid w:val="007915C3"/>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7915C3"/>
    <w:rPr>
      <w:i/>
      <w:iCs/>
    </w:rPr>
  </w:style>
  <w:style w:type="character" w:customStyle="1" w:styleId="refsource">
    <w:name w:val="refsource"/>
    <w:basedOn w:val="DefaultParagraphFont"/>
    <w:rsid w:val="007915C3"/>
  </w:style>
  <w:style w:type="character" w:styleId="Hyperlink">
    <w:name w:val="Hyperlink"/>
    <w:basedOn w:val="DefaultParagraphFont"/>
    <w:uiPriority w:val="99"/>
    <w:unhideWhenUsed/>
    <w:rsid w:val="007915C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712697">
      <w:bodyDiv w:val="1"/>
      <w:marLeft w:val="0"/>
      <w:marRight w:val="0"/>
      <w:marTop w:val="0"/>
      <w:marBottom w:val="0"/>
      <w:divBdr>
        <w:top w:val="none" w:sz="0" w:space="0" w:color="auto"/>
        <w:left w:val="none" w:sz="0" w:space="0" w:color="auto"/>
        <w:bottom w:val="none" w:sz="0" w:space="0" w:color="auto"/>
        <w:right w:val="none" w:sz="0" w:space="0" w:color="auto"/>
      </w:divBdr>
    </w:div>
    <w:div w:id="247662650">
      <w:bodyDiv w:val="1"/>
      <w:marLeft w:val="0"/>
      <w:marRight w:val="0"/>
      <w:marTop w:val="0"/>
      <w:marBottom w:val="0"/>
      <w:divBdr>
        <w:top w:val="none" w:sz="0" w:space="0" w:color="auto"/>
        <w:left w:val="none" w:sz="0" w:space="0" w:color="auto"/>
        <w:bottom w:val="none" w:sz="0" w:space="0" w:color="auto"/>
        <w:right w:val="none" w:sz="0" w:space="0" w:color="auto"/>
      </w:divBdr>
    </w:div>
    <w:div w:id="493491232">
      <w:bodyDiv w:val="1"/>
      <w:marLeft w:val="0"/>
      <w:marRight w:val="0"/>
      <w:marTop w:val="0"/>
      <w:marBottom w:val="0"/>
      <w:divBdr>
        <w:top w:val="none" w:sz="0" w:space="0" w:color="auto"/>
        <w:left w:val="none" w:sz="0" w:space="0" w:color="auto"/>
        <w:bottom w:val="none" w:sz="0" w:space="0" w:color="auto"/>
        <w:right w:val="none" w:sz="0" w:space="0" w:color="auto"/>
      </w:divBdr>
    </w:div>
    <w:div w:id="523983883">
      <w:bodyDiv w:val="1"/>
      <w:marLeft w:val="0"/>
      <w:marRight w:val="0"/>
      <w:marTop w:val="0"/>
      <w:marBottom w:val="0"/>
      <w:divBdr>
        <w:top w:val="none" w:sz="0" w:space="0" w:color="auto"/>
        <w:left w:val="none" w:sz="0" w:space="0" w:color="auto"/>
        <w:bottom w:val="none" w:sz="0" w:space="0" w:color="auto"/>
        <w:right w:val="none" w:sz="0" w:space="0" w:color="auto"/>
      </w:divBdr>
    </w:div>
    <w:div w:id="538974567">
      <w:bodyDiv w:val="1"/>
      <w:marLeft w:val="0"/>
      <w:marRight w:val="0"/>
      <w:marTop w:val="0"/>
      <w:marBottom w:val="0"/>
      <w:divBdr>
        <w:top w:val="none" w:sz="0" w:space="0" w:color="auto"/>
        <w:left w:val="none" w:sz="0" w:space="0" w:color="auto"/>
        <w:bottom w:val="none" w:sz="0" w:space="0" w:color="auto"/>
        <w:right w:val="none" w:sz="0" w:space="0" w:color="auto"/>
      </w:divBdr>
    </w:div>
    <w:div w:id="690910657">
      <w:bodyDiv w:val="1"/>
      <w:marLeft w:val="0"/>
      <w:marRight w:val="0"/>
      <w:marTop w:val="0"/>
      <w:marBottom w:val="0"/>
      <w:divBdr>
        <w:top w:val="none" w:sz="0" w:space="0" w:color="auto"/>
        <w:left w:val="none" w:sz="0" w:space="0" w:color="auto"/>
        <w:bottom w:val="none" w:sz="0" w:space="0" w:color="auto"/>
        <w:right w:val="none" w:sz="0" w:space="0" w:color="auto"/>
      </w:divBdr>
    </w:div>
    <w:div w:id="702485780">
      <w:bodyDiv w:val="1"/>
      <w:marLeft w:val="0"/>
      <w:marRight w:val="0"/>
      <w:marTop w:val="0"/>
      <w:marBottom w:val="0"/>
      <w:divBdr>
        <w:top w:val="none" w:sz="0" w:space="0" w:color="auto"/>
        <w:left w:val="none" w:sz="0" w:space="0" w:color="auto"/>
        <w:bottom w:val="none" w:sz="0" w:space="0" w:color="auto"/>
        <w:right w:val="none" w:sz="0" w:space="0" w:color="auto"/>
      </w:divBdr>
    </w:div>
    <w:div w:id="970984747">
      <w:bodyDiv w:val="1"/>
      <w:marLeft w:val="0"/>
      <w:marRight w:val="0"/>
      <w:marTop w:val="0"/>
      <w:marBottom w:val="0"/>
      <w:divBdr>
        <w:top w:val="none" w:sz="0" w:space="0" w:color="auto"/>
        <w:left w:val="none" w:sz="0" w:space="0" w:color="auto"/>
        <w:bottom w:val="none" w:sz="0" w:space="0" w:color="auto"/>
        <w:right w:val="none" w:sz="0" w:space="0" w:color="auto"/>
      </w:divBdr>
      <w:divsChild>
        <w:div w:id="1756129679">
          <w:marLeft w:val="0"/>
          <w:marRight w:val="0"/>
          <w:marTop w:val="0"/>
          <w:marBottom w:val="0"/>
          <w:divBdr>
            <w:top w:val="none" w:sz="0" w:space="0" w:color="auto"/>
            <w:left w:val="none" w:sz="0" w:space="0" w:color="auto"/>
            <w:bottom w:val="none" w:sz="0" w:space="0" w:color="auto"/>
            <w:right w:val="none" w:sz="0" w:space="0" w:color="auto"/>
          </w:divBdr>
          <w:divsChild>
            <w:div w:id="574971933">
              <w:marLeft w:val="0"/>
              <w:marRight w:val="0"/>
              <w:marTop w:val="0"/>
              <w:marBottom w:val="0"/>
              <w:divBdr>
                <w:top w:val="none" w:sz="0" w:space="0" w:color="auto"/>
                <w:left w:val="none" w:sz="0" w:space="0" w:color="auto"/>
                <w:bottom w:val="none" w:sz="0" w:space="0" w:color="auto"/>
                <w:right w:val="none" w:sz="0" w:space="0" w:color="auto"/>
              </w:divBdr>
              <w:divsChild>
                <w:div w:id="212934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7822703">
      <w:bodyDiv w:val="1"/>
      <w:marLeft w:val="0"/>
      <w:marRight w:val="0"/>
      <w:marTop w:val="0"/>
      <w:marBottom w:val="0"/>
      <w:divBdr>
        <w:top w:val="none" w:sz="0" w:space="0" w:color="auto"/>
        <w:left w:val="none" w:sz="0" w:space="0" w:color="auto"/>
        <w:bottom w:val="none" w:sz="0" w:space="0" w:color="auto"/>
        <w:right w:val="none" w:sz="0" w:space="0" w:color="auto"/>
      </w:divBdr>
      <w:divsChild>
        <w:div w:id="757020694">
          <w:marLeft w:val="0"/>
          <w:marRight w:val="0"/>
          <w:marTop w:val="0"/>
          <w:marBottom w:val="0"/>
          <w:divBdr>
            <w:top w:val="none" w:sz="0" w:space="0" w:color="auto"/>
            <w:left w:val="none" w:sz="0" w:space="0" w:color="auto"/>
            <w:bottom w:val="none" w:sz="0" w:space="0" w:color="auto"/>
            <w:right w:val="none" w:sz="0" w:space="0" w:color="auto"/>
          </w:divBdr>
          <w:divsChild>
            <w:div w:id="106199787">
              <w:marLeft w:val="0"/>
              <w:marRight w:val="0"/>
              <w:marTop w:val="0"/>
              <w:marBottom w:val="0"/>
              <w:divBdr>
                <w:top w:val="none" w:sz="0" w:space="0" w:color="auto"/>
                <w:left w:val="none" w:sz="0" w:space="0" w:color="auto"/>
                <w:bottom w:val="none" w:sz="0" w:space="0" w:color="auto"/>
                <w:right w:val="none" w:sz="0" w:space="0" w:color="auto"/>
              </w:divBdr>
              <w:divsChild>
                <w:div w:id="143352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8611752">
      <w:bodyDiv w:val="1"/>
      <w:marLeft w:val="0"/>
      <w:marRight w:val="0"/>
      <w:marTop w:val="0"/>
      <w:marBottom w:val="0"/>
      <w:divBdr>
        <w:top w:val="none" w:sz="0" w:space="0" w:color="auto"/>
        <w:left w:val="none" w:sz="0" w:space="0" w:color="auto"/>
        <w:bottom w:val="none" w:sz="0" w:space="0" w:color="auto"/>
        <w:right w:val="none" w:sz="0" w:space="0" w:color="auto"/>
      </w:divBdr>
    </w:div>
    <w:div w:id="1645741180">
      <w:bodyDiv w:val="1"/>
      <w:marLeft w:val="0"/>
      <w:marRight w:val="0"/>
      <w:marTop w:val="0"/>
      <w:marBottom w:val="0"/>
      <w:divBdr>
        <w:top w:val="none" w:sz="0" w:space="0" w:color="auto"/>
        <w:left w:val="none" w:sz="0" w:space="0" w:color="auto"/>
        <w:bottom w:val="none" w:sz="0" w:space="0" w:color="auto"/>
        <w:right w:val="none" w:sz="0" w:space="0" w:color="auto"/>
      </w:divBdr>
    </w:div>
    <w:div w:id="1662273801">
      <w:bodyDiv w:val="1"/>
      <w:marLeft w:val="0"/>
      <w:marRight w:val="0"/>
      <w:marTop w:val="0"/>
      <w:marBottom w:val="0"/>
      <w:divBdr>
        <w:top w:val="none" w:sz="0" w:space="0" w:color="auto"/>
        <w:left w:val="none" w:sz="0" w:space="0" w:color="auto"/>
        <w:bottom w:val="none" w:sz="0" w:space="0" w:color="auto"/>
        <w:right w:val="none" w:sz="0" w:space="0" w:color="auto"/>
      </w:divBdr>
    </w:div>
    <w:div w:id="1673297730">
      <w:bodyDiv w:val="1"/>
      <w:marLeft w:val="0"/>
      <w:marRight w:val="0"/>
      <w:marTop w:val="0"/>
      <w:marBottom w:val="0"/>
      <w:divBdr>
        <w:top w:val="none" w:sz="0" w:space="0" w:color="auto"/>
        <w:left w:val="none" w:sz="0" w:space="0" w:color="auto"/>
        <w:bottom w:val="none" w:sz="0" w:space="0" w:color="auto"/>
        <w:right w:val="none" w:sz="0" w:space="0" w:color="auto"/>
      </w:divBdr>
    </w:div>
    <w:div w:id="1677491375">
      <w:bodyDiv w:val="1"/>
      <w:marLeft w:val="0"/>
      <w:marRight w:val="0"/>
      <w:marTop w:val="0"/>
      <w:marBottom w:val="0"/>
      <w:divBdr>
        <w:top w:val="none" w:sz="0" w:space="0" w:color="auto"/>
        <w:left w:val="none" w:sz="0" w:space="0" w:color="auto"/>
        <w:bottom w:val="none" w:sz="0" w:space="0" w:color="auto"/>
        <w:right w:val="none" w:sz="0" w:space="0" w:color="auto"/>
      </w:divBdr>
    </w:div>
    <w:div w:id="1793866006">
      <w:bodyDiv w:val="1"/>
      <w:marLeft w:val="0"/>
      <w:marRight w:val="0"/>
      <w:marTop w:val="0"/>
      <w:marBottom w:val="0"/>
      <w:divBdr>
        <w:top w:val="none" w:sz="0" w:space="0" w:color="auto"/>
        <w:left w:val="none" w:sz="0" w:space="0" w:color="auto"/>
        <w:bottom w:val="none" w:sz="0" w:space="0" w:color="auto"/>
        <w:right w:val="none" w:sz="0" w:space="0" w:color="auto"/>
      </w:divBdr>
    </w:div>
    <w:div w:id="1870289032">
      <w:bodyDiv w:val="1"/>
      <w:marLeft w:val="0"/>
      <w:marRight w:val="0"/>
      <w:marTop w:val="0"/>
      <w:marBottom w:val="0"/>
      <w:divBdr>
        <w:top w:val="none" w:sz="0" w:space="0" w:color="auto"/>
        <w:left w:val="none" w:sz="0" w:space="0" w:color="auto"/>
        <w:bottom w:val="none" w:sz="0" w:space="0" w:color="auto"/>
        <w:right w:val="none" w:sz="0" w:space="0" w:color="auto"/>
      </w:divBdr>
    </w:div>
    <w:div w:id="18718693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playengland.org.uk/media/120462/managing-risk-play-safety-forum.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425</TotalTime>
  <Pages>7</Pages>
  <Words>3169</Words>
  <Characters>18067</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 Darby (1906195)</dc:creator>
  <cp:keywords/>
  <dc:description/>
  <cp:lastModifiedBy>Mia Darby (1906195)</cp:lastModifiedBy>
  <cp:revision>36</cp:revision>
  <dcterms:created xsi:type="dcterms:W3CDTF">2019-12-12T12:56:00Z</dcterms:created>
  <dcterms:modified xsi:type="dcterms:W3CDTF">2020-01-19T19:21:00Z</dcterms:modified>
</cp:coreProperties>
</file>