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9119C" w14:textId="77777777" w:rsidR="005E2380" w:rsidRPr="00A37756" w:rsidRDefault="005E2380" w:rsidP="00A37756">
      <w:pPr>
        <w:spacing w:line="360" w:lineRule="auto"/>
        <w:jc w:val="center"/>
        <w:rPr>
          <w:rFonts w:ascii="Arial" w:hAnsi="Arial" w:cs="Arial"/>
          <w:sz w:val="24"/>
          <w:szCs w:val="24"/>
          <w:u w:val="single"/>
        </w:rPr>
      </w:pPr>
      <w:r w:rsidRPr="00A37756">
        <w:rPr>
          <w:rFonts w:ascii="Arial" w:hAnsi="Arial" w:cs="Arial"/>
          <w:sz w:val="24"/>
          <w:szCs w:val="24"/>
          <w:u w:val="single"/>
        </w:rPr>
        <w:t>The Foundation Phase and Early Years Curricula</w:t>
      </w:r>
    </w:p>
    <w:p w14:paraId="0A754D5D" w14:textId="77777777" w:rsidR="005E2380" w:rsidRPr="00A37756" w:rsidRDefault="005E2380" w:rsidP="00A37756">
      <w:pPr>
        <w:spacing w:line="360" w:lineRule="auto"/>
        <w:jc w:val="both"/>
        <w:rPr>
          <w:rFonts w:ascii="Arial" w:hAnsi="Arial" w:cs="Arial"/>
          <w:sz w:val="24"/>
          <w:szCs w:val="24"/>
          <w:u w:val="single"/>
        </w:rPr>
      </w:pPr>
      <w:r w:rsidRPr="00A37756">
        <w:rPr>
          <w:rFonts w:ascii="Arial" w:hAnsi="Arial" w:cs="Arial"/>
          <w:sz w:val="24"/>
          <w:szCs w:val="24"/>
          <w:u w:val="single"/>
        </w:rPr>
        <w:t xml:space="preserve">Section One- </w:t>
      </w:r>
    </w:p>
    <w:p w14:paraId="5125AB65" w14:textId="77777777" w:rsidR="005E2380" w:rsidRPr="005E2380" w:rsidRDefault="005E2380" w:rsidP="00A37756">
      <w:pPr>
        <w:spacing w:line="360" w:lineRule="auto"/>
        <w:jc w:val="both"/>
        <w:rPr>
          <w:rFonts w:ascii="Arial" w:hAnsi="Arial" w:cs="Arial"/>
          <w:sz w:val="24"/>
          <w:szCs w:val="24"/>
        </w:rPr>
      </w:pPr>
      <w:r w:rsidRPr="005E2380">
        <w:rPr>
          <w:rFonts w:ascii="Arial" w:hAnsi="Arial" w:cs="Arial"/>
          <w:sz w:val="24"/>
          <w:szCs w:val="24"/>
        </w:rPr>
        <w:t xml:space="preserve">Donaldson’s (2015) curriculum reform ‘Successful Futures’ identified numerous areas of development within education. Donaldson (2015) set out the areas in which the curriculum would be changing, one concept changing will be the learning subjects, the changes range from literacy, numeracy and also digital competence. Donaldson (2015) explains that the need of a new curriculum is based on the concept of adapting to a forever changing world. Donaldson (2015) outlines the purposes that the curriculum should provide for all children, this includes creating ambitious capable learners, ethical informed citizens, healthy and confident individual’s and enterprising creative contributors. Wilson (2016) explains that the need for a curriculum change is based off the requirements to amend to individual children. Wilson (2016) further explains that amending the curriculum will allow further development and progression for each unique child. Work of McNaughton (2005) and Grishaber (2008) explain that the need for a new curriculum stems from the need of practitioners understanding children to their full potential, so that that they have the ability and responsibility to support them throughout education. Research conducted by Bonetti and Brown (2018) explained that the early years of education can play an important role with children tackling social disadvantages, as well as giving children the ability to boost their socio-emotional and cognitive development. Donaldson (2015) explains that each child should have the ability to benefit from the curriculum, therefore adjusting the current curriculum has the aim to ‘better equip’ children for their future lives. Sim, Belanger, Hocking, Dimova, Lakovidu, Janta and Teager (2018) describe that the early years in a child’s life is a ‘rapid period of profound change’. Expanding on this, Sim, Belanger, Hocking, Dimova, Lakovidu, Janta and Teager (2018) suggest that providing children with the opportunity to develop to their full potential early in life, will provide them with multiple opportunities later in life. The changes in the curriculum will challenge children to ‘the best they can be’ explains Donaldson (2015).The work of Guan and Meng (2007) and Shi and Liu (2004) explain that the introduction of the curriculum reform shows the aim of enhancing children’s well-being and development. Donaldson (2015) provides the understanding that this will be done by encouraging children to take responsibility for their own learning, allowing them to gain the highest benefits they have the ability too. Work of Taylor, Rhys and Walden (2019) identifies further </w:t>
      </w:r>
      <w:r w:rsidRPr="005E2380">
        <w:rPr>
          <w:rFonts w:ascii="Arial" w:hAnsi="Arial" w:cs="Arial"/>
          <w:sz w:val="24"/>
          <w:szCs w:val="24"/>
        </w:rPr>
        <w:lastRenderedPageBreak/>
        <w:t xml:space="preserve">implications surrounding the child-centred approach within the implementation period of the new curriculum produced by Donaldson (2015). Taylor (2015) explains that whereas Donaldson (2015) has supported and encouraged a child-led learning approach, key stakeholders argue that during child-centred development approaches, encouragement are being made to embark on a major programme of the reforms being specifically designed to raise the educational standards in Wales. Taylor, Rhys and Waldron (2019) explain that by making a radical departure from a formal, competency-based curriculum, advocates the use of a developmental, experiential, play-based teaching and learning curriculum and approach. This is supported by the work of the Learning Country: A Paving Document (NAFW 2001), that suggests the devolution of the curriculum will allow the amendments to adjust to gain ‘the best for Wales’. The NAFW (2003) argue that teachers introduce formal learning too soon for children in the early years, sometimes before the children are ready. IBID (2014) agree with this and state that introducing formal learning too soon can result in underachieving and lower standards. Taylor, Rhys and Waldron (2019) compare the different teaching and learning approaches from the Welsh Government, to Te Whariki and Reggio Emilia. Within the foundation phase of both Te Whariki and Reggio Emilia, it is underpinned by the constructivist theories of learning with a clear focus upon the unique child. Research conducted by Soler and Miller (2010) found that compared to Te Whariki and Reggio Emilia the current Foundation Phase in Wales catered to the ‘average child’, therefore was not effective for all children. Waters (2015) provides information that he stocktake (2013) of the current curriculum showed areas of development in addressing children with different needs, however, was not fully adhered to the individual child. Siraj (2014) suggest that the curriculum was moving in the ‘right direction’ during the implementation period however, possessed findings of a ‘watered down’ pedagogy of learning. Taylor, Rhys and Waldron (2019) expand and explain that this curriculum also highlights the socio-cultural ideas of play and empowerment in the child’s learning. This is supported by the work of Maynard (2013) who explains a play-based experimental, developmental approach allows the child the ability to engage in full teaching and learning. Waters (2015) and Brooker (2011) explains that the Foundation Phase framework (2008) obtains a commitment of play. Wood (2007) identifies and describes the shift from achievement on specific curriculum outcomes pedagogy, to a play-based approach with inherent tensions. Wood and Attfield (2005) address the tensions and explain that they centre around the ‘problematic nature’ of </w:t>
      </w:r>
      <w:r w:rsidRPr="005E2380">
        <w:rPr>
          <w:rFonts w:ascii="Arial" w:hAnsi="Arial" w:cs="Arial"/>
          <w:sz w:val="24"/>
          <w:szCs w:val="24"/>
        </w:rPr>
        <w:lastRenderedPageBreak/>
        <w:t>how play is understood. Whitebread (2012) explains the importance of high-quality early childhood education through play. Whitebread (2012) expands on this and states that there is a strong relation between play, cognitive development and emotional well-being. Whitebread (2012) states,</w:t>
      </w:r>
    </w:p>
    <w:p w14:paraId="2D2D2DE4" w14:textId="77777777" w:rsidR="005E2380" w:rsidRPr="005E2380" w:rsidRDefault="005E2380" w:rsidP="00A37756">
      <w:pPr>
        <w:spacing w:line="360" w:lineRule="auto"/>
        <w:ind w:left="850" w:right="850"/>
        <w:jc w:val="both"/>
        <w:rPr>
          <w:rFonts w:ascii="Arial" w:hAnsi="Arial" w:cs="Arial"/>
          <w:sz w:val="24"/>
          <w:szCs w:val="24"/>
        </w:rPr>
      </w:pPr>
      <w:r w:rsidRPr="005E2380">
        <w:rPr>
          <w:rFonts w:ascii="Arial" w:hAnsi="Arial" w:cs="Arial"/>
          <w:sz w:val="24"/>
          <w:szCs w:val="24"/>
        </w:rPr>
        <w:t xml:space="preserve"> ‘The mechanisms underlying these relationships appear to involve play’s role in the development of linguistic and other representational abilities, and its support for the development of metacognitive and self-regulatory abilities.’</w:t>
      </w:r>
    </w:p>
    <w:p w14:paraId="39464265" w14:textId="77777777" w:rsidR="005E2380" w:rsidRPr="005E2380" w:rsidRDefault="005E2380" w:rsidP="00A37756">
      <w:pPr>
        <w:spacing w:line="360" w:lineRule="auto"/>
        <w:jc w:val="right"/>
        <w:rPr>
          <w:rFonts w:ascii="Arial" w:hAnsi="Arial" w:cs="Arial"/>
          <w:sz w:val="24"/>
          <w:szCs w:val="24"/>
        </w:rPr>
      </w:pPr>
      <w:r w:rsidRPr="005E2380">
        <w:rPr>
          <w:rFonts w:ascii="Arial" w:hAnsi="Arial" w:cs="Arial"/>
          <w:sz w:val="24"/>
          <w:szCs w:val="24"/>
        </w:rPr>
        <w:t>(Whitebread, 2010)</w:t>
      </w:r>
    </w:p>
    <w:p w14:paraId="576DE9DE" w14:textId="77777777" w:rsidR="005E2380" w:rsidRPr="005E2380" w:rsidRDefault="005E2380" w:rsidP="00A37756">
      <w:pPr>
        <w:spacing w:line="360" w:lineRule="auto"/>
        <w:jc w:val="both"/>
        <w:rPr>
          <w:rFonts w:ascii="Arial" w:hAnsi="Arial" w:cs="Arial"/>
          <w:sz w:val="24"/>
          <w:szCs w:val="24"/>
        </w:rPr>
      </w:pPr>
      <w:r w:rsidRPr="005E2380">
        <w:rPr>
          <w:rFonts w:ascii="Arial" w:hAnsi="Arial" w:cs="Arial"/>
          <w:sz w:val="24"/>
          <w:szCs w:val="24"/>
        </w:rPr>
        <w:t>Whereas this is in the current curriculum, Donaldson (2015) extends the use of a play-based approach, by allowing children to control their individual learning. From this, it will allow creativity and innovation skills to develop states Donaldson (2015). Walsh, McGuinness, Sproule and Trew (2010) provides the knowledge on the importance of a play-based curriculum, allowing children to use different skills such as imaginative skills and gain enjoyment while doing so.</w:t>
      </w:r>
    </w:p>
    <w:p w14:paraId="2EB1C6EF" w14:textId="77777777" w:rsidR="005E2380" w:rsidRPr="005E2380" w:rsidRDefault="005E2380" w:rsidP="00A37756">
      <w:pPr>
        <w:spacing w:line="360" w:lineRule="auto"/>
        <w:jc w:val="both"/>
        <w:rPr>
          <w:rFonts w:ascii="Arial" w:hAnsi="Arial" w:cs="Arial"/>
          <w:sz w:val="24"/>
          <w:szCs w:val="24"/>
        </w:rPr>
      </w:pPr>
      <w:r w:rsidRPr="005E2380">
        <w:rPr>
          <w:rFonts w:ascii="Arial" w:hAnsi="Arial" w:cs="Arial"/>
          <w:sz w:val="24"/>
          <w:szCs w:val="24"/>
        </w:rPr>
        <w:t xml:space="preserve">Whereas the new curriculum is an essential change suggested by Donaldson (2015), the implantation has a number of challenges to face. Taylor, Rhys and Waldron (2019) explain that the implementation will have a wide range of impacts on maintained schools and also funded non-maintained settings. One challenge that comes within the implementation found by Taylor (2015) is the cost to Welsh Government. Taylor (2015) explains that the cost has grown with the measures to improve adult to child ratios within the foundation phase. Taylor, Rhys and Walden (2019) explain that the vast amount of additional costs associated within the new curriculum is to set out the improvements on recommendations surrounding the number of practitioners used within supporting children during this time. However, Taylor (2015) explains that during the period of implementation greater preoccupation during adult to child ratios occurred, rather than the expertise required in everyday settings and classrooms. The Welsh Government (2015) has explained that the implementation has also caused costs to exceed with the new needs of training and support for practitioners. the Welsh Government (2015) explain that the wide range of practitioner training has been extensive and primarily focused on particular pedagogy, therefore, further educational training will require more focus on the new curriculum. The Welsh Government (2015) </w:t>
      </w:r>
      <w:r w:rsidRPr="005E2380">
        <w:rPr>
          <w:rFonts w:ascii="Arial" w:hAnsi="Arial" w:cs="Arial"/>
          <w:sz w:val="24"/>
          <w:szCs w:val="24"/>
        </w:rPr>
        <w:lastRenderedPageBreak/>
        <w:t xml:space="preserve">state that with further training and support, practitioners will have the ability to further support children within the foundation phase during the implementation timeframe, providing effective guidance materials encouraging a smooth transition. Taylor (2015) explains that the introduction of the Foundation Phase has not only been based off the need for additional resources, but also an updated and effective curriculum for children. The Foundation Phase introduced seven new statutory areas of learning within, starting from Personal and Social Development and ranging to Knowledge and Understanding of the world. Aasen and Waters (2006) explain that central to these reforms are the Personal and Social Development, Well-being and Cultural Diversity area </w:t>
      </w:r>
      <w:proofErr w:type="spellStart"/>
      <w:r w:rsidRPr="005E2380">
        <w:rPr>
          <w:rFonts w:ascii="Arial" w:hAnsi="Arial" w:cs="Arial"/>
          <w:sz w:val="24"/>
          <w:szCs w:val="24"/>
        </w:rPr>
        <w:t>od</w:t>
      </w:r>
      <w:proofErr w:type="spellEnd"/>
      <w:r w:rsidRPr="005E2380">
        <w:rPr>
          <w:rFonts w:ascii="Arial" w:hAnsi="Arial" w:cs="Arial"/>
          <w:sz w:val="24"/>
          <w:szCs w:val="24"/>
        </w:rPr>
        <w:t xml:space="preserve"> learning. This area of learning described by Aasen and Waters (2006) has a strong focus on ‘pedagogical practice’, therefore the ability for a children to develop skills and motivations rather than competencies. Within the new curriculum introduced by Donaldson (2015) the central aspects are learning are carried on from Assen and Waters (2006), but with adjustments. The main adjustment being made to the central aspects is encouraging child-lead learning states Donaldson (2015). With the development of the new curriculum produced by Donaldson (2015), children have the ability to control their own learning. Where this is happening, children then have the opportunity to use social learning. Social learning is encouraged by Vygotsky’s (1978) theory based on social learning. Vygotsky (1978) states that during social learning, children have the opportunity to learn from their ‘more knowledgeable other’, therefore, allowing children to learn from their initiative. Within the current curriculum, Taylor, Rhys and Walden (2019) outlines the difference in pedagogical practice. Taylor, Rhys and Walden (2019) explain that practitioners believe the appropriate way for children to develop their literacy and numeracy skills is done by direct and often ‘didactic learning’. Whereas, Donaldson (2015) disagrees and states that children develop their skills the most effective way by exploring the subject and experimenting. The Foundation Phase was produced and intended to have a wide range of impacts on the children and their learning suggests Taylor (2015). Waldron (2014) explains that this was done including ‘attainment, attendance, classroom welling and involvement and perceived benefits amongst practitioners, parents and children themselves’. Taylor (2015) explained that the successful implementation of the Foundation Phase allowed the majority of children to take part and gain the most they could from the curriculum, however, Taylor, Rhys and Walden (2019) explain that the disadvantage to this curriculum was the focus being placed on common learning areas, such as Maths and </w:t>
      </w:r>
      <w:r w:rsidRPr="005E2380">
        <w:rPr>
          <w:rFonts w:ascii="Arial" w:hAnsi="Arial" w:cs="Arial"/>
          <w:sz w:val="24"/>
          <w:szCs w:val="24"/>
        </w:rPr>
        <w:lastRenderedPageBreak/>
        <w:t>English. Taylor, Rhys and Walden (2019) expand on this and suggest that with the upcoming implementation of the new curriculum produced by Donaldson (2015), the focus will be placed on the overall development on the child’s skills, not just focus areas.</w:t>
      </w:r>
    </w:p>
    <w:p w14:paraId="75299E21" w14:textId="4C45F331" w:rsidR="005E2380" w:rsidRPr="005E2380" w:rsidRDefault="005E2380" w:rsidP="00A37756">
      <w:pPr>
        <w:spacing w:line="360" w:lineRule="auto"/>
        <w:jc w:val="both"/>
        <w:rPr>
          <w:rFonts w:ascii="Arial" w:hAnsi="Arial" w:cs="Arial"/>
          <w:sz w:val="24"/>
          <w:szCs w:val="24"/>
        </w:rPr>
      </w:pPr>
      <w:r w:rsidRPr="005E2380">
        <w:rPr>
          <w:rFonts w:ascii="Arial" w:hAnsi="Arial" w:cs="Arial"/>
          <w:sz w:val="24"/>
          <w:szCs w:val="24"/>
        </w:rPr>
        <w:t xml:space="preserve">Whereas Donaldson (2015) created a new curriculum, implementation is also important. Work by Hord and Huling-Austin (1989) explains that central to a strong curriculum, is an effective implementation method. In the Foundation Phase Framework (2015) practitioners are encouraged to place an emphasis on the holistic development of the child. In the new curriculum created by Donaldson (2015) follows on from this concept, and also looks at the holistic development of a child by including skill-based learning. Gross, Giacunta and Bernstein (1992) and Bennie and Newstead (2005) discuss the implications that could rise during implementation, this can include the practitioner’s willingness to change their practice. Gross, Giacunta and Bernstein (1992) and Bennie and Newstead (2005) explain that practitioners could be less willing to change based on their confidence of teaching a new curriculum, or even that it goes against their underlying beliefs. Kotter and Schlesinger (date) describe this as a ‘resistance to change’. Kotter and Schlesinger (date) explain that this can occur due to implementation approaches, however, this can be overcome by further training. Taylor, Rhys and Walden (2019) identifies implications that practitioners may face. These implications are that the pace of change expected within the implementation period  does not give practitioners adequate time to experiment to use the new pedagogical approaches, but only to gain a superficial understanding of the Foundation Phase and the underlying theories that the practitioners may not understand fully without recognising the full importance. Whereas this is stated, Donaldson’s (2015) Successful Future framework would disagree as it outlines and explains the different changes that is to be made to practitioners training and understanding, therefore allowing practitioners the time to understand the new curriculum and theory to their full potential. </w:t>
      </w:r>
    </w:p>
    <w:p w14:paraId="58A459FD" w14:textId="77777777" w:rsidR="005E2380" w:rsidRPr="005E2380" w:rsidRDefault="005E2380" w:rsidP="00A37756">
      <w:pPr>
        <w:spacing w:line="360" w:lineRule="auto"/>
        <w:jc w:val="both"/>
        <w:rPr>
          <w:rFonts w:ascii="Arial" w:hAnsi="Arial" w:cs="Arial"/>
          <w:sz w:val="24"/>
          <w:szCs w:val="24"/>
        </w:rPr>
      </w:pPr>
      <w:r w:rsidRPr="005E2380">
        <w:rPr>
          <w:rFonts w:ascii="Arial" w:hAnsi="Arial" w:cs="Arial"/>
          <w:sz w:val="24"/>
          <w:szCs w:val="24"/>
        </w:rPr>
        <w:t xml:space="preserve">Overall, there are different implications and advantages to the implementation of the new curriculum produced by Donaldson (2015), these implications range from cost increases to practitioners’ own beliefs and willingness. </w:t>
      </w:r>
    </w:p>
    <w:p w14:paraId="4CB25E9B" w14:textId="4C18A90B" w:rsidR="005E2380" w:rsidRDefault="005E2380" w:rsidP="00A37756">
      <w:pPr>
        <w:spacing w:line="360" w:lineRule="auto"/>
        <w:jc w:val="both"/>
        <w:rPr>
          <w:rFonts w:ascii="Arial" w:hAnsi="Arial" w:cs="Arial"/>
          <w:sz w:val="24"/>
          <w:szCs w:val="24"/>
        </w:rPr>
      </w:pPr>
    </w:p>
    <w:p w14:paraId="4489B8F1" w14:textId="77777777" w:rsidR="005E2380" w:rsidRPr="00A37756" w:rsidRDefault="005E2380" w:rsidP="00A37756">
      <w:pPr>
        <w:spacing w:line="360" w:lineRule="auto"/>
        <w:jc w:val="both"/>
        <w:rPr>
          <w:rFonts w:ascii="Arial" w:hAnsi="Arial" w:cs="Arial"/>
          <w:sz w:val="24"/>
          <w:szCs w:val="24"/>
          <w:u w:val="single"/>
        </w:rPr>
      </w:pPr>
      <w:r w:rsidRPr="00A37756">
        <w:rPr>
          <w:rFonts w:ascii="Arial" w:hAnsi="Arial" w:cs="Arial"/>
          <w:sz w:val="24"/>
          <w:szCs w:val="24"/>
          <w:u w:val="single"/>
        </w:rPr>
        <w:lastRenderedPageBreak/>
        <w:t xml:space="preserve">Section Two- </w:t>
      </w:r>
    </w:p>
    <w:p w14:paraId="7288CF03" w14:textId="77777777" w:rsidR="005E2380" w:rsidRPr="005E2380" w:rsidRDefault="005E2380" w:rsidP="00A37756">
      <w:pPr>
        <w:spacing w:line="360" w:lineRule="auto"/>
        <w:jc w:val="both"/>
        <w:rPr>
          <w:rFonts w:ascii="Arial" w:hAnsi="Arial" w:cs="Arial"/>
          <w:sz w:val="24"/>
          <w:szCs w:val="24"/>
        </w:rPr>
      </w:pPr>
      <w:r w:rsidRPr="005E2380">
        <w:rPr>
          <w:rFonts w:ascii="Arial" w:hAnsi="Arial" w:cs="Arial"/>
          <w:sz w:val="24"/>
          <w:szCs w:val="24"/>
        </w:rPr>
        <w:t xml:space="preserve">Within the Foundation Phase Framework (2017), there are a number of age-related norms that practitioners must use when aiding the development of children through education. Within the Foundation Phase Framework, age-related norms are described as behaviours and tasks that a child of the average age has the ability to reach. These age-related norms are recorded and evaluated in the Foundation Phase Child Development Assessment Profile (2011). The Welsh Government (2011) explain that the main purpose of this document is to assess children within the first six weeks of starting the foundation phase in order to produce a bassline for their future assessments. The Welsh Government (2011) set out the six areas in which this document will assess, these include, Personal, Social and Emotional, Speaking and Listening, Reading and Writing, Sort, Order and Number, Approach to Learning, Thinking and Reasoning and finally Physical development. Whereas this is in place currently, Settersten and Mayer (1997) and Freeburg and Workman (2009) Disagree with the use of these assessments. The work of both Settersten and Mayer (1997) and Freeburg and Workman (2009) suggests that ‘the measurement of age and ability testing has become a problematic course of life’ due to the fact that practitioners are working more towards the detailed analyses and explanations rather than the quality of learning children receive. The Welsh Government explain that carrying out different assessments on the children at this time will provide them with the developmental requirements of the age-related norms, allowing practitioners to identify if they are developing and learning to the appropriate age and if a child requires further support. The Welsh Government (2011) expands on this and states that the assessment is carried on either individually or within groups of children, the assessment is then achieved by practitioners observing children interacting with each other and resources provided for the children. Maynard (2012) states the practitioners have the role to understand the children’s abilities before they are able to further support them in their learning. Maynard (2012) explains that the use of age-related norms within the Foundation Phase is to raise the standards of children’s achievements and produce positive attitudes towards learning. </w:t>
      </w:r>
      <w:bookmarkStart w:id="0" w:name="_Hlk36476529"/>
      <w:r w:rsidRPr="005E2380">
        <w:rPr>
          <w:rFonts w:ascii="Arial" w:hAnsi="Arial" w:cs="Arial"/>
          <w:sz w:val="24"/>
          <w:szCs w:val="24"/>
        </w:rPr>
        <w:t xml:space="preserve">Gasser, Grutter, Torchetti and Buholzer (2017) </w:t>
      </w:r>
      <w:bookmarkEnd w:id="0"/>
      <w:r w:rsidRPr="005E2380">
        <w:rPr>
          <w:rFonts w:ascii="Arial" w:hAnsi="Arial" w:cs="Arial"/>
          <w:sz w:val="24"/>
          <w:szCs w:val="24"/>
        </w:rPr>
        <w:t xml:space="preserve">conducted an experiment finding that the use of norms within the Foundation Phase catered to a small average of children within the classroom, therefore only including the ‘average child’. Gasser, Grutter, Torchetti and Buholzer (2017) expand on this and </w:t>
      </w:r>
      <w:r w:rsidRPr="005E2380">
        <w:rPr>
          <w:rFonts w:ascii="Arial" w:hAnsi="Arial" w:cs="Arial"/>
          <w:sz w:val="24"/>
          <w:szCs w:val="24"/>
        </w:rPr>
        <w:lastRenderedPageBreak/>
        <w:t xml:space="preserve">suggest that once children have completed the assessments, children are grouped into ability therefore disallowing children to learn from their peers. Gasser, Grutter, Torchetti and Buholzer (2017) state that practitioners should encourage children to integrate and socialise with children of different abilities, so they have the opportunity to learn from their ‘More Knowledgeable Other’ which is supported by the work of Vygotsky (1978). The welsh Government (2017) explains that children will enter the Foundation Phase at different ages and stages within their development, as this is the case, it is advised that the practitioner is to utilise the assessment provided within each developmental area to fit the children appropriately. Once the developmental areas are explored and observed, the Welsh Government (2011) explains the use of the Record Wheel, in which the results of the observations will be recorded allowing room for adjustments where needed. The Welsh Government (2017) discusses the adjustments made to this process for children with Additional Learning Needs. The Welsh Government (2017) expands and states that if any additional resources are used to support the children with Additional Learning Needs then they are required to be recorded within the Record Wheel. The Welsh Government (2011) states that the informal observational and spontaneous sprit that is used in the process of assessment must be maintained throughout, practitioners have the role to continue to support the different children’s development, encourage engagement and also reinforce a positive sense of achievement in each activity. Within the work of Antonio and John (2017) it is noted that working towards the different age-related norms may not be effective for all children. Antonio and John (2017) explain this is due to the fact that each child is different and that the ‘norms’ may be educationally outdated, therefore not an effective way to assess children on their abilities. Gasser, Grutter, Torchetti and Buholzer (2017) agree with this statement and suggest that with practitioners working towards the use of norms could affect classroom education as the ‘individual competitive attitudes on children's exclusion of hypothetical peers with behaviour or academic difficulties.’ Therefore, it is not an effective course of education to follow. The work of Kanjee and Mthembu (2015) found that when conducting research, practitioners conducting assessments were unfamiliar with formative assessment, but conducted summative assessment within their work. From this, Kanjee and Mthembu (2015) argue that because of this, assessments may not be accurate to the child’s development as they are not able to full assess the child in different ways.  When looking at the new curriculum produced by Donaldson (2015), </w:t>
      </w:r>
      <w:r w:rsidRPr="005E2380">
        <w:rPr>
          <w:rFonts w:ascii="Arial" w:hAnsi="Arial" w:cs="Arial"/>
          <w:sz w:val="24"/>
          <w:szCs w:val="24"/>
        </w:rPr>
        <w:lastRenderedPageBreak/>
        <w:t>age related norms will take a different approach as they look at the average child. However, Donaldson (2015) has created a curriculum where it encourages the development of all children, therefore these norms will not be an effective learning approach. This is also supported by the work of Soler and Miller (2010) who encourages the practitioners to support each child individually.</w:t>
      </w:r>
    </w:p>
    <w:p w14:paraId="057AA1A7" w14:textId="77777777" w:rsidR="005E2380" w:rsidRPr="005E2380" w:rsidRDefault="005E2380" w:rsidP="00A37756">
      <w:pPr>
        <w:spacing w:line="360" w:lineRule="auto"/>
        <w:jc w:val="both"/>
        <w:rPr>
          <w:rFonts w:ascii="Arial" w:hAnsi="Arial" w:cs="Arial"/>
          <w:sz w:val="24"/>
          <w:szCs w:val="24"/>
        </w:rPr>
      </w:pPr>
      <w:r w:rsidRPr="005E2380">
        <w:rPr>
          <w:rFonts w:ascii="Arial" w:hAnsi="Arial" w:cs="Arial"/>
          <w:sz w:val="24"/>
          <w:szCs w:val="24"/>
        </w:rPr>
        <w:t xml:space="preserve">The work of Soler and Miller (2010) outlines the different use of practice within the Foundation Phase from Wales to Te Whariki and Reggio Emilia curriculum. Blaiklock (2009) expands on this and suggests that the work of assessment within Te Whariki receives much praise as it does not just focus on one aspect but takes the holistic integrated nature of the curriculum into consideration when assessing children on their abilities. The work of Soler and Miller (2010) and also Carr, May and Podmore (1998) describe the process of assessment within Te Whariki, known as the Project for Assessing Children’s Experiences (PACE). Soler and Miller (2010) and also Carr, May and Podmore (1998) explain that this process is completed over three phases, the first phase establishing the framework, the second phase, trailing the framework in five different settings and then finally phase three developing a video package for the practitioners. Soler and Miller (2010) and also Carr, May and Podmore (1998) suggest that the outcome of assessment based on children’s learning outcomes are displayed in two ways, ‘working theories’ and ‘dispositions.’ Soler and Miller (2010) and also Carr, May and Podmore (1998) explain that within this framework, dispositions appear within working theories. The work of Luff (2012) discuss further the impact and the process of assessment within Te Whariki. Carr (2001) explains that including communication, well-being, belonging and contribution into the assessment process, it will allow practitioners to identify the child’s development as a whole, not just the key learning areas that is used in the Welsh Government (2017) assessment areas. The New Zealand Ministry of Education (2004) states that ‘Assessments don’t just describe learning; they also construct and foster it’. In Te Whariki Luff (2012) explains that children take part in their own assessment process, this is typically done through the work of learning stories. Luff (2012) extends on this and explains that this is typically achieved by the practitioner taking note of what the child states they have achieved along with a drawing or photograph, contributed by the child. Therefore, children have the ability to take a hands-on approach to learning and development through the process of assessment. Whereas Learning Stories are in place in Te Whariki, Luff </w:t>
      </w:r>
      <w:r w:rsidRPr="005E2380">
        <w:rPr>
          <w:rFonts w:ascii="Arial" w:hAnsi="Arial" w:cs="Arial"/>
          <w:sz w:val="24"/>
          <w:szCs w:val="24"/>
        </w:rPr>
        <w:lastRenderedPageBreak/>
        <w:t xml:space="preserve">(2012) explains that there is a strong parental engagement in both Te Whariki and Wales. However, Luff (2012) discusses the need for Wales to adapt to a similar approach where the child has the opportunity to take a hands-on approach and control their own learning. Linking this to Donaldson (2015), within the new curriculum, children will have the opportunity to engage more within their own assessments as now children are encouraged to take control of their own learning, therefore allowing them to participate further in assessment processes. From looking at the framework produced by the Welsh Government (2017) and the framework produced in Te Whariki (2010) there are a number of different approaches in use. The first difference, looking at the Welsh Government (2017), the practitioners play a larger role within the process of assessment as they have the responsibility to complete different tasks to identify the child’s learning ability. </w:t>
      </w:r>
      <w:bookmarkStart w:id="1" w:name="_Hlk36663915"/>
      <w:r w:rsidRPr="005E2380">
        <w:rPr>
          <w:rFonts w:ascii="Arial" w:hAnsi="Arial" w:cs="Arial"/>
          <w:sz w:val="24"/>
          <w:szCs w:val="24"/>
        </w:rPr>
        <w:t xml:space="preserve">Papatheodorou and Moyles (2012) </w:t>
      </w:r>
      <w:bookmarkEnd w:id="1"/>
      <w:r w:rsidRPr="005E2380">
        <w:rPr>
          <w:rFonts w:ascii="Arial" w:hAnsi="Arial" w:cs="Arial"/>
          <w:sz w:val="24"/>
          <w:szCs w:val="24"/>
        </w:rPr>
        <w:t xml:space="preserve">outline the different process that the assessment period faces in Reggio Emilia. Papatheodorou and Moyles (2012) states that this assessment process surrounds a philosophy of communication, participation and participation of family. Rindaldi (2006) and Papatheodorou and Moyles (2012) suggest that within the Reggio Emilia process, the child is views as an active, capable protagonist during the assessment period. Rindaldi (2006) explains that within the assessment process the practitioner has a role to guide, facilitate and also encourage children to engage with their learning. Papatheodorou and Moyles (2012) explain that the task is to produce a collaborative partnership between themselves and children in order to work towards the key principles. The key principles are outlined by Papatheodorou and Moyles (2012) which explains they are community-based, relational, learning and teaching approaches. During the period, practitioners have the role of researchers and have the duty to record evidence of the learning process as it occurs and support evidence with the child’s development. Like Te Whariki, Papatheodorou and Moyles (2012) explain that in Reggio Emilia assessments, children take an active role and are encouraged to produce their own evidence to support the assessment, such as drawings or photographs. These are both different to the assessment process in Wales as the Welsh Government (2017) encourage practitioners to be the active individual with guiding the process. Holmes (2007) and Beels (2004) set out an example of how assessments within Reggio Emilia and Wales search similar approaches. The approach is explained by Holmes (2007) where both the child and practitioner work effectively together on an arts-bases project including the preparation and discussion of the documentation process. Whereas this </w:t>
      </w:r>
      <w:r w:rsidRPr="005E2380">
        <w:rPr>
          <w:rFonts w:ascii="Arial" w:hAnsi="Arial" w:cs="Arial"/>
          <w:sz w:val="24"/>
          <w:szCs w:val="24"/>
        </w:rPr>
        <w:lastRenderedPageBreak/>
        <w:t>approach have similar initiatives and are admired by Holmes (2008), it is not always integrated into the curriculum effectively. Holmes (2008) expands on this and states that practitioners in Reggio Emilia encourage group projects of documentation, rather than the enquiry of individual assessments that takes place within the Welsh Government approaches (2018). Holmes (2008) expands on this and suggested that the focus is also different in both approaches as the process is as important to the Welsh Government (2018), whereas in Reggio Emilia, the outcomes are vastly important. Rinaldi (2005) adds to this and explains that this may be the result of different values and principles of the philosophy from the different pedagogical practices, including observation and documentation. Work of Dubiel (2010) explain that in both Te Whariki and Reggio Emilia, the purpose in education and assessment is to produce active and powerful learning experiences for children during education. Dubiel (2010) expands on this and suggested that where this is the case, Wales are now working towards the same aim, however, these results may be affected by an attempt to achieve both instrumental and progressive aims.</w:t>
      </w:r>
    </w:p>
    <w:p w14:paraId="4C982503" w14:textId="77777777" w:rsidR="005E2380" w:rsidRPr="005E2380" w:rsidRDefault="005E2380" w:rsidP="00A37756">
      <w:pPr>
        <w:spacing w:line="360" w:lineRule="auto"/>
        <w:jc w:val="both"/>
        <w:rPr>
          <w:rFonts w:ascii="Arial" w:hAnsi="Arial" w:cs="Arial"/>
          <w:sz w:val="24"/>
          <w:szCs w:val="24"/>
        </w:rPr>
      </w:pPr>
      <w:r w:rsidRPr="005E2380">
        <w:rPr>
          <w:rFonts w:ascii="Arial" w:hAnsi="Arial" w:cs="Arial"/>
          <w:sz w:val="24"/>
          <w:szCs w:val="24"/>
        </w:rPr>
        <w:t>Overall, within the Foundation Phase in Wales to identify the age-related norms, assessments within a 6-week period must be conducted, states the Welsh Government (2017). However, in Te Whariki (2010), assessment takes a different approach with children taking part with their own assessment.</w:t>
      </w:r>
    </w:p>
    <w:p w14:paraId="50CAB37E" w14:textId="2CB84788" w:rsidR="005E2380" w:rsidRDefault="005E2380" w:rsidP="00A37756">
      <w:pPr>
        <w:spacing w:line="360" w:lineRule="auto"/>
        <w:jc w:val="both"/>
        <w:rPr>
          <w:rFonts w:ascii="Arial" w:hAnsi="Arial" w:cs="Arial"/>
          <w:sz w:val="24"/>
          <w:szCs w:val="24"/>
        </w:rPr>
      </w:pPr>
    </w:p>
    <w:p w14:paraId="349CFE4E" w14:textId="77777777" w:rsidR="005E2380" w:rsidRDefault="005E2380" w:rsidP="00A37756">
      <w:pPr>
        <w:spacing w:line="360" w:lineRule="auto"/>
        <w:jc w:val="both"/>
        <w:rPr>
          <w:rFonts w:ascii="Arial" w:hAnsi="Arial" w:cs="Arial"/>
          <w:sz w:val="24"/>
          <w:szCs w:val="24"/>
        </w:rPr>
      </w:pPr>
      <w:r>
        <w:rPr>
          <w:rFonts w:ascii="Arial" w:hAnsi="Arial" w:cs="Arial"/>
          <w:sz w:val="24"/>
          <w:szCs w:val="24"/>
        </w:rPr>
        <w:br w:type="page"/>
      </w:r>
    </w:p>
    <w:p w14:paraId="7AE5E0F7" w14:textId="77777777" w:rsidR="005E2380" w:rsidRPr="00A37756" w:rsidRDefault="005E2380" w:rsidP="00A37756">
      <w:pPr>
        <w:spacing w:line="360" w:lineRule="auto"/>
        <w:jc w:val="both"/>
        <w:rPr>
          <w:rFonts w:ascii="Arial" w:hAnsi="Arial" w:cs="Arial"/>
          <w:sz w:val="24"/>
          <w:szCs w:val="24"/>
          <w:u w:val="single"/>
        </w:rPr>
      </w:pPr>
      <w:bookmarkStart w:id="2" w:name="_GoBack"/>
      <w:r w:rsidRPr="00A37756">
        <w:rPr>
          <w:rFonts w:ascii="Arial" w:hAnsi="Arial" w:cs="Arial"/>
          <w:sz w:val="24"/>
          <w:szCs w:val="24"/>
          <w:u w:val="single"/>
        </w:rPr>
        <w:lastRenderedPageBreak/>
        <w:t>Section Three- Outdoors within the Curriculum</w:t>
      </w:r>
    </w:p>
    <w:bookmarkEnd w:id="2"/>
    <w:p w14:paraId="5FF46F8C" w14:textId="77777777" w:rsidR="005E2380" w:rsidRPr="005E2380" w:rsidRDefault="005E2380" w:rsidP="00A37756">
      <w:pPr>
        <w:spacing w:line="360" w:lineRule="auto"/>
        <w:jc w:val="both"/>
        <w:rPr>
          <w:rFonts w:ascii="Arial" w:hAnsi="Arial" w:cs="Arial"/>
          <w:sz w:val="24"/>
          <w:szCs w:val="24"/>
        </w:rPr>
      </w:pPr>
      <w:r w:rsidRPr="005E2380">
        <w:rPr>
          <w:rFonts w:ascii="Arial" w:hAnsi="Arial" w:cs="Arial"/>
          <w:sz w:val="24"/>
          <w:szCs w:val="24"/>
        </w:rPr>
        <w:t xml:space="preserve">Outdoor Learning was defined by Zink and Burrows (2008) as ‘that which is beyond the walls of the indoors’. Zink and Burrows (2008) expands on this and states that outdoor learning is believed to provide more memorable and also stimulating learning experiences for children within the foundation phase. </w:t>
      </w:r>
    </w:p>
    <w:p w14:paraId="3F68259A" w14:textId="77777777" w:rsidR="005E2380" w:rsidRPr="005E2380" w:rsidRDefault="005E2380" w:rsidP="00A37756">
      <w:pPr>
        <w:spacing w:line="360" w:lineRule="auto"/>
        <w:ind w:left="850" w:right="850"/>
        <w:jc w:val="both"/>
        <w:rPr>
          <w:rFonts w:ascii="Arial" w:hAnsi="Arial" w:cs="Arial"/>
          <w:sz w:val="24"/>
          <w:szCs w:val="24"/>
        </w:rPr>
      </w:pPr>
      <w:r w:rsidRPr="005E2380">
        <w:rPr>
          <w:rFonts w:ascii="Arial" w:hAnsi="Arial" w:cs="Arial"/>
          <w:sz w:val="24"/>
          <w:szCs w:val="24"/>
        </w:rPr>
        <w:t xml:space="preserve">‘As social, economic and environmental issues have become more prominent in the 21st century, there has been increased critical scrutiny into the ways that outdoor learning interacts with sustainability issues and concepts.’ </w:t>
      </w:r>
    </w:p>
    <w:p w14:paraId="19775353" w14:textId="77777777" w:rsidR="005E2380" w:rsidRPr="005E2380" w:rsidRDefault="005E2380" w:rsidP="00A37756">
      <w:pPr>
        <w:spacing w:line="360" w:lineRule="auto"/>
        <w:jc w:val="right"/>
        <w:rPr>
          <w:rFonts w:ascii="Arial" w:hAnsi="Arial" w:cs="Arial"/>
          <w:sz w:val="24"/>
          <w:szCs w:val="24"/>
        </w:rPr>
      </w:pPr>
      <w:r w:rsidRPr="005E2380">
        <w:rPr>
          <w:rFonts w:ascii="Arial" w:hAnsi="Arial" w:cs="Arial"/>
          <w:sz w:val="24"/>
          <w:szCs w:val="24"/>
        </w:rPr>
        <w:t>(Hill, 2013)</w:t>
      </w:r>
    </w:p>
    <w:p w14:paraId="11C44A7B" w14:textId="77777777" w:rsidR="005E2380" w:rsidRPr="005E2380" w:rsidRDefault="005E2380" w:rsidP="00A37756">
      <w:pPr>
        <w:spacing w:line="360" w:lineRule="auto"/>
        <w:jc w:val="both"/>
        <w:rPr>
          <w:rFonts w:ascii="Arial" w:hAnsi="Arial" w:cs="Arial"/>
          <w:sz w:val="24"/>
          <w:szCs w:val="24"/>
        </w:rPr>
      </w:pPr>
      <w:r w:rsidRPr="005E2380">
        <w:rPr>
          <w:rFonts w:ascii="Arial" w:hAnsi="Arial" w:cs="Arial"/>
          <w:sz w:val="24"/>
          <w:szCs w:val="24"/>
        </w:rPr>
        <w:t xml:space="preserve">Davies and Hamilton (2018) explain the use of outdoor learning through practice and the importance it is. Davis and Hamilton (2018) state that outdoor learning is a new prospect of learning within the curriculum with many practitioners becoming aware of the benefits the outdoors provide for children. Over centuries theorists such as Froebel (), Steiner (  ) and also the MacMillan Sisters (  ) support and encourage the introduction of outdoor learning into the curriculum with the vast amount of opportunities and experiences present. Waite (2011) argues that the outdoors provide such significant areas of development, indoor based education is not enough for the developing child. Waite and Davis (2007) and also Stroli and Hagen (2010) suggest that outdoor environment has wide potential for promoting both child’s cognitive and physical development within the Foundation Phase. Waite and Davis (2007) and also Stroli and Hagen (2010) expand on this and explains that the outdoors also provides areas for communication, social and emotional development. Whereas, Knight (2009) and Eloquin and Hutchinson (2011) argues that it also provides children with a socio-cultural identity. Aasen, Grindheim and Waters (2009) adds to this and states that when using the outdoors within education, a child’s level of concentration and also motivation to learn increases. Waters (2013) states that children are more likely to initiate interaction and engage in shared thinking with other children and practitioners within the outdoors. According to Dolan (2015) the process of outdoor learning provides children with multiple opportunities to experiences the ‘interdisciplinary’ nature surrounding the real world through different interactions with other children and also different aspects of the future. However, with this statement in place Gill (2007) </w:t>
      </w:r>
      <w:r w:rsidRPr="005E2380">
        <w:rPr>
          <w:rFonts w:ascii="Arial" w:hAnsi="Arial" w:cs="Arial"/>
          <w:sz w:val="24"/>
          <w:szCs w:val="24"/>
        </w:rPr>
        <w:lastRenderedPageBreak/>
        <w:t>suggests that children are spending less time outdoors and missing vital learning outcomes. Bruce (2012) explains that the curriculum theory and philosophy was produced with a child-centred learning approach, pioneered with play and also outdoor play. Bruce (2012) expands on this and states that this key information was produced from the theory and work of Steiner, Frobel and Montessori, who all argued that outdoor experiences were vital in the development and education of children. Ofsted (2011) support this statement by explaining that the use of outdoors as a substantial resource has been underappreciated. As the outside is not being used to the full potential by practitioners, one concern of this is documented by Louv (2010). Louv (2010) explains the concerns that children’s current and also future relationships with the environment are under research. Louv (2010) extends on this and suggests the term ‘Nature-Deficit Disorder’ which describes the children’s alienation from nature, including physical and also emotional illness.</w:t>
      </w:r>
    </w:p>
    <w:p w14:paraId="326A146C" w14:textId="77777777" w:rsidR="005E2380" w:rsidRPr="005E2380" w:rsidRDefault="005E2380" w:rsidP="00A37756">
      <w:pPr>
        <w:spacing w:line="360" w:lineRule="auto"/>
        <w:jc w:val="both"/>
        <w:rPr>
          <w:rFonts w:ascii="Arial" w:hAnsi="Arial" w:cs="Arial"/>
          <w:sz w:val="24"/>
          <w:szCs w:val="24"/>
        </w:rPr>
      </w:pPr>
      <w:r w:rsidRPr="005E2380">
        <w:rPr>
          <w:rFonts w:ascii="Arial" w:hAnsi="Arial" w:cs="Arial"/>
          <w:sz w:val="24"/>
          <w:szCs w:val="24"/>
        </w:rPr>
        <w:t xml:space="preserve">According to Waite, Rutter, Fowle and Edwards-Jones (2015) there </w:t>
      </w:r>
      <w:proofErr w:type="spellStart"/>
      <w:r w:rsidRPr="005E2380">
        <w:rPr>
          <w:rFonts w:ascii="Arial" w:hAnsi="Arial" w:cs="Arial"/>
          <w:sz w:val="24"/>
          <w:szCs w:val="24"/>
        </w:rPr>
        <w:t>as</w:t>
      </w:r>
      <w:proofErr w:type="spellEnd"/>
      <w:r w:rsidRPr="005E2380">
        <w:rPr>
          <w:rFonts w:ascii="Arial" w:hAnsi="Arial" w:cs="Arial"/>
          <w:sz w:val="24"/>
          <w:szCs w:val="24"/>
        </w:rPr>
        <w:t xml:space="preserve"> been a considerable growth of interest and also concern of the lack of outdoor learning and nature interaction within the current curriculum for children within the foundation phase. Louv (2008), Knight (2009) and Moss (2012) explain that as a response to this, practitioners are discovering new ways to embed outdoor learning into classroom settings and trail a number of different approaches to adapt the features of the outdoors within learning, one approach is Forest Schools. The work of Harris (2017) found that the majority of Forest schools take place within primary schools over the UK, these forest schools allow children to engage in different repeated opportunities to learn about and within an outdoor setting. Whereas outdoor education provides multiple benefits for children within their education, many of these benefits have influences early years curriculum policy and pedagogy states Davies and Hamilton (2018). The work of Waite, Bolling and Bentsen (2015) explain that where outdoor learning is being used in a number of countries, the underpinning outcomes and approaches to using the outdoors are based on the philosophic and practical understanding of the cultural traditions and ethos. This is supported by the work of Passy (2013) who argues that different approaches strain from the respective countries and their own ethos. Kelly (2013) expand on this and states the expansion and challenges in terms of outdoor learning may vary in mainstream educational practice. Whereas Davies and Hamilton (2018) argue that all outdoor interaction is a </w:t>
      </w:r>
      <w:r w:rsidRPr="005E2380">
        <w:rPr>
          <w:rFonts w:ascii="Arial" w:hAnsi="Arial" w:cs="Arial"/>
          <w:sz w:val="24"/>
          <w:szCs w:val="24"/>
        </w:rPr>
        <w:lastRenderedPageBreak/>
        <w:t>positive outcome for children, Waite and Pratt (2011) states that some forms of outdoor education can ‘permeate experiences in complex unacknowledged ways’, being outsides therefore does not automatically have educational outcomes. However, Chawla and Cushing (2007) and Dowdell, Grey and Malone (2011) explain that as well as outdoor learning allows children to extend their knowledge of the outdoors and physical development, outdoor learning also provides the opportunity for a child to develop their imaginative play and also positive relationships. Stevens (2013) explains that where practitioners are trained and educated on the knowledge surrounding forest schools, there is still a lack of usage within the settings. Stevens (2013) expands on this and states that this is due to the practitioners not fully being aware of the philosophy surrounding forest schooling and the importance that outdoor learning provides. Andkjear (2012) and Gurholt (2014) explain that whereas this philosophy of outdoor learning is carried out throughout the world, outdoor education is practised in multiple different ways depending on culture. Therefore, Andkjear (2012) and Gurholt (2014) explain that this may be the cause of uncertainty within practitioners when encouraging outdoor learning to children in the foundation phase.</w:t>
      </w:r>
    </w:p>
    <w:p w14:paraId="2A9E2E81" w14:textId="77777777" w:rsidR="005E2380" w:rsidRPr="005E2380" w:rsidRDefault="005E2380" w:rsidP="00A37756">
      <w:pPr>
        <w:spacing w:line="360" w:lineRule="auto"/>
        <w:jc w:val="both"/>
        <w:rPr>
          <w:rFonts w:ascii="Arial" w:hAnsi="Arial" w:cs="Arial"/>
          <w:sz w:val="24"/>
          <w:szCs w:val="24"/>
        </w:rPr>
      </w:pPr>
      <w:r w:rsidRPr="005E2380">
        <w:rPr>
          <w:rFonts w:ascii="Arial" w:hAnsi="Arial" w:cs="Arial"/>
          <w:sz w:val="24"/>
          <w:szCs w:val="24"/>
        </w:rPr>
        <w:t xml:space="preserve">Overall, multiple research conducted has found the use of outdoor learning as an effective and mandatory aspect of learning within the foundation phase, suggested by Davies and Hamilton (2018), but is not always provided effectively to children state Ofsted (2011). </w:t>
      </w:r>
    </w:p>
    <w:p w14:paraId="78A6A942" w14:textId="2B5984B7" w:rsidR="005E2380" w:rsidRDefault="005E2380" w:rsidP="00A37756">
      <w:pPr>
        <w:spacing w:line="360" w:lineRule="auto"/>
        <w:jc w:val="both"/>
        <w:rPr>
          <w:rFonts w:ascii="Arial" w:hAnsi="Arial" w:cs="Arial"/>
          <w:sz w:val="24"/>
          <w:szCs w:val="24"/>
        </w:rPr>
      </w:pPr>
    </w:p>
    <w:p w14:paraId="15DE1FC5" w14:textId="77777777" w:rsidR="005E2380" w:rsidRDefault="005E2380" w:rsidP="00A37756">
      <w:pPr>
        <w:spacing w:line="360" w:lineRule="auto"/>
        <w:jc w:val="both"/>
        <w:rPr>
          <w:rFonts w:ascii="Arial" w:hAnsi="Arial" w:cs="Arial"/>
          <w:sz w:val="24"/>
          <w:szCs w:val="24"/>
        </w:rPr>
      </w:pPr>
      <w:r>
        <w:rPr>
          <w:rFonts w:ascii="Arial" w:hAnsi="Arial" w:cs="Arial"/>
          <w:sz w:val="24"/>
          <w:szCs w:val="24"/>
        </w:rPr>
        <w:br w:type="page"/>
      </w:r>
      <w:r>
        <w:rPr>
          <w:rFonts w:ascii="Arial" w:hAnsi="Arial" w:cs="Arial"/>
          <w:sz w:val="24"/>
          <w:szCs w:val="24"/>
        </w:rPr>
        <w:lastRenderedPageBreak/>
        <w:t>Reference List-</w:t>
      </w:r>
    </w:p>
    <w:p w14:paraId="05758530" w14:textId="77777777" w:rsidR="005E2380" w:rsidRPr="00EF4EB0" w:rsidRDefault="005E2380" w:rsidP="00A37756">
      <w:pPr>
        <w:spacing w:line="360" w:lineRule="auto"/>
        <w:ind w:left="360"/>
        <w:jc w:val="both"/>
        <w:rPr>
          <w:rFonts w:ascii="Arial" w:hAnsi="Arial" w:cs="Arial"/>
          <w:sz w:val="24"/>
          <w:szCs w:val="24"/>
        </w:rPr>
      </w:pPr>
    </w:p>
    <w:p w14:paraId="088333E5"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Aasen, W. and Waters, J. (2006). The new curriculum in Wales: a new view of the child? Education 3-13: International Journal of Primary, </w:t>
      </w:r>
      <w:r w:rsidRPr="00EF4EB0">
        <w:rPr>
          <w:rFonts w:ascii="Arial" w:hAnsi="Arial" w:cs="Arial"/>
          <w:i/>
          <w:iCs/>
          <w:sz w:val="24"/>
          <w:szCs w:val="24"/>
        </w:rPr>
        <w:t>Elementary and Early Years Education,</w:t>
      </w:r>
      <w:r w:rsidRPr="00EF4EB0">
        <w:rPr>
          <w:rFonts w:ascii="Arial" w:hAnsi="Arial" w:cs="Arial"/>
          <w:sz w:val="24"/>
          <w:szCs w:val="24"/>
        </w:rPr>
        <w:t xml:space="preserve"> 34, 2, 123-129.</w:t>
      </w:r>
    </w:p>
    <w:p w14:paraId="2C6A872C"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Aasen, W., Grindheim, L. T., and Waters, J.. (2009). “</w:t>
      </w:r>
      <w:r w:rsidRPr="00EF4EB0">
        <w:rPr>
          <w:rFonts w:ascii="Arial" w:hAnsi="Arial" w:cs="Arial"/>
          <w:i/>
          <w:iCs/>
          <w:sz w:val="24"/>
          <w:szCs w:val="24"/>
        </w:rPr>
        <w:t>The Outdoor Environment as a Site for Children’s Participation, Meaning Making and Democratic Learning: Examples from Norwegian Kindergartens.”</w:t>
      </w:r>
      <w:r w:rsidRPr="00EF4EB0">
        <w:rPr>
          <w:rFonts w:ascii="Arial" w:hAnsi="Arial" w:cs="Arial"/>
          <w:sz w:val="24"/>
          <w:szCs w:val="24"/>
        </w:rPr>
        <w:t xml:space="preserve"> Education 3-13: International Journal of Primary, Elementary and Early Years Education 37 (1): 5–13.</w:t>
      </w:r>
    </w:p>
    <w:p w14:paraId="0DD0788E" w14:textId="77777777" w:rsidR="005E2380" w:rsidRPr="00EF4EB0" w:rsidRDefault="005E2380" w:rsidP="00A37756">
      <w:pPr>
        <w:spacing w:line="360" w:lineRule="auto"/>
        <w:ind w:left="360"/>
        <w:jc w:val="both"/>
        <w:rPr>
          <w:rFonts w:ascii="Arial" w:hAnsi="Arial" w:cs="Arial"/>
          <w:sz w:val="24"/>
          <w:szCs w:val="24"/>
        </w:rPr>
      </w:pPr>
      <w:proofErr w:type="spellStart"/>
      <w:r w:rsidRPr="00EF4EB0">
        <w:rPr>
          <w:rFonts w:ascii="Arial" w:hAnsi="Arial" w:cs="Arial"/>
          <w:sz w:val="24"/>
          <w:szCs w:val="24"/>
        </w:rPr>
        <w:t>Andkjær</w:t>
      </w:r>
      <w:proofErr w:type="spellEnd"/>
      <w:r w:rsidRPr="00EF4EB0">
        <w:rPr>
          <w:rFonts w:ascii="Arial" w:hAnsi="Arial" w:cs="Arial"/>
          <w:sz w:val="24"/>
          <w:szCs w:val="24"/>
        </w:rPr>
        <w:t xml:space="preserve">, S. (2012). </w:t>
      </w:r>
      <w:r w:rsidRPr="00EF4EB0">
        <w:rPr>
          <w:rFonts w:ascii="Arial" w:hAnsi="Arial" w:cs="Arial"/>
          <w:i/>
          <w:iCs/>
          <w:sz w:val="24"/>
          <w:szCs w:val="24"/>
        </w:rPr>
        <w:t xml:space="preserve">A cultural and comparative perspective on outdoor education in New Zealand and </w:t>
      </w:r>
      <w:proofErr w:type="spellStart"/>
      <w:r w:rsidRPr="00EF4EB0">
        <w:rPr>
          <w:rFonts w:ascii="Arial" w:hAnsi="Arial" w:cs="Arial"/>
          <w:i/>
          <w:iCs/>
          <w:sz w:val="24"/>
          <w:szCs w:val="24"/>
        </w:rPr>
        <w:t>friluftsliv</w:t>
      </w:r>
      <w:proofErr w:type="spellEnd"/>
      <w:r w:rsidRPr="00EF4EB0">
        <w:rPr>
          <w:rFonts w:ascii="Arial" w:hAnsi="Arial" w:cs="Arial"/>
          <w:i/>
          <w:iCs/>
          <w:sz w:val="24"/>
          <w:szCs w:val="24"/>
        </w:rPr>
        <w:t xml:space="preserve"> in Denmark.</w:t>
      </w:r>
      <w:r w:rsidRPr="00EF4EB0">
        <w:rPr>
          <w:rFonts w:ascii="Arial" w:hAnsi="Arial" w:cs="Arial"/>
          <w:sz w:val="24"/>
          <w:szCs w:val="24"/>
        </w:rPr>
        <w:t xml:space="preserve"> Journal of Adventure Education and Outdoor Learning. 12(2), 121–136. </w:t>
      </w:r>
    </w:p>
    <w:p w14:paraId="11ADA3B3"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Antonio, S., and John, P., (2017) ‘Social norms don’t always work: an experiment to encourage more efficient fees collection for students.’  </w:t>
      </w:r>
      <w:hyperlink r:id="rId6" w:history="1">
        <w:r w:rsidRPr="00EF4EB0">
          <w:rPr>
            <w:rStyle w:val="Hyperlink"/>
            <w:rFonts w:ascii="Arial" w:hAnsi="Arial" w:cs="Arial"/>
            <w:sz w:val="24"/>
            <w:szCs w:val="24"/>
          </w:rPr>
          <w:t>https://journals.plos.org/plosone/article?id=10.1371/journal.pone.0177354</w:t>
        </w:r>
      </w:hyperlink>
      <w:r w:rsidRPr="00EF4EB0">
        <w:rPr>
          <w:rFonts w:ascii="Arial" w:hAnsi="Arial" w:cs="Arial"/>
          <w:sz w:val="24"/>
          <w:szCs w:val="24"/>
        </w:rPr>
        <w:t xml:space="preserve"> [Accessed: 27</w:t>
      </w:r>
      <w:r w:rsidRPr="00EF4EB0">
        <w:rPr>
          <w:rFonts w:ascii="Arial" w:hAnsi="Arial" w:cs="Arial"/>
          <w:sz w:val="24"/>
          <w:szCs w:val="24"/>
          <w:vertAlign w:val="superscript"/>
        </w:rPr>
        <w:t>th</w:t>
      </w:r>
      <w:r w:rsidRPr="00EF4EB0">
        <w:rPr>
          <w:rFonts w:ascii="Arial" w:hAnsi="Arial" w:cs="Arial"/>
          <w:sz w:val="24"/>
          <w:szCs w:val="24"/>
        </w:rPr>
        <w:t xml:space="preserve"> March 2020]. </w:t>
      </w:r>
    </w:p>
    <w:p w14:paraId="4D6DC1C6"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Blaiklock, K., (2009) </w:t>
      </w:r>
      <w:r w:rsidRPr="00EF4EB0">
        <w:rPr>
          <w:rFonts w:ascii="Arial" w:hAnsi="Arial" w:cs="Arial"/>
          <w:i/>
          <w:iCs/>
          <w:sz w:val="24"/>
          <w:szCs w:val="24"/>
        </w:rPr>
        <w:t>Te Whariki, the New Zealand and early childhood curriculum: is it effective?</w:t>
      </w:r>
      <w:r w:rsidRPr="00EF4EB0">
        <w:rPr>
          <w:rFonts w:ascii="Arial" w:hAnsi="Arial" w:cs="Arial"/>
          <w:sz w:val="24"/>
          <w:szCs w:val="24"/>
        </w:rPr>
        <w:t xml:space="preserve"> International journal of early years education: vol 18. Iss 3. </w:t>
      </w:r>
    </w:p>
    <w:p w14:paraId="06AFA82B"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Bonetti, S., and Brown, K. (2018). ‘Structural Elements of Quality Early Years Provision: A review of the evidence.’ </w:t>
      </w:r>
      <w:hyperlink r:id="rId7" w:history="1">
        <w:r w:rsidRPr="00EF4EB0">
          <w:rPr>
            <w:rStyle w:val="Hyperlink"/>
            <w:rFonts w:ascii="Arial" w:hAnsi="Arial" w:cs="Arial"/>
            <w:sz w:val="24"/>
            <w:szCs w:val="24"/>
          </w:rPr>
          <w:t>file:///C:/Users/sophi/Downloads/Early-years-structural-quality-review_EPI.pdf</w:t>
        </w:r>
      </w:hyperlink>
      <w:r w:rsidRPr="00EF4EB0">
        <w:rPr>
          <w:rFonts w:ascii="Arial" w:hAnsi="Arial" w:cs="Arial"/>
          <w:sz w:val="24"/>
          <w:szCs w:val="24"/>
        </w:rPr>
        <w:t xml:space="preserve"> [Accessed: 21</w:t>
      </w:r>
      <w:r w:rsidRPr="00EF4EB0">
        <w:rPr>
          <w:rFonts w:ascii="Arial" w:hAnsi="Arial" w:cs="Arial"/>
          <w:sz w:val="24"/>
          <w:szCs w:val="24"/>
          <w:vertAlign w:val="superscript"/>
        </w:rPr>
        <w:t>st</w:t>
      </w:r>
      <w:r w:rsidRPr="00EF4EB0">
        <w:rPr>
          <w:rFonts w:ascii="Arial" w:hAnsi="Arial" w:cs="Arial"/>
          <w:sz w:val="24"/>
          <w:szCs w:val="24"/>
        </w:rPr>
        <w:t xml:space="preserve"> March 2020]. </w:t>
      </w:r>
    </w:p>
    <w:p w14:paraId="1BD327EE"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Bruce, T. (2012). </w:t>
      </w:r>
      <w:r w:rsidRPr="00EF4EB0">
        <w:rPr>
          <w:rFonts w:ascii="Arial" w:hAnsi="Arial" w:cs="Arial"/>
          <w:i/>
          <w:iCs/>
          <w:sz w:val="24"/>
          <w:szCs w:val="24"/>
        </w:rPr>
        <w:t>Early childhood practice: Froebel today</w:t>
      </w:r>
      <w:r w:rsidRPr="00EF4EB0">
        <w:rPr>
          <w:rFonts w:ascii="Arial" w:hAnsi="Arial" w:cs="Arial"/>
          <w:sz w:val="24"/>
          <w:szCs w:val="24"/>
        </w:rPr>
        <w:t>. London: Sage.</w:t>
      </w:r>
    </w:p>
    <w:p w14:paraId="0EAF92AE"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Carr, Margaret and May, Helen (1998) </w:t>
      </w:r>
      <w:r w:rsidRPr="00EF4EB0">
        <w:rPr>
          <w:rFonts w:ascii="Arial" w:hAnsi="Arial" w:cs="Arial"/>
          <w:i/>
          <w:iCs/>
          <w:sz w:val="24"/>
          <w:szCs w:val="24"/>
        </w:rPr>
        <w:t xml:space="preserve">An Update of Te </w:t>
      </w:r>
      <w:proofErr w:type="spellStart"/>
      <w:r w:rsidRPr="00EF4EB0">
        <w:rPr>
          <w:rFonts w:ascii="Arial" w:hAnsi="Arial" w:cs="Arial"/>
          <w:i/>
          <w:iCs/>
          <w:sz w:val="24"/>
          <w:szCs w:val="24"/>
        </w:rPr>
        <w:t>Whfiriki</w:t>
      </w:r>
      <w:proofErr w:type="spellEnd"/>
      <w:r w:rsidRPr="00EF4EB0">
        <w:rPr>
          <w:rFonts w:ascii="Arial" w:hAnsi="Arial" w:cs="Arial"/>
          <w:i/>
          <w:iCs/>
          <w:sz w:val="24"/>
          <w:szCs w:val="24"/>
        </w:rPr>
        <w:t xml:space="preserve">. Paper prepared for 8th European Conference on Quality in Early Childhood Research </w:t>
      </w:r>
      <w:r w:rsidRPr="00EF4EB0">
        <w:rPr>
          <w:rFonts w:ascii="Arial" w:hAnsi="Arial" w:cs="Arial"/>
          <w:sz w:val="24"/>
          <w:szCs w:val="24"/>
        </w:rPr>
        <w:t>, Santiago de Compostela, Spain. September 1998</w:t>
      </w:r>
    </w:p>
    <w:p w14:paraId="009AE00D"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Chawla, L., &amp; Cushing, D. F. (2007). </w:t>
      </w:r>
      <w:r w:rsidRPr="00EF4EB0">
        <w:rPr>
          <w:rFonts w:ascii="Arial" w:hAnsi="Arial" w:cs="Arial"/>
          <w:i/>
          <w:iCs/>
          <w:sz w:val="24"/>
          <w:szCs w:val="24"/>
        </w:rPr>
        <w:t>Education for strategic environmental behaviour.</w:t>
      </w:r>
      <w:r w:rsidRPr="00EF4EB0">
        <w:rPr>
          <w:rFonts w:ascii="Arial" w:hAnsi="Arial" w:cs="Arial"/>
          <w:sz w:val="24"/>
          <w:szCs w:val="24"/>
        </w:rPr>
        <w:t xml:space="preserve"> Environmental Education Research, 13(4), 437–452.</w:t>
      </w:r>
    </w:p>
    <w:p w14:paraId="50920719"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Davies, R., and Hamilton, P., (2018). </w:t>
      </w:r>
      <w:r w:rsidRPr="00EF4EB0">
        <w:rPr>
          <w:rFonts w:ascii="Arial" w:hAnsi="Arial" w:cs="Arial"/>
          <w:i/>
          <w:iCs/>
          <w:sz w:val="24"/>
          <w:szCs w:val="24"/>
        </w:rPr>
        <w:t>Assessing learning in the early years’ outdoor classroom: examining challenges in practice</w:t>
      </w:r>
      <w:r w:rsidRPr="00EF4EB0">
        <w:rPr>
          <w:rFonts w:ascii="Arial" w:hAnsi="Arial" w:cs="Arial"/>
          <w:sz w:val="24"/>
          <w:szCs w:val="24"/>
        </w:rPr>
        <w:t xml:space="preserve">. 3-13, 46:1, 117-129. </w:t>
      </w:r>
    </w:p>
    <w:p w14:paraId="0D2722A7"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lastRenderedPageBreak/>
        <w:t xml:space="preserve">Dolan, A., M., (2015). </w:t>
      </w:r>
      <w:r w:rsidRPr="00EF4EB0">
        <w:rPr>
          <w:rFonts w:ascii="Arial" w:hAnsi="Arial" w:cs="Arial"/>
          <w:i/>
          <w:iCs/>
          <w:sz w:val="24"/>
          <w:szCs w:val="24"/>
        </w:rPr>
        <w:t xml:space="preserve">Place-based curriculum </w:t>
      </w:r>
      <w:proofErr w:type="gramStart"/>
      <w:r w:rsidRPr="00EF4EB0">
        <w:rPr>
          <w:rFonts w:ascii="Arial" w:hAnsi="Arial" w:cs="Arial"/>
          <w:i/>
          <w:iCs/>
          <w:sz w:val="24"/>
          <w:szCs w:val="24"/>
        </w:rPr>
        <w:t>making:</w:t>
      </w:r>
      <w:proofErr w:type="gramEnd"/>
      <w:r w:rsidRPr="00EF4EB0">
        <w:rPr>
          <w:rFonts w:ascii="Arial" w:hAnsi="Arial" w:cs="Arial"/>
          <w:i/>
          <w:iCs/>
          <w:sz w:val="24"/>
          <w:szCs w:val="24"/>
        </w:rPr>
        <w:t xml:space="preserve"> devising a synthesis between primary geography and outdoor learning.</w:t>
      </w:r>
      <w:r w:rsidRPr="00EF4EB0">
        <w:rPr>
          <w:rFonts w:ascii="Arial" w:hAnsi="Arial" w:cs="Arial"/>
          <w:sz w:val="24"/>
          <w:szCs w:val="24"/>
        </w:rPr>
        <w:t xml:space="preserve"> Journal of Adventure Education and Outdoor Learning, 16:1, 49-62, </w:t>
      </w:r>
    </w:p>
    <w:p w14:paraId="31691412"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Donaldson, G. (2015). </w:t>
      </w:r>
      <w:r w:rsidRPr="00EF4EB0">
        <w:rPr>
          <w:rFonts w:ascii="Arial" w:hAnsi="Arial" w:cs="Arial"/>
          <w:i/>
          <w:iCs/>
          <w:sz w:val="24"/>
          <w:szCs w:val="24"/>
        </w:rPr>
        <w:t>Successful Futures: Independent Review of Curriculum and Assessment Arrangements in Wales.</w:t>
      </w:r>
      <w:r w:rsidRPr="00EF4EB0">
        <w:rPr>
          <w:rFonts w:ascii="Arial" w:hAnsi="Arial" w:cs="Arial"/>
          <w:sz w:val="24"/>
          <w:szCs w:val="24"/>
        </w:rPr>
        <w:t xml:space="preserve"> Cardiff: Welsh Government.</w:t>
      </w:r>
    </w:p>
    <w:p w14:paraId="2733C13F"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Dowdell, K., </w:t>
      </w:r>
      <w:proofErr w:type="spellStart"/>
      <w:r w:rsidRPr="00EF4EB0">
        <w:rPr>
          <w:rFonts w:ascii="Arial" w:hAnsi="Arial" w:cs="Arial"/>
          <w:sz w:val="24"/>
          <w:szCs w:val="24"/>
        </w:rPr>
        <w:t>Gray</w:t>
      </w:r>
      <w:proofErr w:type="spellEnd"/>
      <w:r w:rsidRPr="00EF4EB0">
        <w:rPr>
          <w:rFonts w:ascii="Arial" w:hAnsi="Arial" w:cs="Arial"/>
          <w:sz w:val="24"/>
          <w:szCs w:val="24"/>
        </w:rPr>
        <w:t xml:space="preserve">, T., &amp; Malone, K. (2011). </w:t>
      </w:r>
      <w:r w:rsidRPr="00EF4EB0">
        <w:rPr>
          <w:rFonts w:ascii="Arial" w:hAnsi="Arial" w:cs="Arial"/>
          <w:i/>
          <w:iCs/>
          <w:sz w:val="24"/>
          <w:szCs w:val="24"/>
        </w:rPr>
        <w:t xml:space="preserve">Nature and its influence on children’s outdoor play. </w:t>
      </w:r>
      <w:r w:rsidRPr="00EF4EB0">
        <w:rPr>
          <w:rFonts w:ascii="Arial" w:hAnsi="Arial" w:cs="Arial"/>
          <w:sz w:val="24"/>
          <w:szCs w:val="24"/>
        </w:rPr>
        <w:t xml:space="preserve">Australian Journal of Outdoor Education, 15(2), 24–35. </w:t>
      </w:r>
    </w:p>
    <w:p w14:paraId="0789450A"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Dubiel (2010). Papatheodorou, T., and Moyles, J. (2012) </w:t>
      </w:r>
      <w:r w:rsidRPr="00EF4EB0">
        <w:rPr>
          <w:rFonts w:ascii="Arial" w:hAnsi="Arial" w:cs="Arial"/>
          <w:i/>
          <w:iCs/>
          <w:sz w:val="24"/>
          <w:szCs w:val="24"/>
        </w:rPr>
        <w:t>Cross-Cultural Perspectives on Early Childhood</w:t>
      </w:r>
      <w:r w:rsidRPr="00EF4EB0">
        <w:rPr>
          <w:rFonts w:ascii="Arial" w:hAnsi="Arial" w:cs="Arial"/>
          <w:sz w:val="24"/>
          <w:szCs w:val="24"/>
        </w:rPr>
        <w:t xml:space="preserve">. Sage: London. </w:t>
      </w:r>
    </w:p>
    <w:p w14:paraId="382A381F"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Eloquin, X., and Hutchinson T.. (2011). “SEALs in the Woods.” </w:t>
      </w:r>
      <w:r w:rsidRPr="00EF4EB0">
        <w:rPr>
          <w:rFonts w:ascii="Arial" w:hAnsi="Arial" w:cs="Arial"/>
          <w:i/>
          <w:iCs/>
          <w:sz w:val="24"/>
          <w:szCs w:val="24"/>
        </w:rPr>
        <w:t>In Forest School for All</w:t>
      </w:r>
      <w:r w:rsidRPr="00EF4EB0">
        <w:rPr>
          <w:rFonts w:ascii="Arial" w:hAnsi="Arial" w:cs="Arial"/>
          <w:sz w:val="24"/>
          <w:szCs w:val="24"/>
        </w:rPr>
        <w:t>, edited by S. Knight, 137–152. London: Sage Publications.</w:t>
      </w:r>
    </w:p>
    <w:p w14:paraId="46B7CC89"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Fleer, M. (2003) Early Childhood Education as an evolving ‘community of practice’ or as lived ‘social reproduction’: </w:t>
      </w:r>
      <w:r w:rsidRPr="00EF4EB0">
        <w:rPr>
          <w:rFonts w:ascii="Arial" w:hAnsi="Arial" w:cs="Arial"/>
          <w:i/>
          <w:iCs/>
          <w:sz w:val="24"/>
          <w:szCs w:val="24"/>
        </w:rPr>
        <w:t xml:space="preserve">researching the ‘taken-for-granted’. Contemporary Issues in Early Childhood </w:t>
      </w:r>
      <w:r w:rsidRPr="00EF4EB0">
        <w:rPr>
          <w:rFonts w:ascii="Arial" w:hAnsi="Arial" w:cs="Arial"/>
          <w:sz w:val="24"/>
          <w:szCs w:val="24"/>
        </w:rPr>
        <w:t>4 (1) 64-79.</w:t>
      </w:r>
    </w:p>
    <w:p w14:paraId="142E845B"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Freeburg. and Workman. (2009) Papatheodorou, T., and Moyles, J. (2012) </w:t>
      </w:r>
      <w:r w:rsidRPr="00EF4EB0">
        <w:rPr>
          <w:rFonts w:ascii="Arial" w:hAnsi="Arial" w:cs="Arial"/>
          <w:i/>
          <w:iCs/>
          <w:sz w:val="24"/>
          <w:szCs w:val="24"/>
        </w:rPr>
        <w:t>Cross-Cultural Perspectives on Early Childhood</w:t>
      </w:r>
      <w:r w:rsidRPr="00EF4EB0">
        <w:rPr>
          <w:rFonts w:ascii="Arial" w:hAnsi="Arial" w:cs="Arial"/>
          <w:sz w:val="24"/>
          <w:szCs w:val="24"/>
        </w:rPr>
        <w:t xml:space="preserve">. Sage: London. </w:t>
      </w:r>
    </w:p>
    <w:p w14:paraId="57984FB4"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Gasser, L., Grutter, J., Torchetti, L., and Buholzer, A., (2016). </w:t>
      </w:r>
      <w:r w:rsidRPr="00EF4EB0">
        <w:rPr>
          <w:rFonts w:ascii="Arial" w:hAnsi="Arial" w:cs="Arial"/>
          <w:i/>
          <w:iCs/>
          <w:sz w:val="24"/>
          <w:szCs w:val="24"/>
        </w:rPr>
        <w:t>Competitive Classroom norms and exclusion of children with academic and behaviour difficulties.</w:t>
      </w:r>
      <w:r w:rsidRPr="00EF4EB0">
        <w:rPr>
          <w:rFonts w:ascii="Arial" w:hAnsi="Arial" w:cs="Arial"/>
          <w:sz w:val="24"/>
          <w:szCs w:val="24"/>
        </w:rPr>
        <w:t xml:space="preserve"> Journal of applies developmental psychology. Vol 24, p, 1-11. </w:t>
      </w:r>
    </w:p>
    <w:p w14:paraId="09369286"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Gill, T. (2007). </w:t>
      </w:r>
      <w:r w:rsidRPr="00EF4EB0">
        <w:rPr>
          <w:rFonts w:ascii="Arial" w:hAnsi="Arial" w:cs="Arial"/>
          <w:i/>
          <w:iCs/>
          <w:sz w:val="24"/>
          <w:szCs w:val="24"/>
        </w:rPr>
        <w:t>No fear: Growing up in a risk averse society.</w:t>
      </w:r>
      <w:r w:rsidRPr="00EF4EB0">
        <w:rPr>
          <w:rFonts w:ascii="Arial" w:hAnsi="Arial" w:cs="Arial"/>
          <w:sz w:val="24"/>
          <w:szCs w:val="24"/>
        </w:rPr>
        <w:t xml:space="preserve"> London: Calouste Gulbenkian Foundation.</w:t>
      </w:r>
    </w:p>
    <w:p w14:paraId="0D9FC1E6"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Gill, T. (2011). </w:t>
      </w:r>
      <w:r w:rsidRPr="00EF4EB0">
        <w:rPr>
          <w:rFonts w:ascii="Arial" w:hAnsi="Arial" w:cs="Arial"/>
          <w:i/>
          <w:iCs/>
          <w:sz w:val="24"/>
          <w:szCs w:val="24"/>
        </w:rPr>
        <w:t>Children and nature: A quasi systematic review of the empirical evidence. A report to the Sustainable Development Commission.</w:t>
      </w:r>
      <w:r w:rsidRPr="00EF4EB0">
        <w:rPr>
          <w:rFonts w:ascii="Arial" w:hAnsi="Arial" w:cs="Arial"/>
          <w:sz w:val="24"/>
          <w:szCs w:val="24"/>
        </w:rPr>
        <w:t xml:space="preserve"> Greater London Authority, London </w:t>
      </w:r>
    </w:p>
    <w:p w14:paraId="44DE5644" w14:textId="77777777" w:rsidR="005E2380" w:rsidRPr="00EF4EB0" w:rsidRDefault="005E2380" w:rsidP="00A37756">
      <w:pPr>
        <w:spacing w:line="360" w:lineRule="auto"/>
        <w:ind w:left="360"/>
        <w:jc w:val="both"/>
        <w:rPr>
          <w:rFonts w:ascii="Arial" w:hAnsi="Arial" w:cs="Arial"/>
          <w:sz w:val="24"/>
          <w:szCs w:val="24"/>
        </w:rPr>
      </w:pPr>
      <w:proofErr w:type="spellStart"/>
      <w:r w:rsidRPr="00EF4EB0">
        <w:rPr>
          <w:rFonts w:ascii="Arial" w:hAnsi="Arial" w:cs="Arial"/>
          <w:sz w:val="24"/>
          <w:szCs w:val="24"/>
        </w:rPr>
        <w:t>Grieshaber</w:t>
      </w:r>
      <w:proofErr w:type="spellEnd"/>
      <w:r w:rsidRPr="00EF4EB0">
        <w:rPr>
          <w:rFonts w:ascii="Arial" w:hAnsi="Arial" w:cs="Arial"/>
          <w:sz w:val="24"/>
          <w:szCs w:val="24"/>
        </w:rPr>
        <w:t xml:space="preserve">, S. (2008). Equity issues in research design. In G. Mac Naughton, S. Rocco and I. Siraj-Blatchford (Eds.), </w:t>
      </w:r>
      <w:r w:rsidRPr="00EF4EB0">
        <w:rPr>
          <w:rFonts w:ascii="Arial" w:hAnsi="Arial" w:cs="Arial"/>
          <w:i/>
          <w:iCs/>
          <w:sz w:val="24"/>
          <w:szCs w:val="24"/>
        </w:rPr>
        <w:t>Doing early childhood research: International perspectives on theory and practice</w:t>
      </w:r>
      <w:r w:rsidRPr="00EF4EB0">
        <w:rPr>
          <w:rFonts w:ascii="Arial" w:hAnsi="Arial" w:cs="Arial"/>
          <w:sz w:val="24"/>
          <w:szCs w:val="24"/>
        </w:rPr>
        <w:t>. Maidenhead: OUP.</w:t>
      </w:r>
    </w:p>
    <w:p w14:paraId="20A05402"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lastRenderedPageBreak/>
        <w:t xml:space="preserve">Guan, Q., &amp; Meng, W. (2007). </w:t>
      </w:r>
      <w:r w:rsidRPr="00EF4EB0">
        <w:rPr>
          <w:rFonts w:ascii="Arial" w:hAnsi="Arial" w:cs="Arial"/>
          <w:i/>
          <w:iCs/>
          <w:sz w:val="24"/>
          <w:szCs w:val="24"/>
        </w:rPr>
        <w:t>China's New National Curriculum Reform: Innovation, challenges and strategies. Frontiers of Education in China</w:t>
      </w:r>
      <w:r w:rsidRPr="00EF4EB0">
        <w:rPr>
          <w:rFonts w:ascii="Arial" w:hAnsi="Arial" w:cs="Arial"/>
          <w:sz w:val="24"/>
          <w:szCs w:val="24"/>
        </w:rPr>
        <w:t>, 2(4), 579-604.</w:t>
      </w:r>
    </w:p>
    <w:p w14:paraId="41C39A62"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Gurholt, K. P. (2014). </w:t>
      </w:r>
      <w:r w:rsidRPr="00EF4EB0">
        <w:rPr>
          <w:rFonts w:ascii="Arial" w:hAnsi="Arial" w:cs="Arial"/>
          <w:i/>
          <w:iCs/>
          <w:sz w:val="24"/>
          <w:szCs w:val="24"/>
        </w:rPr>
        <w:t xml:space="preserve">Joy of nature, </w:t>
      </w:r>
      <w:proofErr w:type="spellStart"/>
      <w:r w:rsidRPr="00EF4EB0">
        <w:rPr>
          <w:rFonts w:ascii="Arial" w:hAnsi="Arial" w:cs="Arial"/>
          <w:i/>
          <w:iCs/>
          <w:sz w:val="24"/>
          <w:szCs w:val="24"/>
        </w:rPr>
        <w:t>friluftsliv</w:t>
      </w:r>
      <w:proofErr w:type="spellEnd"/>
      <w:r w:rsidRPr="00EF4EB0">
        <w:rPr>
          <w:rFonts w:ascii="Arial" w:hAnsi="Arial" w:cs="Arial"/>
          <w:i/>
          <w:iCs/>
          <w:sz w:val="24"/>
          <w:szCs w:val="24"/>
        </w:rPr>
        <w:t xml:space="preserve"> education and self: Combining narrative and cultural–ecological approaches to environmental sustainability,</w:t>
      </w:r>
      <w:r w:rsidRPr="00EF4EB0">
        <w:rPr>
          <w:rFonts w:ascii="Arial" w:hAnsi="Arial" w:cs="Arial"/>
          <w:sz w:val="24"/>
          <w:szCs w:val="24"/>
        </w:rPr>
        <w:t xml:space="preserve"> Journal of Adventure Education and Outdoor Learning. 14(3), 233–246. </w:t>
      </w:r>
    </w:p>
    <w:p w14:paraId="08066A49"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Harris, F., (2017). </w:t>
      </w:r>
      <w:r w:rsidRPr="00EF4EB0">
        <w:rPr>
          <w:rFonts w:ascii="Arial" w:hAnsi="Arial" w:cs="Arial"/>
          <w:i/>
          <w:iCs/>
          <w:sz w:val="24"/>
          <w:szCs w:val="24"/>
        </w:rPr>
        <w:t>Outdoor Learning Spaces: The Case of Forest School.</w:t>
      </w:r>
      <w:r w:rsidRPr="00EF4EB0">
        <w:rPr>
          <w:rFonts w:ascii="Arial" w:hAnsi="Arial" w:cs="Arial"/>
          <w:sz w:val="24"/>
          <w:szCs w:val="24"/>
        </w:rPr>
        <w:t xml:space="preserve"> Hertfordshire: Wiley Area. </w:t>
      </w:r>
    </w:p>
    <w:p w14:paraId="79282D56"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Hill, A., (2013). ‘The Place of Experience and The Experience of Place’. Vol., 29., Iss 1., pp. 18-32. </w:t>
      </w:r>
    </w:p>
    <w:p w14:paraId="15602CA3"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Hill, M.F., Smith, L.F., Cowie, B., Gilmore, A. &amp; Gunn, A. 2013. </w:t>
      </w:r>
      <w:r w:rsidRPr="00EF4EB0">
        <w:rPr>
          <w:rFonts w:ascii="Arial" w:hAnsi="Arial" w:cs="Arial"/>
          <w:i/>
          <w:iCs/>
          <w:sz w:val="24"/>
          <w:szCs w:val="24"/>
        </w:rPr>
        <w:t>Preparing initial teacher and early childhood teacher education students to use assessment. </w:t>
      </w:r>
      <w:r w:rsidRPr="00EF4EB0">
        <w:rPr>
          <w:rFonts w:ascii="Arial" w:hAnsi="Arial" w:cs="Arial"/>
          <w:sz w:val="24"/>
          <w:szCs w:val="24"/>
        </w:rPr>
        <w:t xml:space="preserve">Final summary report. Wellington, NZ: Teaching and Learning Research Initiative.  </w:t>
      </w:r>
    </w:p>
    <w:p w14:paraId="259D2E60"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Holmes (2008). Papatheodorou, T., and Moyles, J. (2012) </w:t>
      </w:r>
      <w:r w:rsidRPr="00EF4EB0">
        <w:rPr>
          <w:rFonts w:ascii="Arial" w:hAnsi="Arial" w:cs="Arial"/>
          <w:i/>
          <w:iCs/>
          <w:sz w:val="24"/>
          <w:szCs w:val="24"/>
        </w:rPr>
        <w:t>Cross-Cultural Perspectives on Early Childhood</w:t>
      </w:r>
      <w:r w:rsidRPr="00EF4EB0">
        <w:rPr>
          <w:rFonts w:ascii="Arial" w:hAnsi="Arial" w:cs="Arial"/>
          <w:sz w:val="24"/>
          <w:szCs w:val="24"/>
        </w:rPr>
        <w:t xml:space="preserve">. Sage: London. </w:t>
      </w:r>
    </w:p>
    <w:p w14:paraId="1A08E574"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Hord, S., and Huling-Austin, L., (1986). ‘Effective Curriculum Implementation: Some Promising New Insights’. </w:t>
      </w:r>
      <w:hyperlink r:id="rId8" w:history="1">
        <w:r w:rsidRPr="00EF4EB0">
          <w:rPr>
            <w:rStyle w:val="Hyperlink"/>
            <w:rFonts w:ascii="Arial" w:hAnsi="Arial" w:cs="Arial"/>
            <w:sz w:val="24"/>
            <w:szCs w:val="24"/>
          </w:rPr>
          <w:t>https://www.journals.uchicago.edu/doi/citedby/10.1086/461482</w:t>
        </w:r>
      </w:hyperlink>
      <w:r w:rsidRPr="00EF4EB0">
        <w:rPr>
          <w:rFonts w:ascii="Arial" w:hAnsi="Arial" w:cs="Arial"/>
          <w:sz w:val="24"/>
          <w:szCs w:val="24"/>
        </w:rPr>
        <w:t xml:space="preserve"> [Accessed: 23</w:t>
      </w:r>
      <w:r w:rsidRPr="00EF4EB0">
        <w:rPr>
          <w:rFonts w:ascii="Arial" w:hAnsi="Arial" w:cs="Arial"/>
          <w:sz w:val="24"/>
          <w:szCs w:val="24"/>
          <w:vertAlign w:val="superscript"/>
        </w:rPr>
        <w:t>rd</w:t>
      </w:r>
      <w:r w:rsidRPr="00EF4EB0">
        <w:rPr>
          <w:rFonts w:ascii="Arial" w:hAnsi="Arial" w:cs="Arial"/>
          <w:sz w:val="24"/>
          <w:szCs w:val="24"/>
        </w:rPr>
        <w:t xml:space="preserve"> March 2020].</w:t>
      </w:r>
    </w:p>
    <w:p w14:paraId="62575F0B"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Kanjee, A. 2009. Enhancing teacher assessment practices in South African schools: Evaluation of the assessment resource banks. </w:t>
      </w:r>
      <w:r w:rsidRPr="00EF4EB0">
        <w:rPr>
          <w:rFonts w:ascii="Arial" w:hAnsi="Arial" w:cs="Arial"/>
          <w:i/>
          <w:iCs/>
          <w:sz w:val="24"/>
          <w:szCs w:val="24"/>
        </w:rPr>
        <w:t>Education and Change, </w:t>
      </w:r>
      <w:r w:rsidRPr="00EF4EB0">
        <w:rPr>
          <w:rFonts w:ascii="Arial" w:hAnsi="Arial" w:cs="Arial"/>
          <w:sz w:val="24"/>
          <w:szCs w:val="24"/>
        </w:rPr>
        <w:t>13(1):67-83. </w:t>
      </w:r>
    </w:p>
    <w:p w14:paraId="4CE602E9"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Kanjee, A., and Mthembu, J. (2015). </w:t>
      </w:r>
      <w:r w:rsidRPr="00EF4EB0">
        <w:rPr>
          <w:rFonts w:ascii="Arial" w:hAnsi="Arial" w:cs="Arial"/>
          <w:i/>
          <w:iCs/>
          <w:sz w:val="24"/>
          <w:szCs w:val="24"/>
        </w:rPr>
        <w:t>Assessment literacy of foundation phase teachers: an exploratory study.</w:t>
      </w:r>
      <w:r w:rsidRPr="00EF4EB0">
        <w:rPr>
          <w:rFonts w:ascii="Arial" w:hAnsi="Arial" w:cs="Arial"/>
          <w:sz w:val="24"/>
          <w:szCs w:val="24"/>
        </w:rPr>
        <w:t xml:space="preserve"> Tshwane University of Technology: African Journal. Vol 5. </w:t>
      </w:r>
    </w:p>
    <w:p w14:paraId="2F0A7D49"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Kelly, P. 2013. “</w:t>
      </w:r>
      <w:r w:rsidRPr="00EF4EB0">
        <w:rPr>
          <w:rFonts w:ascii="Arial" w:hAnsi="Arial" w:cs="Arial"/>
          <w:i/>
          <w:iCs/>
          <w:sz w:val="24"/>
          <w:szCs w:val="24"/>
        </w:rPr>
        <w:t xml:space="preserve">Comparative Pedagogy: Making Sense of Cultural Complexity.” Research in Comparative and International Education </w:t>
      </w:r>
      <w:r w:rsidRPr="00EF4EB0">
        <w:rPr>
          <w:rFonts w:ascii="Arial" w:hAnsi="Arial" w:cs="Arial"/>
          <w:sz w:val="24"/>
          <w:szCs w:val="24"/>
        </w:rPr>
        <w:t>8 (4): 415–427.</w:t>
      </w:r>
    </w:p>
    <w:p w14:paraId="40752ECA"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Knight, S. (2009). </w:t>
      </w:r>
      <w:r w:rsidRPr="00EF4EB0">
        <w:rPr>
          <w:rFonts w:ascii="Arial" w:hAnsi="Arial" w:cs="Arial"/>
          <w:i/>
          <w:iCs/>
          <w:sz w:val="24"/>
          <w:szCs w:val="24"/>
        </w:rPr>
        <w:t xml:space="preserve">Forest Schools and Outdoor Learning in the Early Years. </w:t>
      </w:r>
      <w:r w:rsidRPr="00EF4EB0">
        <w:rPr>
          <w:rFonts w:ascii="Arial" w:hAnsi="Arial" w:cs="Arial"/>
          <w:sz w:val="24"/>
          <w:szCs w:val="24"/>
        </w:rPr>
        <w:t xml:space="preserve">London: Sage Publications. </w:t>
      </w:r>
    </w:p>
    <w:p w14:paraId="6A90C9FB"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lastRenderedPageBreak/>
        <w:t xml:space="preserve">Knight, S. (2011). </w:t>
      </w:r>
      <w:r w:rsidRPr="00EF4EB0">
        <w:rPr>
          <w:rFonts w:ascii="Arial" w:hAnsi="Arial" w:cs="Arial"/>
          <w:i/>
          <w:iCs/>
          <w:sz w:val="24"/>
          <w:szCs w:val="24"/>
        </w:rPr>
        <w:t>Risk and Adventure in Early Years Outdoor Play: Learning from Forest Schools.</w:t>
      </w:r>
      <w:r w:rsidRPr="00EF4EB0">
        <w:rPr>
          <w:rFonts w:ascii="Arial" w:hAnsi="Arial" w:cs="Arial"/>
          <w:sz w:val="24"/>
          <w:szCs w:val="24"/>
        </w:rPr>
        <w:t xml:space="preserve"> London: Sage Publications. Learning and Teaching Scotland. 2010. Curriculum for Excellence Through Outdoor Learning. Glasgow: Learning and Teaching Scotland.</w:t>
      </w:r>
    </w:p>
    <w:p w14:paraId="4FA190C7" w14:textId="77777777" w:rsidR="005E2380" w:rsidRPr="00EF4EB0" w:rsidRDefault="005E2380" w:rsidP="00A37756">
      <w:pPr>
        <w:spacing w:line="360" w:lineRule="auto"/>
        <w:ind w:left="360"/>
        <w:jc w:val="both"/>
        <w:rPr>
          <w:rFonts w:ascii="Arial" w:hAnsi="Arial" w:cs="Arial"/>
          <w:sz w:val="24"/>
          <w:szCs w:val="24"/>
        </w:rPr>
      </w:pPr>
      <w:proofErr w:type="spellStart"/>
      <w:r w:rsidRPr="00EF4EB0">
        <w:rPr>
          <w:rFonts w:ascii="Arial" w:hAnsi="Arial" w:cs="Arial"/>
          <w:sz w:val="24"/>
          <w:szCs w:val="24"/>
        </w:rPr>
        <w:t>Kotter,J</w:t>
      </w:r>
      <w:proofErr w:type="spellEnd"/>
      <w:r w:rsidRPr="00EF4EB0">
        <w:rPr>
          <w:rFonts w:ascii="Arial" w:hAnsi="Arial" w:cs="Arial"/>
          <w:sz w:val="24"/>
          <w:szCs w:val="24"/>
        </w:rPr>
        <w:t xml:space="preserve">, P.  and Schlesinger, L, A,. (1979). ‘Overcoming Resistance to Change’. </w:t>
      </w:r>
      <w:hyperlink r:id="rId9" w:history="1">
        <w:r w:rsidRPr="00EF4EB0">
          <w:rPr>
            <w:rStyle w:val="Hyperlink"/>
            <w:rFonts w:ascii="Arial" w:hAnsi="Arial" w:cs="Arial"/>
            <w:sz w:val="24"/>
            <w:szCs w:val="24"/>
          </w:rPr>
          <w:t>https://www.tutor2u.net/business/reference/change-management-how-to-overcome-resistance-to-change</w:t>
        </w:r>
      </w:hyperlink>
      <w:r w:rsidRPr="00EF4EB0">
        <w:rPr>
          <w:rFonts w:ascii="Arial" w:hAnsi="Arial" w:cs="Arial"/>
          <w:sz w:val="24"/>
          <w:szCs w:val="24"/>
        </w:rPr>
        <w:t xml:space="preserve"> [Accessed: 23rd March 2020].</w:t>
      </w:r>
    </w:p>
    <w:p w14:paraId="043C0008"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Louv, R. (2010). </w:t>
      </w:r>
      <w:r w:rsidRPr="00EF4EB0">
        <w:rPr>
          <w:rFonts w:ascii="Arial" w:hAnsi="Arial" w:cs="Arial"/>
          <w:i/>
          <w:iCs/>
          <w:sz w:val="24"/>
          <w:szCs w:val="24"/>
        </w:rPr>
        <w:t xml:space="preserve">Last child in the woods: Saving our children from nature-deficit disorder. </w:t>
      </w:r>
      <w:r w:rsidRPr="00EF4EB0">
        <w:rPr>
          <w:rFonts w:ascii="Arial" w:hAnsi="Arial" w:cs="Arial"/>
          <w:sz w:val="24"/>
          <w:szCs w:val="24"/>
        </w:rPr>
        <w:t xml:space="preserve">London: Atlantic Books. </w:t>
      </w:r>
    </w:p>
    <w:p w14:paraId="0CD9EF4D"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Luff (2012). Papatheodorou, T., and Moyles, J. (2012) </w:t>
      </w:r>
      <w:r w:rsidRPr="00EF4EB0">
        <w:rPr>
          <w:rFonts w:ascii="Arial" w:hAnsi="Arial" w:cs="Arial"/>
          <w:i/>
          <w:iCs/>
          <w:sz w:val="24"/>
          <w:szCs w:val="24"/>
        </w:rPr>
        <w:t>Cross-Cultural Perspectives on Early Childhood</w:t>
      </w:r>
      <w:r w:rsidRPr="00EF4EB0">
        <w:rPr>
          <w:rFonts w:ascii="Arial" w:hAnsi="Arial" w:cs="Arial"/>
          <w:sz w:val="24"/>
          <w:szCs w:val="24"/>
        </w:rPr>
        <w:t xml:space="preserve">. Sage: London. </w:t>
      </w:r>
    </w:p>
    <w:p w14:paraId="1FBE1FE3" w14:textId="77777777" w:rsidR="005E2380" w:rsidRPr="00EF4EB0" w:rsidRDefault="005E2380" w:rsidP="00A37756">
      <w:pPr>
        <w:spacing w:line="360" w:lineRule="auto"/>
        <w:ind w:left="360"/>
        <w:jc w:val="both"/>
        <w:rPr>
          <w:rFonts w:ascii="Arial" w:hAnsi="Arial" w:cs="Arial"/>
          <w:sz w:val="24"/>
          <w:szCs w:val="24"/>
        </w:rPr>
      </w:pPr>
      <w:proofErr w:type="spellStart"/>
      <w:r w:rsidRPr="00EF4EB0">
        <w:rPr>
          <w:rFonts w:ascii="Arial" w:hAnsi="Arial" w:cs="Arial"/>
          <w:sz w:val="24"/>
          <w:szCs w:val="24"/>
        </w:rPr>
        <w:t>MacNaughton</w:t>
      </w:r>
      <w:proofErr w:type="spellEnd"/>
      <w:r w:rsidRPr="00EF4EB0">
        <w:rPr>
          <w:rFonts w:ascii="Arial" w:hAnsi="Arial" w:cs="Arial"/>
          <w:sz w:val="24"/>
          <w:szCs w:val="24"/>
        </w:rPr>
        <w:t xml:space="preserve">, G. (2005) </w:t>
      </w:r>
      <w:r w:rsidRPr="00EF4EB0">
        <w:rPr>
          <w:rFonts w:ascii="Arial" w:hAnsi="Arial" w:cs="Arial"/>
          <w:i/>
          <w:iCs/>
          <w:sz w:val="24"/>
          <w:szCs w:val="24"/>
        </w:rPr>
        <w:t>Doing Foucault in Early Childhood Studies: applying poststructuralist ideas</w:t>
      </w:r>
      <w:r w:rsidRPr="00EF4EB0">
        <w:rPr>
          <w:rFonts w:ascii="Arial" w:hAnsi="Arial" w:cs="Arial"/>
          <w:sz w:val="24"/>
          <w:szCs w:val="24"/>
        </w:rPr>
        <w:t>. London: Routledge.</w:t>
      </w:r>
    </w:p>
    <w:p w14:paraId="5BDA02CF"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Maynard (2012) Papatheodorou, T., and Moyles, J. (2012) </w:t>
      </w:r>
      <w:r w:rsidRPr="00EF4EB0">
        <w:rPr>
          <w:rFonts w:ascii="Arial" w:hAnsi="Arial" w:cs="Arial"/>
          <w:i/>
          <w:iCs/>
          <w:sz w:val="24"/>
          <w:szCs w:val="24"/>
        </w:rPr>
        <w:t>Cross-Cultural Perspectives on Early Childhood</w:t>
      </w:r>
      <w:r w:rsidRPr="00EF4EB0">
        <w:rPr>
          <w:rFonts w:ascii="Arial" w:hAnsi="Arial" w:cs="Arial"/>
          <w:sz w:val="24"/>
          <w:szCs w:val="24"/>
        </w:rPr>
        <w:t xml:space="preserve">. Sage: London. </w:t>
      </w:r>
    </w:p>
    <w:p w14:paraId="55AA93A4"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Maynard, T., Taylor, C., Waldron, S., Rhys, M., Smith, R., Power, S. and Clement, J. (2013). </w:t>
      </w:r>
      <w:r w:rsidRPr="00EF4EB0">
        <w:rPr>
          <w:rFonts w:ascii="Arial" w:hAnsi="Arial" w:cs="Arial"/>
          <w:i/>
          <w:iCs/>
          <w:sz w:val="24"/>
          <w:szCs w:val="24"/>
        </w:rPr>
        <w:t>Evaluating the Foundation Phase: Policy Logic Model and Programme Theory, Social Research</w:t>
      </w:r>
      <w:r w:rsidRPr="00EF4EB0">
        <w:rPr>
          <w:rFonts w:ascii="Arial" w:hAnsi="Arial" w:cs="Arial"/>
          <w:sz w:val="24"/>
          <w:szCs w:val="24"/>
        </w:rPr>
        <w:t xml:space="preserve"> No. 37/2012. Cardiff: Welsh Government.</w:t>
      </w:r>
    </w:p>
    <w:p w14:paraId="0BEEEF9F"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McMillan, J.H. 2011. </w:t>
      </w:r>
      <w:r w:rsidRPr="00EF4EB0">
        <w:rPr>
          <w:rFonts w:ascii="Arial" w:hAnsi="Arial" w:cs="Arial"/>
          <w:i/>
          <w:iCs/>
          <w:sz w:val="24"/>
          <w:szCs w:val="24"/>
        </w:rPr>
        <w:t>Classroom Assessment. Principles and Practices for Effective Instruction. </w:t>
      </w:r>
      <w:r w:rsidRPr="00EF4EB0">
        <w:rPr>
          <w:rFonts w:ascii="Arial" w:hAnsi="Arial" w:cs="Arial"/>
          <w:sz w:val="24"/>
          <w:szCs w:val="24"/>
        </w:rPr>
        <w:t xml:space="preserve">Boston: </w:t>
      </w:r>
      <w:proofErr w:type="spellStart"/>
      <w:r w:rsidRPr="00EF4EB0">
        <w:rPr>
          <w:rFonts w:ascii="Arial" w:hAnsi="Arial" w:cs="Arial"/>
          <w:sz w:val="24"/>
          <w:szCs w:val="24"/>
        </w:rPr>
        <w:t>Allyn</w:t>
      </w:r>
      <w:proofErr w:type="spellEnd"/>
      <w:r w:rsidRPr="00EF4EB0">
        <w:rPr>
          <w:rFonts w:ascii="Arial" w:hAnsi="Arial" w:cs="Arial"/>
          <w:sz w:val="24"/>
          <w:szCs w:val="24"/>
        </w:rPr>
        <w:t xml:space="preserve"> &amp; Bacon.   </w:t>
      </w:r>
    </w:p>
    <w:p w14:paraId="686B4F98"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Moss, S. 2012. </w:t>
      </w:r>
      <w:r w:rsidRPr="00EF4EB0">
        <w:rPr>
          <w:rFonts w:ascii="Arial" w:hAnsi="Arial" w:cs="Arial"/>
          <w:i/>
          <w:iCs/>
          <w:sz w:val="24"/>
          <w:szCs w:val="24"/>
        </w:rPr>
        <w:t>Natural Childhood.</w:t>
      </w:r>
      <w:r w:rsidRPr="00EF4EB0">
        <w:rPr>
          <w:rFonts w:ascii="Arial" w:hAnsi="Arial" w:cs="Arial"/>
          <w:sz w:val="24"/>
          <w:szCs w:val="24"/>
        </w:rPr>
        <w:t xml:space="preserve"> Swindon :The National Trust. http://www.nationaltrust.org.uk/ document-1355766991839/. [Accessed: 30</w:t>
      </w:r>
      <w:r w:rsidRPr="00EF4EB0">
        <w:rPr>
          <w:rFonts w:ascii="Arial" w:hAnsi="Arial" w:cs="Arial"/>
          <w:sz w:val="24"/>
          <w:szCs w:val="24"/>
          <w:vertAlign w:val="superscript"/>
        </w:rPr>
        <w:t>th</w:t>
      </w:r>
      <w:r w:rsidRPr="00EF4EB0">
        <w:rPr>
          <w:rFonts w:ascii="Arial" w:hAnsi="Arial" w:cs="Arial"/>
          <w:sz w:val="24"/>
          <w:szCs w:val="24"/>
        </w:rPr>
        <w:t xml:space="preserve"> March 2020]. </w:t>
      </w:r>
    </w:p>
    <w:p w14:paraId="77D97A31"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 Ofsted (2011) ‘Geography – Learning to make a world of difference.’ http://www. ofsted.gov.uk/resources/geography-learning-make-world-of-difference [Accessed: 29</w:t>
      </w:r>
      <w:r w:rsidRPr="00EF4EB0">
        <w:rPr>
          <w:rFonts w:ascii="Arial" w:hAnsi="Arial" w:cs="Arial"/>
          <w:sz w:val="24"/>
          <w:szCs w:val="24"/>
          <w:vertAlign w:val="superscript"/>
        </w:rPr>
        <w:t>th</w:t>
      </w:r>
      <w:r w:rsidRPr="00EF4EB0">
        <w:rPr>
          <w:rFonts w:ascii="Arial" w:hAnsi="Arial" w:cs="Arial"/>
          <w:sz w:val="24"/>
          <w:szCs w:val="24"/>
        </w:rPr>
        <w:t xml:space="preserve"> March 2020]. </w:t>
      </w:r>
    </w:p>
    <w:p w14:paraId="6D31B34B" w14:textId="77777777" w:rsidR="005E2380" w:rsidRPr="00EF4EB0" w:rsidRDefault="005E2380" w:rsidP="00A37756">
      <w:pPr>
        <w:spacing w:line="360" w:lineRule="auto"/>
        <w:ind w:left="360"/>
        <w:jc w:val="both"/>
        <w:rPr>
          <w:rFonts w:ascii="Arial" w:hAnsi="Arial" w:cs="Arial"/>
          <w:sz w:val="24"/>
          <w:szCs w:val="24"/>
        </w:rPr>
      </w:pPr>
      <w:bookmarkStart w:id="3" w:name="_Hlk36669169"/>
      <w:r w:rsidRPr="00EF4EB0">
        <w:rPr>
          <w:rFonts w:ascii="Arial" w:hAnsi="Arial" w:cs="Arial"/>
          <w:sz w:val="24"/>
          <w:szCs w:val="24"/>
        </w:rPr>
        <w:t>Papatheodorou, T., and Moyles, J. (2012</w:t>
      </w:r>
      <w:r w:rsidRPr="00EF4EB0">
        <w:rPr>
          <w:rFonts w:ascii="Arial" w:hAnsi="Arial" w:cs="Arial"/>
          <w:i/>
          <w:iCs/>
          <w:sz w:val="24"/>
          <w:szCs w:val="24"/>
        </w:rPr>
        <w:t>) Cross-Cultural Perspectives on Early Childhood</w:t>
      </w:r>
      <w:r w:rsidRPr="00EF4EB0">
        <w:rPr>
          <w:rFonts w:ascii="Arial" w:hAnsi="Arial" w:cs="Arial"/>
          <w:sz w:val="24"/>
          <w:szCs w:val="24"/>
        </w:rPr>
        <w:t xml:space="preserve">. Sage: London. </w:t>
      </w:r>
    </w:p>
    <w:bookmarkEnd w:id="3"/>
    <w:p w14:paraId="26B82A13"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lastRenderedPageBreak/>
        <w:t xml:space="preserve">Passy, R.,  Waite, S.,  P. Bentsen, N. Gough, S. Ho, E. </w:t>
      </w:r>
      <w:proofErr w:type="spellStart"/>
      <w:r w:rsidRPr="00EF4EB0">
        <w:rPr>
          <w:rFonts w:ascii="Arial" w:hAnsi="Arial" w:cs="Arial"/>
          <w:sz w:val="24"/>
          <w:szCs w:val="24"/>
        </w:rPr>
        <w:t>Mygind</w:t>
      </w:r>
      <w:proofErr w:type="spellEnd"/>
      <w:r w:rsidRPr="00EF4EB0">
        <w:rPr>
          <w:rFonts w:ascii="Arial" w:hAnsi="Arial" w:cs="Arial"/>
          <w:sz w:val="24"/>
          <w:szCs w:val="24"/>
        </w:rPr>
        <w:t xml:space="preserve">, V. </w:t>
      </w:r>
      <w:proofErr w:type="spellStart"/>
      <w:r w:rsidRPr="00EF4EB0">
        <w:rPr>
          <w:rFonts w:ascii="Arial" w:hAnsi="Arial" w:cs="Arial"/>
          <w:sz w:val="24"/>
          <w:szCs w:val="24"/>
        </w:rPr>
        <w:t>D’Rosario</w:t>
      </w:r>
      <w:proofErr w:type="spellEnd"/>
      <w:r w:rsidRPr="00EF4EB0">
        <w:rPr>
          <w:rFonts w:ascii="Arial" w:hAnsi="Arial" w:cs="Arial"/>
          <w:sz w:val="24"/>
          <w:szCs w:val="24"/>
        </w:rPr>
        <w:t xml:space="preserve">, and A. Stewart. 2013. </w:t>
      </w:r>
      <w:r w:rsidRPr="00EF4EB0">
        <w:rPr>
          <w:rFonts w:ascii="Arial" w:hAnsi="Arial" w:cs="Arial"/>
          <w:i/>
          <w:iCs/>
          <w:sz w:val="24"/>
          <w:szCs w:val="24"/>
        </w:rPr>
        <w:t>“Policies of Outdoor Learning: Lessons from an International Comparison.”</w:t>
      </w:r>
      <w:r w:rsidRPr="00EF4EB0">
        <w:rPr>
          <w:rFonts w:ascii="Arial" w:hAnsi="Arial" w:cs="Arial"/>
          <w:sz w:val="24"/>
          <w:szCs w:val="24"/>
        </w:rPr>
        <w:t xml:space="preserve"> Paper presented at 6th International Outdoor Education Research Conference, University of Otago, Dunedin, November 26–29. </w:t>
      </w:r>
    </w:p>
    <w:p w14:paraId="0232EF0D" w14:textId="77777777" w:rsidR="005E238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Rhys, M., Waldron, S. and Taylor, C. (2014), </w:t>
      </w:r>
      <w:r w:rsidRPr="00EF4EB0">
        <w:rPr>
          <w:rFonts w:ascii="Arial" w:hAnsi="Arial" w:cs="Arial"/>
          <w:i/>
          <w:iCs/>
          <w:sz w:val="24"/>
          <w:szCs w:val="24"/>
        </w:rPr>
        <w:t>Evaluating the Foundation Phase: Key findings on training, support and guidance, Social Research</w:t>
      </w:r>
      <w:r w:rsidRPr="00EF4EB0">
        <w:rPr>
          <w:rFonts w:ascii="Arial" w:hAnsi="Arial" w:cs="Arial"/>
          <w:sz w:val="24"/>
          <w:szCs w:val="24"/>
        </w:rPr>
        <w:t xml:space="preserve"> Summary 54/2014. Cardiff: Welsh Government.</w:t>
      </w:r>
    </w:p>
    <w:p w14:paraId="77097885" w14:textId="77777777" w:rsidR="005E2380" w:rsidRPr="00EF4EB0" w:rsidRDefault="005E2380" w:rsidP="00A37756">
      <w:pPr>
        <w:spacing w:line="360" w:lineRule="auto"/>
        <w:ind w:left="360"/>
        <w:jc w:val="both"/>
        <w:rPr>
          <w:rFonts w:ascii="Arial" w:hAnsi="Arial" w:cs="Arial"/>
          <w:sz w:val="24"/>
          <w:szCs w:val="24"/>
        </w:rPr>
      </w:pPr>
      <w:r>
        <w:rPr>
          <w:rFonts w:ascii="Arial" w:hAnsi="Arial" w:cs="Arial"/>
          <w:sz w:val="24"/>
          <w:szCs w:val="24"/>
        </w:rPr>
        <w:t xml:space="preserve">Rindaldi 2005). </w:t>
      </w:r>
      <w:r w:rsidRPr="00D62476">
        <w:rPr>
          <w:rFonts w:ascii="Arial" w:hAnsi="Arial" w:cs="Arial"/>
          <w:sz w:val="24"/>
          <w:szCs w:val="24"/>
        </w:rPr>
        <w:t xml:space="preserve">Papatheodorou, T., and Moyles, J. (2012) </w:t>
      </w:r>
      <w:r w:rsidRPr="00D62476">
        <w:rPr>
          <w:rFonts w:ascii="Arial" w:hAnsi="Arial" w:cs="Arial"/>
          <w:i/>
          <w:iCs/>
          <w:sz w:val="24"/>
          <w:szCs w:val="24"/>
        </w:rPr>
        <w:t>Cross-Cultural Perspectives on Early Childhood</w:t>
      </w:r>
      <w:r w:rsidRPr="00D62476">
        <w:rPr>
          <w:rFonts w:ascii="Arial" w:hAnsi="Arial" w:cs="Arial"/>
          <w:sz w:val="24"/>
          <w:szCs w:val="24"/>
        </w:rPr>
        <w:t>. Sage: London.</w:t>
      </w:r>
    </w:p>
    <w:p w14:paraId="41618C5E" w14:textId="77777777" w:rsidR="005E2380" w:rsidRPr="00EF4EB0" w:rsidRDefault="005E2380" w:rsidP="00A37756">
      <w:pPr>
        <w:spacing w:line="360" w:lineRule="auto"/>
        <w:ind w:left="360"/>
        <w:jc w:val="both"/>
        <w:rPr>
          <w:rFonts w:ascii="Arial" w:hAnsi="Arial" w:cs="Arial"/>
          <w:sz w:val="24"/>
          <w:szCs w:val="24"/>
        </w:rPr>
      </w:pPr>
      <w:proofErr w:type="spellStart"/>
      <w:r w:rsidRPr="00EF4EB0">
        <w:rPr>
          <w:rFonts w:ascii="Arial" w:hAnsi="Arial" w:cs="Arial"/>
          <w:sz w:val="24"/>
          <w:szCs w:val="24"/>
        </w:rPr>
        <w:t>Sethusha</w:t>
      </w:r>
      <w:proofErr w:type="spellEnd"/>
      <w:r w:rsidRPr="00EF4EB0">
        <w:rPr>
          <w:rFonts w:ascii="Arial" w:hAnsi="Arial" w:cs="Arial"/>
          <w:sz w:val="24"/>
          <w:szCs w:val="24"/>
        </w:rPr>
        <w:t>, M.J. 2012. Primary school teachers' conceptions of classroom assessment: A qualitative study. </w:t>
      </w:r>
      <w:r w:rsidRPr="00EF4EB0">
        <w:rPr>
          <w:rFonts w:ascii="Arial" w:hAnsi="Arial" w:cs="Arial"/>
          <w:i/>
          <w:iCs/>
          <w:sz w:val="24"/>
          <w:szCs w:val="24"/>
        </w:rPr>
        <w:t>International Journal of Cross-Disciplinary Subjects in Education, </w:t>
      </w:r>
      <w:r w:rsidRPr="00EF4EB0">
        <w:rPr>
          <w:rFonts w:ascii="Arial" w:hAnsi="Arial" w:cs="Arial"/>
          <w:sz w:val="24"/>
          <w:szCs w:val="24"/>
        </w:rPr>
        <w:t>3(2):699-706</w:t>
      </w:r>
    </w:p>
    <w:p w14:paraId="5652BAE7"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Settersten, R, A., and Mayer, K., U. (1997) </w:t>
      </w:r>
      <w:r w:rsidRPr="00EF4EB0">
        <w:rPr>
          <w:rFonts w:ascii="Arial" w:hAnsi="Arial" w:cs="Arial"/>
          <w:i/>
          <w:iCs/>
          <w:sz w:val="24"/>
          <w:szCs w:val="24"/>
        </w:rPr>
        <w:t>The Measurement of Age, Age Structuring, the Life Course</w:t>
      </w:r>
      <w:r w:rsidRPr="00EF4EB0">
        <w:rPr>
          <w:rFonts w:ascii="Arial" w:hAnsi="Arial" w:cs="Arial"/>
          <w:sz w:val="24"/>
          <w:szCs w:val="24"/>
        </w:rPr>
        <w:t>. Vol 23:233-261.</w:t>
      </w:r>
    </w:p>
    <w:p w14:paraId="3ED91812"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Shepard, L.A., </w:t>
      </w:r>
      <w:proofErr w:type="spellStart"/>
      <w:r w:rsidRPr="00EF4EB0">
        <w:rPr>
          <w:rFonts w:ascii="Arial" w:hAnsi="Arial" w:cs="Arial"/>
          <w:sz w:val="24"/>
          <w:szCs w:val="24"/>
        </w:rPr>
        <w:t>Kagan</w:t>
      </w:r>
      <w:proofErr w:type="spellEnd"/>
      <w:r w:rsidRPr="00EF4EB0">
        <w:rPr>
          <w:rFonts w:ascii="Arial" w:hAnsi="Arial" w:cs="Arial"/>
          <w:sz w:val="24"/>
          <w:szCs w:val="24"/>
        </w:rPr>
        <w:t xml:space="preserve">, S.L. &amp; </w:t>
      </w:r>
      <w:proofErr w:type="spellStart"/>
      <w:r w:rsidRPr="00EF4EB0">
        <w:rPr>
          <w:rFonts w:ascii="Arial" w:hAnsi="Arial" w:cs="Arial"/>
          <w:sz w:val="24"/>
          <w:szCs w:val="24"/>
        </w:rPr>
        <w:t>Wurtz</w:t>
      </w:r>
      <w:proofErr w:type="spellEnd"/>
      <w:r w:rsidRPr="00EF4EB0">
        <w:rPr>
          <w:rFonts w:ascii="Arial" w:hAnsi="Arial" w:cs="Arial"/>
          <w:sz w:val="24"/>
          <w:szCs w:val="24"/>
        </w:rPr>
        <w:t>, E. 1998. Goal 1 Early Childhood Assessments Resource Group Recommendations. Public Policy Report. </w:t>
      </w:r>
      <w:r w:rsidRPr="00EF4EB0">
        <w:rPr>
          <w:rFonts w:ascii="Arial" w:hAnsi="Arial" w:cs="Arial"/>
          <w:i/>
          <w:iCs/>
          <w:sz w:val="24"/>
          <w:szCs w:val="24"/>
        </w:rPr>
        <w:t>Young Children, </w:t>
      </w:r>
      <w:r w:rsidRPr="00EF4EB0">
        <w:rPr>
          <w:rFonts w:ascii="Arial" w:hAnsi="Arial" w:cs="Arial"/>
          <w:sz w:val="24"/>
          <w:szCs w:val="24"/>
        </w:rPr>
        <w:t>53(3):52-54.  </w:t>
      </w:r>
    </w:p>
    <w:p w14:paraId="297D3073"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Sim, M., Belanger, J., Hocking, L., Dimova, S., </w:t>
      </w:r>
      <w:proofErr w:type="spellStart"/>
      <w:r w:rsidRPr="00EF4EB0">
        <w:rPr>
          <w:rFonts w:ascii="Arial" w:hAnsi="Arial" w:cs="Arial"/>
          <w:sz w:val="24"/>
          <w:szCs w:val="24"/>
        </w:rPr>
        <w:t>Iakovidou</w:t>
      </w:r>
      <w:proofErr w:type="spellEnd"/>
      <w:r w:rsidRPr="00EF4EB0">
        <w:rPr>
          <w:rFonts w:ascii="Arial" w:hAnsi="Arial" w:cs="Arial"/>
          <w:sz w:val="24"/>
          <w:szCs w:val="24"/>
        </w:rPr>
        <w:t xml:space="preserve">, E., Janta, B., and Teeager., W. (2018) </w:t>
      </w:r>
      <w:r w:rsidRPr="00EF4EB0">
        <w:rPr>
          <w:rFonts w:ascii="Arial" w:hAnsi="Arial" w:cs="Arial"/>
          <w:i/>
          <w:iCs/>
          <w:sz w:val="24"/>
          <w:szCs w:val="24"/>
        </w:rPr>
        <w:t>Teaching, Pedagogy and Practice in Early Years Childcare and Evidence Review.</w:t>
      </w:r>
      <w:r w:rsidRPr="00EF4EB0">
        <w:rPr>
          <w:rFonts w:ascii="Arial" w:hAnsi="Arial" w:cs="Arial"/>
          <w:sz w:val="24"/>
          <w:szCs w:val="24"/>
        </w:rPr>
        <w:t xml:space="preserve"> Salamanca, London. </w:t>
      </w:r>
    </w:p>
    <w:p w14:paraId="42B87150"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Siraj, I. (2014) </w:t>
      </w:r>
      <w:r w:rsidRPr="00EF4EB0">
        <w:rPr>
          <w:rFonts w:ascii="Arial" w:hAnsi="Arial" w:cs="Arial"/>
          <w:i/>
          <w:iCs/>
          <w:sz w:val="24"/>
          <w:szCs w:val="24"/>
        </w:rPr>
        <w:t>An independent stocktake of the Foundation Phase in Wales.</w:t>
      </w:r>
      <w:r w:rsidRPr="00EF4EB0">
        <w:rPr>
          <w:rFonts w:ascii="Arial" w:hAnsi="Arial" w:cs="Arial"/>
          <w:sz w:val="24"/>
          <w:szCs w:val="24"/>
        </w:rPr>
        <w:t xml:space="preserve"> Cardiff: Welsh Government.</w:t>
      </w:r>
    </w:p>
    <w:p w14:paraId="38DFD31E"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Siraj-Blatchford, I., Sylva, K., Laugharne, J., Milton, E. &amp; Charles, F. (2005). </w:t>
      </w:r>
      <w:r w:rsidRPr="00EF4EB0">
        <w:rPr>
          <w:rFonts w:ascii="Arial" w:hAnsi="Arial" w:cs="Arial"/>
          <w:i/>
          <w:iCs/>
          <w:sz w:val="24"/>
          <w:szCs w:val="24"/>
        </w:rPr>
        <w:t xml:space="preserve">Monitoring and Evaluation of The Effective Implementation </w:t>
      </w:r>
      <w:proofErr w:type="gramStart"/>
      <w:r w:rsidRPr="00EF4EB0">
        <w:rPr>
          <w:rFonts w:ascii="Arial" w:hAnsi="Arial" w:cs="Arial"/>
          <w:i/>
          <w:iCs/>
          <w:sz w:val="24"/>
          <w:szCs w:val="24"/>
        </w:rPr>
        <w:t>Of</w:t>
      </w:r>
      <w:proofErr w:type="gramEnd"/>
      <w:r w:rsidRPr="00EF4EB0">
        <w:rPr>
          <w:rFonts w:ascii="Arial" w:hAnsi="Arial" w:cs="Arial"/>
          <w:i/>
          <w:iCs/>
          <w:sz w:val="24"/>
          <w:szCs w:val="24"/>
        </w:rPr>
        <w:t xml:space="preserve"> The 128 Foundation Phase (MEEIFP) Project Across Wales – Final Report of Year</w:t>
      </w:r>
      <w:r w:rsidRPr="00EF4EB0">
        <w:rPr>
          <w:rFonts w:ascii="Arial" w:hAnsi="Arial" w:cs="Arial"/>
          <w:sz w:val="24"/>
          <w:szCs w:val="24"/>
        </w:rPr>
        <w:t xml:space="preserve"> I Pilot. Cardiff: Welsh Assembly Government.</w:t>
      </w:r>
    </w:p>
    <w:p w14:paraId="7DB3038E"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Soler, J,. and Miller, L., (2003). The Struggles for Early Childhood Curricula: a comparison of the English foundation stage curriculum, Te Whariki and Regio Emilia. Vol 11. Is 57. P 57-12. </w:t>
      </w:r>
    </w:p>
    <w:p w14:paraId="579C60BC"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lastRenderedPageBreak/>
        <w:t xml:space="preserve">Soler, J. and Miller, L., (2010). ‘The Struggle for Early Childhood Curricula: A comparison of the English Foundation Stage Curriculum, Te </w:t>
      </w:r>
      <w:proofErr w:type="spellStart"/>
      <w:r w:rsidRPr="00EF4EB0">
        <w:rPr>
          <w:rFonts w:ascii="Arial" w:hAnsi="Arial" w:cs="Arial"/>
          <w:sz w:val="24"/>
          <w:szCs w:val="24"/>
        </w:rPr>
        <w:t>Wha¨riki</w:t>
      </w:r>
      <w:proofErr w:type="spellEnd"/>
      <w:r w:rsidRPr="00EF4EB0">
        <w:rPr>
          <w:rFonts w:ascii="Arial" w:hAnsi="Arial" w:cs="Arial"/>
          <w:sz w:val="24"/>
          <w:szCs w:val="24"/>
        </w:rPr>
        <w:t xml:space="preserve"> and Reggio Emilia.’ </w:t>
      </w:r>
      <w:hyperlink r:id="rId10" w:history="1">
        <w:r w:rsidRPr="00EF4EB0">
          <w:rPr>
            <w:rStyle w:val="Hyperlink"/>
            <w:rFonts w:ascii="Arial" w:hAnsi="Arial" w:cs="Arial"/>
            <w:sz w:val="24"/>
            <w:szCs w:val="24"/>
          </w:rPr>
          <w:t>https://www.tandfonline.com/doi/abs/10.1080/0966976032000066091</w:t>
        </w:r>
      </w:hyperlink>
      <w:r w:rsidRPr="00EF4EB0">
        <w:rPr>
          <w:rFonts w:ascii="Arial" w:hAnsi="Arial" w:cs="Arial"/>
          <w:sz w:val="24"/>
          <w:szCs w:val="24"/>
        </w:rPr>
        <w:t xml:space="preserve"> [Accessed: 20</w:t>
      </w:r>
      <w:r w:rsidRPr="00EF4EB0">
        <w:rPr>
          <w:rFonts w:ascii="Arial" w:hAnsi="Arial" w:cs="Arial"/>
          <w:sz w:val="24"/>
          <w:szCs w:val="24"/>
          <w:vertAlign w:val="superscript"/>
        </w:rPr>
        <w:t>th</w:t>
      </w:r>
      <w:r w:rsidRPr="00EF4EB0">
        <w:rPr>
          <w:rFonts w:ascii="Arial" w:hAnsi="Arial" w:cs="Arial"/>
          <w:sz w:val="24"/>
          <w:szCs w:val="24"/>
        </w:rPr>
        <w:t xml:space="preserve"> March 2020]. </w:t>
      </w:r>
    </w:p>
    <w:p w14:paraId="2537F9C5"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Stevens, C. (2013). </w:t>
      </w:r>
      <w:r w:rsidRPr="00EF4EB0">
        <w:rPr>
          <w:rFonts w:ascii="Arial" w:hAnsi="Arial" w:cs="Arial"/>
          <w:i/>
          <w:iCs/>
          <w:sz w:val="24"/>
          <w:szCs w:val="24"/>
        </w:rPr>
        <w:t>The growing child: Laying the foundations of active learning and physical health.</w:t>
      </w:r>
      <w:r w:rsidRPr="00EF4EB0">
        <w:rPr>
          <w:rFonts w:ascii="Arial" w:hAnsi="Arial" w:cs="Arial"/>
          <w:sz w:val="24"/>
          <w:szCs w:val="24"/>
        </w:rPr>
        <w:t xml:space="preserve"> Abingdon, Oxon, England: Routledge. </w:t>
      </w:r>
    </w:p>
    <w:p w14:paraId="6F75BC80" w14:textId="77777777" w:rsidR="005E2380" w:rsidRPr="00EF4EB0" w:rsidRDefault="005E2380" w:rsidP="00A37756">
      <w:pPr>
        <w:spacing w:line="360" w:lineRule="auto"/>
        <w:ind w:left="360"/>
        <w:jc w:val="both"/>
        <w:rPr>
          <w:rFonts w:ascii="Arial" w:hAnsi="Arial" w:cs="Arial"/>
          <w:sz w:val="24"/>
          <w:szCs w:val="24"/>
        </w:rPr>
      </w:pPr>
      <w:proofErr w:type="spellStart"/>
      <w:r w:rsidRPr="00EF4EB0">
        <w:rPr>
          <w:rFonts w:ascii="Arial" w:hAnsi="Arial" w:cs="Arial"/>
          <w:sz w:val="24"/>
          <w:szCs w:val="24"/>
        </w:rPr>
        <w:t>Storli</w:t>
      </w:r>
      <w:proofErr w:type="spellEnd"/>
      <w:r w:rsidRPr="00EF4EB0">
        <w:rPr>
          <w:rFonts w:ascii="Arial" w:hAnsi="Arial" w:cs="Arial"/>
          <w:sz w:val="24"/>
          <w:szCs w:val="24"/>
        </w:rPr>
        <w:t>, R., and Hagen, T. L.. (2010). “</w:t>
      </w:r>
      <w:r w:rsidRPr="00EF4EB0">
        <w:rPr>
          <w:rFonts w:ascii="Arial" w:hAnsi="Arial" w:cs="Arial"/>
          <w:i/>
          <w:iCs/>
          <w:sz w:val="24"/>
          <w:szCs w:val="24"/>
        </w:rPr>
        <w:t xml:space="preserve">Affordances in Outdoor Environments and Children’s Physically Active Play in </w:t>
      </w:r>
      <w:proofErr w:type="spellStart"/>
      <w:r w:rsidRPr="00EF4EB0">
        <w:rPr>
          <w:rFonts w:ascii="Arial" w:hAnsi="Arial" w:cs="Arial"/>
          <w:i/>
          <w:iCs/>
          <w:sz w:val="24"/>
          <w:szCs w:val="24"/>
        </w:rPr>
        <w:t>PreSchool</w:t>
      </w:r>
      <w:proofErr w:type="spellEnd"/>
      <w:r w:rsidRPr="00EF4EB0">
        <w:rPr>
          <w:rFonts w:ascii="Arial" w:hAnsi="Arial" w:cs="Arial"/>
          <w:sz w:val="24"/>
          <w:szCs w:val="24"/>
        </w:rPr>
        <w:t>.” European Early Childhood Education Research Journal 18 (4): 445–456.</w:t>
      </w:r>
    </w:p>
    <w:p w14:paraId="12CD74B6"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Taylor, C., Maynard, T., Davies, R., Waldron, S. Rhys, M., Power, S., Moore, L., Blackaby, D. and Plewis, I. (2015a). </w:t>
      </w:r>
      <w:r w:rsidRPr="00EF4EB0">
        <w:rPr>
          <w:rFonts w:ascii="Arial" w:hAnsi="Arial" w:cs="Arial"/>
          <w:i/>
          <w:iCs/>
          <w:sz w:val="24"/>
          <w:szCs w:val="24"/>
        </w:rPr>
        <w:t>Evaluating the Foundation Phase: Final Report, Social Research</w:t>
      </w:r>
      <w:r w:rsidRPr="00EF4EB0">
        <w:rPr>
          <w:rFonts w:ascii="Arial" w:hAnsi="Arial" w:cs="Arial"/>
          <w:sz w:val="24"/>
          <w:szCs w:val="24"/>
        </w:rPr>
        <w:t xml:space="preserve"> No. 25/2015. Cardiff: Welsh Government.</w:t>
      </w:r>
    </w:p>
    <w:p w14:paraId="6F03277B"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Taylor, C., Rhys, M., and Waldron, S., (2019) </w:t>
      </w:r>
      <w:r w:rsidRPr="00EF4EB0">
        <w:rPr>
          <w:rFonts w:ascii="Arial" w:hAnsi="Arial" w:cs="Arial"/>
          <w:i/>
          <w:iCs/>
          <w:sz w:val="24"/>
          <w:szCs w:val="24"/>
        </w:rPr>
        <w:t>Implementing Curriculum reform in Wales: the case of the Foundation Phase.</w:t>
      </w:r>
      <w:r w:rsidRPr="00EF4EB0">
        <w:rPr>
          <w:rFonts w:ascii="Arial" w:hAnsi="Arial" w:cs="Arial"/>
          <w:sz w:val="24"/>
          <w:szCs w:val="24"/>
        </w:rPr>
        <w:t xml:space="preserve"> Cardiff: Wales Government. </w:t>
      </w:r>
    </w:p>
    <w:p w14:paraId="670E90D1"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Vygotsky, L. S. (1978). </w:t>
      </w:r>
      <w:hyperlink r:id="rId11" w:history="1">
        <w:r w:rsidRPr="00EF4EB0">
          <w:rPr>
            <w:rStyle w:val="Hyperlink"/>
            <w:rFonts w:ascii="Arial" w:hAnsi="Arial" w:cs="Arial"/>
            <w:i/>
            <w:iCs/>
            <w:color w:val="auto"/>
            <w:sz w:val="24"/>
            <w:szCs w:val="24"/>
            <w:u w:val="none"/>
          </w:rPr>
          <w:t>Mind in society: The development of higher psychological processes</w:t>
        </w:r>
      </w:hyperlink>
      <w:r w:rsidRPr="00EF4EB0">
        <w:rPr>
          <w:rFonts w:ascii="Arial" w:hAnsi="Arial" w:cs="Arial"/>
          <w:sz w:val="24"/>
          <w:szCs w:val="24"/>
        </w:rPr>
        <w:t>. Cambridge, MA: Harvard University Press.</w:t>
      </w:r>
    </w:p>
    <w:p w14:paraId="34D69AF0"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Waite, S., and Davis. B., (2007). “</w:t>
      </w:r>
      <w:r w:rsidRPr="00EF4EB0">
        <w:rPr>
          <w:rFonts w:ascii="Arial" w:hAnsi="Arial" w:cs="Arial"/>
          <w:i/>
          <w:iCs/>
          <w:sz w:val="24"/>
          <w:szCs w:val="24"/>
        </w:rPr>
        <w:t>The Contribution of Free Play and Structured Activities in Forest School to Learning Beyond Cognition: An English Case.” In Learning Beyond Cognition,</w:t>
      </w:r>
      <w:r w:rsidRPr="00EF4EB0">
        <w:rPr>
          <w:rFonts w:ascii="Arial" w:hAnsi="Arial" w:cs="Arial"/>
          <w:sz w:val="24"/>
          <w:szCs w:val="24"/>
        </w:rPr>
        <w:t xml:space="preserve"> edited by B. </w:t>
      </w:r>
      <w:proofErr w:type="spellStart"/>
      <w:r w:rsidRPr="00EF4EB0">
        <w:rPr>
          <w:rFonts w:ascii="Arial" w:hAnsi="Arial" w:cs="Arial"/>
          <w:sz w:val="24"/>
          <w:szCs w:val="24"/>
        </w:rPr>
        <w:t>Ravn</w:t>
      </w:r>
      <w:proofErr w:type="spellEnd"/>
      <w:r w:rsidRPr="00EF4EB0">
        <w:rPr>
          <w:rFonts w:ascii="Arial" w:hAnsi="Arial" w:cs="Arial"/>
          <w:sz w:val="24"/>
          <w:szCs w:val="24"/>
        </w:rPr>
        <w:t xml:space="preserve"> and N. </w:t>
      </w:r>
      <w:proofErr w:type="spellStart"/>
      <w:r w:rsidRPr="00EF4EB0">
        <w:rPr>
          <w:rFonts w:ascii="Arial" w:hAnsi="Arial" w:cs="Arial"/>
          <w:sz w:val="24"/>
          <w:szCs w:val="24"/>
        </w:rPr>
        <w:t>Kryger</w:t>
      </w:r>
      <w:proofErr w:type="spellEnd"/>
      <w:r w:rsidRPr="00EF4EB0">
        <w:rPr>
          <w:rFonts w:ascii="Arial" w:hAnsi="Arial" w:cs="Arial"/>
          <w:sz w:val="24"/>
          <w:szCs w:val="24"/>
        </w:rPr>
        <w:t>, 257–274. Copenhagen: The Danish University of Education.</w:t>
      </w:r>
    </w:p>
    <w:p w14:paraId="2802AA14"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Waite, S., and N. Pratt. (2011). “</w:t>
      </w:r>
      <w:r w:rsidRPr="00EF4EB0">
        <w:rPr>
          <w:rFonts w:ascii="Arial" w:hAnsi="Arial" w:cs="Arial"/>
          <w:i/>
          <w:iCs/>
          <w:sz w:val="24"/>
          <w:szCs w:val="24"/>
        </w:rPr>
        <w:t>Theoretical Perspectives on Learning Outside the Classroom: Relationships Between Learning and Place.” In Children Learning Outside the Classroom: From Birth to Eleven</w:t>
      </w:r>
      <w:r w:rsidRPr="00EF4EB0">
        <w:rPr>
          <w:rFonts w:ascii="Arial" w:hAnsi="Arial" w:cs="Arial"/>
          <w:sz w:val="24"/>
          <w:szCs w:val="24"/>
        </w:rPr>
        <w:t xml:space="preserve">, edited by S. Waite, 1–18. London: Sage Publications. </w:t>
      </w:r>
    </w:p>
    <w:p w14:paraId="09438049"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Waite, S., </w:t>
      </w:r>
      <w:proofErr w:type="spellStart"/>
      <w:r w:rsidRPr="00EF4EB0">
        <w:rPr>
          <w:rFonts w:ascii="Arial" w:hAnsi="Arial" w:cs="Arial"/>
          <w:sz w:val="24"/>
          <w:szCs w:val="24"/>
        </w:rPr>
        <w:t>Bølling</w:t>
      </w:r>
      <w:proofErr w:type="spellEnd"/>
      <w:r w:rsidRPr="00EF4EB0">
        <w:rPr>
          <w:rFonts w:ascii="Arial" w:hAnsi="Arial" w:cs="Arial"/>
          <w:sz w:val="24"/>
          <w:szCs w:val="24"/>
        </w:rPr>
        <w:t xml:space="preserve">, M.,  and Bentsen, P. (2016) </w:t>
      </w:r>
      <w:r w:rsidRPr="00EF4EB0">
        <w:rPr>
          <w:rFonts w:ascii="Arial" w:hAnsi="Arial" w:cs="Arial"/>
          <w:i/>
          <w:iCs/>
          <w:sz w:val="24"/>
          <w:szCs w:val="24"/>
        </w:rPr>
        <w:t xml:space="preserve">Comparing apples and pears?: a conceptual framework for understanding forms of outdoor learning through comparison of English Forest Schools and Danish </w:t>
      </w:r>
      <w:proofErr w:type="spellStart"/>
      <w:r w:rsidRPr="00EF4EB0">
        <w:rPr>
          <w:rFonts w:ascii="Arial" w:hAnsi="Arial" w:cs="Arial"/>
          <w:i/>
          <w:iCs/>
          <w:sz w:val="24"/>
          <w:szCs w:val="24"/>
        </w:rPr>
        <w:t>udeskole</w:t>
      </w:r>
      <w:proofErr w:type="spellEnd"/>
      <w:r w:rsidRPr="00EF4EB0">
        <w:rPr>
          <w:rFonts w:ascii="Arial" w:hAnsi="Arial" w:cs="Arial"/>
          <w:sz w:val="24"/>
          <w:szCs w:val="24"/>
        </w:rPr>
        <w:t xml:space="preserve">, Environmental Education Research, 22:6, 868-892. </w:t>
      </w:r>
    </w:p>
    <w:p w14:paraId="7D9D1AC7"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lastRenderedPageBreak/>
        <w:t xml:space="preserve">Waite, S., Rutter,  O., Fowle, A., and  Edwards-Jones, A., (2017) </w:t>
      </w:r>
      <w:r w:rsidRPr="00EF4EB0">
        <w:rPr>
          <w:rFonts w:ascii="Arial" w:hAnsi="Arial" w:cs="Arial"/>
          <w:i/>
          <w:iCs/>
          <w:sz w:val="24"/>
          <w:szCs w:val="24"/>
        </w:rPr>
        <w:t>Diverse aims, challenges and opportunities for assessing outdoor learning: a critical examination of three cases from practice,</w:t>
      </w:r>
      <w:r w:rsidRPr="00EF4EB0">
        <w:rPr>
          <w:rFonts w:ascii="Arial" w:hAnsi="Arial" w:cs="Arial"/>
          <w:sz w:val="24"/>
          <w:szCs w:val="24"/>
        </w:rPr>
        <w:t xml:space="preserve"> Education 3-13, 45:1, 51-67,</w:t>
      </w:r>
    </w:p>
    <w:p w14:paraId="0F192F38"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Wales, G., McGuinness, C., Sproule, L,. and Trew, K., (2010). ‘Implementing a play</w:t>
      </w:r>
      <w:r w:rsidRPr="00EF4EB0">
        <w:rPr>
          <w:rFonts w:ascii="Cambria Math" w:hAnsi="Cambria Math" w:cs="Cambria Math"/>
          <w:sz w:val="24"/>
          <w:szCs w:val="24"/>
        </w:rPr>
        <w:t>‐</w:t>
      </w:r>
      <w:r w:rsidRPr="00EF4EB0">
        <w:rPr>
          <w:rFonts w:ascii="Arial" w:hAnsi="Arial" w:cs="Arial"/>
          <w:sz w:val="24"/>
          <w:szCs w:val="24"/>
        </w:rPr>
        <w:t xml:space="preserve">based and developmentally appropriate curriculum in Northern Ireland primary schools: what lessons have we learned?’ </w:t>
      </w:r>
      <w:hyperlink r:id="rId12" w:history="1">
        <w:r w:rsidRPr="00EF4EB0">
          <w:rPr>
            <w:rStyle w:val="Hyperlink"/>
            <w:rFonts w:ascii="Arial" w:hAnsi="Arial" w:cs="Arial"/>
            <w:sz w:val="24"/>
            <w:szCs w:val="24"/>
          </w:rPr>
          <w:t>https://www.tandfonline.com/doi/abs/10.1080/09575140903442994</w:t>
        </w:r>
      </w:hyperlink>
      <w:r w:rsidRPr="00EF4EB0">
        <w:rPr>
          <w:rFonts w:ascii="Arial" w:hAnsi="Arial" w:cs="Arial"/>
          <w:sz w:val="24"/>
          <w:szCs w:val="24"/>
        </w:rPr>
        <w:t xml:space="preserve"> [Accessed: 22</w:t>
      </w:r>
      <w:r w:rsidRPr="00EF4EB0">
        <w:rPr>
          <w:rFonts w:ascii="Arial" w:hAnsi="Arial" w:cs="Arial"/>
          <w:sz w:val="24"/>
          <w:szCs w:val="24"/>
          <w:vertAlign w:val="superscript"/>
        </w:rPr>
        <w:t>nd</w:t>
      </w:r>
      <w:r w:rsidRPr="00EF4EB0">
        <w:rPr>
          <w:rFonts w:ascii="Arial" w:hAnsi="Arial" w:cs="Arial"/>
          <w:sz w:val="24"/>
          <w:szCs w:val="24"/>
        </w:rPr>
        <w:t xml:space="preserve"> March 2020]. </w:t>
      </w:r>
    </w:p>
    <w:p w14:paraId="5435329C"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Waters, J. (2013). </w:t>
      </w:r>
      <w:r w:rsidRPr="00EF4EB0">
        <w:rPr>
          <w:rFonts w:ascii="Arial" w:hAnsi="Arial" w:cs="Arial"/>
          <w:i/>
          <w:iCs/>
          <w:sz w:val="24"/>
          <w:szCs w:val="24"/>
        </w:rPr>
        <w:t>“Talking in Wild Outdoor Spaces: Children Bringing Their Interests to Their Teachers in Wales.” In International Perspectives on Forest School: Natural Spaces to Play and Learn</w:t>
      </w:r>
      <w:r w:rsidRPr="00EF4EB0">
        <w:rPr>
          <w:rFonts w:ascii="Arial" w:hAnsi="Arial" w:cs="Arial"/>
          <w:sz w:val="24"/>
          <w:szCs w:val="24"/>
        </w:rPr>
        <w:t>, edited by S. Knight, 12–26. London: Sage Publications.</w:t>
      </w:r>
    </w:p>
    <w:p w14:paraId="17E37E84"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Waters, J., (2016) </w:t>
      </w:r>
      <w:r w:rsidRPr="00EF4EB0">
        <w:rPr>
          <w:rFonts w:ascii="Arial" w:hAnsi="Arial" w:cs="Arial"/>
          <w:i/>
          <w:iCs/>
          <w:sz w:val="24"/>
          <w:szCs w:val="24"/>
        </w:rPr>
        <w:t>The Foundation Phase in Wales – Time to grow up?</w:t>
      </w:r>
      <w:r w:rsidRPr="00EF4EB0">
        <w:rPr>
          <w:rFonts w:ascii="Arial" w:hAnsi="Arial" w:cs="Arial"/>
          <w:sz w:val="24"/>
          <w:szCs w:val="24"/>
        </w:rPr>
        <w:t xml:space="preserve"> Cardiff, Welsh Government. </w:t>
      </w:r>
    </w:p>
    <w:p w14:paraId="0D793A64"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Welsh Government (2014b). </w:t>
      </w:r>
      <w:r w:rsidRPr="00EF4EB0">
        <w:rPr>
          <w:rFonts w:ascii="Arial" w:hAnsi="Arial" w:cs="Arial"/>
          <w:i/>
          <w:iCs/>
          <w:sz w:val="24"/>
          <w:szCs w:val="24"/>
        </w:rPr>
        <w:t>An Independent Stocktake of the Foundation Phase in Wales</w:t>
      </w:r>
      <w:r w:rsidRPr="00EF4EB0">
        <w:rPr>
          <w:rFonts w:ascii="Arial" w:hAnsi="Arial" w:cs="Arial"/>
          <w:sz w:val="24"/>
          <w:szCs w:val="24"/>
        </w:rPr>
        <w:t xml:space="preserve">. Cardiff: Welsh Government. </w:t>
      </w:r>
    </w:p>
    <w:p w14:paraId="7EC1B6C9"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Welsh Government (2015). </w:t>
      </w:r>
      <w:r w:rsidRPr="00EF4EB0">
        <w:rPr>
          <w:rFonts w:ascii="Arial" w:hAnsi="Arial" w:cs="Arial"/>
          <w:i/>
          <w:iCs/>
          <w:sz w:val="24"/>
          <w:szCs w:val="24"/>
        </w:rPr>
        <w:t>Curriculum for Wales: Foundation Phase Framework</w:t>
      </w:r>
      <w:r w:rsidRPr="00EF4EB0">
        <w:rPr>
          <w:rFonts w:ascii="Arial" w:hAnsi="Arial" w:cs="Arial"/>
          <w:sz w:val="24"/>
          <w:szCs w:val="24"/>
        </w:rPr>
        <w:t>. Cardiff: Welsh Government.</w:t>
      </w:r>
    </w:p>
    <w:p w14:paraId="688E4084"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Welsh Government, (20110. ‘Foundation Phase Child Development Assessment Profile’. </w:t>
      </w:r>
      <w:hyperlink r:id="rId13" w:history="1">
        <w:r w:rsidRPr="00EF4EB0">
          <w:rPr>
            <w:rStyle w:val="Hyperlink"/>
            <w:rFonts w:ascii="Arial" w:hAnsi="Arial" w:cs="Arial"/>
            <w:sz w:val="24"/>
            <w:szCs w:val="24"/>
          </w:rPr>
          <w:t>https://dera.ioe.ac.uk/3642/1/110517foundassessmenten.pdf</w:t>
        </w:r>
      </w:hyperlink>
      <w:r w:rsidRPr="00EF4EB0">
        <w:rPr>
          <w:rFonts w:ascii="Arial" w:hAnsi="Arial" w:cs="Arial"/>
          <w:sz w:val="24"/>
          <w:szCs w:val="24"/>
        </w:rPr>
        <w:t xml:space="preserve"> [Accessed: 25</w:t>
      </w:r>
      <w:r w:rsidRPr="00EF4EB0">
        <w:rPr>
          <w:rFonts w:ascii="Arial" w:hAnsi="Arial" w:cs="Arial"/>
          <w:sz w:val="24"/>
          <w:szCs w:val="24"/>
          <w:vertAlign w:val="superscript"/>
        </w:rPr>
        <w:t>th</w:t>
      </w:r>
      <w:r w:rsidRPr="00EF4EB0">
        <w:rPr>
          <w:rFonts w:ascii="Arial" w:hAnsi="Arial" w:cs="Arial"/>
          <w:sz w:val="24"/>
          <w:szCs w:val="24"/>
        </w:rPr>
        <w:t xml:space="preserve"> March 2020]. </w:t>
      </w:r>
    </w:p>
    <w:p w14:paraId="344DFFC4"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Whitebread, D., (2012). </w:t>
      </w:r>
      <w:r w:rsidRPr="00EF4EB0">
        <w:rPr>
          <w:rFonts w:ascii="Arial" w:hAnsi="Arial" w:cs="Arial"/>
          <w:i/>
          <w:iCs/>
          <w:sz w:val="24"/>
          <w:szCs w:val="24"/>
        </w:rPr>
        <w:t>The Importance of Play</w:t>
      </w:r>
      <w:r w:rsidRPr="00EF4EB0">
        <w:rPr>
          <w:rFonts w:ascii="Arial" w:hAnsi="Arial" w:cs="Arial"/>
          <w:sz w:val="24"/>
          <w:szCs w:val="24"/>
        </w:rPr>
        <w:t xml:space="preserve">. Cambridge, London. </w:t>
      </w:r>
    </w:p>
    <w:p w14:paraId="2F59C6B0"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Wilson, F. (2016). </w:t>
      </w:r>
      <w:r w:rsidRPr="00EF4EB0">
        <w:rPr>
          <w:rFonts w:ascii="Arial" w:hAnsi="Arial" w:cs="Arial"/>
          <w:i/>
          <w:iCs/>
          <w:sz w:val="24"/>
          <w:szCs w:val="24"/>
        </w:rPr>
        <w:t>Curriculum Changes in Wales</w:t>
      </w:r>
      <w:r w:rsidRPr="00EF4EB0">
        <w:rPr>
          <w:rFonts w:ascii="Arial" w:hAnsi="Arial" w:cs="Arial"/>
          <w:sz w:val="24"/>
          <w:szCs w:val="24"/>
        </w:rPr>
        <w:t xml:space="preserve">. Oxford, London </w:t>
      </w:r>
    </w:p>
    <w:p w14:paraId="22282887"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Wood, E. (2009). Developing a Pedagogy of Play for the 21st century. In A. Anning, J. Cullen, &amp; M. Fleer (Eds.), </w:t>
      </w:r>
      <w:r w:rsidRPr="00EF4EB0">
        <w:rPr>
          <w:rFonts w:ascii="Arial" w:hAnsi="Arial" w:cs="Arial"/>
          <w:i/>
          <w:iCs/>
          <w:sz w:val="24"/>
          <w:szCs w:val="24"/>
        </w:rPr>
        <w:t>Early Childhood Education: Society and Culture (</w:t>
      </w:r>
      <w:r w:rsidRPr="00EF4EB0">
        <w:rPr>
          <w:rFonts w:ascii="Arial" w:hAnsi="Arial" w:cs="Arial"/>
          <w:sz w:val="24"/>
          <w:szCs w:val="24"/>
        </w:rPr>
        <w:t>Second Edition) (pp. 17-30). London: Sage.</w:t>
      </w:r>
    </w:p>
    <w:p w14:paraId="79A78DAB" w14:textId="77777777" w:rsidR="005E2380" w:rsidRPr="00EF4EB0" w:rsidRDefault="005E2380" w:rsidP="00A37756">
      <w:pPr>
        <w:spacing w:line="360" w:lineRule="auto"/>
        <w:ind w:left="360"/>
        <w:jc w:val="both"/>
        <w:rPr>
          <w:rFonts w:ascii="Arial" w:hAnsi="Arial" w:cs="Arial"/>
          <w:sz w:val="24"/>
          <w:szCs w:val="24"/>
        </w:rPr>
      </w:pPr>
      <w:r w:rsidRPr="00EF4EB0">
        <w:rPr>
          <w:rFonts w:ascii="Arial" w:hAnsi="Arial" w:cs="Arial"/>
          <w:sz w:val="24"/>
          <w:szCs w:val="24"/>
        </w:rPr>
        <w:t xml:space="preserve">Zink, R., &amp; Burrows, L. (2008). Is what you see what you get? </w:t>
      </w:r>
      <w:r w:rsidRPr="00EF4EB0">
        <w:rPr>
          <w:rFonts w:ascii="Arial" w:hAnsi="Arial" w:cs="Arial"/>
          <w:i/>
          <w:iCs/>
          <w:sz w:val="24"/>
          <w:szCs w:val="24"/>
        </w:rPr>
        <w:t>The production of knowledge in between the indoors and the outdoors in outdoor education.</w:t>
      </w:r>
      <w:r w:rsidRPr="00EF4EB0">
        <w:rPr>
          <w:rFonts w:ascii="Arial" w:hAnsi="Arial" w:cs="Arial"/>
          <w:sz w:val="24"/>
          <w:szCs w:val="24"/>
        </w:rPr>
        <w:t xml:space="preserve"> Physical Education and Sport Pedagogy, 13, 251–265.</w:t>
      </w:r>
    </w:p>
    <w:p w14:paraId="3F5B4457" w14:textId="2BF2D607" w:rsidR="000B2224" w:rsidRPr="005E2380" w:rsidRDefault="00A37756" w:rsidP="005E2380">
      <w:pPr>
        <w:jc w:val="both"/>
        <w:rPr>
          <w:rFonts w:ascii="Arial" w:hAnsi="Arial" w:cs="Arial"/>
          <w:sz w:val="24"/>
          <w:szCs w:val="24"/>
        </w:rPr>
      </w:pPr>
    </w:p>
    <w:sectPr w:rsidR="000B2224" w:rsidRPr="005E2380">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B91A75" w14:textId="77777777" w:rsidR="005E2380" w:rsidRDefault="005E2380" w:rsidP="005E2380">
      <w:pPr>
        <w:spacing w:after="0" w:line="240" w:lineRule="auto"/>
      </w:pPr>
      <w:r>
        <w:separator/>
      </w:r>
    </w:p>
  </w:endnote>
  <w:endnote w:type="continuationSeparator" w:id="0">
    <w:p w14:paraId="0D7FBF32" w14:textId="77777777" w:rsidR="005E2380" w:rsidRDefault="005E2380" w:rsidP="005E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2F8114" w14:textId="77777777" w:rsidR="005E2380" w:rsidRDefault="005E2380" w:rsidP="005E2380">
      <w:pPr>
        <w:spacing w:after="0" w:line="240" w:lineRule="auto"/>
      </w:pPr>
      <w:r>
        <w:separator/>
      </w:r>
    </w:p>
  </w:footnote>
  <w:footnote w:type="continuationSeparator" w:id="0">
    <w:p w14:paraId="03A53C38" w14:textId="77777777" w:rsidR="005E2380" w:rsidRDefault="005E2380" w:rsidP="005E2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830FF" w14:textId="57249D45" w:rsidR="005E2380" w:rsidRDefault="005E2380" w:rsidP="005E2380">
    <w:pPr>
      <w:pStyle w:val="Header"/>
      <w:tabs>
        <w:tab w:val="clear" w:pos="4513"/>
        <w:tab w:val="clear" w:pos="9026"/>
        <w:tab w:val="left" w:pos="7954"/>
      </w:tabs>
    </w:pPr>
    <w:r>
      <w:t>1700424</w:t>
    </w:r>
    <w:r>
      <w:tab/>
      <w:t>ECEY6001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380"/>
    <w:rsid w:val="0028651A"/>
    <w:rsid w:val="00357657"/>
    <w:rsid w:val="005E2380"/>
    <w:rsid w:val="009D1E71"/>
    <w:rsid w:val="00A37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9C661"/>
  <w15:chartTrackingRefBased/>
  <w15:docId w15:val="{156FA8E0-F6F0-4705-A71B-081C0DC3A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2380"/>
    <w:rPr>
      <w:color w:val="0563C1" w:themeColor="hyperlink"/>
      <w:u w:val="single"/>
    </w:rPr>
  </w:style>
  <w:style w:type="paragraph" w:styleId="Header">
    <w:name w:val="header"/>
    <w:basedOn w:val="Normal"/>
    <w:link w:val="HeaderChar"/>
    <w:uiPriority w:val="99"/>
    <w:unhideWhenUsed/>
    <w:rsid w:val="005E23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380"/>
  </w:style>
  <w:style w:type="paragraph" w:styleId="Footer">
    <w:name w:val="footer"/>
    <w:basedOn w:val="Normal"/>
    <w:link w:val="FooterChar"/>
    <w:uiPriority w:val="99"/>
    <w:unhideWhenUsed/>
    <w:rsid w:val="005E23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urnals.uchicago.edu/doi/citedby/10.1086/461482" TargetMode="External"/><Relationship Id="rId13" Type="http://schemas.openxmlformats.org/officeDocument/2006/relationships/hyperlink" Target="https://dera.ioe.ac.uk/3642/1/110517foundassessmenten.pdf" TargetMode="External"/><Relationship Id="rId3" Type="http://schemas.openxmlformats.org/officeDocument/2006/relationships/webSettings" Target="webSettings.xml"/><Relationship Id="rId7" Type="http://schemas.openxmlformats.org/officeDocument/2006/relationships/hyperlink" Target="file:///C:\Users\sophi\Downloads\Early-years-structural-quality-review_EPI.pdf" TargetMode="External"/><Relationship Id="rId12" Type="http://schemas.openxmlformats.org/officeDocument/2006/relationships/hyperlink" Target="https://www.tandfonline.com/doi/abs/10.1080/09575140903442994"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journals.plos.org/plosone/article?id=10.1371/journal.pone.0177354" TargetMode="External"/><Relationship Id="rId11" Type="http://schemas.openxmlformats.org/officeDocument/2006/relationships/hyperlink" Target="http://ouleft.org/wp-content/uploads/Vygotsky-Mind-in-Society.pd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tandfonline.com/doi/abs/10.1080/0966976032000066091" TargetMode="External"/><Relationship Id="rId4" Type="http://schemas.openxmlformats.org/officeDocument/2006/relationships/footnotes" Target="footnotes.xml"/><Relationship Id="rId9" Type="http://schemas.openxmlformats.org/officeDocument/2006/relationships/hyperlink" Target="https://www.tutor2u.net/business/reference/change-management-how-to-overcome-resistance-to-chang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21</Pages>
  <Words>6837</Words>
  <Characters>38976</Characters>
  <Application>Microsoft Office Word</Application>
  <DocSecurity>0</DocSecurity>
  <Lines>324</Lines>
  <Paragraphs>91</Paragraphs>
  <ScaleCrop>false</ScaleCrop>
  <Company/>
  <LinksUpToDate>false</LinksUpToDate>
  <CharactersWithSpaces>45722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Morris</dc:creator>
  <cp:keywords/>
  <dc:description/>
  <cp:lastModifiedBy>Sophie Morris</cp:lastModifiedBy>
  <cp:revision>3</cp:revision>
  <dcterms:created xsi:type="dcterms:W3CDTF">2020-04-01T20:38:00Z</dcterms:created>
  <dcterms:modified xsi:type="dcterms:W3CDTF">2020-04-04T15:02:00Z</dcterms:modified>
</cp:coreProperties>
</file>