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B6A4CE" w14:paraId="2C078E63" wp14:textId="1A03EEE7">
      <w:pPr>
        <w:jc w:val="center"/>
        <w:rPr>
          <w:b w:val="1"/>
          <w:bCs w:val="1"/>
          <w:u w:val="single"/>
        </w:rPr>
      </w:pPr>
      <w:bookmarkStart w:name="_GoBack" w:id="0"/>
      <w:bookmarkEnd w:id="0"/>
      <w:r w:rsidRPr="62B6A4CE" w:rsidR="62B6A4CE">
        <w:rPr>
          <w:b w:val="1"/>
          <w:bCs w:val="1"/>
          <w:sz w:val="24"/>
          <w:szCs w:val="24"/>
          <w:u w:val="single"/>
        </w:rPr>
        <w:t>Dissertation Plan</w:t>
      </w:r>
    </w:p>
    <w:p w:rsidR="62B6A4CE" w:rsidP="62B6A4CE" w:rsidRDefault="62B6A4CE" w14:paraId="7A015652" w14:textId="61EA34E6">
      <w:pPr>
        <w:pStyle w:val="Normal"/>
        <w:jc w:val="left"/>
        <w:rPr>
          <w:b w:val="1"/>
          <w:bCs w:val="1"/>
          <w:sz w:val="24"/>
          <w:szCs w:val="24"/>
          <w:u w:val="single"/>
        </w:rPr>
      </w:pPr>
      <w:r w:rsidRPr="62B6A4CE" w:rsidR="62B6A4CE">
        <w:rPr>
          <w:b w:val="1"/>
          <w:bCs w:val="1"/>
          <w:sz w:val="24"/>
          <w:szCs w:val="24"/>
          <w:u w:val="single"/>
        </w:rPr>
        <w:t xml:space="preserve">Title: Eunuchs, </w:t>
      </w:r>
      <w:proofErr w:type="spellStart"/>
      <w:r w:rsidRPr="62B6A4CE" w:rsidR="62B6A4CE">
        <w:rPr>
          <w:b w:val="1"/>
          <w:bCs w:val="1"/>
          <w:sz w:val="24"/>
          <w:szCs w:val="24"/>
          <w:u w:val="single"/>
        </w:rPr>
        <w:t>Pathicus</w:t>
      </w:r>
      <w:proofErr w:type="spellEnd"/>
      <w:r w:rsidRPr="62B6A4CE" w:rsidR="62B6A4CE">
        <w:rPr>
          <w:b w:val="1"/>
          <w:bCs w:val="1"/>
          <w:sz w:val="24"/>
          <w:szCs w:val="24"/>
          <w:u w:val="single"/>
        </w:rPr>
        <w:t xml:space="preserve"> and </w:t>
      </w:r>
      <w:proofErr w:type="spellStart"/>
      <w:r w:rsidRPr="62B6A4CE" w:rsidR="62B6A4CE">
        <w:rPr>
          <w:b w:val="1"/>
          <w:bCs w:val="1"/>
          <w:sz w:val="24"/>
          <w:szCs w:val="24"/>
          <w:u w:val="single"/>
        </w:rPr>
        <w:t>Cinaedus</w:t>
      </w:r>
      <w:proofErr w:type="spellEnd"/>
      <w:r w:rsidRPr="62B6A4CE" w:rsidR="62B6A4CE">
        <w:rPr>
          <w:b w:val="1"/>
          <w:bCs w:val="1"/>
          <w:sz w:val="24"/>
          <w:szCs w:val="24"/>
          <w:u w:val="single"/>
        </w:rPr>
        <w:t>: Variations within Ancient Roman masculinity and male sexuality in the early Imperial Period.</w:t>
      </w:r>
    </w:p>
    <w:p w:rsidR="62B6A4CE" w:rsidP="62B6A4CE" w:rsidRDefault="62B6A4CE" w14:paraId="13FC9103" w14:textId="1EAE3706">
      <w:pPr>
        <w:pStyle w:val="Normal"/>
        <w:jc w:val="left"/>
        <w:rPr>
          <w:b w:val="1"/>
          <w:bCs w:val="1"/>
          <w:sz w:val="24"/>
          <w:szCs w:val="24"/>
          <w:u w:val="single"/>
        </w:rPr>
      </w:pPr>
    </w:p>
    <w:p w:rsidR="62B6A4CE" w:rsidP="62B6A4CE" w:rsidRDefault="62B6A4CE" w14:paraId="72D6001B" w14:textId="21BBA9D7">
      <w:pPr>
        <w:pStyle w:val="Normal"/>
        <w:jc w:val="left"/>
        <w:rPr>
          <w:b w:val="1"/>
          <w:bCs w:val="1"/>
          <w:sz w:val="24"/>
          <w:szCs w:val="24"/>
          <w:u w:val="single"/>
        </w:rPr>
      </w:pPr>
    </w:p>
    <w:p w:rsidR="62B6A4CE" w:rsidP="62B6A4CE" w:rsidRDefault="62B6A4CE" w14:paraId="18977DCE" w14:textId="6D780EBE">
      <w:pPr>
        <w:pStyle w:val="ListParagraph"/>
        <w:numPr>
          <w:ilvl w:val="0"/>
          <w:numId w:val="1"/>
        </w:numPr>
        <w:jc w:val="left"/>
        <w:rPr>
          <w:b w:val="1"/>
          <w:bCs w:val="1"/>
          <w:sz w:val="24"/>
          <w:szCs w:val="24"/>
          <w:u w:val="single"/>
        </w:rPr>
      </w:pPr>
      <w:r w:rsidRPr="62B6A4CE" w:rsidR="62B6A4CE">
        <w:rPr>
          <w:b w:val="1"/>
          <w:bCs w:val="1"/>
          <w:sz w:val="24"/>
          <w:szCs w:val="24"/>
          <w:u w:val="single"/>
        </w:rPr>
        <w:t>Title Page</w:t>
      </w:r>
    </w:p>
    <w:p w:rsidR="62B6A4CE" w:rsidP="62B6A4CE" w:rsidRDefault="62B6A4CE" w14:paraId="543AB0B5" w14:textId="6A6EDF1C">
      <w:pPr>
        <w:pStyle w:val="Normal"/>
        <w:jc w:val="left"/>
        <w:rPr>
          <w:b w:val="1"/>
          <w:bCs w:val="1"/>
          <w:sz w:val="24"/>
          <w:szCs w:val="24"/>
          <w:u w:val="single"/>
        </w:rPr>
      </w:pPr>
    </w:p>
    <w:p w:rsidR="62B6A4CE" w:rsidP="62B6A4CE" w:rsidRDefault="62B6A4CE" w14:paraId="46845334" w14:textId="5ECE98D4">
      <w:pPr>
        <w:pStyle w:val="ListParagraph"/>
        <w:numPr>
          <w:ilvl w:val="0"/>
          <w:numId w:val="1"/>
        </w:numPr>
        <w:jc w:val="left"/>
        <w:rPr>
          <w:b w:val="1"/>
          <w:bCs w:val="1"/>
          <w:sz w:val="24"/>
          <w:szCs w:val="24"/>
          <w:u w:val="single"/>
        </w:rPr>
      </w:pPr>
      <w:r w:rsidRPr="62B6A4CE" w:rsidR="62B6A4CE">
        <w:rPr>
          <w:b w:val="1"/>
          <w:bCs w:val="1"/>
          <w:sz w:val="24"/>
          <w:szCs w:val="24"/>
          <w:u w:val="single"/>
        </w:rPr>
        <w:t>Abstract:</w:t>
      </w:r>
    </w:p>
    <w:p w:rsidR="62B6A4CE" w:rsidP="62B6A4CE" w:rsidRDefault="62B6A4CE" w14:paraId="799DECA4" w14:textId="0D15F568">
      <w:pPr>
        <w:pStyle w:val="Normal"/>
        <w:ind w:left="360"/>
        <w:jc w:val="left"/>
        <w:rPr>
          <w:b w:val="1"/>
          <w:bCs w:val="1"/>
          <w:sz w:val="24"/>
          <w:szCs w:val="24"/>
          <w:u w:val="single"/>
        </w:rPr>
      </w:pPr>
      <w:r w:rsidRPr="62B6A4CE" w:rsidR="62B6A4CE">
        <w:rPr>
          <w:b w:val="0"/>
          <w:bCs w:val="0"/>
          <w:sz w:val="24"/>
          <w:szCs w:val="24"/>
          <w:u w:val="none"/>
        </w:rPr>
        <w:t xml:space="preserve">Research into the field of gender abnormalities and male homosexuality in Ancient Rom is a fairly recent occurrence, but in the past three decades there has been some fascinating research coming out, exploring the ideals of masculinity and attitudes to those who would not or could not live in line with these ideals. This essay will explore the male ideal of </w:t>
      </w:r>
      <w:proofErr w:type="spellStart"/>
      <w:r w:rsidRPr="62B6A4CE" w:rsidR="62B6A4CE">
        <w:rPr>
          <w:b w:val="0"/>
          <w:bCs w:val="0"/>
          <w:i w:val="1"/>
          <w:iCs w:val="1"/>
          <w:sz w:val="24"/>
          <w:szCs w:val="24"/>
          <w:u w:val="none"/>
        </w:rPr>
        <w:t>virtus</w:t>
      </w:r>
      <w:proofErr w:type="spellEnd"/>
      <w:r w:rsidRPr="62B6A4CE" w:rsidR="62B6A4CE">
        <w:rPr>
          <w:b w:val="0"/>
          <w:bCs w:val="0"/>
          <w:i w:val="1"/>
          <w:iCs w:val="1"/>
          <w:sz w:val="24"/>
          <w:szCs w:val="24"/>
          <w:u w:val="none"/>
        </w:rPr>
        <w:t xml:space="preserve"> </w:t>
      </w:r>
      <w:r w:rsidRPr="62B6A4CE" w:rsidR="62B6A4CE">
        <w:rPr>
          <w:b w:val="0"/>
          <w:bCs w:val="0"/>
          <w:i w:val="0"/>
          <w:iCs w:val="0"/>
          <w:sz w:val="24"/>
          <w:szCs w:val="24"/>
          <w:u w:val="none"/>
        </w:rPr>
        <w:t>and the importance of male sexual roles. It will also look at the roles and attitudes towards eunuchs, pederasty, homosexuality and heterosexual effeminate men, as well as the evolution of scholarship on these topics. I will be looking primarily at poetry, legal speeches and literature produced within the first 200 years of the Imperial period in order to provide background and evidence for my arguments and case studies. The primary purpose of this dissertation is to attempt to demonstrate that while there were traditional ideals for Roman men to live up to, there was such a complicated array of sub-types of men, both in terms of gender presentation and sexual roles/orientations, that one cannot summarize Ancient Rome as a traditionally masculine and heterosexual society.</w:t>
      </w:r>
    </w:p>
    <w:p w:rsidR="62B6A4CE" w:rsidP="62B6A4CE" w:rsidRDefault="62B6A4CE" w14:paraId="2C1A2701" w14:textId="08157364">
      <w:pPr>
        <w:pStyle w:val="Normal"/>
        <w:ind w:left="360"/>
        <w:jc w:val="left"/>
        <w:rPr>
          <w:b w:val="1"/>
          <w:bCs w:val="1"/>
          <w:sz w:val="24"/>
          <w:szCs w:val="24"/>
          <w:u w:val="single"/>
        </w:rPr>
      </w:pPr>
    </w:p>
    <w:p w:rsidR="62B6A4CE" w:rsidP="62B6A4CE" w:rsidRDefault="62B6A4CE" w14:paraId="11FCD745" w14:textId="649CE003">
      <w:pPr>
        <w:pStyle w:val="ListParagraph"/>
        <w:numPr>
          <w:ilvl w:val="0"/>
          <w:numId w:val="1"/>
        </w:numPr>
        <w:jc w:val="left"/>
        <w:rPr>
          <w:b w:val="1"/>
          <w:bCs w:val="1"/>
          <w:sz w:val="24"/>
          <w:szCs w:val="24"/>
          <w:u w:val="single"/>
        </w:rPr>
      </w:pPr>
      <w:r w:rsidRPr="62B6A4CE" w:rsidR="62B6A4CE">
        <w:rPr>
          <w:b w:val="1"/>
          <w:bCs w:val="1"/>
          <w:sz w:val="24"/>
          <w:szCs w:val="24"/>
          <w:u w:val="single"/>
        </w:rPr>
        <w:t>Contents Page</w:t>
      </w:r>
    </w:p>
    <w:p w:rsidR="62B6A4CE" w:rsidP="62B6A4CE" w:rsidRDefault="62B6A4CE" w14:paraId="231E3F90" w14:textId="6CC8CEDC">
      <w:pPr>
        <w:pStyle w:val="Normal"/>
        <w:ind w:left="360"/>
        <w:jc w:val="left"/>
        <w:rPr>
          <w:b w:val="1"/>
          <w:bCs w:val="1"/>
          <w:sz w:val="24"/>
          <w:szCs w:val="24"/>
          <w:u w:val="single"/>
        </w:rPr>
      </w:pPr>
    </w:p>
    <w:p w:rsidR="62B6A4CE" w:rsidP="62B6A4CE" w:rsidRDefault="62B6A4CE" w14:paraId="385E8666" w14:textId="200011D5">
      <w:pPr>
        <w:pStyle w:val="ListParagraph"/>
        <w:numPr>
          <w:ilvl w:val="0"/>
          <w:numId w:val="1"/>
        </w:numPr>
        <w:jc w:val="left"/>
        <w:rPr>
          <w:b w:val="1"/>
          <w:bCs w:val="1"/>
          <w:sz w:val="24"/>
          <w:szCs w:val="24"/>
          <w:u w:val="single"/>
        </w:rPr>
      </w:pPr>
      <w:r w:rsidRPr="62B6A4CE" w:rsidR="62B6A4CE">
        <w:rPr>
          <w:b w:val="1"/>
          <w:bCs w:val="1"/>
          <w:sz w:val="24"/>
          <w:szCs w:val="24"/>
          <w:u w:val="single"/>
        </w:rPr>
        <w:t>Introduction</w:t>
      </w:r>
    </w:p>
    <w:p w:rsidR="62B6A4CE" w:rsidP="62B6A4CE" w:rsidRDefault="62B6A4CE" w14:paraId="3A63A338" w14:textId="0888243A">
      <w:pPr>
        <w:pStyle w:val="Normal"/>
        <w:ind w:left="360"/>
        <w:jc w:val="left"/>
        <w:rPr>
          <w:b w:val="1"/>
          <w:bCs w:val="1"/>
          <w:sz w:val="24"/>
          <w:szCs w:val="24"/>
          <w:u w:val="single"/>
        </w:rPr>
      </w:pPr>
      <w:r w:rsidRPr="62B6A4CE" w:rsidR="62B6A4CE">
        <w:rPr>
          <w:b w:val="0"/>
          <w:bCs w:val="0"/>
          <w:sz w:val="24"/>
          <w:szCs w:val="24"/>
          <w:u w:val="none"/>
        </w:rPr>
        <w:t xml:space="preserve">The topics covered in the introduction will be, in order: The importance of the research, the historical background and the layout of the dissertation. </w:t>
      </w:r>
    </w:p>
    <w:p w:rsidR="62B6A4CE" w:rsidP="62B6A4CE" w:rsidRDefault="62B6A4CE" w14:paraId="2E1F299A" w14:textId="445DAC79">
      <w:pPr>
        <w:pStyle w:val="Normal"/>
        <w:ind w:left="360"/>
        <w:jc w:val="left"/>
        <w:rPr>
          <w:b w:val="1"/>
          <w:bCs w:val="1"/>
          <w:sz w:val="24"/>
          <w:szCs w:val="24"/>
          <w:u w:val="single"/>
        </w:rPr>
      </w:pPr>
    </w:p>
    <w:p w:rsidR="62B6A4CE" w:rsidP="62B6A4CE" w:rsidRDefault="62B6A4CE" w14:paraId="51CB5316" w14:textId="121F7244">
      <w:pPr>
        <w:pStyle w:val="ListParagraph"/>
        <w:numPr>
          <w:ilvl w:val="0"/>
          <w:numId w:val="1"/>
        </w:numPr>
        <w:jc w:val="left"/>
        <w:rPr>
          <w:b w:val="1"/>
          <w:bCs w:val="1"/>
          <w:sz w:val="24"/>
          <w:szCs w:val="24"/>
          <w:u w:val="single"/>
        </w:rPr>
      </w:pPr>
      <w:r w:rsidRPr="62B6A4CE" w:rsidR="62B6A4CE">
        <w:rPr>
          <w:b w:val="1"/>
          <w:bCs w:val="1"/>
          <w:sz w:val="24"/>
          <w:szCs w:val="24"/>
          <w:u w:val="single"/>
        </w:rPr>
        <w:t>Literature Review</w:t>
      </w:r>
    </w:p>
    <w:p w:rsidR="62B6A4CE" w:rsidP="2A61714F" w:rsidRDefault="62B6A4CE" w14:paraId="08C1C3EB" w14:textId="64928CCB">
      <w:pPr>
        <w:pStyle w:val="Normal"/>
        <w:ind w:left="360"/>
        <w:jc w:val="left"/>
        <w:rPr>
          <w:b w:val="1"/>
          <w:bCs w:val="1"/>
          <w:sz w:val="24"/>
          <w:szCs w:val="24"/>
          <w:u w:val="single"/>
        </w:rPr>
      </w:pPr>
      <w:r w:rsidRPr="2A61714F" w:rsidR="2A61714F">
        <w:rPr>
          <w:b w:val="0"/>
          <w:bCs w:val="0"/>
          <w:sz w:val="24"/>
          <w:szCs w:val="24"/>
          <w:u w:val="none"/>
        </w:rPr>
        <w:t xml:space="preserve">This literature review will be arranged by period, starting with the work of Adams in 1982 and progressing through with the most important writings by decade in order the demonstrate the evolution of thinking on gender and sexuality within scholarship. </w:t>
      </w:r>
      <w:r w:rsidRPr="2A61714F" w:rsidR="2A61714F">
        <w:rPr>
          <w:b w:val="0"/>
          <w:bCs w:val="0"/>
          <w:sz w:val="24"/>
          <w:szCs w:val="24"/>
          <w:u w:val="none"/>
        </w:rPr>
        <w:t xml:space="preserve">My main talking points will be the evolution of scholarship on the existence and legality of homosexuality in Rome and the increasing acceptance and publication on gender taboos. </w:t>
      </w:r>
      <w:r w:rsidRPr="2A61714F" w:rsidR="2A61714F">
        <w:rPr>
          <w:b w:val="0"/>
          <w:bCs w:val="0"/>
          <w:sz w:val="24"/>
          <w:szCs w:val="24"/>
          <w:u w:val="none"/>
        </w:rPr>
        <w:t>A methodology will be included at the end of this section.</w:t>
      </w:r>
    </w:p>
    <w:p w:rsidR="62B6A4CE" w:rsidP="62B6A4CE" w:rsidRDefault="62B6A4CE" w14:paraId="4E8AA99F" w14:textId="5FC561A0">
      <w:pPr>
        <w:pStyle w:val="Normal"/>
        <w:ind w:left="360"/>
        <w:jc w:val="left"/>
        <w:rPr>
          <w:b w:val="1"/>
          <w:bCs w:val="1"/>
          <w:sz w:val="24"/>
          <w:szCs w:val="24"/>
          <w:u w:val="single"/>
        </w:rPr>
      </w:pPr>
    </w:p>
    <w:p w:rsidR="62B6A4CE" w:rsidP="62B6A4CE" w:rsidRDefault="62B6A4CE" w14:paraId="1C6F16CB" w14:textId="7648DBDB">
      <w:pPr>
        <w:pStyle w:val="ListParagraph"/>
        <w:numPr>
          <w:ilvl w:val="0"/>
          <w:numId w:val="1"/>
        </w:numPr>
        <w:jc w:val="left"/>
        <w:rPr>
          <w:b w:val="1"/>
          <w:bCs w:val="1"/>
          <w:sz w:val="24"/>
          <w:szCs w:val="24"/>
          <w:u w:val="single"/>
        </w:rPr>
      </w:pPr>
      <w:r w:rsidRPr="62B6A4CE" w:rsidR="62B6A4CE">
        <w:rPr>
          <w:b w:val="1"/>
          <w:bCs w:val="1"/>
          <w:sz w:val="24"/>
          <w:szCs w:val="24"/>
          <w:u w:val="single"/>
        </w:rPr>
        <w:t>Chapter 1</w:t>
      </w:r>
    </w:p>
    <w:p w:rsidR="62B6A4CE" w:rsidP="2A61714F" w:rsidRDefault="62B6A4CE" w14:paraId="536D9A98" w14:textId="0F71A4F6">
      <w:pPr>
        <w:pStyle w:val="Normal"/>
        <w:ind w:left="360"/>
        <w:jc w:val="left"/>
        <w:rPr>
          <w:b w:val="0"/>
          <w:bCs w:val="0"/>
          <w:i w:val="0"/>
          <w:iCs w:val="0"/>
          <w:sz w:val="24"/>
          <w:szCs w:val="24"/>
          <w:u w:val="none"/>
        </w:rPr>
      </w:pPr>
      <w:r w:rsidRPr="2A61714F" w:rsidR="2A61714F">
        <w:rPr>
          <w:b w:val="0"/>
          <w:bCs w:val="0"/>
          <w:sz w:val="24"/>
          <w:szCs w:val="24"/>
          <w:u w:val="none"/>
        </w:rPr>
        <w:t xml:space="preserve">The first chapter will be titled ‘What was masculinity to the Romans and how was it measured?’. The three primary topics covered will be: 1. ‘Ideal’ masculinity and how that was defined over the time period, 2. </w:t>
      </w:r>
      <w:r w:rsidRPr="2A61714F" w:rsidR="2A61714F">
        <w:rPr>
          <w:b w:val="0"/>
          <w:bCs w:val="0"/>
          <w:i w:val="1"/>
          <w:iCs w:val="1"/>
          <w:sz w:val="24"/>
          <w:szCs w:val="24"/>
          <w:u w:val="none"/>
        </w:rPr>
        <w:t xml:space="preserve">Virtus </w:t>
      </w:r>
      <w:r w:rsidRPr="2A61714F" w:rsidR="2A61714F">
        <w:rPr>
          <w:b w:val="0"/>
          <w:bCs w:val="0"/>
          <w:i w:val="0"/>
          <w:iCs w:val="0"/>
          <w:sz w:val="24"/>
          <w:szCs w:val="24"/>
          <w:u w:val="none"/>
        </w:rPr>
        <w:t xml:space="preserve">and its expression in literature and 3. Conservative attitudes to male expression. </w:t>
      </w:r>
    </w:p>
    <w:p w:rsidR="2A61714F" w:rsidP="2A61714F" w:rsidRDefault="2A61714F" w14:paraId="5AB6BF54" w14:textId="4BB27ED1">
      <w:pPr>
        <w:pStyle w:val="Normal"/>
        <w:ind w:left="360"/>
        <w:jc w:val="left"/>
        <w:rPr>
          <w:b w:val="0"/>
          <w:bCs w:val="0"/>
          <w:i w:val="0"/>
          <w:iCs w:val="0"/>
          <w:sz w:val="24"/>
          <w:szCs w:val="24"/>
          <w:u w:val="none"/>
        </w:rPr>
      </w:pPr>
    </w:p>
    <w:p w:rsidR="2A61714F" w:rsidP="37E8DDEA" w:rsidRDefault="2A61714F" w14:paraId="77DD4D62" w14:textId="2CD232E3">
      <w:pPr>
        <w:pStyle w:val="Normal"/>
        <w:ind w:left="360"/>
        <w:jc w:val="left"/>
        <w:rPr>
          <w:b w:val="0"/>
          <w:bCs w:val="0"/>
          <w:i w:val="0"/>
          <w:iCs w:val="0"/>
          <w:sz w:val="24"/>
          <w:szCs w:val="24"/>
          <w:u w:val="none"/>
        </w:rPr>
      </w:pPr>
      <w:r w:rsidRPr="37E8DDEA" w:rsidR="37E8DDEA">
        <w:rPr>
          <w:b w:val="0"/>
          <w:bCs w:val="0"/>
          <w:i w:val="0"/>
          <w:iCs w:val="0"/>
          <w:sz w:val="24"/>
          <w:szCs w:val="24"/>
          <w:u w:val="none"/>
        </w:rPr>
        <w:t xml:space="preserve">To explore masculinity, I will be relying primarily on modern scholarship, particularly </w:t>
      </w:r>
      <w:proofErr w:type="spellStart"/>
      <w:r w:rsidRPr="37E8DDEA" w:rsidR="37E8DDEA">
        <w:rPr>
          <w:b w:val="0"/>
          <w:bCs w:val="0"/>
          <w:i w:val="0"/>
          <w:iCs w:val="0"/>
          <w:sz w:val="24"/>
          <w:szCs w:val="24"/>
          <w:u w:val="none"/>
        </w:rPr>
        <w:t>Kuefler’s</w:t>
      </w:r>
      <w:proofErr w:type="spellEnd"/>
      <w:r w:rsidRPr="37E8DDEA" w:rsidR="37E8DDEA">
        <w:rPr>
          <w:b w:val="0"/>
          <w:bCs w:val="0"/>
          <w:i w:val="0"/>
          <w:iCs w:val="0"/>
          <w:sz w:val="24"/>
          <w:szCs w:val="24"/>
          <w:u w:val="none"/>
        </w:rPr>
        <w:t xml:space="preserve"> 2001 book </w:t>
      </w:r>
      <w:r w:rsidRPr="37E8DDEA" w:rsidR="37E8DDEA">
        <w:rPr>
          <w:b w:val="0"/>
          <w:bCs w:val="0"/>
          <w:i w:val="1"/>
          <w:iCs w:val="1"/>
          <w:sz w:val="24"/>
          <w:szCs w:val="24"/>
          <w:u w:val="none"/>
        </w:rPr>
        <w:t>‘The Manly Eunuch</w:t>
      </w:r>
      <w:r w:rsidRPr="37E8DDEA" w:rsidR="37E8DDEA">
        <w:rPr>
          <w:b w:val="0"/>
          <w:bCs w:val="0"/>
          <w:i w:val="0"/>
          <w:iCs w:val="0"/>
          <w:sz w:val="24"/>
          <w:szCs w:val="24"/>
          <w:u w:val="none"/>
        </w:rPr>
        <w:t xml:space="preserve">’ and McDonnell’s 2006 book </w:t>
      </w:r>
      <w:r w:rsidRPr="37E8DDEA" w:rsidR="37E8DDEA">
        <w:rPr>
          <w:b w:val="0"/>
          <w:bCs w:val="0"/>
          <w:i w:val="1"/>
          <w:iCs w:val="1"/>
          <w:sz w:val="24"/>
          <w:szCs w:val="24"/>
          <w:u w:val="none"/>
        </w:rPr>
        <w:t xml:space="preserve">‘Roman Manliness: Virtus and the Roman Republic’. </w:t>
      </w:r>
      <w:r w:rsidRPr="37E8DDEA" w:rsidR="37E8DDEA">
        <w:rPr>
          <w:b w:val="0"/>
          <w:bCs w:val="0"/>
          <w:i w:val="1"/>
          <w:iCs w:val="1"/>
          <w:sz w:val="24"/>
          <w:szCs w:val="24"/>
          <w:u w:val="none"/>
        </w:rPr>
        <w:t xml:space="preserve"> </w:t>
      </w:r>
      <w:r w:rsidRPr="37E8DDEA" w:rsidR="37E8DDEA">
        <w:rPr>
          <w:b w:val="0"/>
          <w:bCs w:val="0"/>
          <w:i w:val="0"/>
          <w:iCs w:val="0"/>
          <w:sz w:val="24"/>
          <w:szCs w:val="24"/>
          <w:u w:val="none"/>
        </w:rPr>
        <w:t xml:space="preserve">To look more in depth at how the Roman’s observed and interacted with the idea of masculinity, I will be analyzing </w:t>
      </w:r>
      <w:proofErr w:type="spellStart"/>
      <w:r w:rsidRPr="37E8DDEA" w:rsidR="37E8DDEA">
        <w:rPr>
          <w:b w:val="0"/>
          <w:bCs w:val="0"/>
          <w:i w:val="0"/>
          <w:iCs w:val="0"/>
          <w:sz w:val="24"/>
          <w:szCs w:val="24"/>
          <w:u w:val="none"/>
        </w:rPr>
        <w:t>Martial’s</w:t>
      </w:r>
      <w:proofErr w:type="spellEnd"/>
      <w:r w:rsidRPr="37E8DDEA" w:rsidR="37E8DDEA">
        <w:rPr>
          <w:b w:val="0"/>
          <w:bCs w:val="0"/>
          <w:i w:val="0"/>
          <w:iCs w:val="0"/>
          <w:sz w:val="24"/>
          <w:szCs w:val="24"/>
          <w:u w:val="none"/>
        </w:rPr>
        <w:t xml:space="preserve"> ‘</w:t>
      </w:r>
      <w:r w:rsidRPr="37E8DDEA" w:rsidR="37E8DDEA">
        <w:rPr>
          <w:b w:val="0"/>
          <w:bCs w:val="0"/>
          <w:i w:val="1"/>
          <w:iCs w:val="1"/>
          <w:sz w:val="24"/>
          <w:szCs w:val="24"/>
          <w:u w:val="none"/>
        </w:rPr>
        <w:t xml:space="preserve">Epigrams’ </w:t>
      </w:r>
      <w:r w:rsidRPr="37E8DDEA" w:rsidR="37E8DDEA">
        <w:rPr>
          <w:b w:val="0"/>
          <w:bCs w:val="0"/>
          <w:i w:val="0"/>
          <w:iCs w:val="0"/>
          <w:sz w:val="24"/>
          <w:szCs w:val="24"/>
          <w:u w:val="none"/>
        </w:rPr>
        <w:t xml:space="preserve">and Plutarch’s </w:t>
      </w:r>
      <w:r w:rsidRPr="37E8DDEA" w:rsidR="37E8DDEA">
        <w:rPr>
          <w:b w:val="0"/>
          <w:bCs w:val="0"/>
          <w:i w:val="1"/>
          <w:iCs w:val="1"/>
          <w:sz w:val="24"/>
          <w:szCs w:val="24"/>
          <w:u w:val="none"/>
        </w:rPr>
        <w:t xml:space="preserve">‘Life of Pompey’ </w:t>
      </w:r>
      <w:r w:rsidRPr="37E8DDEA" w:rsidR="37E8DDEA">
        <w:rPr>
          <w:b w:val="0"/>
          <w:bCs w:val="0"/>
          <w:i w:val="0"/>
          <w:iCs w:val="0"/>
          <w:sz w:val="24"/>
          <w:szCs w:val="24"/>
          <w:u w:val="none"/>
        </w:rPr>
        <w:t>due to his reputation as being conservatively masculine compared to Mark Antony and Julius Caesar’s general reputations as slightly more effeminate.</w:t>
      </w:r>
    </w:p>
    <w:p w:rsidR="37E8DDEA" w:rsidP="37E8DDEA" w:rsidRDefault="37E8DDEA" w14:paraId="5074845D" w14:textId="37F49CDC">
      <w:pPr>
        <w:pStyle w:val="Normal"/>
        <w:ind w:left="360"/>
        <w:jc w:val="left"/>
        <w:rPr>
          <w:b w:val="0"/>
          <w:bCs w:val="0"/>
          <w:i w:val="0"/>
          <w:iCs w:val="0"/>
          <w:sz w:val="24"/>
          <w:szCs w:val="24"/>
          <w:u w:val="none"/>
        </w:rPr>
      </w:pPr>
    </w:p>
    <w:p w:rsidR="37E8DDEA" w:rsidP="37E8DDEA" w:rsidRDefault="37E8DDEA" w14:paraId="41DE2332" w14:textId="65D68BE7">
      <w:pPr>
        <w:pStyle w:val="Normal"/>
        <w:ind w:left="360"/>
        <w:jc w:val="left"/>
        <w:rPr>
          <w:b w:val="0"/>
          <w:bCs w:val="0"/>
          <w:i w:val="0"/>
          <w:iCs w:val="0"/>
          <w:sz w:val="24"/>
          <w:szCs w:val="24"/>
          <w:u w:val="none"/>
        </w:rPr>
      </w:pPr>
      <w:r w:rsidRPr="37E8DDEA" w:rsidR="37E8DDEA">
        <w:rPr>
          <w:b w:val="0"/>
          <w:bCs w:val="0"/>
          <w:i w:val="0"/>
          <w:iCs w:val="0"/>
          <w:sz w:val="24"/>
          <w:szCs w:val="24"/>
          <w:u w:val="none"/>
        </w:rPr>
        <w:t xml:space="preserve">The discussion on conservative attitudes to male expression will be heavily linked to chapter two and </w:t>
      </w:r>
      <w:r w:rsidRPr="37E8DDEA" w:rsidR="37E8DDEA">
        <w:rPr>
          <w:b w:val="0"/>
          <w:bCs w:val="0"/>
          <w:i w:val="0"/>
          <w:iCs w:val="0"/>
          <w:sz w:val="24"/>
          <w:szCs w:val="24"/>
          <w:u w:val="none"/>
        </w:rPr>
        <w:t>its</w:t>
      </w:r>
      <w:r w:rsidRPr="37E8DDEA" w:rsidR="37E8DDEA">
        <w:rPr>
          <w:b w:val="0"/>
          <w:bCs w:val="0"/>
          <w:i w:val="0"/>
          <w:iCs w:val="0"/>
          <w:sz w:val="24"/>
          <w:szCs w:val="24"/>
          <w:u w:val="none"/>
        </w:rPr>
        <w:t xml:space="preserve"> content on effeminacy so there will be much comparison to be done between these two sections.</w:t>
      </w:r>
    </w:p>
    <w:p w:rsidR="62B6A4CE" w:rsidP="62B6A4CE" w:rsidRDefault="62B6A4CE" w14:paraId="0DF77BAD" w14:textId="09DEF62A">
      <w:pPr>
        <w:pStyle w:val="Normal"/>
        <w:ind w:left="360"/>
        <w:jc w:val="left"/>
        <w:rPr>
          <w:b w:val="1"/>
          <w:bCs w:val="1"/>
          <w:sz w:val="24"/>
          <w:szCs w:val="24"/>
          <w:u w:val="single"/>
        </w:rPr>
      </w:pPr>
    </w:p>
    <w:p w:rsidR="62B6A4CE" w:rsidP="62B6A4CE" w:rsidRDefault="62B6A4CE" w14:paraId="30EAE06A" w14:textId="7CFEEF5E">
      <w:pPr>
        <w:pStyle w:val="ListParagraph"/>
        <w:numPr>
          <w:ilvl w:val="0"/>
          <w:numId w:val="1"/>
        </w:numPr>
        <w:jc w:val="left"/>
        <w:rPr>
          <w:b w:val="1"/>
          <w:bCs w:val="1"/>
          <w:sz w:val="24"/>
          <w:szCs w:val="24"/>
          <w:u w:val="single"/>
        </w:rPr>
      </w:pPr>
      <w:r w:rsidRPr="62B6A4CE" w:rsidR="62B6A4CE">
        <w:rPr>
          <w:b w:val="1"/>
          <w:bCs w:val="1"/>
          <w:sz w:val="24"/>
          <w:szCs w:val="24"/>
          <w:u w:val="single"/>
        </w:rPr>
        <w:t>Chapter 2</w:t>
      </w:r>
    </w:p>
    <w:p w:rsidR="62B6A4CE" w:rsidP="1D4D567E" w:rsidRDefault="62B6A4CE" w14:paraId="00254FF9" w14:textId="06B36A34">
      <w:pPr>
        <w:pStyle w:val="Normal"/>
        <w:ind w:left="360"/>
        <w:jc w:val="left"/>
        <w:rPr>
          <w:b w:val="1"/>
          <w:bCs w:val="1"/>
          <w:sz w:val="24"/>
          <w:szCs w:val="24"/>
          <w:u w:val="single"/>
        </w:rPr>
      </w:pPr>
      <w:r w:rsidRPr="1D4D567E" w:rsidR="1D4D567E">
        <w:rPr>
          <w:b w:val="0"/>
          <w:bCs w:val="0"/>
          <w:sz w:val="24"/>
          <w:szCs w:val="24"/>
          <w:u w:val="none"/>
        </w:rPr>
        <w:t xml:space="preserve">This chapter is </w:t>
      </w:r>
      <w:r w:rsidRPr="1D4D567E" w:rsidR="1D4D567E">
        <w:rPr>
          <w:b w:val="0"/>
          <w:bCs w:val="0"/>
          <w:sz w:val="24"/>
          <w:szCs w:val="24"/>
          <w:u w:val="none"/>
        </w:rPr>
        <w:t xml:space="preserve">entitled </w:t>
      </w:r>
      <w:r w:rsidRPr="1D4D567E" w:rsidR="1D4D567E">
        <w:rPr>
          <w:b w:val="0"/>
          <w:bCs w:val="0"/>
          <w:sz w:val="24"/>
          <w:szCs w:val="24"/>
          <w:u w:val="none"/>
        </w:rPr>
        <w:t>‘</w:t>
      </w:r>
      <w:r w:rsidRPr="1D4D567E" w:rsidR="1D4D567E">
        <w:rPr>
          <w:b w:val="0"/>
          <w:bCs w:val="0"/>
          <w:sz w:val="24"/>
          <w:szCs w:val="24"/>
          <w:u w:val="none"/>
        </w:rPr>
        <w:t xml:space="preserve">How did some men subvert ‘ideal’ masculine stereotypes and what were the attitudes towards them?’ The two primary topics covered in this chapter will be effeminacy in heterosexual men and eunuchs. </w:t>
      </w:r>
    </w:p>
    <w:p w:rsidR="62B6A4CE" w:rsidP="2A61714F" w:rsidRDefault="62B6A4CE" w14:paraId="01804362" w14:textId="79E46615">
      <w:pPr>
        <w:pStyle w:val="Normal"/>
        <w:ind w:left="360"/>
        <w:jc w:val="left"/>
        <w:rPr>
          <w:b w:val="0"/>
          <w:bCs w:val="0"/>
          <w:sz w:val="24"/>
          <w:szCs w:val="24"/>
          <w:u w:val="none"/>
        </w:rPr>
      </w:pPr>
      <w:r w:rsidRPr="2A61714F" w:rsidR="2A61714F">
        <w:rPr>
          <w:b w:val="0"/>
          <w:bCs w:val="0"/>
          <w:sz w:val="24"/>
          <w:szCs w:val="24"/>
          <w:u w:val="none"/>
        </w:rPr>
        <w:t xml:space="preserve">For the research on effeminacy I will be using Olsen’s 2014 article on the notion of ‘dandies’ and using the poems of Juvenal and </w:t>
      </w:r>
      <w:proofErr w:type="spellStart"/>
      <w:r w:rsidRPr="2A61714F" w:rsidR="2A61714F">
        <w:rPr>
          <w:b w:val="0"/>
          <w:bCs w:val="0"/>
          <w:sz w:val="24"/>
          <w:szCs w:val="24"/>
          <w:u w:val="none"/>
        </w:rPr>
        <w:t>Cattalus</w:t>
      </w:r>
      <w:proofErr w:type="spellEnd"/>
      <w:r w:rsidRPr="2A61714F" w:rsidR="2A61714F">
        <w:rPr>
          <w:b w:val="0"/>
          <w:bCs w:val="0"/>
          <w:sz w:val="24"/>
          <w:szCs w:val="24"/>
          <w:u w:val="none"/>
        </w:rPr>
        <w:t xml:space="preserve"> for a contemporary view. In terms of case studies, The Twelve Caesar’s by Suetonius is full of promising material which I will be utilizing within this chapter, both for effeminacy and for eunuchs.</w:t>
      </w:r>
      <w:r w:rsidRPr="2A61714F" w:rsidR="2A61714F">
        <w:rPr>
          <w:b w:val="0"/>
          <w:bCs w:val="0"/>
          <w:sz w:val="24"/>
          <w:szCs w:val="24"/>
          <w:u w:val="none"/>
        </w:rPr>
        <w:t xml:space="preserve"> Plutarch and Cicero can also both be used to great effect, particularly in regards to the </w:t>
      </w:r>
      <w:proofErr w:type="spellStart"/>
      <w:r w:rsidRPr="2A61714F" w:rsidR="2A61714F">
        <w:rPr>
          <w:b w:val="0"/>
          <w:bCs w:val="0"/>
          <w:sz w:val="24"/>
          <w:szCs w:val="24"/>
          <w:u w:val="none"/>
        </w:rPr>
        <w:t>Verrine</w:t>
      </w:r>
      <w:proofErr w:type="spellEnd"/>
      <w:r w:rsidRPr="2A61714F" w:rsidR="2A61714F">
        <w:rPr>
          <w:b w:val="0"/>
          <w:bCs w:val="0"/>
          <w:sz w:val="24"/>
          <w:szCs w:val="24"/>
          <w:u w:val="none"/>
        </w:rPr>
        <w:t xml:space="preserve"> Orations and Plutarch’s ‘Life of Antony’.</w:t>
      </w:r>
    </w:p>
    <w:p w:rsidR="62B6A4CE" w:rsidP="62B6A4CE" w:rsidRDefault="62B6A4CE" w14:paraId="66DC38EF" w14:textId="24D7C350">
      <w:pPr>
        <w:pStyle w:val="Normal"/>
        <w:ind w:left="0"/>
        <w:jc w:val="left"/>
        <w:rPr>
          <w:b w:val="0"/>
          <w:bCs w:val="0"/>
          <w:sz w:val="24"/>
          <w:szCs w:val="24"/>
          <w:u w:val="none"/>
        </w:rPr>
      </w:pPr>
    </w:p>
    <w:p w:rsidR="62B6A4CE" w:rsidP="62B6A4CE" w:rsidRDefault="62B6A4CE" w14:paraId="3BB4340C" w14:textId="0CB2720B">
      <w:pPr>
        <w:pStyle w:val="Normal"/>
        <w:ind w:left="360"/>
        <w:jc w:val="left"/>
        <w:rPr>
          <w:b w:val="1"/>
          <w:bCs w:val="1"/>
          <w:sz w:val="24"/>
          <w:szCs w:val="24"/>
          <w:u w:val="single"/>
        </w:rPr>
      </w:pPr>
    </w:p>
    <w:p w:rsidR="62B6A4CE" w:rsidP="62B6A4CE" w:rsidRDefault="62B6A4CE" w14:paraId="13A2BB55" w14:textId="0BCB4646">
      <w:pPr>
        <w:pStyle w:val="ListParagraph"/>
        <w:numPr>
          <w:ilvl w:val="0"/>
          <w:numId w:val="1"/>
        </w:numPr>
        <w:jc w:val="left"/>
        <w:rPr>
          <w:b w:val="1"/>
          <w:bCs w:val="1"/>
          <w:sz w:val="24"/>
          <w:szCs w:val="24"/>
          <w:u w:val="single"/>
        </w:rPr>
      </w:pPr>
      <w:r w:rsidRPr="62B6A4CE" w:rsidR="62B6A4CE">
        <w:rPr>
          <w:b w:val="1"/>
          <w:bCs w:val="1"/>
          <w:sz w:val="24"/>
          <w:szCs w:val="24"/>
          <w:u w:val="single"/>
        </w:rPr>
        <w:t>Chapter 3</w:t>
      </w:r>
    </w:p>
    <w:p w:rsidR="62B6A4CE" w:rsidP="2A61714F" w:rsidRDefault="62B6A4CE" w14:paraId="26FC930E" w14:textId="24A21C4F">
      <w:pPr>
        <w:pStyle w:val="Normal"/>
        <w:ind w:left="360"/>
        <w:jc w:val="left"/>
        <w:rPr>
          <w:rFonts w:ascii="Calibri" w:hAnsi="Calibri" w:eastAsia="Calibri" w:cs="Calibri" w:asciiTheme="minorAscii" w:hAnsiTheme="minorAscii" w:eastAsiaTheme="minorAscii" w:cstheme="minorAscii"/>
          <w:b w:val="1"/>
          <w:bCs w:val="1"/>
          <w:color w:val="auto"/>
          <w:sz w:val="24"/>
          <w:szCs w:val="24"/>
          <w:u w:val="single"/>
        </w:rPr>
      </w:pPr>
      <w:r w:rsidRPr="2A61714F" w:rsidR="2A61714F">
        <w:rPr>
          <w:b w:val="0"/>
          <w:bCs w:val="0"/>
          <w:sz w:val="24"/>
          <w:szCs w:val="24"/>
          <w:u w:val="none"/>
        </w:rPr>
        <w:t xml:space="preserve">This chapter is entitled ‘Male sexuality in Rome and variations within it’. This will be the longest chapter, probably around 2500 words, due to the vast amount of material, both </w:t>
      </w:r>
      <w:r w:rsidRPr="2A61714F" w:rsidR="2A61714F">
        <w:rPr>
          <w:rFonts w:ascii="Calibri" w:hAnsi="Calibri" w:eastAsia="Calibri" w:cs="Calibri" w:asciiTheme="minorAscii" w:hAnsiTheme="minorAscii" w:eastAsiaTheme="minorAscii" w:cstheme="minorAscii"/>
          <w:b w:val="0"/>
          <w:bCs w:val="0"/>
          <w:color w:val="auto"/>
          <w:sz w:val="24"/>
          <w:szCs w:val="24"/>
          <w:u w:val="none"/>
        </w:rPr>
        <w:t>contemporary and modern, that can be used. There will be three main topics within this chapter. The first is Pederasty and its function, along with exploring the legal standing of it. The second is exploring male sexual roles and their importance to Roman masculinity. This will be focusing less on homosexuality and more on the relationship between sexual dominance and masculinity. However, the last topic will be looking specifically looking male homosexuality and attitudes towards it.</w:t>
      </w:r>
    </w:p>
    <w:p w:rsidR="2A61714F" w:rsidP="2A61714F" w:rsidRDefault="2A61714F" w14:paraId="7E832409" w14:textId="4AE99AD8">
      <w:pPr>
        <w:pStyle w:val="Normal"/>
        <w:ind w:left="360"/>
        <w:jc w:val="left"/>
        <w:rPr>
          <w:rFonts w:ascii="Calibri" w:hAnsi="Calibri" w:eastAsia="Calibri" w:cs="Calibri" w:asciiTheme="minorAscii" w:hAnsiTheme="minorAscii" w:eastAsiaTheme="minorAscii" w:cstheme="minorAscii"/>
          <w:b w:val="0"/>
          <w:bCs w:val="0"/>
          <w:color w:val="auto"/>
          <w:sz w:val="24"/>
          <w:szCs w:val="24"/>
          <w:u w:val="none"/>
        </w:rPr>
      </w:pPr>
    </w:p>
    <w:p w:rsidR="2A61714F" w:rsidP="2A61714F" w:rsidRDefault="2A61714F" w14:paraId="31219225" w14:textId="4EC386C3">
      <w:pPr>
        <w:pStyle w:val="Normal"/>
        <w:ind w:left="360"/>
        <w:jc w:val="left"/>
        <w:rPr>
          <w:rFonts w:ascii="Calibri" w:hAnsi="Calibri" w:eastAsia="Calibri" w:cs="Calibri" w:asciiTheme="minorAscii" w:hAnsiTheme="minorAscii" w:eastAsiaTheme="minorAscii" w:cstheme="minorAscii"/>
          <w:b w:val="0"/>
          <w:bCs w:val="0"/>
          <w:color w:val="auto"/>
          <w:sz w:val="24"/>
          <w:szCs w:val="24"/>
          <w:u w:val="none"/>
        </w:rPr>
      </w:pPr>
      <w:r w:rsidRPr="2A61714F" w:rsidR="2A61714F">
        <w:rPr>
          <w:rFonts w:ascii="Calibri" w:hAnsi="Calibri" w:eastAsia="Calibri" w:cs="Calibri" w:asciiTheme="minorAscii" w:hAnsiTheme="minorAscii" w:eastAsiaTheme="minorAscii" w:cstheme="minorAscii"/>
          <w:b w:val="0"/>
          <w:bCs w:val="0"/>
          <w:color w:val="auto"/>
          <w:sz w:val="24"/>
          <w:szCs w:val="24"/>
          <w:u w:val="none"/>
        </w:rPr>
        <w:t>In terms of ancient sources, I will be using Juvenal, Cattalus, The Digest of Justinian and Lucretius for much of my evidence as there is a vast amount of material that contains euphemisms or direct discussion of ancient homosexuality in this literature.</w:t>
      </w:r>
    </w:p>
    <w:p w:rsidR="62B6A4CE" w:rsidP="2A61714F" w:rsidRDefault="62B6A4CE" w14:paraId="6CE91D6B" w14:textId="47BBF1CC">
      <w:pPr>
        <w:pStyle w:val="Normal"/>
        <w:ind w:left="360"/>
        <w:jc w:val="left"/>
        <w:rPr>
          <w:rFonts w:ascii="Calibri" w:hAnsi="Calibri" w:eastAsia="Calibri" w:cs="Calibri" w:asciiTheme="minorAscii" w:hAnsiTheme="minorAscii" w:eastAsiaTheme="minorAscii" w:cstheme="minorAscii"/>
          <w:b w:val="1"/>
          <w:bCs w:val="1"/>
          <w:color w:val="auto"/>
          <w:sz w:val="24"/>
          <w:szCs w:val="24"/>
          <w:u w:val="single"/>
        </w:rPr>
      </w:pPr>
    </w:p>
    <w:p w:rsidR="62B6A4CE" w:rsidP="2A61714F" w:rsidRDefault="62B6A4CE" w14:paraId="24CF7523" w14:textId="40A147FD">
      <w:pPr>
        <w:pStyle w:val="ListParagraph"/>
        <w:numPr>
          <w:ilvl w:val="0"/>
          <w:numId w:val="1"/>
        </w:numPr>
        <w:jc w:val="left"/>
        <w:rPr>
          <w:b w:val="1"/>
          <w:bCs w:val="1"/>
          <w:color w:val="000000" w:themeColor="text1" w:themeTint="FF" w:themeShade="FF"/>
          <w:sz w:val="24"/>
          <w:szCs w:val="24"/>
          <w:u w:val="single"/>
        </w:rPr>
      </w:pPr>
      <w:r w:rsidRPr="2A61714F" w:rsidR="2A61714F">
        <w:rPr>
          <w:rFonts w:ascii="Calibri" w:hAnsi="Calibri" w:eastAsia="Calibri" w:cs="Calibri" w:asciiTheme="minorAscii" w:hAnsiTheme="minorAscii" w:eastAsiaTheme="minorAscii" w:cstheme="minorAscii"/>
          <w:b w:val="1"/>
          <w:bCs w:val="1"/>
          <w:color w:val="auto"/>
          <w:sz w:val="24"/>
          <w:szCs w:val="24"/>
          <w:u w:val="single"/>
        </w:rPr>
        <w:t>Conclusion</w:t>
      </w:r>
    </w:p>
    <w:p w:rsidR="2A61714F" w:rsidP="2A61714F" w:rsidRDefault="2A61714F" w14:paraId="3005DCE0" w14:textId="5392D369">
      <w:pPr>
        <w:pStyle w:val="Normal"/>
        <w:ind w:left="360"/>
        <w:jc w:val="left"/>
        <w:rPr>
          <w:rFonts w:ascii="Calibri" w:hAnsi="Calibri" w:eastAsia="Calibri" w:cs="Calibri" w:asciiTheme="minorAscii" w:hAnsiTheme="minorAscii" w:eastAsiaTheme="minorAscii" w:cstheme="minorAscii"/>
          <w:b w:val="0"/>
          <w:bCs w:val="0"/>
          <w:color w:val="auto"/>
          <w:sz w:val="24"/>
          <w:szCs w:val="24"/>
          <w:u w:val="none"/>
        </w:rPr>
      </w:pPr>
      <w:r w:rsidRPr="2A61714F" w:rsidR="2A61714F">
        <w:rPr>
          <w:rFonts w:ascii="Calibri" w:hAnsi="Calibri" w:eastAsia="Calibri" w:cs="Calibri" w:asciiTheme="minorAscii" w:hAnsiTheme="minorAscii" w:eastAsiaTheme="minorAscii" w:cstheme="minorAscii"/>
          <w:b w:val="0"/>
          <w:bCs w:val="0"/>
          <w:color w:val="auto"/>
          <w:sz w:val="24"/>
          <w:szCs w:val="24"/>
          <w:u w:val="none"/>
        </w:rPr>
        <w:t>This will be a summary of my arguments, split into the three chapters and finalized with an overarching conclusion and a recommendation for areas of research that could aid in future study of my dissertation topic.</w:t>
      </w:r>
    </w:p>
    <w:p w:rsidR="62B6A4CE" w:rsidP="2A61714F" w:rsidRDefault="62B6A4CE" w14:paraId="4D0332E0" w14:textId="37A9CE00">
      <w:pPr>
        <w:pStyle w:val="Normal"/>
        <w:ind w:left="360"/>
        <w:jc w:val="left"/>
        <w:rPr>
          <w:rFonts w:ascii="Calibri" w:hAnsi="Calibri" w:eastAsia="Calibri" w:cs="Calibri" w:asciiTheme="minorAscii" w:hAnsiTheme="minorAscii" w:eastAsiaTheme="minorAscii" w:cstheme="minorAscii"/>
          <w:b w:val="1"/>
          <w:bCs w:val="1"/>
          <w:color w:val="auto"/>
          <w:sz w:val="24"/>
          <w:szCs w:val="24"/>
          <w:u w:val="single"/>
        </w:rPr>
      </w:pPr>
    </w:p>
    <w:p w:rsidR="62B6A4CE" w:rsidP="2A61714F" w:rsidRDefault="62B6A4CE" w14:paraId="3F992F86" w14:textId="0C37C1C5">
      <w:pPr>
        <w:pStyle w:val="ListParagraph"/>
        <w:numPr>
          <w:ilvl w:val="0"/>
          <w:numId w:val="1"/>
        </w:numPr>
        <w:jc w:val="left"/>
        <w:rPr>
          <w:b w:val="1"/>
          <w:bCs w:val="1"/>
          <w:color w:val="000000" w:themeColor="text1" w:themeTint="FF" w:themeShade="FF"/>
          <w:sz w:val="24"/>
          <w:szCs w:val="24"/>
          <w:u w:val="single"/>
        </w:rPr>
      </w:pPr>
      <w:r w:rsidRPr="2A61714F" w:rsidR="2A61714F">
        <w:rPr>
          <w:rFonts w:ascii="Calibri" w:hAnsi="Calibri" w:eastAsia="Calibri" w:cs="Calibri" w:asciiTheme="minorAscii" w:hAnsiTheme="minorAscii" w:eastAsiaTheme="minorAscii" w:cstheme="minorAscii"/>
          <w:b w:val="1"/>
          <w:bCs w:val="1"/>
          <w:color w:val="auto"/>
          <w:sz w:val="24"/>
          <w:szCs w:val="24"/>
          <w:u w:val="single"/>
        </w:rPr>
        <w:t>References</w:t>
      </w:r>
      <w:r w:rsidRPr="2A61714F" w:rsidR="2A61714F">
        <w:rPr>
          <w:rFonts w:ascii="Calibri" w:hAnsi="Calibri" w:eastAsia="Calibri" w:cs="Calibri" w:asciiTheme="minorAscii" w:hAnsiTheme="minorAscii" w:eastAsiaTheme="minorAscii" w:cstheme="minorAscii"/>
          <w:b w:val="1"/>
          <w:bCs w:val="1"/>
          <w:color w:val="auto"/>
          <w:sz w:val="24"/>
          <w:szCs w:val="24"/>
          <w:u w:val="single"/>
        </w:rPr>
        <w:t xml:space="preserve"> and Bibliography</w:t>
      </w:r>
    </w:p>
    <w:p w:rsidR="2A61714F" w:rsidP="2A61714F" w:rsidRDefault="2A61714F" w14:paraId="3A4A7098" w14:textId="17D7EB2F">
      <w:pPr>
        <w:pStyle w:val="Normal"/>
        <w:ind w:left="360"/>
        <w:jc w:val="left"/>
        <w:rPr>
          <w:rFonts w:ascii="Calibri" w:hAnsi="Calibri" w:eastAsia="Calibri" w:cs="Calibri" w:asciiTheme="minorAscii" w:hAnsiTheme="minorAscii" w:eastAsiaTheme="minorAscii" w:cstheme="minorAscii"/>
          <w:b w:val="1"/>
          <w:bCs w:val="1"/>
          <w:noProof w:val="0"/>
          <w:color w:val="auto"/>
          <w:sz w:val="24"/>
          <w:szCs w:val="24"/>
          <w:lang w:val="en-US"/>
        </w:rPr>
      </w:pPr>
      <w:r w:rsidRPr="2A61714F" w:rsidR="2A61714F">
        <w:rPr>
          <w:rFonts w:ascii="Calibri" w:hAnsi="Calibri" w:eastAsia="Calibri" w:cs="Calibri" w:asciiTheme="minorAscii" w:hAnsiTheme="minorAscii" w:eastAsiaTheme="minorAscii" w:cstheme="minorAscii"/>
          <w:b w:val="1"/>
          <w:bCs w:val="1"/>
          <w:noProof w:val="0"/>
          <w:color w:val="auto"/>
          <w:sz w:val="24"/>
          <w:szCs w:val="24"/>
          <w:lang w:val="en-US"/>
        </w:rPr>
        <w:t>Ancient Sources</w:t>
      </w:r>
    </w:p>
    <w:p w:rsidR="2A61714F" w:rsidP="2A61714F" w:rsidRDefault="2A61714F" w14:paraId="43476193" w14:textId="13A6D25F">
      <w:pPr>
        <w:ind w:left="360"/>
        <w:rPr>
          <w:rFonts w:ascii="Calibri" w:hAnsi="Calibri" w:eastAsia="Calibri" w:cs="Calibri" w:asciiTheme="minorAscii" w:hAnsiTheme="minorAscii" w:eastAsiaTheme="minorAscii" w:cstheme="minorAscii"/>
          <w:noProof w:val="0"/>
          <w:color w:val="auto"/>
          <w:sz w:val="24"/>
          <w:szCs w:val="24"/>
          <w:lang w:val="en-US"/>
        </w:rPr>
      </w:pPr>
      <w:proofErr w:type="spellStart"/>
      <w:r w:rsidRPr="2A61714F" w:rsidR="2A61714F">
        <w:rPr>
          <w:rFonts w:ascii="Calibri" w:hAnsi="Calibri" w:eastAsia="Calibri" w:cs="Calibri" w:asciiTheme="minorAscii" w:hAnsiTheme="minorAscii" w:eastAsiaTheme="minorAscii" w:cstheme="minorAscii"/>
          <w:noProof w:val="0"/>
          <w:color w:val="auto"/>
          <w:sz w:val="24"/>
          <w:szCs w:val="24"/>
          <w:lang w:val="en-US"/>
        </w:rPr>
        <w:t>Cattalus</w:t>
      </w:r>
      <w:proofErr w:type="spellEnd"/>
      <w:r w:rsidRPr="2A61714F" w:rsidR="2A61714F">
        <w:rPr>
          <w:rFonts w:ascii="Calibri" w:hAnsi="Calibri" w:eastAsia="Calibri" w:cs="Calibri" w:asciiTheme="minorAscii" w:hAnsiTheme="minorAscii" w:eastAsiaTheme="minorAscii" w:cstheme="minorAscii"/>
          <w:noProof w:val="0"/>
          <w:color w:val="auto"/>
          <w:sz w:val="24"/>
          <w:szCs w:val="24"/>
          <w:lang w:val="en-US"/>
        </w:rPr>
        <w:t>. The Complete Poems. Guy Lee (trans). 1998. UK: Oxford World Classics.</w:t>
      </w:r>
    </w:p>
    <w:p w:rsidR="2A61714F" w:rsidP="2A61714F" w:rsidRDefault="2A61714F" w14:paraId="36859494" w14:textId="1AD30819">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Cicero. The </w:t>
      </w:r>
      <w:proofErr w:type="spellStart"/>
      <w:r w:rsidRPr="2A61714F" w:rsidR="2A61714F">
        <w:rPr>
          <w:rFonts w:ascii="Calibri" w:hAnsi="Calibri" w:eastAsia="Calibri" w:cs="Calibri" w:asciiTheme="minorAscii" w:hAnsiTheme="minorAscii" w:eastAsiaTheme="minorAscii" w:cstheme="minorAscii"/>
          <w:noProof w:val="0"/>
          <w:color w:val="auto"/>
          <w:sz w:val="24"/>
          <w:szCs w:val="24"/>
          <w:lang w:val="en-US"/>
        </w:rPr>
        <w:t>Verrine</w:t>
      </w:r>
      <w:proofErr w:type="spellEnd"/>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 Orations. L. H. G. Greenwood (trans). 1935. Loeb Classical Library 293. Cambridge, MA: Harvard University Press.</w:t>
      </w:r>
    </w:p>
    <w:p w:rsidR="2A61714F" w:rsidP="2A61714F" w:rsidRDefault="2A61714F" w14:paraId="572562B5" w14:textId="7928C8BB">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Juvenal. The Sixteen Satires. Peter Green (trans). 1998. UK: Penguin Classics.</w:t>
      </w:r>
    </w:p>
    <w:p w:rsidR="2A61714F" w:rsidP="2A61714F" w:rsidRDefault="2A61714F" w14:paraId="0057DE3D" w14:textId="3433D6D4">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Lucretius. On </w:t>
      </w:r>
      <w:proofErr w:type="gramStart"/>
      <w:r w:rsidRPr="2A61714F" w:rsidR="2A61714F">
        <w:rPr>
          <w:rFonts w:ascii="Calibri" w:hAnsi="Calibri" w:eastAsia="Calibri" w:cs="Calibri" w:asciiTheme="minorAscii" w:hAnsiTheme="minorAscii" w:eastAsiaTheme="minorAscii" w:cstheme="minorAscii"/>
          <w:noProof w:val="0"/>
          <w:color w:val="auto"/>
          <w:sz w:val="24"/>
          <w:szCs w:val="24"/>
          <w:lang w:val="en-US"/>
        </w:rPr>
        <w:t>The</w:t>
      </w:r>
      <w:proofErr w:type="gramEnd"/>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 Nature of Things. W.H.D Rouse (trans). 1924. Loeb Classical Library 181. Cambridge, MA: Harvard University Press.</w:t>
      </w:r>
    </w:p>
    <w:p w:rsidR="2A61714F" w:rsidP="2A61714F" w:rsidRDefault="2A61714F" w14:paraId="39C69602" w14:textId="7B993EA3">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Martial. Epigrams. Gideon Nisbet (trans). 2015. UK: Oxford University Press.</w:t>
      </w:r>
    </w:p>
    <w:p w:rsidR="2A61714F" w:rsidP="2A61714F" w:rsidRDefault="2A61714F" w14:paraId="14C7E653" w14:textId="04D7DE8E">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N/A. The Digest of Justinian. Theodor Mommsen, Paul Krueger, and Alan Watson (eds &amp; trans).1985. Philadelphia, PA: University of Pennsylvania Press.</w:t>
      </w:r>
    </w:p>
    <w:p w:rsidR="2A61714F" w:rsidP="2A61714F" w:rsidRDefault="2A61714F" w14:paraId="161ECDFA" w14:textId="2881E51D">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Plutarch. Life of Pompey. Bernadotte Perrin (trans). 1917. Loeb Classical Library 87. Cambridge, MA: Harvard University Press.</w:t>
      </w:r>
    </w:p>
    <w:p w:rsidR="2A61714F" w:rsidP="2A61714F" w:rsidRDefault="2A61714F" w14:paraId="11034108" w14:textId="50D2C720">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Plutarch. Life of Anthony. Bernadotte Perrin (trans). 1920. Loeb Classical Library. Cambridge, MA: Harvard University Press.</w:t>
      </w:r>
    </w:p>
    <w:p w:rsidR="2A61714F" w:rsidP="2A61714F" w:rsidRDefault="2A61714F" w14:paraId="1915D56B" w14:textId="084C56A4">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Seneca The Elder. Declamations. Michael Winterbottom (trans). 1974. Loeb Classical Library 463. Cambridge, MA: Harvard University Press</w:t>
      </w:r>
    </w:p>
    <w:p w:rsidR="2A61714F" w:rsidP="2A61714F" w:rsidRDefault="2A61714F" w14:paraId="050CB6A2" w14:textId="0B62A2C5">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Suetonius. The Twelve Caesars. Robert Graves (trans). 1957. UK: Penguin Classics Ltd.</w:t>
      </w:r>
    </w:p>
    <w:p w:rsidR="2A61714F" w:rsidP="2A61714F" w:rsidRDefault="2A61714F" w14:paraId="5D555110" w14:textId="707F6981">
      <w:pPr>
        <w:ind w:left="360"/>
        <w:rPr>
          <w:rFonts w:ascii="Calibri" w:hAnsi="Calibri" w:eastAsia="Calibri" w:cs="Calibri" w:asciiTheme="minorAscii" w:hAnsiTheme="minorAscii" w:eastAsiaTheme="minorAscii" w:cstheme="minorAscii"/>
          <w:b w:val="1"/>
          <w:bCs w:val="1"/>
          <w:noProof w:val="0"/>
          <w:color w:val="auto"/>
          <w:sz w:val="24"/>
          <w:szCs w:val="24"/>
          <w:lang w:val="en-US"/>
        </w:rPr>
      </w:pPr>
      <w:r w:rsidRPr="2A61714F" w:rsidR="2A61714F">
        <w:rPr>
          <w:rFonts w:ascii="Calibri" w:hAnsi="Calibri" w:eastAsia="Calibri" w:cs="Calibri" w:asciiTheme="minorAscii" w:hAnsiTheme="minorAscii" w:eastAsiaTheme="minorAscii" w:cstheme="minorAscii"/>
          <w:b w:val="1"/>
          <w:bCs w:val="1"/>
          <w:noProof w:val="0"/>
          <w:color w:val="auto"/>
          <w:sz w:val="24"/>
          <w:szCs w:val="24"/>
          <w:lang w:val="en-US"/>
        </w:rPr>
        <w:t>Modern Scholarship</w:t>
      </w:r>
    </w:p>
    <w:p w:rsidR="2A61714F" w:rsidP="2A61714F" w:rsidRDefault="2A61714F" w14:paraId="7CF71F51" w14:textId="59B8A852">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Adams, J.N. (1982). The Latin Sexual Vocabulary. London: Duckworth.</w:t>
      </w:r>
    </w:p>
    <w:p w:rsidR="2A61714F" w:rsidP="2A61714F" w:rsidRDefault="2A61714F" w14:paraId="4CD36BA6" w14:textId="2CB262EC">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Edwards, C. (1993). The Politics of Immorality in Ancient Rome. Cambridge, UK: Cambridge University Press.</w:t>
      </w:r>
    </w:p>
    <w:p w:rsidR="2A61714F" w:rsidP="2A61714F" w:rsidRDefault="2A61714F" w14:paraId="28820A42" w14:textId="78933182">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Gleason M.W. (1995). Making </w:t>
      </w:r>
      <w:proofErr w:type="gramStart"/>
      <w:r w:rsidRPr="2A61714F" w:rsidR="2A61714F">
        <w:rPr>
          <w:rFonts w:ascii="Calibri" w:hAnsi="Calibri" w:eastAsia="Calibri" w:cs="Calibri" w:asciiTheme="minorAscii" w:hAnsiTheme="minorAscii" w:eastAsiaTheme="minorAscii" w:cstheme="minorAscii"/>
          <w:noProof w:val="0"/>
          <w:color w:val="auto"/>
          <w:sz w:val="24"/>
          <w:szCs w:val="24"/>
          <w:lang w:val="en-US"/>
        </w:rPr>
        <w:t>Men :</w:t>
      </w:r>
      <w:proofErr w:type="gramEnd"/>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 Sophists and Self-Presentation in Ancient Rome. USA: Princeton University Press.</w:t>
      </w:r>
    </w:p>
    <w:p w:rsidR="2A61714F" w:rsidP="2A61714F" w:rsidRDefault="2A61714F" w14:paraId="0417DD84" w14:textId="268E398A">
      <w:pPr>
        <w:ind w:left="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        Hallett, J.P. &amp; Skinner, M.B. (Eds.) (1997). Roman Sexualities. Princeton, NJ: Princeton University         Press.</w:t>
      </w:r>
    </w:p>
    <w:p w:rsidR="2A61714F" w:rsidP="2A61714F" w:rsidRDefault="2A61714F" w14:paraId="7B3B10AA" w14:textId="07A17D9D">
      <w:pPr>
        <w:ind w:left="360"/>
        <w:rPr>
          <w:rFonts w:ascii="Calibri" w:hAnsi="Calibri" w:eastAsia="Calibri" w:cs="Calibri" w:asciiTheme="minorAscii" w:hAnsiTheme="minorAscii" w:eastAsiaTheme="minorAscii" w:cstheme="minorAscii"/>
          <w:noProof w:val="0"/>
          <w:color w:val="auto"/>
          <w:sz w:val="24"/>
          <w:szCs w:val="24"/>
          <w:lang w:val="en-US"/>
        </w:rPr>
      </w:pPr>
      <w:proofErr w:type="spellStart"/>
      <w:r w:rsidRPr="2A61714F" w:rsidR="2A61714F">
        <w:rPr>
          <w:rFonts w:ascii="Calibri" w:hAnsi="Calibri" w:eastAsia="Calibri" w:cs="Calibri" w:asciiTheme="minorAscii" w:hAnsiTheme="minorAscii" w:eastAsiaTheme="minorAscii" w:cstheme="minorAscii"/>
          <w:noProof w:val="0"/>
          <w:color w:val="auto"/>
          <w:sz w:val="24"/>
          <w:szCs w:val="24"/>
          <w:lang w:val="en-US"/>
        </w:rPr>
        <w:t>Ingleheart</w:t>
      </w:r>
      <w:proofErr w:type="spellEnd"/>
      <w:r w:rsidRPr="2A61714F" w:rsidR="2A61714F">
        <w:rPr>
          <w:rFonts w:ascii="Calibri" w:hAnsi="Calibri" w:eastAsia="Calibri" w:cs="Calibri" w:asciiTheme="minorAscii" w:hAnsiTheme="minorAscii" w:eastAsiaTheme="minorAscii" w:cstheme="minorAscii"/>
          <w:noProof w:val="0"/>
          <w:color w:val="auto"/>
          <w:sz w:val="24"/>
          <w:szCs w:val="24"/>
          <w:lang w:val="en-US"/>
        </w:rPr>
        <w:t>, J. (Eds.) (2015). Ancient Rome and the Construction of Modern Homosexual Identities. Oxford, UK: Oxford University Press.</w:t>
      </w:r>
    </w:p>
    <w:p w:rsidR="2A61714F" w:rsidP="2A61714F" w:rsidRDefault="2A61714F" w14:paraId="6D82EB01" w14:textId="7EFB9D88">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Karras, R. (2000). “Active/Passive, Acts/Passions: Greek and Roman Sexualities.” The American Historical Review, vol. 105, no. 4. pp. 1250-1265.</w:t>
      </w:r>
    </w:p>
    <w:p w:rsidR="2A61714F" w:rsidP="2A61714F" w:rsidRDefault="2A61714F" w14:paraId="57A95B7C" w14:textId="67D046F5">
      <w:pPr>
        <w:ind w:left="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       </w:t>
      </w:r>
      <w:proofErr w:type="spellStart"/>
      <w:r w:rsidRPr="2A61714F" w:rsidR="2A61714F">
        <w:rPr>
          <w:rFonts w:ascii="Calibri" w:hAnsi="Calibri" w:eastAsia="Calibri" w:cs="Calibri" w:asciiTheme="minorAscii" w:hAnsiTheme="minorAscii" w:eastAsiaTheme="minorAscii" w:cstheme="minorAscii"/>
          <w:noProof w:val="0"/>
          <w:color w:val="auto"/>
          <w:sz w:val="24"/>
          <w:szCs w:val="24"/>
          <w:lang w:val="en-US"/>
        </w:rPr>
        <w:t>Kuefler</w:t>
      </w:r>
      <w:proofErr w:type="spellEnd"/>
      <w:r w:rsidRPr="2A61714F" w:rsidR="2A61714F">
        <w:rPr>
          <w:rFonts w:ascii="Calibri" w:hAnsi="Calibri" w:eastAsia="Calibri" w:cs="Calibri" w:asciiTheme="minorAscii" w:hAnsiTheme="minorAscii" w:eastAsiaTheme="minorAscii" w:cstheme="minorAscii"/>
          <w:noProof w:val="0"/>
          <w:color w:val="auto"/>
          <w:sz w:val="24"/>
          <w:szCs w:val="24"/>
          <w:lang w:val="en-US"/>
        </w:rPr>
        <w:t>, M. (2001). The Manly Eunuch. Chicago: University of Chicago Press</w:t>
      </w:r>
    </w:p>
    <w:p w:rsidR="2A61714F" w:rsidP="2A61714F" w:rsidRDefault="2A61714F" w14:paraId="48A874DE" w14:textId="389A21CB">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Langlands, R. (2006). Sexual Morality in Ancient Rome. Cambridge, UK: Cambridge University Press.</w:t>
      </w:r>
    </w:p>
    <w:p w:rsidR="2A61714F" w:rsidP="2A61714F" w:rsidRDefault="2A61714F" w14:paraId="484576C9" w14:textId="2C625B30">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McDonnell, M. (2006). Roman Manliness: Virtus and the Roman Republic. Cambridge, UK: Cambridge University Press.</w:t>
      </w:r>
    </w:p>
    <w:p w:rsidR="2A61714F" w:rsidP="2A61714F" w:rsidRDefault="2A61714F" w14:paraId="50D6C001" w14:textId="29B265EA">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Olson, K. (2014). “Masculinity, Appearance, and Sexuality: Dandies in Roman Antiquity.” Journal of the History of Sexuality, vol. 23, no. 2, pp. 182–205.</w:t>
      </w:r>
    </w:p>
    <w:p w:rsidR="2A61714F" w:rsidP="2A61714F" w:rsidRDefault="2A61714F" w14:paraId="08259600" w14:textId="452FF3E3">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Richlin, A. “Not before Homosexuality: The Materiality of the </w:t>
      </w:r>
      <w:proofErr w:type="spellStart"/>
      <w:r w:rsidRPr="2A61714F" w:rsidR="2A61714F">
        <w:rPr>
          <w:rFonts w:ascii="Calibri" w:hAnsi="Calibri" w:eastAsia="Calibri" w:cs="Calibri" w:asciiTheme="minorAscii" w:hAnsiTheme="minorAscii" w:eastAsiaTheme="minorAscii" w:cstheme="minorAscii"/>
          <w:noProof w:val="0"/>
          <w:color w:val="auto"/>
          <w:sz w:val="24"/>
          <w:szCs w:val="24"/>
          <w:lang w:val="en-US"/>
        </w:rPr>
        <w:t>Cinaedus</w:t>
      </w:r>
      <w:proofErr w:type="spellEnd"/>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 and the Roman Law against Love between Men.” Journal of the History of Sexuality, vol. 3, no. 4, 1993, pp. 523–573.</w:t>
      </w:r>
    </w:p>
    <w:p w:rsidR="2A61714F" w:rsidP="2A61714F" w:rsidRDefault="2A61714F" w14:paraId="7FD38C45" w14:textId="138C07FF">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Stevenson, W. (1995). “The Rise of Eunuchs in Greco-Roman Antiquity.” Journal of the History of Sexuality, vol. 5, no. 4, pp. 495–511.</w:t>
      </w:r>
    </w:p>
    <w:p w:rsidR="2A61714F" w:rsidP="2A61714F" w:rsidRDefault="2A61714F" w14:paraId="496B21A5" w14:textId="53CFCA02">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Taylor, R. (1997). “Two </w:t>
      </w:r>
      <w:proofErr w:type="spellStart"/>
      <w:r w:rsidRPr="2A61714F" w:rsidR="2A61714F">
        <w:rPr>
          <w:rFonts w:ascii="Calibri" w:hAnsi="Calibri" w:eastAsia="Calibri" w:cs="Calibri" w:asciiTheme="minorAscii" w:hAnsiTheme="minorAscii" w:eastAsiaTheme="minorAscii" w:cstheme="minorAscii"/>
          <w:noProof w:val="0"/>
          <w:color w:val="auto"/>
          <w:sz w:val="24"/>
          <w:szCs w:val="24"/>
          <w:lang w:val="en-US"/>
        </w:rPr>
        <w:t>Pathic</w:t>
      </w:r>
      <w:proofErr w:type="spellEnd"/>
      <w:r w:rsidRPr="2A61714F" w:rsidR="2A61714F">
        <w:rPr>
          <w:rFonts w:ascii="Calibri" w:hAnsi="Calibri" w:eastAsia="Calibri" w:cs="Calibri" w:asciiTheme="minorAscii" w:hAnsiTheme="minorAscii" w:eastAsiaTheme="minorAscii" w:cstheme="minorAscii"/>
          <w:noProof w:val="0"/>
          <w:color w:val="auto"/>
          <w:sz w:val="24"/>
          <w:szCs w:val="24"/>
          <w:lang w:val="en-US"/>
        </w:rPr>
        <w:t xml:space="preserve"> Subcultures in Ancient Rome.” Journal of the History of Sexuality, vol. 7, no. 3, pp. 319-371.</w:t>
      </w:r>
    </w:p>
    <w:p w:rsidR="2A61714F" w:rsidP="2A61714F" w:rsidRDefault="2A61714F" w14:paraId="7441ABD8" w14:textId="04843251">
      <w:pPr>
        <w:ind w:left="360"/>
        <w:rPr>
          <w:rFonts w:ascii="Calibri" w:hAnsi="Calibri" w:eastAsia="Calibri" w:cs="Calibri" w:asciiTheme="minorAscii" w:hAnsiTheme="minorAscii" w:eastAsiaTheme="minorAscii" w:cstheme="minorAscii"/>
          <w:noProof w:val="0"/>
          <w:color w:val="auto"/>
          <w:sz w:val="24"/>
          <w:szCs w:val="24"/>
          <w:lang w:val="en-US"/>
        </w:rPr>
      </w:pPr>
      <w:r w:rsidRPr="2A61714F" w:rsidR="2A61714F">
        <w:rPr>
          <w:rFonts w:ascii="Calibri" w:hAnsi="Calibri" w:eastAsia="Calibri" w:cs="Calibri" w:asciiTheme="minorAscii" w:hAnsiTheme="minorAscii" w:eastAsiaTheme="minorAscii" w:cstheme="minorAscii"/>
          <w:noProof w:val="0"/>
          <w:color w:val="auto"/>
          <w:sz w:val="24"/>
          <w:szCs w:val="24"/>
          <w:lang w:val="en-US"/>
        </w:rPr>
        <w:t>Walters, J. (1993). “‘No More Than a Boy’: The Shifting Construction of Masculinity from Ancient Greece to the Middle Ages”. Gender &amp; History, vol. 5, no. 1, pp. 20- 33.</w:t>
      </w:r>
    </w:p>
    <w:p w:rsidR="2A61714F" w:rsidP="2A61714F" w:rsidRDefault="2A61714F" w14:paraId="241603D9" w14:textId="5773AD38">
      <w:pPr>
        <w:pStyle w:val="Normal"/>
        <w:ind w:left="360"/>
        <w:jc w:val="left"/>
        <w:rPr>
          <w:b w:val="1"/>
          <w:bCs w:val="1"/>
          <w:sz w:val="24"/>
          <w:szCs w:val="24"/>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094C303"/>
  <w15:docId w15:val="{dae18442-8ad8-44c9-aa2d-efc9e732f29f}"/>
  <w:rsids>
    <w:rsidRoot w:val="7094C303"/>
    <w:rsid w:val="1D4D567E"/>
    <w:rsid w:val="2A61714F"/>
    <w:rsid w:val="37E8DDEA"/>
    <w:rsid w:val="62B6A4CE"/>
    <w:rsid w:val="7094C30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a6d05bfb14c43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2019-10-07T11:16:21.3683789Z</dcterms:created>
  <dcterms:modified xsi:type="dcterms:W3CDTF">2019-10-11T16:45:10.4712963Z</dcterms:modified>
  <dc:creator>Alexander Naylor (1700041)</dc:creator>
  <lastModifiedBy>Alexander Naylor (1700041)</lastModifiedBy>
</coreProperties>
</file>