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240" w:before="240" w:lineRule="auto"/>
        <w:jc w:val="both"/>
        <w:rPr>
          <w:rFonts w:ascii="Times New Roman" w:cs="Times New Roman" w:eastAsia="Times New Roman" w:hAnsi="Times New Roman"/>
          <w:b w:val="1"/>
          <w:sz w:val="40"/>
          <w:szCs w:val="40"/>
        </w:rPr>
      </w:pPr>
      <w:bookmarkStart w:colFirst="0" w:colLast="0" w:name="_heading=h.i6yeisoaerds" w:id="0"/>
      <w:bookmarkEnd w:id="0"/>
      <w:r w:rsidDel="00000000" w:rsidR="00000000" w:rsidRPr="00000000">
        <w:rPr>
          <w:rFonts w:ascii="Times New Roman" w:cs="Times New Roman" w:eastAsia="Times New Roman" w:hAnsi="Times New Roman"/>
          <w:b w:val="1"/>
          <w:sz w:val="40"/>
          <w:szCs w:val="40"/>
          <w:rtl w:val="0"/>
        </w:rPr>
        <w:t xml:space="preserve">Marketing Environmental Analysis for Pioneers and Followers</w:t>
      </w:r>
    </w:p>
    <w:p w:rsidR="00000000" w:rsidDel="00000000" w:rsidP="00000000" w:rsidRDefault="00000000" w:rsidRPr="00000000" w14:paraId="00000002">
      <w:pPr>
        <w:spacing w:after="240" w:before="24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240" w:before="24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Name:</w:t>
      </w:r>
    </w:p>
    <w:p w:rsidR="00000000" w:rsidDel="00000000" w:rsidP="00000000" w:rsidRDefault="00000000" w:rsidRPr="00000000" w14:paraId="00000004">
      <w:pPr>
        <w:spacing w:after="240" w:before="24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w:t>
      </w:r>
    </w:p>
    <w:p w:rsidR="00000000" w:rsidDel="00000000" w:rsidP="00000000" w:rsidRDefault="00000000" w:rsidRPr="00000000" w14:paraId="00000005">
      <w:pPr>
        <w:spacing w:after="240" w:before="240" w:lineRule="auto"/>
        <w:jc w:val="both"/>
        <w:rPr/>
      </w:pPr>
      <w:r w:rsidDel="00000000" w:rsidR="00000000" w:rsidRPr="00000000">
        <w:rPr>
          <w:rtl w:val="0"/>
        </w:rPr>
      </w:r>
    </w:p>
    <w:p w:rsidR="00000000" w:rsidDel="00000000" w:rsidP="00000000" w:rsidRDefault="00000000" w:rsidRPr="00000000" w14:paraId="00000006">
      <w:pPr>
        <w:spacing w:after="240" w:before="240" w:lineRule="auto"/>
        <w:jc w:val="both"/>
        <w:rPr/>
      </w:pPr>
      <w:r w:rsidDel="00000000" w:rsidR="00000000" w:rsidRPr="00000000">
        <w:rPr>
          <w:rtl w:val="0"/>
        </w:rPr>
      </w:r>
    </w:p>
    <w:p w:rsidR="00000000" w:rsidDel="00000000" w:rsidP="00000000" w:rsidRDefault="00000000" w:rsidRPr="00000000" w14:paraId="00000007">
      <w:pPr>
        <w:spacing w:after="240" w:before="240" w:lineRule="auto"/>
        <w:jc w:val="both"/>
        <w:rPr/>
      </w:pPr>
      <w:r w:rsidDel="00000000" w:rsidR="00000000" w:rsidRPr="00000000">
        <w:rPr>
          <w:rtl w:val="0"/>
        </w:rPr>
      </w:r>
    </w:p>
    <w:p w:rsidR="00000000" w:rsidDel="00000000" w:rsidP="00000000" w:rsidRDefault="00000000" w:rsidRPr="00000000" w14:paraId="00000008">
      <w:pPr>
        <w:spacing w:after="240" w:before="240" w:lineRule="auto"/>
        <w:jc w:val="both"/>
        <w:rPr/>
      </w:pPr>
      <w:r w:rsidDel="00000000" w:rsidR="00000000" w:rsidRPr="00000000">
        <w:rPr>
          <w:rtl w:val="0"/>
        </w:rPr>
      </w:r>
    </w:p>
    <w:p w:rsidR="00000000" w:rsidDel="00000000" w:rsidP="00000000" w:rsidRDefault="00000000" w:rsidRPr="00000000" w14:paraId="00000009">
      <w:pPr>
        <w:spacing w:after="240" w:before="240" w:lineRule="auto"/>
        <w:jc w:val="both"/>
        <w:rPr/>
      </w:pPr>
      <w:r w:rsidDel="00000000" w:rsidR="00000000" w:rsidRPr="00000000">
        <w:rPr>
          <w:rtl w:val="0"/>
        </w:rPr>
      </w:r>
    </w:p>
    <w:p w:rsidR="00000000" w:rsidDel="00000000" w:rsidP="00000000" w:rsidRDefault="00000000" w:rsidRPr="00000000" w14:paraId="0000000A">
      <w:pPr>
        <w:spacing w:after="240" w:before="240" w:lineRule="auto"/>
        <w:jc w:val="both"/>
        <w:rPr/>
      </w:pPr>
      <w:r w:rsidDel="00000000" w:rsidR="00000000" w:rsidRPr="00000000">
        <w:rPr>
          <w:rtl w:val="0"/>
        </w:rPr>
      </w:r>
    </w:p>
    <w:p w:rsidR="00000000" w:rsidDel="00000000" w:rsidP="00000000" w:rsidRDefault="00000000" w:rsidRPr="00000000" w14:paraId="0000000B">
      <w:pPr>
        <w:spacing w:after="240" w:before="240" w:lineRule="auto"/>
        <w:jc w:val="both"/>
        <w:rPr/>
      </w:pPr>
      <w:r w:rsidDel="00000000" w:rsidR="00000000" w:rsidRPr="00000000">
        <w:rPr>
          <w:rtl w:val="0"/>
        </w:rPr>
      </w:r>
    </w:p>
    <w:p w:rsidR="00000000" w:rsidDel="00000000" w:rsidP="00000000" w:rsidRDefault="00000000" w:rsidRPr="00000000" w14:paraId="0000000C">
      <w:pPr>
        <w:spacing w:after="240" w:before="240" w:lineRule="auto"/>
        <w:jc w:val="both"/>
        <w:rPr/>
      </w:pPr>
      <w:r w:rsidDel="00000000" w:rsidR="00000000" w:rsidRPr="00000000">
        <w:rPr>
          <w:rtl w:val="0"/>
        </w:rPr>
      </w:r>
    </w:p>
    <w:p w:rsidR="00000000" w:rsidDel="00000000" w:rsidP="00000000" w:rsidRDefault="00000000" w:rsidRPr="00000000" w14:paraId="0000000D">
      <w:pPr>
        <w:spacing w:after="240" w:before="240" w:lineRule="auto"/>
        <w:jc w:val="both"/>
        <w:rPr/>
      </w:pPr>
      <w:r w:rsidDel="00000000" w:rsidR="00000000" w:rsidRPr="00000000">
        <w:rPr>
          <w:rtl w:val="0"/>
        </w:rPr>
      </w:r>
    </w:p>
    <w:p w:rsidR="00000000" w:rsidDel="00000000" w:rsidP="00000000" w:rsidRDefault="00000000" w:rsidRPr="00000000" w14:paraId="0000000E">
      <w:pPr>
        <w:spacing w:after="240" w:before="240" w:lineRule="auto"/>
        <w:jc w:val="both"/>
        <w:rPr/>
      </w:pPr>
      <w:r w:rsidDel="00000000" w:rsidR="00000000" w:rsidRPr="00000000">
        <w:rPr>
          <w:rtl w:val="0"/>
        </w:rPr>
      </w:r>
    </w:p>
    <w:p w:rsidR="00000000" w:rsidDel="00000000" w:rsidP="00000000" w:rsidRDefault="00000000" w:rsidRPr="00000000" w14:paraId="0000000F">
      <w:pPr>
        <w:spacing w:after="240" w:before="240" w:lineRule="auto"/>
        <w:jc w:val="both"/>
        <w:rPr/>
      </w:pPr>
      <w:r w:rsidDel="00000000" w:rsidR="00000000" w:rsidRPr="00000000">
        <w:rPr>
          <w:rtl w:val="0"/>
        </w:rPr>
      </w:r>
    </w:p>
    <w:p w:rsidR="00000000" w:rsidDel="00000000" w:rsidP="00000000" w:rsidRDefault="00000000" w:rsidRPr="00000000" w14:paraId="00000010">
      <w:pPr>
        <w:spacing w:after="240" w:before="240" w:lineRule="auto"/>
        <w:jc w:val="both"/>
        <w:rPr/>
      </w:pPr>
      <w:r w:rsidDel="00000000" w:rsidR="00000000" w:rsidRPr="00000000">
        <w:rPr>
          <w:rtl w:val="0"/>
        </w:rPr>
      </w:r>
    </w:p>
    <w:p w:rsidR="00000000" w:rsidDel="00000000" w:rsidP="00000000" w:rsidRDefault="00000000" w:rsidRPr="00000000" w14:paraId="00000011">
      <w:pPr>
        <w:spacing w:after="240" w:before="240" w:lineRule="auto"/>
        <w:jc w:val="both"/>
        <w:rPr/>
      </w:pPr>
      <w:r w:rsidDel="00000000" w:rsidR="00000000" w:rsidRPr="00000000">
        <w:rPr>
          <w:rtl w:val="0"/>
        </w:rPr>
      </w:r>
    </w:p>
    <w:p w:rsidR="00000000" w:rsidDel="00000000" w:rsidP="00000000" w:rsidRDefault="00000000" w:rsidRPr="00000000" w14:paraId="00000012">
      <w:pPr>
        <w:spacing w:after="240" w:before="240" w:lineRule="auto"/>
        <w:jc w:val="both"/>
        <w:rPr/>
      </w:pPr>
      <w:r w:rsidDel="00000000" w:rsidR="00000000" w:rsidRPr="00000000">
        <w:rPr>
          <w:rtl w:val="0"/>
        </w:rPr>
      </w:r>
    </w:p>
    <w:p w:rsidR="00000000" w:rsidDel="00000000" w:rsidP="00000000" w:rsidRDefault="00000000" w:rsidRPr="00000000" w14:paraId="00000013">
      <w:pPr>
        <w:spacing w:after="240" w:before="240" w:lineRule="auto"/>
        <w:jc w:val="both"/>
        <w:rPr/>
      </w:pPr>
      <w:r w:rsidDel="00000000" w:rsidR="00000000" w:rsidRPr="00000000">
        <w:rPr>
          <w:rtl w:val="0"/>
        </w:rPr>
      </w:r>
    </w:p>
    <w:p w:rsidR="00000000" w:rsidDel="00000000" w:rsidP="00000000" w:rsidRDefault="00000000" w:rsidRPr="00000000" w14:paraId="00000014">
      <w:pPr>
        <w:spacing w:after="240" w:before="240" w:lineRule="auto"/>
        <w:jc w:val="both"/>
        <w:rPr/>
      </w:pPr>
      <w:r w:rsidDel="00000000" w:rsidR="00000000" w:rsidRPr="00000000">
        <w:rPr>
          <w:rtl w:val="0"/>
        </w:rPr>
      </w:r>
    </w:p>
    <w:p w:rsidR="00000000" w:rsidDel="00000000" w:rsidP="00000000" w:rsidRDefault="00000000" w:rsidRPr="00000000" w14:paraId="00000015">
      <w:pPr>
        <w:spacing w:after="240" w:before="240" w:lineRule="auto"/>
        <w:jc w:val="both"/>
        <w:rPr/>
      </w:pPr>
      <w:r w:rsidDel="00000000" w:rsidR="00000000" w:rsidRPr="00000000">
        <w:rPr>
          <w:rtl w:val="0"/>
        </w:rPr>
      </w:r>
    </w:p>
    <w:p w:rsidR="00000000" w:rsidDel="00000000" w:rsidP="00000000" w:rsidRDefault="00000000" w:rsidRPr="00000000" w14:paraId="00000016">
      <w:pPr>
        <w:spacing w:after="240" w:before="240" w:lineRule="auto"/>
        <w:jc w:val="both"/>
        <w:rPr/>
      </w:pPr>
      <w:r w:rsidDel="00000000" w:rsidR="00000000" w:rsidRPr="00000000">
        <w:rPr>
          <w:rtl w:val="0"/>
        </w:rPr>
      </w:r>
    </w:p>
    <w:p w:rsidR="00000000" w:rsidDel="00000000" w:rsidP="00000000" w:rsidRDefault="00000000" w:rsidRPr="00000000" w14:paraId="00000017">
      <w:pPr>
        <w:spacing w:after="240" w:before="240"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Table of content </w:t>
      </w:r>
    </w:p>
    <w:p w:rsidR="00000000" w:rsidDel="00000000" w:rsidP="00000000" w:rsidRDefault="00000000" w:rsidRPr="00000000" w14:paraId="00000018">
      <w:pPr>
        <w:spacing w:after="240" w:before="240" w:lineRule="auto"/>
        <w:jc w:val="both"/>
        <w:rPr/>
      </w:pPr>
      <w:r w:rsidDel="00000000" w:rsidR="00000000" w:rsidRPr="00000000">
        <w:rPr>
          <w:rtl w:val="0"/>
        </w:rPr>
      </w:r>
    </w:p>
    <w:sdt>
      <w:sdtPr>
        <w:id w:val="-1142436759"/>
        <w:docPartObj>
          <w:docPartGallery w:val="Table of Contents"/>
          <w:docPartUnique w:val="1"/>
        </w:docPartObj>
      </w:sdtPr>
      <w:sdtContent>
        <w:p w:rsidR="00000000" w:rsidDel="00000000" w:rsidP="00000000" w:rsidRDefault="00000000" w:rsidRPr="00000000" w14:paraId="00000019">
          <w:pPr>
            <w:widowControl w:val="0"/>
            <w:tabs>
              <w:tab w:val="right" w:leader="none"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b68z7xri1ov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rPr>
              <w:color w:val="000000"/>
              <w:u w:val="none"/>
            </w:rPr>
          </w:pPr>
          <w:hyperlink w:anchor="_heading=h.w93nnten0zr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color w:val="000000"/>
              <w:u w:val="none"/>
            </w:rPr>
          </w:pPr>
          <w:hyperlink w:anchor="_heading=h.5q8jlc5y5jc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Economic Factors: Opportunities and Threats</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color w:val="000000"/>
              <w:u w:val="none"/>
            </w:rPr>
          </w:pPr>
          <w:hyperlink w:anchor="_heading=h.y5s6djfzr64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Technological Factors: Opportunities and Threats</w:t>
              <w:tab/>
              <w:t xml:space="preserve">4</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rPr>
              <w:color w:val="000000"/>
              <w:u w:val="none"/>
            </w:rPr>
          </w:pPr>
          <w:hyperlink w:anchor="_heading=h.4iyifnyjema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Comparative Analysis: Pioneers vs. Followers</w:t>
              <w:tab/>
              <w:t xml:space="preserve">5</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rPr>
              <w:color w:val="000000"/>
              <w:u w:val="none"/>
            </w:rPr>
          </w:pPr>
          <w:hyperlink w:anchor="_heading=h.u9ytn48bks4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Application of Theoretical Frameworks</w:t>
              <w:tab/>
              <w:t xml:space="preserve">5</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rPr>
              <w:color w:val="000000"/>
              <w:u w:val="none"/>
            </w:rPr>
          </w:pPr>
          <w:hyperlink w:anchor="_heading=h.l0f0qz90x7j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Conclusion</w:t>
              <w:tab/>
              <w:t xml:space="preserve">7</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rPr>
              <w:b w:val="1"/>
              <w:color w:val="000000"/>
              <w:u w:val="none"/>
            </w:rPr>
          </w:pPr>
          <w:hyperlink w:anchor="_heading=h.mav4rw4mwpe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 2:</w:t>
              <w:tab/>
              <w:t xml:space="preserve">8</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360" w:firstLine="0"/>
            <w:rPr>
              <w:color w:val="000000"/>
              <w:u w:val="none"/>
            </w:rPr>
          </w:pPr>
          <w:hyperlink w:anchor="_heading=h.p3408cjre6q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8</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rPr>
              <w:color w:val="000000"/>
              <w:u w:val="none"/>
            </w:rPr>
          </w:pPr>
          <w:hyperlink w:anchor="_heading=h.x8sa9mf7jew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Economic Factors: Strategic Responses</w:t>
              <w:tab/>
              <w:t xml:space="preserve">8</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color w:val="000000"/>
              <w:u w:val="none"/>
            </w:rPr>
          </w:pPr>
          <w:hyperlink w:anchor="_heading=h.nli5uhmj86f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Technological Factors: Strategic Responses</w:t>
              <w:tab/>
              <w:t xml:space="preserve">9</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color w:val="000000"/>
              <w:u w:val="none"/>
            </w:rPr>
          </w:pPr>
          <w:hyperlink w:anchor="_heading=h.2la6b5ura7t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Comparative Analysis: Pioneers vs. Followers</w:t>
              <w:tab/>
              <w:t xml:space="preserve">10</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color w:val="000000"/>
              <w:u w:val="none"/>
            </w:rPr>
          </w:pPr>
          <w:hyperlink w:anchor="_heading=h.89m7mewfnyo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Application of Marketing Strategies</w:t>
              <w:tab/>
              <w:t xml:space="preserve">11</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360" w:firstLine="0"/>
            <w:rPr>
              <w:color w:val="000000"/>
              <w:u w:val="none"/>
            </w:rPr>
          </w:pPr>
          <w:hyperlink w:anchor="_heading=h.lb943f5sm1i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Conclusion</w:t>
              <w:tab/>
              <w:t xml:space="preserve">12</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rPr>
              <w:b w:val="1"/>
              <w:color w:val="000000"/>
              <w:u w:val="none"/>
            </w:rPr>
          </w:pPr>
          <w:hyperlink w:anchor="_heading=h.9gin1xxyix6z">
            <w:r w:rsidDel="00000000" w:rsidR="00000000" w:rsidRPr="00000000">
              <w:rPr>
                <w:b w:val="1"/>
                <w:color w:val="000000"/>
                <w:u w:val="none"/>
                <w:rtl w:val="0"/>
              </w:rPr>
              <w:t xml:space="preserve">Reference</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after="240" w:before="240" w:lineRule="auto"/>
        <w:jc w:val="both"/>
        <w:rPr/>
      </w:pPr>
      <w:r w:rsidDel="00000000" w:rsidR="00000000" w:rsidRPr="00000000">
        <w:rPr>
          <w:rtl w:val="0"/>
        </w:rPr>
      </w:r>
    </w:p>
    <w:p w:rsidR="00000000" w:rsidDel="00000000" w:rsidP="00000000" w:rsidRDefault="00000000" w:rsidRPr="00000000" w14:paraId="00000029">
      <w:pPr>
        <w:spacing w:after="240" w:before="240" w:lineRule="auto"/>
        <w:jc w:val="both"/>
        <w:rPr/>
      </w:pPr>
      <w:r w:rsidDel="00000000" w:rsidR="00000000" w:rsidRPr="00000000">
        <w:rPr>
          <w:rtl w:val="0"/>
        </w:rPr>
      </w:r>
    </w:p>
    <w:p w:rsidR="00000000" w:rsidDel="00000000" w:rsidP="00000000" w:rsidRDefault="00000000" w:rsidRPr="00000000" w14:paraId="0000002A">
      <w:pPr>
        <w:pStyle w:val="Heading1"/>
        <w:spacing w:after="240" w:before="240" w:lineRule="auto"/>
        <w:jc w:val="both"/>
        <w:rPr>
          <w:rFonts w:ascii="Times New Roman" w:cs="Times New Roman" w:eastAsia="Times New Roman" w:hAnsi="Times New Roman"/>
          <w:b w:val="1"/>
          <w:sz w:val="32"/>
          <w:szCs w:val="32"/>
        </w:rPr>
      </w:pPr>
      <w:bookmarkStart w:colFirst="0" w:colLast="0" w:name="_heading=h.ov0evkvi2383" w:id="1"/>
      <w:bookmarkEnd w:id="1"/>
      <w:r w:rsidDel="00000000" w:rsidR="00000000" w:rsidRPr="00000000">
        <w:rPr>
          <w:rtl w:val="0"/>
        </w:rPr>
      </w:r>
    </w:p>
    <w:p w:rsidR="00000000" w:rsidDel="00000000" w:rsidP="00000000" w:rsidRDefault="00000000" w:rsidRPr="00000000" w14:paraId="0000002B">
      <w:pPr>
        <w:pStyle w:val="Heading1"/>
        <w:spacing w:after="240" w:before="240" w:lineRule="auto"/>
        <w:jc w:val="both"/>
        <w:rPr>
          <w:rFonts w:ascii="Times New Roman" w:cs="Times New Roman" w:eastAsia="Times New Roman" w:hAnsi="Times New Roman"/>
          <w:b w:val="1"/>
          <w:sz w:val="32"/>
          <w:szCs w:val="32"/>
        </w:rPr>
      </w:pPr>
      <w:bookmarkStart w:colFirst="0" w:colLast="0" w:name="_heading=h.i7q3861ilqtz" w:id="2"/>
      <w:bookmarkEnd w:id="2"/>
      <w:r w:rsidDel="00000000" w:rsidR="00000000" w:rsidRPr="00000000">
        <w:rPr>
          <w:rtl w:val="0"/>
        </w:rPr>
      </w:r>
    </w:p>
    <w:p w:rsidR="00000000" w:rsidDel="00000000" w:rsidP="00000000" w:rsidRDefault="00000000" w:rsidRPr="00000000" w14:paraId="0000002C">
      <w:pPr>
        <w:pStyle w:val="Heading1"/>
        <w:spacing w:after="240" w:before="240" w:lineRule="auto"/>
        <w:jc w:val="both"/>
        <w:rPr>
          <w:rFonts w:ascii="Times New Roman" w:cs="Times New Roman" w:eastAsia="Times New Roman" w:hAnsi="Times New Roman"/>
          <w:b w:val="1"/>
          <w:sz w:val="32"/>
          <w:szCs w:val="32"/>
        </w:rPr>
      </w:pPr>
      <w:bookmarkStart w:colFirst="0" w:colLast="0" w:name="_heading=h.v603rdpuikbv" w:id="3"/>
      <w:bookmarkEnd w:id="3"/>
      <w:r w:rsidDel="00000000" w:rsidR="00000000" w:rsidRPr="00000000">
        <w:rPr>
          <w:rtl w:val="0"/>
        </w:rPr>
      </w:r>
    </w:p>
    <w:p w:rsidR="00000000" w:rsidDel="00000000" w:rsidP="00000000" w:rsidRDefault="00000000" w:rsidRPr="00000000" w14:paraId="0000002D">
      <w:pPr>
        <w:pStyle w:val="Heading1"/>
        <w:spacing w:after="240" w:before="240" w:lineRule="auto"/>
        <w:jc w:val="both"/>
        <w:rPr>
          <w:rFonts w:ascii="Times New Roman" w:cs="Times New Roman" w:eastAsia="Times New Roman" w:hAnsi="Times New Roman"/>
          <w:b w:val="1"/>
          <w:sz w:val="32"/>
          <w:szCs w:val="32"/>
        </w:rPr>
      </w:pPr>
      <w:bookmarkStart w:colFirst="0" w:colLast="0" w:name="_heading=h.48y37t3cxe2g" w:id="4"/>
      <w:bookmarkEnd w:id="4"/>
      <w:r w:rsidDel="00000000" w:rsidR="00000000" w:rsidRPr="00000000">
        <w:rPr>
          <w:rtl w:val="0"/>
        </w:rPr>
      </w:r>
    </w:p>
    <w:p w:rsidR="00000000" w:rsidDel="00000000" w:rsidP="00000000" w:rsidRDefault="00000000" w:rsidRPr="00000000" w14:paraId="0000002E">
      <w:pPr>
        <w:pStyle w:val="Heading1"/>
        <w:spacing w:after="240" w:before="240" w:lineRule="auto"/>
        <w:jc w:val="both"/>
        <w:rPr>
          <w:rFonts w:ascii="Times New Roman" w:cs="Times New Roman" w:eastAsia="Times New Roman" w:hAnsi="Times New Roman"/>
          <w:b w:val="1"/>
          <w:sz w:val="32"/>
          <w:szCs w:val="32"/>
        </w:rPr>
      </w:pPr>
      <w:bookmarkStart w:colFirst="0" w:colLast="0" w:name="_heading=h.6drt0yk4xfxs" w:id="5"/>
      <w:bookmarkEnd w:id="5"/>
      <w:r w:rsidDel="00000000" w:rsidR="00000000" w:rsidRPr="00000000">
        <w:rPr>
          <w:rtl w:val="0"/>
        </w:rPr>
      </w:r>
    </w:p>
    <w:p w:rsidR="00000000" w:rsidDel="00000000" w:rsidP="00000000" w:rsidRDefault="00000000" w:rsidRPr="00000000" w14:paraId="0000002F">
      <w:pPr>
        <w:pStyle w:val="Heading1"/>
        <w:spacing w:after="240" w:before="240" w:lineRule="auto"/>
        <w:jc w:val="both"/>
        <w:rPr>
          <w:rFonts w:ascii="Times New Roman" w:cs="Times New Roman" w:eastAsia="Times New Roman" w:hAnsi="Times New Roman"/>
          <w:b w:val="1"/>
          <w:sz w:val="32"/>
          <w:szCs w:val="32"/>
        </w:rPr>
      </w:pPr>
      <w:bookmarkStart w:colFirst="0" w:colLast="0" w:name="_heading=h.bzft3kd32n9r" w:id="6"/>
      <w:bookmarkEnd w:id="6"/>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spacing w:after="240" w:before="240" w:lineRule="auto"/>
        <w:jc w:val="both"/>
        <w:rPr>
          <w:rFonts w:ascii="Times New Roman" w:cs="Times New Roman" w:eastAsia="Times New Roman" w:hAnsi="Times New Roman"/>
          <w:b w:val="1"/>
          <w:sz w:val="32"/>
          <w:szCs w:val="32"/>
        </w:rPr>
      </w:pPr>
      <w:bookmarkStart w:colFirst="0" w:colLast="0" w:name="_heading=h.b68z7xri1ova" w:id="7"/>
      <w:bookmarkEnd w:id="7"/>
      <w:r w:rsidDel="00000000" w:rsidR="00000000" w:rsidRPr="00000000">
        <w:rPr>
          <w:rFonts w:ascii="Times New Roman" w:cs="Times New Roman" w:eastAsia="Times New Roman" w:hAnsi="Times New Roman"/>
          <w:b w:val="1"/>
          <w:sz w:val="32"/>
          <w:szCs w:val="32"/>
          <w:rtl w:val="0"/>
        </w:rPr>
        <w:t xml:space="preserve">Task 1:</w:t>
      </w:r>
    </w:p>
    <w:p w:rsidR="00000000" w:rsidDel="00000000" w:rsidP="00000000" w:rsidRDefault="00000000" w:rsidRPr="00000000" w14:paraId="00000037">
      <w:pPr>
        <w:pStyle w:val="Heading2"/>
        <w:spacing w:after="240" w:before="240" w:lineRule="auto"/>
        <w:jc w:val="both"/>
        <w:rPr>
          <w:rFonts w:ascii="Times New Roman" w:cs="Times New Roman" w:eastAsia="Times New Roman" w:hAnsi="Times New Roman"/>
          <w:b w:val="1"/>
          <w:sz w:val="28"/>
          <w:szCs w:val="28"/>
        </w:rPr>
      </w:pPr>
      <w:bookmarkStart w:colFirst="0" w:colLast="0" w:name="_heading=h.w93nnten0zrf" w:id="8"/>
      <w:bookmarkEnd w:id="8"/>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14:paraId="00000038">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evolving context of strategic marketing management, the macro marketing environment is understood as the economic and technological forces in the external environment and how changes in these forces may present an opportunity or threat to the pioneering and follower firms in the same industry.</w:t>
      </w:r>
    </w:p>
    <w:p w:rsidR="00000000" w:rsidDel="00000000" w:rsidP="00000000" w:rsidRDefault="00000000" w:rsidRPr="00000000" w14:paraId="00000039">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5q8jlc5y5jc3" w:id="9"/>
      <w:bookmarkEnd w:id="9"/>
      <w:r w:rsidDel="00000000" w:rsidR="00000000" w:rsidRPr="00000000">
        <w:rPr>
          <w:rFonts w:ascii="Times New Roman" w:cs="Times New Roman" w:eastAsia="Times New Roman" w:hAnsi="Times New Roman"/>
          <w:b w:val="1"/>
          <w:sz w:val="28"/>
          <w:szCs w:val="28"/>
          <w:rtl w:val="0"/>
        </w:rPr>
        <w:t xml:space="preserve">1.1 Economic Factors: Opportunities and Threats</w:t>
      </w:r>
    </w:p>
    <w:p w:rsidR="00000000" w:rsidDel="00000000" w:rsidP="00000000" w:rsidRDefault="00000000" w:rsidRPr="00000000" w14:paraId="0000003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of the economic factors include inflation rates, exchange rates, economic growth trends and consumer buying power. These factors have an immense effect on the consumer behaviour, pricing strategies and the overall market demands.</w:t>
      </w:r>
    </w:p>
    <w:p w:rsidR="00000000" w:rsidDel="00000000" w:rsidP="00000000" w:rsidRDefault="00000000" w:rsidRPr="00000000" w14:paraId="0000003B">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 for Pioneers:</w:t>
      </w:r>
    </w:p>
    <w:p w:rsidR="00000000" w:rsidDel="00000000" w:rsidP="00000000" w:rsidRDefault="00000000" w:rsidRPr="00000000" w14:paraId="0000003C">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movers can benefit a lot by taking advantage of favourable economic conditions, especially at a time when the economy is on a growth path (Marc, 2025). With increasing consumer spending, pioneers can present new products that suit the changing requirements, and thus they can occupy a large portion of the market. This first-mover advantage also helps them to build a strong brand loyalty since consumers tend to attribute the first entrants to quality and leadership. Also, innovators can change their business models to fit the new economic trends, which also improves their competitive advantage (Kumar, 2025). In case take the example of the increasing trend among consumers towards sustainability, which allows an innovator to come up with eco-sustainable products. Given this growing need for green-friendly options, innovators can establish themselves as trendsetters in the green economy. This flexibility is what not only creates customer loyalty but also enables innovators to keep up with the dynamic economic environment and be profitable.</w:t>
      </w:r>
    </w:p>
    <w:p w:rsidR="00000000" w:rsidDel="00000000" w:rsidP="00000000" w:rsidRDefault="00000000" w:rsidRPr="00000000" w14:paraId="0000003D">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 for Followers:</w:t>
      </w:r>
    </w:p>
    <w:p w:rsidR="00000000" w:rsidDel="00000000" w:rsidP="00000000" w:rsidRDefault="00000000" w:rsidRPr="00000000" w14:paraId="0000003E">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saturation of the market poses a major challenge to the entrants in a market in a very active economic stage. The followers are challenged by the fact that when they set up on the heels of existing pioneers, they have already taken the market by storm, and they need to differentiate what they are offering in a saturated market (Jack Ng Kok Wah, 2025). With a brand loyalty and recognition established through time, pioneers make it difficult for new entrants. Consequently, followers will have to pursue differentiated approaches or seek niche segments to attack, which may be resource-intensive and challenging without a special value proposition.</w:t>
      </w:r>
    </w:p>
    <w:p w:rsidR="00000000" w:rsidDel="00000000" w:rsidP="00000000" w:rsidRDefault="00000000" w:rsidRPr="00000000" w14:paraId="0000003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lack of resources makes this difficulty even harder. The followers, particularly with minimal financial support, might not be able to make investments to either achieve the needed innovation or aggressive promotional initiatives to compete with the industry leaders. When the economy of a market is hot, and consumers are expecting product innovation every second and excellent customer experiences, less equipped followers might struggle to catch up (Khalid Hussain and Huayu Shi, 2025). This restricts their competitiveness and growth potential in comparison with well-established pioneers.</w:t>
      </w:r>
    </w:p>
    <w:p w:rsidR="00000000" w:rsidDel="00000000" w:rsidP="00000000" w:rsidRDefault="00000000" w:rsidRPr="00000000" w14:paraId="00000040">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Implications:</w:t>
      </w:r>
    </w:p>
    <w:p w:rsidR="00000000" w:rsidDel="00000000" w:rsidP="00000000" w:rsidRDefault="00000000" w:rsidRPr="00000000" w14:paraId="00000041">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Organisations need to keep on observing the economic signs and change strategies as needed. Early movers must use their stand in the market to establish good brand equity, and the followers must find niche markets or underserved markets to take advantage of new economic opportunities.</w:t>
      </w:r>
    </w:p>
    <w:p w:rsidR="00000000" w:rsidDel="00000000" w:rsidP="00000000" w:rsidRDefault="00000000" w:rsidRPr="00000000" w14:paraId="00000042">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y5s6djfzr64w" w:id="10"/>
      <w:bookmarkEnd w:id="10"/>
      <w:r w:rsidDel="00000000" w:rsidR="00000000" w:rsidRPr="00000000">
        <w:rPr>
          <w:rFonts w:ascii="Times New Roman" w:cs="Times New Roman" w:eastAsia="Times New Roman" w:hAnsi="Times New Roman"/>
          <w:b w:val="1"/>
          <w:sz w:val="28"/>
          <w:szCs w:val="28"/>
          <w:rtl w:val="0"/>
        </w:rPr>
        <w:t xml:space="preserve">1.2 Technological Factors: Opportunities and Threats</w:t>
      </w:r>
    </w:p>
    <w:p w:rsidR="00000000" w:rsidDel="00000000" w:rsidP="00000000" w:rsidRDefault="00000000" w:rsidRPr="00000000" w14:paraId="00000043">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Innovations in digital tools, automation, artificial intelligence, and communication platforms are all technological advancements. Such inventions can reinvent the industry and customer expectations.</w:t>
      </w:r>
    </w:p>
    <w:p w:rsidR="00000000" w:rsidDel="00000000" w:rsidP="00000000" w:rsidRDefault="00000000" w:rsidRPr="00000000" w14:paraId="00000044">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 for Pioneers:</w:t>
      </w:r>
    </w:p>
    <w:p w:rsidR="00000000" w:rsidDel="00000000" w:rsidP="00000000" w:rsidRDefault="00000000" w:rsidRPr="00000000" w14:paraId="00000045">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leadership enables people who lead innovation to stay ahead of the pack by implementing the latest technologies that will improve their products or services. An example is the introduction of artificial intelligence (AI) into customer experiences that allow personalising them, which will assist in addressing the needs of the individual (G. Manoj et al., 2025). This distinction appeals to technology-loving customers who appreciate customised services, making pioneers leaders in the technology industry. Moreover, the emphasis on efficiency in operations with the help of the latest technologies, such as automation and data analytics, can contribute greatly to productivity and lower the costs of operations (Lawal Qudus, 2025). Through these technologies, the pioneers can automate their operations, minimise errors, and improve the quality of their products. The outcome is the expansion of profitability as well as solid capacity to expand to greater heights and innovate even more. Finally, technological integration of products as well as operational improvement factors play a role in the overall success of the pioneering organisation that will enable it to beat its competitors and achieve a long-term market top position.</w:t>
      </w:r>
    </w:p>
    <w:p w:rsidR="00000000" w:rsidDel="00000000" w:rsidP="00000000" w:rsidRDefault="00000000" w:rsidRPr="00000000" w14:paraId="00000046">
      <w:pPr>
        <w:spacing w:after="240" w:before="24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 for Followers:</w:t>
      </w:r>
    </w:p>
    <w:p w:rsidR="00000000" w:rsidDel="00000000" w:rsidP="00000000" w:rsidRDefault="00000000" w:rsidRPr="00000000" w14:paraId="00000047">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challenge of technological obsolescence is also a great challenge to the followers who use the available technologies without the effort to produce something new. These followers might not adapt to the changes as the industry progresses, with new technologies and use the old systems that will not allow them to be efficient and competitive (Oluka, 2025). Such absence of innovations may result in the slow irrelevance in the market, as customers are more and more demanding of more refined and mature products. In addition, high entry barriers also contribute to this problem when it comes to small to medium-sized enterprises (SMEs). The expense of using state-of-the-art technologies is prohibitive, and thus, they are not able to compete effectively with those who have already embraced the advanced technologies in their operations. The followers cannot innovate and scale without significant spending on research and development and acquiring technology, which will make them lag in the rapidly growing technology-driven market (Hua and Wen, 2025). This generates a wide divide between them and innovators, causing their lack of competitiveness and developmental possibilities.</w:t>
      </w:r>
    </w:p>
    <w:p w:rsidR="00000000" w:rsidDel="00000000" w:rsidP="00000000" w:rsidRDefault="00000000" w:rsidRPr="00000000" w14:paraId="00000048">
      <w:pPr>
        <w:spacing w:after="240" w:before="24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Implications:</w:t>
      </w:r>
    </w:p>
    <w:p w:rsidR="00000000" w:rsidDel="00000000" w:rsidP="00000000" w:rsidRDefault="00000000" w:rsidRPr="00000000" w14:paraId="00000049">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 ahead of the technological trend, the organisations need to evaluate their technological capacity and invest in research and development. Continuous innovation should be prioritised by pioneers to remain on top, whereas followers must consider cost-effective technological solutions that comply with business models.</w:t>
      </w:r>
    </w:p>
    <w:p w:rsidR="00000000" w:rsidDel="00000000" w:rsidP="00000000" w:rsidRDefault="00000000" w:rsidRPr="00000000" w14:paraId="0000004A">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4iyifnyjema2" w:id="11"/>
      <w:bookmarkEnd w:id="11"/>
      <w:r w:rsidDel="00000000" w:rsidR="00000000" w:rsidRPr="00000000">
        <w:rPr>
          <w:rFonts w:ascii="Times New Roman" w:cs="Times New Roman" w:eastAsia="Times New Roman" w:hAnsi="Times New Roman"/>
          <w:b w:val="1"/>
          <w:sz w:val="28"/>
          <w:szCs w:val="28"/>
          <w:rtl w:val="0"/>
        </w:rPr>
        <w:t xml:space="preserve">1.3 Comparative Analysis: Pioneers vs. Followers</w:t>
      </w:r>
    </w:p>
    <w:p w:rsidR="00000000" w:rsidDel="00000000" w:rsidP="00000000" w:rsidRDefault="00000000" w:rsidRPr="00000000" w14:paraId="0000004B">
      <w:pPr>
        <w:jc w:val="both"/>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jc w:val="both"/>
              <w:rPr/>
            </w:pPr>
            <w:r w:rsidDel="00000000" w:rsidR="00000000" w:rsidRPr="00000000">
              <w:rPr>
                <w:rFonts w:ascii="Times New Roman" w:cs="Times New Roman" w:eastAsia="Times New Roman" w:hAnsi="Times New Roman"/>
                <w:b w:val="1"/>
                <w:sz w:val="24"/>
                <w:szCs w:val="24"/>
                <w:rtl w:val="0"/>
              </w:rPr>
              <w:t xml:space="preserve">Factor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jc w:val="both"/>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jc w:val="both"/>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jc w:val="both"/>
              <w:rPr/>
            </w:pPr>
            <w:r w:rsidDel="00000000" w:rsidR="00000000" w:rsidRPr="00000000">
              <w:rPr>
                <w:rFonts w:ascii="Times New Roman" w:cs="Times New Roman" w:eastAsia="Times New Roman" w:hAnsi="Times New Roman"/>
                <w:b w:val="1"/>
                <w:sz w:val="24"/>
                <w:szCs w:val="24"/>
                <w:rtl w:val="0"/>
              </w:rPr>
              <w:t xml:space="preserve">Economic Conditions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rPr/>
            </w:pPr>
            <w:r w:rsidDel="00000000" w:rsidR="00000000" w:rsidRPr="00000000">
              <w:rPr>
                <w:rFonts w:ascii="Times New Roman" w:cs="Times New Roman" w:eastAsia="Times New Roman" w:hAnsi="Times New Roman"/>
                <w:sz w:val="24"/>
                <w:szCs w:val="24"/>
                <w:rtl w:val="0"/>
              </w:rPr>
              <w:t xml:space="preserve">Leverage favorable conditions for growth</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jc w:val="both"/>
              <w:rPr/>
            </w:pPr>
            <w:r w:rsidDel="00000000" w:rsidR="00000000" w:rsidRPr="00000000">
              <w:rPr>
                <w:rFonts w:ascii="Times New Roman" w:cs="Times New Roman" w:eastAsia="Times New Roman" w:hAnsi="Times New Roman"/>
                <w:sz w:val="24"/>
                <w:szCs w:val="24"/>
                <w:rtl w:val="0"/>
              </w:rPr>
              <w:t xml:space="preserve">Face challenges in saturated markets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jc w:val="both"/>
              <w:rPr/>
            </w:pPr>
            <w:r w:rsidDel="00000000" w:rsidR="00000000" w:rsidRPr="00000000">
              <w:rPr>
                <w:rFonts w:ascii="Times New Roman" w:cs="Times New Roman" w:eastAsia="Times New Roman" w:hAnsi="Times New Roman"/>
                <w:b w:val="1"/>
                <w:sz w:val="24"/>
                <w:szCs w:val="24"/>
                <w:rtl w:val="0"/>
              </w:rPr>
              <w:t xml:space="preserve">Technological Integration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jc w:val="both"/>
              <w:rPr/>
            </w:pPr>
            <w:r w:rsidDel="00000000" w:rsidR="00000000" w:rsidRPr="00000000">
              <w:rPr>
                <w:rFonts w:ascii="Times New Roman" w:cs="Times New Roman" w:eastAsia="Times New Roman" w:hAnsi="Times New Roman"/>
                <w:sz w:val="24"/>
                <w:szCs w:val="24"/>
                <w:rtl w:val="0"/>
              </w:rPr>
              <w:t xml:space="preserve">Lead innovation and set industry standards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jc w:val="both"/>
              <w:rPr/>
            </w:pPr>
            <w:r w:rsidDel="00000000" w:rsidR="00000000" w:rsidRPr="00000000">
              <w:rPr>
                <w:rFonts w:ascii="Times New Roman" w:cs="Times New Roman" w:eastAsia="Times New Roman" w:hAnsi="Times New Roman"/>
                <w:sz w:val="24"/>
                <w:szCs w:val="24"/>
                <w:rtl w:val="0"/>
              </w:rPr>
              <w:t xml:space="preserve">Risk obsolescence without technological upgrades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jc w:val="both"/>
              <w:rPr/>
            </w:pPr>
            <w:r w:rsidDel="00000000" w:rsidR="00000000" w:rsidRPr="00000000">
              <w:rPr>
                <w:rFonts w:ascii="Times New Roman" w:cs="Times New Roman" w:eastAsia="Times New Roman" w:hAnsi="Times New Roman"/>
                <w:b w:val="1"/>
                <w:sz w:val="24"/>
                <w:szCs w:val="24"/>
                <w:rtl w:val="0"/>
              </w:rPr>
              <w:t xml:space="preserve">Market Position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jc w:val="both"/>
              <w:rPr/>
            </w:pPr>
            <w:r w:rsidDel="00000000" w:rsidR="00000000" w:rsidRPr="00000000">
              <w:rPr>
                <w:rFonts w:ascii="Times New Roman" w:cs="Times New Roman" w:eastAsia="Times New Roman" w:hAnsi="Times New Roman"/>
                <w:sz w:val="24"/>
                <w:szCs w:val="24"/>
                <w:rtl w:val="0"/>
              </w:rPr>
              <w:t xml:space="preserve">Establish strong brand equity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jc w:val="both"/>
              <w:rPr/>
            </w:pPr>
            <w:r w:rsidDel="00000000" w:rsidR="00000000" w:rsidRPr="00000000">
              <w:rPr>
                <w:rFonts w:ascii="Times New Roman" w:cs="Times New Roman" w:eastAsia="Times New Roman" w:hAnsi="Times New Roman"/>
                <w:sz w:val="24"/>
                <w:szCs w:val="24"/>
                <w:rtl w:val="0"/>
              </w:rPr>
              <w:t xml:space="preserve">Compete for market share with limited resources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jc w:val="both"/>
              <w:rPr/>
            </w:pPr>
            <w:r w:rsidDel="00000000" w:rsidR="00000000" w:rsidRPr="00000000">
              <w:rPr>
                <w:rFonts w:ascii="Times New Roman" w:cs="Times New Roman" w:eastAsia="Times New Roman" w:hAnsi="Times New Roman"/>
                <w:b w:val="1"/>
                <w:sz w:val="24"/>
                <w:szCs w:val="24"/>
                <w:rtl w:val="0"/>
              </w:rPr>
              <w:t xml:space="preserve">Adaptability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jc w:val="both"/>
              <w:rPr/>
            </w:pPr>
            <w:r w:rsidDel="00000000" w:rsidR="00000000" w:rsidRPr="00000000">
              <w:rPr>
                <w:rFonts w:ascii="Times New Roman" w:cs="Times New Roman" w:eastAsia="Times New Roman" w:hAnsi="Times New Roman"/>
                <w:sz w:val="24"/>
                <w:szCs w:val="24"/>
                <w:rtl w:val="0"/>
              </w:rPr>
              <w:t xml:space="preserve">Quickly adapt to economic and technological changes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jc w:val="both"/>
              <w:rPr/>
            </w:pPr>
            <w:r w:rsidDel="00000000" w:rsidR="00000000" w:rsidRPr="00000000">
              <w:rPr>
                <w:rFonts w:ascii="Times New Roman" w:cs="Times New Roman" w:eastAsia="Times New Roman" w:hAnsi="Times New Roman"/>
                <w:sz w:val="24"/>
                <w:szCs w:val="24"/>
                <w:rtl w:val="0"/>
              </w:rPr>
              <w:t xml:space="preserve">May struggle to pivot without significant investment</w:t>
            </w:r>
            <w:r w:rsidDel="00000000" w:rsidR="00000000" w:rsidRPr="00000000">
              <w:rPr>
                <w:rtl w:val="0"/>
              </w:rPr>
            </w:r>
          </w:p>
        </w:tc>
      </w:tr>
    </w:tbl>
    <w:p w:rsidR="00000000" w:rsidDel="00000000" w:rsidP="00000000" w:rsidRDefault="00000000" w:rsidRPr="00000000" w14:paraId="0000005B">
      <w:pPr>
        <w:jc w:val="both"/>
        <w:rPr/>
      </w:pPr>
      <w:r w:rsidDel="00000000" w:rsidR="00000000" w:rsidRPr="00000000">
        <w:rPr>
          <w:rtl w:val="0"/>
        </w:rPr>
      </w:r>
    </w:p>
    <w:p w:rsidR="00000000" w:rsidDel="00000000" w:rsidP="00000000" w:rsidRDefault="00000000" w:rsidRPr="00000000" w14:paraId="0000005C">
      <w:pPr>
        <w:jc w:val="both"/>
        <w:rPr/>
      </w:pPr>
      <w:r w:rsidDel="00000000" w:rsidR="00000000" w:rsidRPr="00000000">
        <w:rPr>
          <w:rtl w:val="0"/>
        </w:rPr>
      </w:r>
    </w:p>
    <w:p w:rsidR="00000000" w:rsidDel="00000000" w:rsidP="00000000" w:rsidRDefault="00000000" w:rsidRPr="00000000" w14:paraId="0000005D">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u9ytn48bks4z" w:id="12"/>
      <w:bookmarkEnd w:id="12"/>
      <w:r w:rsidDel="00000000" w:rsidR="00000000" w:rsidRPr="00000000">
        <w:rPr>
          <w:rFonts w:ascii="Times New Roman" w:cs="Times New Roman" w:eastAsia="Times New Roman" w:hAnsi="Times New Roman"/>
          <w:b w:val="1"/>
          <w:sz w:val="28"/>
          <w:szCs w:val="28"/>
          <w:rtl w:val="0"/>
        </w:rPr>
        <w:t xml:space="preserve">1.4 Application of Theoretical Frameworks</w:t>
      </w:r>
    </w:p>
    <w:p w:rsidR="00000000" w:rsidDel="00000000" w:rsidP="00000000" w:rsidRDefault="00000000" w:rsidRPr="00000000" w14:paraId="0000005E">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PESTEL Analysis:</w:t>
      </w:r>
    </w:p>
    <w:p w:rsidR="00000000" w:rsidDel="00000000" w:rsidP="00000000" w:rsidRDefault="00000000" w:rsidRPr="00000000" w14:paraId="0000005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applying the PESTEL framework (Washington State University, 2025) (Political, Economic, Social, Technological, Environmental, and Legal factors), one can have a general understanding of the macro marketing environment. In this context, external forces influence the strategic decisions of organisations by examining economic and technological elements.</w:t>
      </w:r>
    </w:p>
    <w:p w:rsidR="00000000" w:rsidDel="00000000" w:rsidP="00000000" w:rsidRDefault="00000000" w:rsidRPr="00000000" w14:paraId="00000060">
      <w:pPr>
        <w:spacing w:after="240" w:befor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329017" cy="341121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329017" cy="341121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240" w:befor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1: PESTEL Analysis , Source (Akisconnect.eu, 2024)</w:t>
      </w:r>
    </w:p>
    <w:p w:rsidR="00000000" w:rsidDel="00000000" w:rsidP="00000000" w:rsidRDefault="00000000" w:rsidRPr="00000000" w14:paraId="00000062">
      <w:pPr>
        <w:spacing w:after="240" w:before="24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3">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SWOT Analysis:</w:t>
      </w:r>
    </w:p>
    <w:p w:rsidR="00000000" w:rsidDel="00000000" w:rsidP="00000000" w:rsidRDefault="00000000" w:rsidRPr="00000000" w14:paraId="00000064">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help of a SWOT analysis (Kenton, 2025) (Strengths, Weaknesses, Opportunities, Threats), organisations can compare the abilities they have internally with the external economic and technological realities. This analysis will help in developing strategies that will play on the strengths and opportunities and reduce the weaknesses and threats.</w:t>
      </w:r>
    </w:p>
    <w:p w:rsidR="00000000" w:rsidDel="00000000" w:rsidP="00000000" w:rsidRDefault="00000000" w:rsidRPr="00000000" w14:paraId="00000065">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71938" cy="2290465"/>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071938" cy="229046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2: SWOT Analysis, Source (Bitesize, 2024)</w:t>
      </w:r>
    </w:p>
    <w:p w:rsidR="00000000" w:rsidDel="00000000" w:rsidP="00000000" w:rsidRDefault="00000000" w:rsidRPr="00000000" w14:paraId="00000068">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ihqy0ry2q53r" w:id="13"/>
      <w:bookmarkEnd w:id="13"/>
      <w:r w:rsidDel="00000000" w:rsidR="00000000" w:rsidRPr="00000000">
        <w:rPr>
          <w:rtl w:val="0"/>
        </w:rPr>
      </w:r>
    </w:p>
    <w:p w:rsidR="00000000" w:rsidDel="00000000" w:rsidP="00000000" w:rsidRDefault="00000000" w:rsidRPr="00000000" w14:paraId="00000069">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l0f0qz90x7js" w:id="14"/>
      <w:bookmarkEnd w:id="14"/>
      <w:r w:rsidDel="00000000" w:rsidR="00000000" w:rsidRPr="00000000">
        <w:rPr>
          <w:rFonts w:ascii="Times New Roman" w:cs="Times New Roman" w:eastAsia="Times New Roman" w:hAnsi="Times New Roman"/>
          <w:b w:val="1"/>
          <w:sz w:val="28"/>
          <w:szCs w:val="28"/>
          <w:rtl w:val="0"/>
        </w:rPr>
        <w:t xml:space="preserve">1.5 Conclusion</w:t>
      </w:r>
    </w:p>
    <w:p w:rsidR="00000000" w:rsidDel="00000000" w:rsidP="00000000" w:rsidRDefault="00000000" w:rsidRPr="00000000" w14:paraId="0000006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sum up, economic and technological factors are highly essential in determining the strategic decisions of pioneering and follower organisations. The favourable economic conditions and the development of new technology can be used with the help of pioneers in the market to reinforce the position, innovate and distinguish themselves with the help of the early entry into the market and high-quality products. Pioneers can be able to build long-term competitive advantages by remaining at the forefront of technological trends and adjusting to the various economic environments. Followers, on the other hand, have the challenge of penetrating saturated markets, and they might experience problems with limited resources to innovate. Nevertheless, the opportunities remain visible to the followers provided they address the cost leadership, emphasise niche markets, or follow the time-tested technological solutions. Organisations can evaluate the external environment, internal strengths, and make sound decisions that will help them stay on track with the constantly evolving macro marketing environment using strategic frameworks such as PESTEL and SWOT analyses.</w:t>
      </w:r>
    </w:p>
    <w:p w:rsidR="00000000" w:rsidDel="00000000" w:rsidP="00000000" w:rsidRDefault="00000000" w:rsidRPr="00000000" w14:paraId="0000006B">
      <w:pPr>
        <w:spacing w:after="240" w:befor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after="240" w:before="24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D">
      <w:pPr>
        <w:spacing w:after="240" w:before="24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E">
      <w:pPr>
        <w:pStyle w:val="Heading1"/>
        <w:spacing w:after="240" w:before="240" w:lineRule="auto"/>
        <w:jc w:val="both"/>
        <w:rPr>
          <w:rFonts w:ascii="Times New Roman" w:cs="Times New Roman" w:eastAsia="Times New Roman" w:hAnsi="Times New Roman"/>
          <w:b w:val="1"/>
          <w:sz w:val="32"/>
          <w:szCs w:val="32"/>
        </w:rPr>
      </w:pPr>
      <w:bookmarkStart w:colFirst="0" w:colLast="0" w:name="_heading=h.mav4rw4mwpek" w:id="15"/>
      <w:bookmarkEnd w:id="15"/>
      <w:r w:rsidDel="00000000" w:rsidR="00000000" w:rsidRPr="00000000">
        <w:rPr>
          <w:rFonts w:ascii="Times New Roman" w:cs="Times New Roman" w:eastAsia="Times New Roman" w:hAnsi="Times New Roman"/>
          <w:b w:val="1"/>
          <w:sz w:val="32"/>
          <w:szCs w:val="32"/>
          <w:rtl w:val="0"/>
        </w:rPr>
        <w:t xml:space="preserve">Task 2:</w:t>
      </w:r>
    </w:p>
    <w:p w:rsidR="00000000" w:rsidDel="00000000" w:rsidP="00000000" w:rsidRDefault="00000000" w:rsidRPr="00000000" w14:paraId="0000006F">
      <w:pPr>
        <w:pStyle w:val="Heading2"/>
        <w:spacing w:after="240" w:before="240" w:lineRule="auto"/>
        <w:jc w:val="both"/>
        <w:rPr>
          <w:rFonts w:ascii="Times New Roman" w:cs="Times New Roman" w:eastAsia="Times New Roman" w:hAnsi="Times New Roman"/>
          <w:b w:val="1"/>
          <w:sz w:val="28"/>
          <w:szCs w:val="28"/>
        </w:rPr>
      </w:pPr>
      <w:bookmarkStart w:colFirst="0" w:colLast="0" w:name="_heading=h.p3408cjre6qa" w:id="16"/>
      <w:bookmarkEnd w:id="16"/>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14:paraId="00000070">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Continued on the macro marketing environment analysis, this segment critically analyses strategic response to economic and technological factors by pioneering and follower organisations to stay competitive. The innovators, as pioneers, take advantage of the favourable economic climate to launch new products, pursue premium pricing strategies, and enter new markets. As an example, businesses such as Apple take advantage of technological advancements to help distinguish their product and establish a powerful brand image. Conversely, followers who usually enter the market later than the pioneers are cost-effective and are fast to adopt new technologies and target niche markets. Samsung, being a rapid follower in the smartphone industry, soon embraced the touchscreen technology as a way to compete with the iPhone. Both forms of organisation adapt their marketing strategies. Pioneers focus on differentiation and brand loyalty, and the followers tend to focus on value-based pricing and cost leadership as a way of remaining competitive. Such strategic reactions will guarantee their survival and competitiveness in a rapidly developing market.</w:t>
      </w:r>
    </w:p>
    <w:p w:rsidR="00000000" w:rsidDel="00000000" w:rsidP="00000000" w:rsidRDefault="00000000" w:rsidRPr="00000000" w14:paraId="00000071">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x8sa9mf7jew0" w:id="17"/>
      <w:bookmarkEnd w:id="17"/>
      <w:r w:rsidDel="00000000" w:rsidR="00000000" w:rsidRPr="00000000">
        <w:rPr>
          <w:rFonts w:ascii="Times New Roman" w:cs="Times New Roman" w:eastAsia="Times New Roman" w:hAnsi="Times New Roman"/>
          <w:b w:val="1"/>
          <w:sz w:val="28"/>
          <w:szCs w:val="28"/>
          <w:rtl w:val="0"/>
        </w:rPr>
        <w:t xml:space="preserve">2.1 Economic Factors: Strategic Responses</w:t>
      </w:r>
    </w:p>
    <w:p w:rsidR="00000000" w:rsidDel="00000000" w:rsidP="00000000" w:rsidRDefault="00000000" w:rsidRPr="00000000" w14:paraId="00000072">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organisational strategies are greatly affected by economic factors such as inflation rates, exchange rates, patterns of economic growth and consumer purchasing power.</w:t>
      </w:r>
    </w:p>
    <w:p w:rsidR="00000000" w:rsidDel="00000000" w:rsidP="00000000" w:rsidRDefault="00000000" w:rsidRPr="00000000" w14:paraId="00000073">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Pioneers' Strategic Responses:</w:t>
      </w:r>
    </w:p>
    <w:p w:rsidR="00000000" w:rsidDel="00000000" w:rsidP="00000000" w:rsidRDefault="00000000" w:rsidRPr="00000000" w14:paraId="00000074">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economic environment is favourable, pioneers tend to use market penetration and diversification as some of the strategies to consolidate their market position (George Mwenda Gitonga, Dr Paul Kariuki and Dr Ezekiah Kimani, 2025). At a time when the economy is in a boom, such companies can widen their boundaries by launching new product lines or new geographical locations to exploit the consumer spending. With these emerging markets, they will be able to increase their sales and brand awareness. Moreover, innovators often use a more advanced pricing approach during times of economic prosperity. By marketing their products as quality and exclusive, they will be able to improve their brand image and be able to raise prices. The benefit of this strategy is that they are not only able to distinguish themselves amongst their competitors but also grow their profit margins. The perception of value and quality is also strengthened by premium pricing that attracts consumers prepared to pay a significant price in exchange for high-quality goods (P.M. et al., 2025). All these strategies can help pioneers to achieve maximum profitability and have a competitive advantage.</w:t>
      </w:r>
    </w:p>
    <w:p w:rsidR="00000000" w:rsidDel="00000000" w:rsidP="00000000" w:rsidRDefault="00000000" w:rsidRPr="00000000" w14:paraId="00000075">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br w:type="textWrapping"/>
      </w:r>
      <w:r w:rsidDel="00000000" w:rsidR="00000000" w:rsidRPr="00000000">
        <w:rPr>
          <w:rFonts w:ascii="Times New Roman" w:cs="Times New Roman" w:eastAsia="Times New Roman" w:hAnsi="Times New Roman"/>
          <w:b w:val="1"/>
          <w:sz w:val="24"/>
          <w:szCs w:val="24"/>
          <w:rtl w:val="0"/>
        </w:rPr>
        <w:t xml:space="preserve">Followers' Strategic Responses:</w:t>
      </w:r>
    </w:p>
    <w:p w:rsidR="00000000" w:rsidDel="00000000" w:rsidP="00000000" w:rsidRDefault="00000000" w:rsidRPr="00000000" w14:paraId="00000076">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strategic reactions that followers tend to assume to remain competitive, especially in periods of economic downturns, are cost leadership and niche marketing (Dressler, 2025). Cost leadership is when companies streamline operations to minimise costs to provide products at competitive prices. This approach will allow the followers to capture price-sensitive consumers who can focus on affordability in challenging economic periods. Followers can provide value and remain profitable by simplifying the production processes and taking advantage of economies of scale. Conversely, niche marketing aims at serving a particular market segment with specific offerings so that the brand can be relevant to a specific customer's needs. During hard economic times, a follower can shift to smaller, underserved segments, offering a product or service that appeals to these consumers (Arif Budi Raharja, 2025). This will enable them to establish robust customer loyalty among followers and stand out among larger, more generalised competitors. The two strategies assist the followers in maintaining a sustainable market position and managing external economic forces effectively.</w:t>
      </w:r>
    </w:p>
    <w:p w:rsidR="00000000" w:rsidDel="00000000" w:rsidP="00000000" w:rsidRDefault="00000000" w:rsidRPr="00000000" w14:paraId="00000077">
      <w:pPr>
        <w:spacing w:after="240" w:before="24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Industry Example:</w:t>
      </w:r>
    </w:p>
    <w:p w:rsidR="00000000" w:rsidDel="00000000" w:rsidP="00000000" w:rsidRDefault="00000000" w:rsidRPr="00000000" w14:paraId="00000078">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leadership was also adopted by such companies as Walmart (a follower) during the global financial crisis of 2008, which provided low-priced products to appeal to low-income consumers. Conversely, inventors such as Apple continued high pricing of their new products to attract the consumers who were interested in quality and status.</w:t>
      </w:r>
    </w:p>
    <w:p w:rsidR="00000000" w:rsidDel="00000000" w:rsidP="00000000" w:rsidRDefault="00000000" w:rsidRPr="00000000" w14:paraId="00000079">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nli5uhmj86ft" w:id="18"/>
      <w:bookmarkEnd w:id="18"/>
      <w:r w:rsidDel="00000000" w:rsidR="00000000" w:rsidRPr="00000000">
        <w:rPr>
          <w:rFonts w:ascii="Times New Roman" w:cs="Times New Roman" w:eastAsia="Times New Roman" w:hAnsi="Times New Roman"/>
          <w:b w:val="1"/>
          <w:sz w:val="28"/>
          <w:szCs w:val="28"/>
          <w:rtl w:val="0"/>
        </w:rPr>
        <w:t xml:space="preserve">2.2 Technological Factors: Strategic Responses</w:t>
      </w:r>
    </w:p>
    <w:p w:rsidR="00000000" w:rsidDel="00000000" w:rsidP="00000000" w:rsidRDefault="00000000" w:rsidRPr="00000000" w14:paraId="0000007A">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industry environment is changing due to technological changes, including automation, artificial intelligence, and online platforms.</w:t>
      </w:r>
    </w:p>
    <w:p w:rsidR="00000000" w:rsidDel="00000000" w:rsidP="00000000" w:rsidRDefault="00000000" w:rsidRPr="00000000" w14:paraId="0000007B">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Pioneers' Strategic Responses:</w:t>
      </w:r>
    </w:p>
    <w:p w:rsidR="00000000" w:rsidDel="00000000" w:rsidP="00000000" w:rsidRDefault="00000000" w:rsidRPr="00000000" w14:paraId="0000007C">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Pioneers rely heavily on innovation leadership, where they allocate a lot of funds towards research and development (R&amp;D) to bring new, groundbreaking technologies that transform an industry (Nyamboga, 2025). As an example, Tesla has been investing in electric vehicle (EV) technology early enough, which has made the company become one of the leaders in the automotive industry, transforming the perception of customers of electric cars. This emphasis on innovation not only placed Tesla at the forefront of traditional car manufacturers but also established new standards of EVs in the market. In addition, the strategic partnerships with technological companies are crucial in assisting the first movers in improving the products (Chen, Yang and Wei, 2024). With the help of tech companies, pioneers can incorporate advanced technologies, including artificial intelligence, automation, or smart features, into their products, which will make them more functional and more attractive to consumers. Such alliances help new entrants to remain ahead of the game, constantly providing progressive and high-performing products that satisfy the changing consumer demands and expectations.</w:t>
      </w:r>
    </w:p>
    <w:p w:rsidR="00000000" w:rsidDel="00000000" w:rsidP="00000000" w:rsidRDefault="00000000" w:rsidRPr="00000000" w14:paraId="0000007D">
      <w:pPr>
        <w:spacing w:after="240" w:before="24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Followers' Strategic Responses:</w:t>
      </w:r>
    </w:p>
    <w:p w:rsidR="00000000" w:rsidDel="00000000" w:rsidP="00000000" w:rsidRDefault="00000000" w:rsidRPr="00000000" w14:paraId="0000007E">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Fast Follower Strategy is characterised by paying attention to the development of technologies and the timely implementation of effective innovations to achieve a competitive advantage (Al Najjar and Qandeel, 2025). A good example of this strategy is Samsung. Having introduced the iPhone, Apple immediately had to be matched by Samsung, which started acting immediately in the smartphone segment, combining the same functionality with certain new developments, including bigger screens and improved photography. The move to use and improve on Apple technology also enabled Samsung to gain a significant share and establish itself as a major player in the market (AlEnezi, Al-Dhmour and Al-Alawi, 2025). This approach enables the followers to minimise the risk of venturing into new technologies and yet enjoy the fruits of market trends.</w:t>
      </w:r>
    </w:p>
    <w:p w:rsidR="00000000" w:rsidDel="00000000" w:rsidP="00000000" w:rsidRDefault="00000000" w:rsidRPr="00000000" w14:paraId="0000007F">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 Innovation is the process of involving external innovators by partnering or acquiring them to gain access to new technologies without incurring the expensive costs associated with research and development activities (Rocco, 2025). This will allow followers to incorporate superior solutions rapidly and effectively, which will contribute to their faster entry into the market and a decrease in durability to the market, staying on the same pace with leaders who invest heavily in research and development.</w:t>
      </w:r>
    </w:p>
    <w:p w:rsidR="00000000" w:rsidDel="00000000" w:rsidP="00000000" w:rsidRDefault="00000000" w:rsidRPr="00000000" w14:paraId="00000080">
      <w:pPr>
        <w:spacing w:after="240" w:before="24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Industry Example:</w:t>
      </w:r>
    </w:p>
    <w:p w:rsidR="00000000" w:rsidDel="00000000" w:rsidP="00000000" w:rsidRDefault="00000000" w:rsidRPr="00000000" w14:paraId="00000081">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Commonly used smartphones with touchscreens were introduced by Apple in the smartphone industry with the iPhone. Samsung is an imitator, and on noticing the reaction of the market, it introduced its own smartphones very fast with more features attached to them and dominated a large portion of the market.</w:t>
      </w:r>
    </w:p>
    <w:p w:rsidR="00000000" w:rsidDel="00000000" w:rsidP="00000000" w:rsidRDefault="00000000" w:rsidRPr="00000000" w14:paraId="00000082">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2la6b5ura7t0" w:id="19"/>
      <w:bookmarkEnd w:id="19"/>
      <w:r w:rsidDel="00000000" w:rsidR="00000000" w:rsidRPr="00000000">
        <w:rPr>
          <w:rFonts w:ascii="Times New Roman" w:cs="Times New Roman" w:eastAsia="Times New Roman" w:hAnsi="Times New Roman"/>
          <w:b w:val="1"/>
          <w:sz w:val="28"/>
          <w:szCs w:val="28"/>
          <w:rtl w:val="0"/>
        </w:rPr>
        <w:t xml:space="preserve">2.3 Comparative Analysis: Pioneers vs. Followers</w:t>
      </w:r>
    </w:p>
    <w:p w:rsidR="00000000" w:rsidDel="00000000" w:rsidP="00000000" w:rsidRDefault="00000000" w:rsidRPr="00000000" w14:paraId="00000083">
      <w:pPr>
        <w:jc w:val="both"/>
        <w:rPr/>
      </w:pPr>
      <w:r w:rsidDel="00000000" w:rsidR="00000000" w:rsidRPr="00000000">
        <w:rPr>
          <w:rtl w:val="0"/>
        </w:rPr>
      </w:r>
    </w:p>
    <w:p w:rsidR="00000000" w:rsidDel="00000000" w:rsidP="00000000" w:rsidRDefault="00000000" w:rsidRPr="00000000" w14:paraId="00000084">
      <w:pPr>
        <w:jc w:val="both"/>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jc w:val="both"/>
              <w:rPr/>
            </w:pPr>
            <w:r w:rsidDel="00000000" w:rsidR="00000000" w:rsidRPr="00000000">
              <w:rPr>
                <w:rFonts w:ascii="Times New Roman" w:cs="Times New Roman" w:eastAsia="Times New Roman" w:hAnsi="Times New Roman"/>
                <w:b w:val="1"/>
                <w:sz w:val="24"/>
                <w:szCs w:val="24"/>
                <w:rtl w:val="0"/>
              </w:rPr>
              <w:t xml:space="preserve">Strategy Type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jc w:val="both"/>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jc w:val="both"/>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jc w:val="both"/>
              <w:rPr/>
            </w:pPr>
            <w:r w:rsidDel="00000000" w:rsidR="00000000" w:rsidRPr="00000000">
              <w:rPr>
                <w:rFonts w:ascii="Times New Roman" w:cs="Times New Roman" w:eastAsia="Times New Roman" w:hAnsi="Times New Roman"/>
                <w:b w:val="1"/>
                <w:sz w:val="24"/>
                <w:szCs w:val="24"/>
                <w:rtl w:val="0"/>
              </w:rPr>
              <w:t xml:space="preserve">Innovation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jc w:val="both"/>
              <w:rPr/>
            </w:pPr>
            <w:r w:rsidDel="00000000" w:rsidR="00000000" w:rsidRPr="00000000">
              <w:rPr>
                <w:rFonts w:ascii="Times New Roman" w:cs="Times New Roman" w:eastAsia="Times New Roman" w:hAnsi="Times New Roman"/>
                <w:sz w:val="24"/>
                <w:szCs w:val="24"/>
                <w:rtl w:val="0"/>
              </w:rPr>
              <w:t xml:space="preserve">Lead in introducing new technologies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jc w:val="both"/>
              <w:rPr/>
            </w:pPr>
            <w:r w:rsidDel="00000000" w:rsidR="00000000" w:rsidRPr="00000000">
              <w:rPr>
                <w:rFonts w:ascii="Times New Roman" w:cs="Times New Roman" w:eastAsia="Times New Roman" w:hAnsi="Times New Roman"/>
                <w:sz w:val="24"/>
                <w:szCs w:val="24"/>
                <w:rtl w:val="0"/>
              </w:rPr>
              <w:t xml:space="preserve">Adopt and adapt existing innovations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jc w:val="both"/>
              <w:rPr/>
            </w:pPr>
            <w:r w:rsidDel="00000000" w:rsidR="00000000" w:rsidRPr="00000000">
              <w:rPr>
                <w:rFonts w:ascii="Times New Roman" w:cs="Times New Roman" w:eastAsia="Times New Roman" w:hAnsi="Times New Roman"/>
                <w:b w:val="1"/>
                <w:sz w:val="24"/>
                <w:szCs w:val="24"/>
                <w:rtl w:val="0"/>
              </w:rPr>
              <w:t xml:space="preserve">Market Positioning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jc w:val="both"/>
              <w:rPr/>
            </w:pPr>
            <w:r w:rsidDel="00000000" w:rsidR="00000000" w:rsidRPr="00000000">
              <w:rPr>
                <w:rFonts w:ascii="Times New Roman" w:cs="Times New Roman" w:eastAsia="Times New Roman" w:hAnsi="Times New Roman"/>
                <w:sz w:val="24"/>
                <w:szCs w:val="24"/>
                <w:rtl w:val="0"/>
              </w:rPr>
              <w:t xml:space="preserve">Establish premium brand image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jc w:val="both"/>
              <w:rPr/>
            </w:pPr>
            <w:r w:rsidDel="00000000" w:rsidR="00000000" w:rsidRPr="00000000">
              <w:rPr>
                <w:rFonts w:ascii="Times New Roman" w:cs="Times New Roman" w:eastAsia="Times New Roman" w:hAnsi="Times New Roman"/>
                <w:sz w:val="24"/>
                <w:szCs w:val="24"/>
                <w:rtl w:val="0"/>
              </w:rPr>
              <w:t xml:space="preserve">Compete on cost and value propositions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jc w:val="both"/>
              <w:rPr/>
            </w:pPr>
            <w:r w:rsidDel="00000000" w:rsidR="00000000" w:rsidRPr="00000000">
              <w:rPr>
                <w:rFonts w:ascii="Times New Roman" w:cs="Times New Roman" w:eastAsia="Times New Roman" w:hAnsi="Times New Roman"/>
                <w:b w:val="1"/>
                <w:sz w:val="24"/>
                <w:szCs w:val="24"/>
                <w:rtl w:val="0"/>
              </w:rPr>
              <w:t xml:space="preserve">Risk Management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jc w:val="both"/>
              <w:rPr/>
            </w:pPr>
            <w:r w:rsidDel="00000000" w:rsidR="00000000" w:rsidRPr="00000000">
              <w:rPr>
                <w:rFonts w:ascii="Times New Roman" w:cs="Times New Roman" w:eastAsia="Times New Roman" w:hAnsi="Times New Roman"/>
                <w:sz w:val="24"/>
                <w:szCs w:val="24"/>
                <w:rtl w:val="0"/>
              </w:rPr>
              <w:t xml:space="preserve">Higher R&amp;D investments with potential for high returns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jc w:val="both"/>
              <w:rPr/>
            </w:pPr>
            <w:r w:rsidDel="00000000" w:rsidR="00000000" w:rsidRPr="00000000">
              <w:rPr>
                <w:rFonts w:ascii="Times New Roman" w:cs="Times New Roman" w:eastAsia="Times New Roman" w:hAnsi="Times New Roman"/>
                <w:sz w:val="24"/>
                <w:szCs w:val="24"/>
                <w:rtl w:val="0"/>
              </w:rPr>
              <w:t xml:space="preserve">Lower R&amp;D costs with reduced innovation risks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jc w:val="both"/>
              <w:rPr/>
            </w:pPr>
            <w:r w:rsidDel="00000000" w:rsidR="00000000" w:rsidRPr="00000000">
              <w:rPr>
                <w:rFonts w:ascii="Times New Roman" w:cs="Times New Roman" w:eastAsia="Times New Roman" w:hAnsi="Times New Roman"/>
                <w:b w:val="1"/>
                <w:sz w:val="24"/>
                <w:szCs w:val="24"/>
                <w:rtl w:val="0"/>
              </w:rPr>
              <w:t xml:space="preserve">Market Entry Timing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jc w:val="both"/>
              <w:rPr/>
            </w:pPr>
            <w:r w:rsidDel="00000000" w:rsidR="00000000" w:rsidRPr="00000000">
              <w:rPr>
                <w:rFonts w:ascii="Times New Roman" w:cs="Times New Roman" w:eastAsia="Times New Roman" w:hAnsi="Times New Roman"/>
                <w:sz w:val="24"/>
                <w:szCs w:val="24"/>
                <w:rtl w:val="0"/>
              </w:rPr>
              <w:t xml:space="preserve">Early entry to set industry standards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jc w:val="both"/>
              <w:rPr/>
            </w:pPr>
            <w:r w:rsidDel="00000000" w:rsidR="00000000" w:rsidRPr="00000000">
              <w:rPr>
                <w:rFonts w:ascii="Times New Roman" w:cs="Times New Roman" w:eastAsia="Times New Roman" w:hAnsi="Times New Roman"/>
                <w:sz w:val="24"/>
                <w:szCs w:val="24"/>
                <w:rtl w:val="0"/>
              </w:rPr>
              <w:t xml:space="preserve">Enter after market validation</w:t>
            </w:r>
            <w:r w:rsidDel="00000000" w:rsidR="00000000" w:rsidRPr="00000000">
              <w:rPr>
                <w:rtl w:val="0"/>
              </w:rPr>
            </w:r>
          </w:p>
        </w:tc>
      </w:tr>
    </w:tbl>
    <w:p w:rsidR="00000000" w:rsidDel="00000000" w:rsidP="00000000" w:rsidRDefault="00000000" w:rsidRPr="00000000" w14:paraId="0000009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pStyle w:val="Heading2"/>
        <w:keepNext w:val="0"/>
        <w:keepLines w:val="0"/>
        <w:spacing w:before="280" w:lineRule="auto"/>
        <w:jc w:val="both"/>
        <w:rPr>
          <w:rFonts w:ascii="Times New Roman" w:cs="Times New Roman" w:eastAsia="Times New Roman" w:hAnsi="Times New Roman"/>
          <w:b w:val="1"/>
          <w:sz w:val="28"/>
          <w:szCs w:val="28"/>
        </w:rPr>
      </w:pPr>
      <w:bookmarkStart w:colFirst="0" w:colLast="0" w:name="_heading=h.89m7mewfnyou" w:id="20"/>
      <w:bookmarkEnd w:id="20"/>
      <w:r w:rsidDel="00000000" w:rsidR="00000000" w:rsidRPr="00000000">
        <w:rPr>
          <w:rFonts w:ascii="Times New Roman" w:cs="Times New Roman" w:eastAsia="Times New Roman" w:hAnsi="Times New Roman"/>
          <w:b w:val="1"/>
          <w:sz w:val="28"/>
          <w:szCs w:val="28"/>
          <w:rtl w:val="0"/>
        </w:rPr>
        <w:t xml:space="preserve">2.4 Application of Marketing Strategies</w:t>
      </w:r>
    </w:p>
    <w:p w:rsidR="00000000" w:rsidDel="00000000" w:rsidP="00000000" w:rsidRDefault="00000000" w:rsidRPr="00000000" w14:paraId="00000096">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Product Strategy:</w:t>
      </w:r>
    </w:p>
    <w:p w:rsidR="00000000" w:rsidDel="00000000" w:rsidP="00000000" w:rsidRDefault="00000000" w:rsidRPr="00000000" w14:paraId="00000097">
      <w:pPr>
        <w:numPr>
          <w:ilvl w:val="0"/>
          <w:numId w:val="1"/>
        </w:numPr>
        <w:spacing w:after="0" w:befor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Fonts w:ascii="Times New Roman" w:cs="Times New Roman" w:eastAsia="Times New Roman" w:hAnsi="Times New Roman"/>
          <w:sz w:val="24"/>
          <w:szCs w:val="24"/>
          <w:rtl w:val="0"/>
        </w:rPr>
        <w:t xml:space="preserve"> Work on product differentiation by the distinctive features and the high quality. As an example, its products are distinguished by Apple focusing on design and user experience (Madhumita Das, Pravitha Vijaykumar and Dr Chok Nyen Vui, 2025).</w:t>
        <w:br w:type="textWrapping"/>
      </w:r>
    </w:p>
    <w:p w:rsidR="00000000" w:rsidDel="00000000" w:rsidP="00000000" w:rsidRDefault="00000000" w:rsidRPr="00000000" w14:paraId="00000098">
      <w:pPr>
        <w:numPr>
          <w:ilvl w:val="0"/>
          <w:numId w:val="1"/>
        </w:numPr>
        <w:spacing w:after="240" w:before="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Fonts w:ascii="Times New Roman" w:cs="Times New Roman" w:eastAsia="Times New Roman" w:hAnsi="Times New Roman"/>
          <w:sz w:val="24"/>
          <w:szCs w:val="24"/>
          <w:rtl w:val="0"/>
        </w:rPr>
        <w:t xml:space="preserve"> Provide the same products but improved or at a reduced price. Samsung offers smartphones which have similar features to those of Apple at reasonable prices (Alekhya Kambhampati, 2025).</w:t>
        <w:br w:type="textWrapping"/>
      </w:r>
    </w:p>
    <w:p w:rsidR="00000000" w:rsidDel="00000000" w:rsidP="00000000" w:rsidRDefault="00000000" w:rsidRPr="00000000" w14:paraId="00000099">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Pricing Strategy:</w:t>
      </w:r>
    </w:p>
    <w:p w:rsidR="00000000" w:rsidDel="00000000" w:rsidP="00000000" w:rsidRDefault="00000000" w:rsidRPr="00000000" w14:paraId="0000009A">
      <w:pPr>
        <w:numPr>
          <w:ilvl w:val="0"/>
          <w:numId w:val="4"/>
        </w:numPr>
        <w:spacing w:after="0" w:befor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Fonts w:ascii="Times New Roman" w:cs="Times New Roman" w:eastAsia="Times New Roman" w:hAnsi="Times New Roman"/>
          <w:sz w:val="24"/>
          <w:szCs w:val="24"/>
          <w:rtl w:val="0"/>
        </w:rPr>
        <w:t xml:space="preserve"> Premium pricing is used to indicate innovation and quality. Electric vehicles by Tesla have higher prices because of superior technology (Liu, 2025).</w:t>
        <w:br w:type="textWrapping"/>
      </w:r>
    </w:p>
    <w:p w:rsidR="00000000" w:rsidDel="00000000" w:rsidP="00000000" w:rsidRDefault="00000000" w:rsidRPr="00000000" w14:paraId="0000009B">
      <w:pPr>
        <w:numPr>
          <w:ilvl w:val="0"/>
          <w:numId w:val="4"/>
        </w:numPr>
        <w:spacing w:after="240" w:before="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Fonts w:ascii="Times New Roman" w:cs="Times New Roman" w:eastAsia="Times New Roman" w:hAnsi="Times New Roman"/>
          <w:sz w:val="24"/>
          <w:szCs w:val="24"/>
          <w:rtl w:val="0"/>
        </w:rPr>
        <w:t xml:space="preserve"> Practise competitive pricing to capture cost-sensitive consumers. The Chinese smartphone producers, such as Xiaomi, provide phones with better features at a less expensive price (Annisa Nurwanda Putri et al., 2025).</w:t>
        <w:br w:type="textWrapping"/>
      </w:r>
    </w:p>
    <w:p w:rsidR="00000000" w:rsidDel="00000000" w:rsidP="00000000" w:rsidRDefault="00000000" w:rsidRPr="00000000" w14:paraId="0000009C">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Distribution Strategy:</w:t>
      </w:r>
    </w:p>
    <w:p w:rsidR="00000000" w:rsidDel="00000000" w:rsidP="00000000" w:rsidRDefault="00000000" w:rsidRPr="00000000" w14:paraId="0000009D">
      <w:pPr>
        <w:numPr>
          <w:ilvl w:val="0"/>
          <w:numId w:val="3"/>
        </w:numPr>
        <w:spacing w:after="0" w:befor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Fonts w:ascii="Times New Roman" w:cs="Times New Roman" w:eastAsia="Times New Roman" w:hAnsi="Times New Roman"/>
          <w:sz w:val="24"/>
          <w:szCs w:val="24"/>
          <w:rtl w:val="0"/>
        </w:rPr>
        <w:t xml:space="preserve"> Open up exclusive distribution channels to retain brand image. The retail stores of Apple offer a regulated space of brand experience (Jiang and Feng, 2025).</w:t>
        <w:br w:type="textWrapping"/>
      </w:r>
    </w:p>
    <w:p w:rsidR="00000000" w:rsidDel="00000000" w:rsidP="00000000" w:rsidRDefault="00000000" w:rsidRPr="00000000" w14:paraId="0000009E">
      <w:pPr>
        <w:numPr>
          <w:ilvl w:val="0"/>
          <w:numId w:val="3"/>
        </w:numPr>
        <w:spacing w:after="240" w:before="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Fonts w:ascii="Times New Roman" w:cs="Times New Roman" w:eastAsia="Times New Roman" w:hAnsi="Times New Roman"/>
          <w:sz w:val="24"/>
          <w:szCs w:val="24"/>
          <w:rtl w:val="0"/>
        </w:rPr>
        <w:t xml:space="preserve"> Tap the mass distribution channels and reach more people. Samsung has different retailers in different locations around the world (Noui and Boucetta, 2025).</w:t>
        <w:br w:type="textWrapping"/>
      </w:r>
    </w:p>
    <w:p w:rsidR="00000000" w:rsidDel="00000000" w:rsidP="00000000" w:rsidRDefault="00000000" w:rsidRPr="00000000" w14:paraId="0000009F">
      <w:pPr>
        <w:spacing w:after="240"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Promotional Strategy:</w:t>
      </w:r>
    </w:p>
    <w:p w:rsidR="00000000" w:rsidDel="00000000" w:rsidP="00000000" w:rsidRDefault="00000000" w:rsidRPr="00000000" w14:paraId="000000A0">
      <w:pPr>
        <w:numPr>
          <w:ilvl w:val="0"/>
          <w:numId w:val="2"/>
        </w:numPr>
        <w:spacing w:after="0" w:befor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Pioneers:</w:t>
      </w:r>
      <w:r w:rsidDel="00000000" w:rsidR="00000000" w:rsidRPr="00000000">
        <w:rPr>
          <w:rFonts w:ascii="Times New Roman" w:cs="Times New Roman" w:eastAsia="Times New Roman" w:hAnsi="Times New Roman"/>
          <w:sz w:val="24"/>
          <w:szCs w:val="24"/>
          <w:rtl w:val="0"/>
        </w:rPr>
        <w:t xml:space="preserve"> Spend on brand-building efforts on innovation. The campaign of Apple focused on innovation and creativity, which was called Think Different.</w:t>
        <w:br w:type="textWrapping"/>
      </w:r>
    </w:p>
    <w:p w:rsidR="00000000" w:rsidDel="00000000" w:rsidP="00000000" w:rsidRDefault="00000000" w:rsidRPr="00000000" w14:paraId="000000A1">
      <w:pPr>
        <w:numPr>
          <w:ilvl w:val="0"/>
          <w:numId w:val="2"/>
        </w:numPr>
        <w:spacing w:after="240" w:before="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Followers:</w:t>
      </w:r>
      <w:r w:rsidDel="00000000" w:rsidR="00000000" w:rsidRPr="00000000">
        <w:rPr>
          <w:rFonts w:ascii="Times New Roman" w:cs="Times New Roman" w:eastAsia="Times New Roman" w:hAnsi="Times New Roman"/>
          <w:sz w:val="24"/>
          <w:szCs w:val="24"/>
          <w:rtl w:val="0"/>
        </w:rPr>
        <w:t xml:space="preserve"> Preoccupy with promotions based on values and customer tests. Xiaomi uses social media and word-of-mouth marketing to distribute its products.</w:t>
      </w:r>
    </w:p>
    <w:p w:rsidR="00000000" w:rsidDel="00000000" w:rsidP="00000000" w:rsidRDefault="00000000" w:rsidRPr="00000000" w14:paraId="000000A2">
      <w:pPr>
        <w:pStyle w:val="Heading2"/>
        <w:spacing w:after="240" w:before="240" w:lineRule="auto"/>
        <w:jc w:val="both"/>
        <w:rPr>
          <w:rFonts w:ascii="Times New Roman" w:cs="Times New Roman" w:eastAsia="Times New Roman" w:hAnsi="Times New Roman"/>
          <w:b w:val="1"/>
          <w:sz w:val="28"/>
          <w:szCs w:val="28"/>
        </w:rPr>
      </w:pPr>
      <w:bookmarkStart w:colFirst="0" w:colLast="0" w:name="_heading=h.lb943f5sm1i1" w:id="21"/>
      <w:bookmarkEnd w:id="21"/>
      <w:r w:rsidDel="00000000" w:rsidR="00000000" w:rsidRPr="00000000">
        <w:rPr>
          <w:rFonts w:ascii="Times New Roman" w:cs="Times New Roman" w:eastAsia="Times New Roman" w:hAnsi="Times New Roman"/>
          <w:b w:val="1"/>
          <w:sz w:val="28"/>
          <w:szCs w:val="28"/>
          <w:rtl w:val="0"/>
        </w:rPr>
        <w:t xml:space="preserve">2.5 Conclusion</w:t>
      </w:r>
    </w:p>
    <w:p w:rsidR="00000000" w:rsidDel="00000000" w:rsidP="00000000" w:rsidRDefault="00000000" w:rsidRPr="00000000" w14:paraId="000000A3">
      <w:pPr>
        <w:spacing w:after="240"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Pioneering and follower organisations follow different approaches to cope with economic and technological forces. Innovation, market leadership and premium positioning, which is achieved by leading early on in the market, is also a characteristic feature of pioneers. Their research and development are very high, to present revolutionary products that will capture consumers' attention and loyalty. Conversely, the follower organisations are cost-efficient and will readily embrace new technology to stay afloat. With fast-follower strategies, they can enter the market after monitoring the consumer reaction to innovations and provide them with similar or improved products at a reduced price. There are value propositions that are stressed by the followers and address price-sensitive customers. Each of the approaches has its advantages: pioneers have the opportunity to charge high prices and set the industry standard, whereas followers can learn about the achievements of pioneers and reduce the risks, as well as become profitable in the manner of cost-efficient solutions. The existence of these unique strategic responses can enable organisations to adjust to the constantly changing macro marketing environment and be competitive.</w:t>
      </w:r>
    </w:p>
    <w:p w:rsidR="00000000" w:rsidDel="00000000" w:rsidP="00000000" w:rsidRDefault="00000000" w:rsidRPr="00000000" w14:paraId="000000A4">
      <w:pPr>
        <w:spacing w:after="240" w:befor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pStyle w:val="Heading1"/>
        <w:pBdr>
          <w:top w:color="e5e7eb" w:space="0" w:sz="0" w:val="none"/>
          <w:left w:color="e5e7eb" w:space="0" w:sz="0" w:val="none"/>
          <w:bottom w:color="e5e7eb" w:space="0" w:sz="0" w:val="none"/>
          <w:right w:color="e5e7eb" w:space="0" w:sz="0" w:val="none"/>
          <w:between w:color="e5e7eb" w:space="0" w:sz="0" w:val="none"/>
        </w:pBdr>
        <w:shd w:fill="ffffff" w:val="clear"/>
        <w:spacing w:after="360" w:line="360" w:lineRule="auto"/>
        <w:jc w:val="both"/>
        <w:rPr>
          <w:rFonts w:ascii="Times New Roman" w:cs="Times New Roman" w:eastAsia="Times New Roman" w:hAnsi="Times New Roman"/>
          <w:b w:val="1"/>
          <w:sz w:val="32"/>
          <w:szCs w:val="32"/>
        </w:rPr>
      </w:pPr>
      <w:bookmarkStart w:colFirst="0" w:colLast="0" w:name="_heading=h.9gin1xxyix6z" w:id="22"/>
      <w:bookmarkEnd w:id="22"/>
      <w:r w:rsidDel="00000000" w:rsidR="00000000" w:rsidRPr="00000000">
        <w:rPr>
          <w:rFonts w:ascii="Times New Roman" w:cs="Times New Roman" w:eastAsia="Times New Roman" w:hAnsi="Times New Roman"/>
          <w:b w:val="1"/>
          <w:sz w:val="32"/>
          <w:szCs w:val="32"/>
          <w:rtl w:val="0"/>
        </w:rPr>
        <w:t xml:space="preserve">Reference </w:t>
      </w:r>
    </w:p>
    <w:p w:rsidR="00000000" w:rsidDel="00000000" w:rsidP="00000000" w:rsidRDefault="00000000" w:rsidRPr="00000000" w14:paraId="000000A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Akisconnect.eu. (2024). </w:t>
      </w:r>
      <w:r w:rsidDel="00000000" w:rsidR="00000000" w:rsidRPr="00000000">
        <w:rPr>
          <w:rFonts w:ascii="Times New Roman" w:cs="Times New Roman" w:eastAsia="Times New Roman" w:hAnsi="Times New Roman"/>
          <w:i w:val="1"/>
          <w:sz w:val="24"/>
          <w:szCs w:val="24"/>
          <w:rtl w:val="0"/>
        </w:rPr>
        <w:t xml:space="preserve">ISS Tools &amp; Methods | Pestel Analysis</w:t>
      </w:r>
      <w:r w:rsidDel="00000000" w:rsidR="00000000" w:rsidRPr="00000000">
        <w:rPr>
          <w:rFonts w:ascii="Times New Roman" w:cs="Times New Roman" w:eastAsia="Times New Roman" w:hAnsi="Times New Roman"/>
          <w:sz w:val="24"/>
          <w:szCs w:val="24"/>
          <w:rtl w:val="0"/>
        </w:rPr>
        <w:t xml:space="preserve">. [online]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https://akisconnect.eu/en/iss-tools-and-methods/tool-details?id=34&amp;name=Pestel+Analysis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sz w:val="24"/>
          <w:szCs w:val="24"/>
          <w:rtl w:val="0"/>
        </w:rPr>
        <w:t xml:space="preserve">Bitesize (2024). </w:t>
      </w:r>
      <w:r w:rsidDel="00000000" w:rsidR="00000000" w:rsidRPr="00000000">
        <w:rPr>
          <w:rFonts w:ascii="Times New Roman" w:cs="Times New Roman" w:eastAsia="Times New Roman" w:hAnsi="Times New Roman"/>
          <w:i w:val="1"/>
          <w:sz w:val="24"/>
          <w:szCs w:val="24"/>
          <w:rtl w:val="0"/>
        </w:rPr>
        <w:t xml:space="preserve">How to Do a SWOT Analysis [with Examples &amp; templates]</w:t>
      </w:r>
      <w:r w:rsidDel="00000000" w:rsidR="00000000" w:rsidRPr="00000000">
        <w:rPr>
          <w:rFonts w:ascii="Times New Roman" w:cs="Times New Roman" w:eastAsia="Times New Roman" w:hAnsi="Times New Roman"/>
          <w:sz w:val="24"/>
          <w:szCs w:val="24"/>
          <w:rtl w:val="0"/>
        </w:rPr>
        <w:t xml:space="preserve">. [online] BiteSize Learning.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https://www.bitesizelearning.co.uk/resources/swot-analysis-explained-examples-templates</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A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 Najjar, A.S. and Qandeel, M.S. (2025). Operational strategy, capabilities, and successfully accomplishing business strategy. </w:t>
      </w:r>
      <w:r w:rsidDel="00000000" w:rsidR="00000000" w:rsidRPr="00000000">
        <w:rPr>
          <w:rFonts w:ascii="Times New Roman" w:cs="Times New Roman" w:eastAsia="Times New Roman" w:hAnsi="Times New Roman"/>
          <w:i w:val="1"/>
          <w:sz w:val="24"/>
          <w:szCs w:val="24"/>
          <w:rtl w:val="0"/>
        </w:rPr>
        <w:t xml:space="preserve">Journal of Applied Research in Technology &amp; Engineering</w:t>
      </w:r>
      <w:r w:rsidDel="00000000" w:rsidR="00000000" w:rsidRPr="00000000">
        <w:rPr>
          <w:rFonts w:ascii="Times New Roman" w:cs="Times New Roman" w:eastAsia="Times New Roman" w:hAnsi="Times New Roman"/>
          <w:sz w:val="24"/>
          <w:szCs w:val="24"/>
          <w:rtl w:val="0"/>
        </w:rPr>
        <w:t xml:space="preserve">, [online] 6(1), pp.1–11. doi:</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https://doi.org/10.4995/jarte.2025.20708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Alekhya Kambhampati (2025). </w:t>
      </w:r>
      <w:r w:rsidDel="00000000" w:rsidR="00000000" w:rsidRPr="00000000">
        <w:rPr>
          <w:rFonts w:ascii="Times New Roman" w:cs="Times New Roman" w:eastAsia="Times New Roman" w:hAnsi="Times New Roman"/>
          <w:i w:val="1"/>
          <w:sz w:val="24"/>
          <w:szCs w:val="24"/>
          <w:rtl w:val="0"/>
        </w:rPr>
        <w:t xml:space="preserve">Investigating the Measurable Factors Influencing Variability in Apple’s iPhone Annual Sales Performance </w:t>
      </w:r>
      <w:r w:rsidDel="00000000" w:rsidR="00000000" w:rsidRPr="00000000">
        <w:rPr>
          <w:rFonts w:ascii="Times New Roman" w:cs="Times New Roman" w:eastAsia="Times New Roman" w:hAnsi="Times New Roman"/>
          <w:sz w:val="24"/>
          <w:szCs w:val="24"/>
          <w:rtl w:val="0"/>
        </w:rPr>
        <w:t xml:space="preserve">. [online]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rofile/Alekhya-Kambhampati/publication/395845268_Investigating_the_Measurable_Factors_Influencing_Variability_in_Apple's_iPhone_Annual_Sales_Performance/links/68de02c502d6215259b83612/Investigating-the-Measurable-Factors-Influencing-Variability-in-Apples-iPhone-Annual-Sales-Performance.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AlEnezi, A.A., Al-Dhmour, F. and Al-Alawi, A.I. (2025). The Role of Innovative Leadership in the Success and Failure of Smartphone Giants: A Systematic Literature Review of Apple, Samsung, Nokia, and Huawei. </w:t>
      </w:r>
      <w:r w:rsidDel="00000000" w:rsidR="00000000" w:rsidRPr="00000000">
        <w:rPr>
          <w:rFonts w:ascii="Times New Roman" w:cs="Times New Roman" w:eastAsia="Times New Roman" w:hAnsi="Times New Roman"/>
          <w:i w:val="1"/>
          <w:sz w:val="24"/>
          <w:szCs w:val="24"/>
          <w:rtl w:val="0"/>
        </w:rPr>
        <w:t xml:space="preserve">Studies in Big Data</w:t>
      </w:r>
      <w:r w:rsidDel="00000000" w:rsidR="00000000" w:rsidRPr="00000000">
        <w:rPr>
          <w:rFonts w:ascii="Times New Roman" w:cs="Times New Roman" w:eastAsia="Times New Roman" w:hAnsi="Times New Roman"/>
          <w:sz w:val="24"/>
          <w:szCs w:val="24"/>
          <w:rtl w:val="0"/>
        </w:rPr>
        <w:t xml:space="preserve">, pp.117–131. doi:</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https://doi.org/10.1007/978-3-031-97609-4_11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Annisa Nurwanda Putri, Pratiwi Pratiwi, Putri Syifa Humaira and Heikal, J. (2025). Mobile Phone Preferences Segmentation Using The K-Means Clustering in Indonesia. </w:t>
      </w:r>
      <w:r w:rsidDel="00000000" w:rsidR="00000000" w:rsidRPr="00000000">
        <w:rPr>
          <w:rFonts w:ascii="Times New Roman" w:cs="Times New Roman" w:eastAsia="Times New Roman" w:hAnsi="Times New Roman"/>
          <w:i w:val="1"/>
          <w:sz w:val="24"/>
          <w:szCs w:val="24"/>
          <w:rtl w:val="0"/>
        </w:rPr>
        <w:t xml:space="preserve">J-CEKI : Jurnal Cendekia Ilmiah</w:t>
      </w:r>
      <w:r w:rsidDel="00000000" w:rsidR="00000000" w:rsidRPr="00000000">
        <w:rPr>
          <w:rFonts w:ascii="Times New Roman" w:cs="Times New Roman" w:eastAsia="Times New Roman" w:hAnsi="Times New Roman"/>
          <w:sz w:val="24"/>
          <w:szCs w:val="24"/>
          <w:rtl w:val="0"/>
        </w:rPr>
        <w:t xml:space="preserve">, [online] 4(3), pp.1935–1953. doi:</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https://doi.org/10.56799/jceki.v4i3.8123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Arif Budi Raharja (2025). THE INFLUENCE OF MOBILE MARKETING ON CONSUMER BEHAVIOR IN EMERGING MARKETS. </w:t>
      </w:r>
      <w:r w:rsidDel="00000000" w:rsidR="00000000" w:rsidRPr="00000000">
        <w:rPr>
          <w:rFonts w:ascii="Times New Roman" w:cs="Times New Roman" w:eastAsia="Times New Roman" w:hAnsi="Times New Roman"/>
          <w:i w:val="1"/>
          <w:sz w:val="24"/>
          <w:szCs w:val="24"/>
          <w:rtl w:val="0"/>
        </w:rPr>
        <w:t xml:space="preserve">KRIEZ ACADEMY : Journal of development and community service</w:t>
      </w:r>
      <w:r w:rsidDel="00000000" w:rsidR="00000000" w:rsidRPr="00000000">
        <w:rPr>
          <w:rFonts w:ascii="Times New Roman" w:cs="Times New Roman" w:eastAsia="Times New Roman" w:hAnsi="Times New Roman"/>
          <w:sz w:val="24"/>
          <w:szCs w:val="24"/>
          <w:rtl w:val="0"/>
        </w:rPr>
        <w:t xml:space="preserve">, [online] 2(1), pp.76–94.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https://kriezacademy.com/index.php/kriezacademy/article/view/76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 X., Yang, Y. and Wei, J. (2024). How do New Ventures Thrive in Ecosystem Venturing: The Impacts of Alliance Strategy and Technology Interdependence. </w:t>
      </w:r>
      <w:r w:rsidDel="00000000" w:rsidR="00000000" w:rsidRPr="00000000">
        <w:rPr>
          <w:rFonts w:ascii="Times New Roman" w:cs="Times New Roman" w:eastAsia="Times New Roman" w:hAnsi="Times New Roman"/>
          <w:i w:val="1"/>
          <w:sz w:val="24"/>
          <w:szCs w:val="24"/>
          <w:rtl w:val="0"/>
        </w:rPr>
        <w:t xml:space="preserve">Journal of Management Studies</w:t>
      </w:r>
      <w:r w:rsidDel="00000000" w:rsidR="00000000" w:rsidRPr="00000000">
        <w:rPr>
          <w:rFonts w:ascii="Times New Roman" w:cs="Times New Roman" w:eastAsia="Times New Roman" w:hAnsi="Times New Roman"/>
          <w:sz w:val="24"/>
          <w:szCs w:val="24"/>
          <w:rtl w:val="0"/>
        </w:rPr>
        <w:t xml:space="preserve">. doi:</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https://doi.org/10.1111/joms.13063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Dressler, M. (2025). SME Strategic Leadership and Grouping as Core Levers for Sustainable Transition—New Wine Typology.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[online] 17(20), p.9073. doi:</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https://doi.org/10.3390/su17209073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 Manoj, P. Arockia Juliet, Mege, V.S., Devi, G., Chandramowleeswaran Gnanasekaran and P. Indira (2025). AI for Personalization. </w:t>
      </w:r>
      <w:r w:rsidDel="00000000" w:rsidR="00000000" w:rsidRPr="00000000">
        <w:rPr>
          <w:rFonts w:ascii="Times New Roman" w:cs="Times New Roman" w:eastAsia="Times New Roman" w:hAnsi="Times New Roman"/>
          <w:i w:val="1"/>
          <w:sz w:val="24"/>
          <w:szCs w:val="24"/>
          <w:rtl w:val="0"/>
        </w:rPr>
        <w:t xml:space="preserve">IGI Global eBooks</w:t>
      </w:r>
      <w:r w:rsidDel="00000000" w:rsidR="00000000" w:rsidRPr="00000000">
        <w:rPr>
          <w:rFonts w:ascii="Times New Roman" w:cs="Times New Roman" w:eastAsia="Times New Roman" w:hAnsi="Times New Roman"/>
          <w:sz w:val="24"/>
          <w:szCs w:val="24"/>
          <w:rtl w:val="0"/>
        </w:rPr>
        <w:t xml:space="preserve">, [online] pp.255–286.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https://doi.org/10.4018/979-8-3373-4667-0.ch010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George Mwenda Gitonga, Dr. Paul Kariuki and Dr. Ezekiah Kimani (2025). </w:t>
      </w:r>
      <w:r w:rsidDel="00000000" w:rsidR="00000000" w:rsidRPr="00000000">
        <w:rPr>
          <w:rFonts w:ascii="Times New Roman" w:cs="Times New Roman" w:eastAsia="Times New Roman" w:hAnsi="Times New Roman"/>
          <w:i w:val="1"/>
          <w:sz w:val="24"/>
          <w:szCs w:val="24"/>
          <w:rtl w:val="0"/>
        </w:rPr>
        <w:t xml:space="preserve">Market Penetration Strategies and Competitive Advantage of the Telecommunication Firms in Kenya</w:t>
      </w:r>
      <w:r w:rsidDel="00000000" w:rsidR="00000000" w:rsidRPr="00000000">
        <w:rPr>
          <w:rFonts w:ascii="Times New Roman" w:cs="Times New Roman" w:eastAsia="Times New Roman" w:hAnsi="Times New Roman"/>
          <w:sz w:val="24"/>
          <w:szCs w:val="24"/>
          <w:rtl w:val="0"/>
        </w:rPr>
        <w:t xml:space="preserve">. [online]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researchgate.net/profile/George-Gitonga-3/publication/388212908_Market_Penetration_Strategies_and_Competitive_Advantage_of_the_Telecommunication_Firms_in_Kenya/links/67b8536e461fb56424e484cb/Market-Penetration-Strategies-and-Competitive-Advantage-of-the-Telecommunication-Firms-in-Kenya.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Hua and Wen (2025). </w:t>
      </w:r>
      <w:r w:rsidDel="00000000" w:rsidR="00000000" w:rsidRPr="00000000">
        <w:rPr>
          <w:rFonts w:ascii="Times New Roman" w:cs="Times New Roman" w:eastAsia="Times New Roman" w:hAnsi="Times New Roman"/>
          <w:i w:val="1"/>
          <w:sz w:val="24"/>
          <w:szCs w:val="24"/>
          <w:rtl w:val="0"/>
        </w:rPr>
        <w:t xml:space="preserve">Critical Success Factors for U.S. Fintech Startups in the Post-COVID-19 Era: Applying the Entrepreneurial Ecosystem Framework - ProQuest</w:t>
      </w:r>
      <w:r w:rsidDel="00000000" w:rsidR="00000000" w:rsidRPr="00000000">
        <w:rPr>
          <w:rFonts w:ascii="Times New Roman" w:cs="Times New Roman" w:eastAsia="Times New Roman" w:hAnsi="Times New Roman"/>
          <w:sz w:val="24"/>
          <w:szCs w:val="24"/>
          <w:rtl w:val="0"/>
        </w:rPr>
        <w:t xml:space="preserve">. [online] Proquest.com .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https://www.proquest.com/openview/8e89ce04f34ccc0471c47e88f34f1fea/1?pq-origsite=gscholar&amp;cbl=18750&amp;diss=y</w:t>
        </w:r>
      </w:hyperlink>
      <w:r w:rsidDel="00000000" w:rsidR="00000000" w:rsidRPr="00000000">
        <w:rPr>
          <w:rFonts w:ascii="Times New Roman" w:cs="Times New Roman" w:eastAsia="Times New Roman" w:hAnsi="Times New Roman"/>
          <w:sz w:val="24"/>
          <w:szCs w:val="24"/>
          <w:rtl w:val="0"/>
        </w:rPr>
        <w:t xml:space="preserve">  [Accessed 17 Oct. 2025] .</w:t>
      </w:r>
    </w:p>
    <w:p w:rsidR="00000000" w:rsidDel="00000000" w:rsidP="00000000" w:rsidRDefault="00000000" w:rsidRPr="00000000" w14:paraId="000000B2">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Jack Ng Kok Wah (2025). </w:t>
      </w:r>
      <w:r w:rsidDel="00000000" w:rsidR="00000000" w:rsidRPr="00000000">
        <w:rPr>
          <w:rFonts w:ascii="Times New Roman" w:cs="Times New Roman" w:eastAsia="Times New Roman" w:hAnsi="Times New Roman"/>
          <w:i w:val="1"/>
          <w:sz w:val="24"/>
          <w:szCs w:val="24"/>
          <w:rtl w:val="0"/>
        </w:rPr>
        <w:t xml:space="preserve">Digital Marketing in Horticulture: Consumer Behavior, Culture &amp; SDG Strategies </w:t>
      </w:r>
      <w:r w:rsidDel="00000000" w:rsidR="00000000" w:rsidRPr="00000000">
        <w:rPr>
          <w:rFonts w:ascii="Times New Roman" w:cs="Times New Roman" w:eastAsia="Times New Roman" w:hAnsi="Times New Roman"/>
          <w:sz w:val="24"/>
          <w:szCs w:val="24"/>
          <w:rtl w:val="0"/>
        </w:rPr>
        <w:t xml:space="preserve">. [online]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d1wqtxts1xzle7.cloudfront.net/122500274/digital_marketing_in_horticulture_consumer_behavior_culture_sdg_strategies_680739771c810-libre.pdf?1745589738=&amp;response-content-disposition=inline%3B+filename%3DDigital_Marketing_in_Horticulture_Consum.pdf&amp;Expires=1760702726&amp;Signature=Ix9YUXN8hQoCjV13iF2LUXLRGbs-TAHekcttooEUDjTl6wSebbUBXyIWSWxFN4lrOP9vQ5ladsP7-LQZnpsz1cZtFEypCXC2cQ65kflifXUoFZWI2aG24XSvyGCEPqE5j-Vo6EGDEmGHOr7aif82fcAVQ4mu5Oj8llRCIcxwtNPGOI0pDDDoEHEm2cZ5Bha1C1hG3TrHilCHc9LHDCvNX6ap5pTsCAFo8KWXj3x6OwZ0JwTNWrAIkiLBJIxJaPqOlXYjwYe0Cz~K2SFopCz5KSVKN~OV8iYG4uWtLCL3YahRJKuSWqTc1SnT2j81~x5b0g5bKLqaTPmQgStCC61AhA__&amp;Key-Pair-Id=APKAJLOHF5GGSLRBV4ZA</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3">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Jiang, X. and Feng, Y. (2025). The Construction Process of Immersive Commercial Spaces: A Case Study of Apple Store. </w:t>
      </w:r>
      <w:r w:rsidDel="00000000" w:rsidR="00000000" w:rsidRPr="00000000">
        <w:rPr>
          <w:rFonts w:ascii="Times New Roman" w:cs="Times New Roman" w:eastAsia="Times New Roman" w:hAnsi="Times New Roman"/>
          <w:i w:val="1"/>
          <w:sz w:val="24"/>
          <w:szCs w:val="24"/>
          <w:rtl w:val="0"/>
        </w:rPr>
        <w:t xml:space="preserve">Lecture notes in computer science</w:t>
      </w:r>
      <w:r w:rsidDel="00000000" w:rsidR="00000000" w:rsidRPr="00000000">
        <w:rPr>
          <w:rFonts w:ascii="Times New Roman" w:cs="Times New Roman" w:eastAsia="Times New Roman" w:hAnsi="Times New Roman"/>
          <w:sz w:val="24"/>
          <w:szCs w:val="24"/>
          <w:rtl w:val="0"/>
        </w:rPr>
        <w:t xml:space="preserve">, pp.66–79.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https://doi.org/10.1007/978-3-031-93230-4_5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4">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Kenton, W. (2025). </w:t>
      </w:r>
      <w:r w:rsidDel="00000000" w:rsidR="00000000" w:rsidRPr="00000000">
        <w:rPr>
          <w:rFonts w:ascii="Times New Roman" w:cs="Times New Roman" w:eastAsia="Times New Roman" w:hAnsi="Times New Roman"/>
          <w:i w:val="1"/>
          <w:sz w:val="24"/>
          <w:szCs w:val="24"/>
          <w:rtl w:val="0"/>
        </w:rPr>
        <w:t xml:space="preserve">How to Perform a SWOT Analysis</w:t>
      </w:r>
      <w:r w:rsidDel="00000000" w:rsidR="00000000" w:rsidRPr="00000000">
        <w:rPr>
          <w:rFonts w:ascii="Times New Roman" w:cs="Times New Roman" w:eastAsia="Times New Roman" w:hAnsi="Times New Roman"/>
          <w:sz w:val="24"/>
          <w:szCs w:val="24"/>
          <w:rtl w:val="0"/>
        </w:rPr>
        <w:t xml:space="preserve">. [online] Investopedia.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https://www.investopedia.com/terms/s/swot.asp</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Khalid Hussain and Huayu Shi (2025). </w:t>
      </w:r>
      <w:r w:rsidDel="00000000" w:rsidR="00000000" w:rsidRPr="00000000">
        <w:rPr>
          <w:rFonts w:ascii="Times New Roman" w:cs="Times New Roman" w:eastAsia="Times New Roman" w:hAnsi="Times New Roman"/>
          <w:i w:val="1"/>
          <w:sz w:val="24"/>
          <w:szCs w:val="24"/>
          <w:rtl w:val="0"/>
        </w:rPr>
        <w:t xml:space="preserve">The Psychological Facets of Consumer-Brand Relationship in The Digital World, 2nd edition</w:t>
      </w:r>
      <w:r w:rsidDel="00000000" w:rsidR="00000000" w:rsidRPr="00000000">
        <w:rPr>
          <w:rFonts w:ascii="Times New Roman" w:cs="Times New Roman" w:eastAsia="Times New Roman" w:hAnsi="Times New Roman"/>
          <w:sz w:val="24"/>
          <w:szCs w:val="24"/>
          <w:rtl w:val="0"/>
        </w:rPr>
        <w:t xml:space="preserve">. [online] Google Books.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https://books.google.com.bh/books?hl=en&amp;lr=&amp;id=_V-OEQAAQBAJ&amp;oi=fnd&amp;pg=PA128&amp;dq=+In+markets+with+strong+economic+conditions</w:t>
        </w:r>
      </w:hyperlink>
      <w:r w:rsidDel="00000000" w:rsidR="00000000" w:rsidRPr="00000000">
        <w:rPr>
          <w:rFonts w:ascii="Times New Roman" w:cs="Times New Roman" w:eastAsia="Times New Roman" w:hAnsi="Times New Roman"/>
          <w:sz w:val="24"/>
          <w:szCs w:val="24"/>
          <w:rtl w:val="0"/>
        </w:rPr>
        <w:t xml:space="preserve">   [Accessed 17 Oct. 2025].</w:t>
      </w:r>
    </w:p>
    <w:p w:rsidR="00000000" w:rsidDel="00000000" w:rsidP="00000000" w:rsidRDefault="00000000" w:rsidRPr="00000000" w14:paraId="000000B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Kumar, R.R. (2025). Business Model Innovation Rethinking the Way We Do Business. </w:t>
      </w:r>
      <w:r w:rsidDel="00000000" w:rsidR="00000000" w:rsidRPr="00000000">
        <w:rPr>
          <w:rFonts w:ascii="Times New Roman" w:cs="Times New Roman" w:eastAsia="Times New Roman" w:hAnsi="Times New Roman"/>
          <w:i w:val="1"/>
          <w:sz w:val="24"/>
          <w:szCs w:val="24"/>
          <w:rtl w:val="0"/>
        </w:rPr>
        <w:t xml:space="preserve">Advances in logistics, operations, and management science book series</w:t>
      </w:r>
      <w:r w:rsidDel="00000000" w:rsidR="00000000" w:rsidRPr="00000000">
        <w:rPr>
          <w:rFonts w:ascii="Times New Roman" w:cs="Times New Roman" w:eastAsia="Times New Roman" w:hAnsi="Times New Roman"/>
          <w:sz w:val="24"/>
          <w:szCs w:val="24"/>
          <w:rtl w:val="0"/>
        </w:rPr>
        <w:t xml:space="preserve">, [online] pp.109–134. doi:</w:t>
      </w:r>
      <w:hyperlink r:id="rId25">
        <w:r w:rsidDel="00000000" w:rsidR="00000000" w:rsidRPr="00000000">
          <w:rPr>
            <w:rFonts w:ascii="Times New Roman" w:cs="Times New Roman" w:eastAsia="Times New Roman" w:hAnsi="Times New Roman"/>
            <w:color w:val="1155cc"/>
            <w:sz w:val="24"/>
            <w:szCs w:val="24"/>
            <w:u w:val="single"/>
            <w:rtl w:val="0"/>
          </w:rPr>
          <w:t xml:space="preserve">https://doi.org/10.4018/979-8-3373-1687-1.ch004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Lawal Qudus (2025). </w:t>
      </w:r>
      <w:r w:rsidDel="00000000" w:rsidR="00000000" w:rsidRPr="00000000">
        <w:rPr>
          <w:rFonts w:ascii="Times New Roman" w:cs="Times New Roman" w:eastAsia="Times New Roman" w:hAnsi="Times New Roman"/>
          <w:i w:val="1"/>
          <w:sz w:val="24"/>
          <w:szCs w:val="24"/>
          <w:rtl w:val="0"/>
        </w:rPr>
        <w:t xml:space="preserve">Leveraging Artificial Intelligence to Enhance Process Control and Improve Efficiency in Manufacturing Industries </w:t>
      </w:r>
      <w:r w:rsidDel="00000000" w:rsidR="00000000" w:rsidRPr="00000000">
        <w:rPr>
          <w:rFonts w:ascii="Times New Roman" w:cs="Times New Roman" w:eastAsia="Times New Roman" w:hAnsi="Times New Roman"/>
          <w:sz w:val="24"/>
          <w:szCs w:val="24"/>
          <w:rtl w:val="0"/>
        </w:rPr>
        <w:t xml:space="preserve">. [online] Available at: </w:t>
      </w:r>
      <w:hyperlink r:id="rId26">
        <w:r w:rsidDel="00000000" w:rsidR="00000000" w:rsidRPr="00000000">
          <w:rPr>
            <w:rFonts w:ascii="Times New Roman" w:cs="Times New Roman" w:eastAsia="Times New Roman" w:hAnsi="Times New Roman"/>
            <w:color w:val="1155cc"/>
            <w:sz w:val="24"/>
            <w:szCs w:val="24"/>
            <w:u w:val="single"/>
            <w:rtl w:val="0"/>
          </w:rPr>
          <w:t xml:space="preserve">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H. (2025). Strategic Investments in Renewable Energy: A Comparative Study of BYD and Tesla. </w:t>
      </w:r>
      <w:r w:rsidDel="00000000" w:rsidR="00000000" w:rsidRPr="00000000">
        <w:rPr>
          <w:rFonts w:ascii="Times New Roman" w:cs="Times New Roman" w:eastAsia="Times New Roman" w:hAnsi="Times New Roman"/>
          <w:i w:val="1"/>
          <w:sz w:val="24"/>
          <w:szCs w:val="24"/>
          <w:rtl w:val="0"/>
        </w:rPr>
        <w:t xml:space="preserve">Advances in Economics, Business and Management Research</w:t>
      </w:r>
      <w:r w:rsidDel="00000000" w:rsidR="00000000" w:rsidRPr="00000000">
        <w:rPr>
          <w:rFonts w:ascii="Times New Roman" w:cs="Times New Roman" w:eastAsia="Times New Roman" w:hAnsi="Times New Roman"/>
          <w:sz w:val="24"/>
          <w:szCs w:val="24"/>
          <w:rtl w:val="0"/>
        </w:rPr>
        <w:t xml:space="preserve">, [online] pp.440–446. doi:</w:t>
      </w:r>
      <w:hyperlink r:id="rId27">
        <w:r w:rsidDel="00000000" w:rsidR="00000000" w:rsidRPr="00000000">
          <w:rPr>
            <w:rFonts w:ascii="Times New Roman" w:cs="Times New Roman" w:eastAsia="Times New Roman" w:hAnsi="Times New Roman"/>
            <w:color w:val="1155cc"/>
            <w:sz w:val="24"/>
            <w:szCs w:val="24"/>
            <w:u w:val="single"/>
            <w:rtl w:val="0"/>
          </w:rPr>
          <w:t xml:space="preserve">https://doi.org/10.2991/978-94-6463-748-9_49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Madhumita Das, Pravitha Vijaykumar and Dr. Chok Nyen Vui (2025). </w:t>
      </w:r>
      <w:r w:rsidDel="00000000" w:rsidR="00000000" w:rsidRPr="00000000">
        <w:rPr>
          <w:rFonts w:ascii="Times New Roman" w:cs="Times New Roman" w:eastAsia="Times New Roman" w:hAnsi="Times New Roman"/>
          <w:i w:val="1"/>
          <w:sz w:val="24"/>
          <w:szCs w:val="24"/>
          <w:rtl w:val="0"/>
        </w:rPr>
        <w:t xml:space="preserve">Apple Inc.: A Case Study on Marketing Excellence and Sustainable Innovation in a Dynamic Market</w:t>
      </w:r>
      <w:r w:rsidDel="00000000" w:rsidR="00000000" w:rsidRPr="00000000">
        <w:rPr>
          <w:rFonts w:ascii="Times New Roman" w:cs="Times New Roman" w:eastAsia="Times New Roman" w:hAnsi="Times New Roman"/>
          <w:sz w:val="24"/>
          <w:szCs w:val="24"/>
          <w:rtl w:val="0"/>
        </w:rPr>
        <w:t xml:space="preserve">. [online]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www.researchgate.net/profile/Pravitha-Vijaykumar/publication/391173655_Apple_Inc_A_Case_Study_on_Marketing_Excellence_and_Sustainable_Innovation_in_a_Dynamic_Market/links/681311b2d1054b0207e5c274/Apple-Inc-A-Case-Study-on-Marketing-Excellence-and-Sustainable-Innovation-in-a-Dynamic-Market.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Marc, A. (2025). LEADERS VERSUS LAGGARDS: ESG PERFORMANCE, VALUATION PREMIUMS, AND THE COST OF CAPITAL. </w:t>
      </w:r>
      <w:r w:rsidDel="00000000" w:rsidR="00000000" w:rsidRPr="00000000">
        <w:rPr>
          <w:rFonts w:ascii="Times New Roman" w:cs="Times New Roman" w:eastAsia="Times New Roman" w:hAnsi="Times New Roman"/>
          <w:i w:val="1"/>
          <w:sz w:val="24"/>
          <w:szCs w:val="24"/>
          <w:rtl w:val="0"/>
        </w:rPr>
        <w:t xml:space="preserve">Contemporary Journal of Social Science Review</w:t>
      </w:r>
      <w:r w:rsidDel="00000000" w:rsidR="00000000" w:rsidRPr="00000000">
        <w:rPr>
          <w:rFonts w:ascii="Times New Roman" w:cs="Times New Roman" w:eastAsia="Times New Roman" w:hAnsi="Times New Roman"/>
          <w:sz w:val="24"/>
          <w:szCs w:val="24"/>
          <w:rtl w:val="0"/>
        </w:rPr>
        <w:t xml:space="preserve">, [online] 3(3), pp.1899–1912. Available at: </w:t>
      </w:r>
      <w:hyperlink r:id="rId29">
        <w:r w:rsidDel="00000000" w:rsidR="00000000" w:rsidRPr="00000000">
          <w:rPr>
            <w:rFonts w:ascii="Times New Roman" w:cs="Times New Roman" w:eastAsia="Times New Roman" w:hAnsi="Times New Roman"/>
            <w:color w:val="1155cc"/>
            <w:sz w:val="24"/>
            <w:szCs w:val="24"/>
            <w:u w:val="single"/>
            <w:rtl w:val="0"/>
          </w:rPr>
          <w:t xml:space="preserve">https://contemporaryjournal.com/index.php/14/article/view/1192</w:t>
        </w:r>
      </w:hyperlink>
      <w:r w:rsidDel="00000000" w:rsidR="00000000" w:rsidRPr="00000000">
        <w:rPr>
          <w:rFonts w:ascii="Times New Roman" w:cs="Times New Roman" w:eastAsia="Times New Roman" w:hAnsi="Times New Roman"/>
          <w:sz w:val="24"/>
          <w:szCs w:val="24"/>
          <w:rtl w:val="0"/>
        </w:rPr>
        <w:t xml:space="preserve">  [Accessed 17 Oct. 2025].</w:t>
      </w:r>
    </w:p>
    <w:p w:rsidR="00000000" w:rsidDel="00000000" w:rsidP="00000000" w:rsidRDefault="00000000" w:rsidRPr="00000000" w14:paraId="000000B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Noui, F.Z. and Boucetta, Z. (2025). Marketing Innovation and Its Contribution to Achieving Organizational Excellence: A Case Study of Samsung. </w:t>
      </w:r>
      <w:r w:rsidDel="00000000" w:rsidR="00000000" w:rsidRPr="00000000">
        <w:rPr>
          <w:rFonts w:ascii="Times New Roman" w:cs="Times New Roman" w:eastAsia="Times New Roman" w:hAnsi="Times New Roman"/>
          <w:i w:val="1"/>
          <w:sz w:val="24"/>
          <w:szCs w:val="24"/>
          <w:rtl w:val="0"/>
        </w:rPr>
        <w:t xml:space="preserve">Revue des Economies financières bancaires et de management</w:t>
      </w:r>
      <w:r w:rsidDel="00000000" w:rsidR="00000000" w:rsidRPr="00000000">
        <w:rPr>
          <w:rFonts w:ascii="Times New Roman" w:cs="Times New Roman" w:eastAsia="Times New Roman" w:hAnsi="Times New Roman"/>
          <w:sz w:val="24"/>
          <w:szCs w:val="24"/>
          <w:rtl w:val="0"/>
        </w:rPr>
        <w:t xml:space="preserve">, [online] 14(1), pp.379–399.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https://asjp.cerist.dz/en/article/266377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Nyamboga, T.O. (2025). Harnessing ambidextrous leadership model for innovation and operational efficiency in technology industry. </w:t>
      </w:r>
      <w:r w:rsidDel="00000000" w:rsidR="00000000" w:rsidRPr="00000000">
        <w:rPr>
          <w:rFonts w:ascii="Times New Roman" w:cs="Times New Roman" w:eastAsia="Times New Roman" w:hAnsi="Times New Roman"/>
          <w:i w:val="1"/>
          <w:sz w:val="24"/>
          <w:szCs w:val="24"/>
          <w:rtl w:val="0"/>
        </w:rPr>
        <w:t xml:space="preserve">Cogent Business &amp; Management</w:t>
      </w:r>
      <w:r w:rsidDel="00000000" w:rsidR="00000000" w:rsidRPr="00000000">
        <w:rPr>
          <w:rFonts w:ascii="Times New Roman" w:cs="Times New Roman" w:eastAsia="Times New Roman" w:hAnsi="Times New Roman"/>
          <w:sz w:val="24"/>
          <w:szCs w:val="24"/>
          <w:rtl w:val="0"/>
        </w:rPr>
        <w:t xml:space="preserve">, 12(1). doi:</w:t>
      </w: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https://doi.org/10.1080/23311975.2025.2500677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Oluka, A. (2025). Navigating the Future: Industry 4.0 Adoption in Accounting Through the TOE Framework. </w:t>
      </w:r>
      <w:r w:rsidDel="00000000" w:rsidR="00000000" w:rsidRPr="00000000">
        <w:rPr>
          <w:rFonts w:ascii="Times New Roman" w:cs="Times New Roman" w:eastAsia="Times New Roman" w:hAnsi="Times New Roman"/>
          <w:i w:val="1"/>
          <w:sz w:val="24"/>
          <w:szCs w:val="24"/>
          <w:rtl w:val="0"/>
        </w:rPr>
        <w:t xml:space="preserve">International Journal of Applied Research in Business and Management</w:t>
      </w:r>
      <w:r w:rsidDel="00000000" w:rsidR="00000000" w:rsidRPr="00000000">
        <w:rPr>
          <w:rFonts w:ascii="Times New Roman" w:cs="Times New Roman" w:eastAsia="Times New Roman" w:hAnsi="Times New Roman"/>
          <w:sz w:val="24"/>
          <w:szCs w:val="24"/>
          <w:rtl w:val="0"/>
        </w:rPr>
        <w:t xml:space="preserve">, 6(1). doi:</w:t>
      </w:r>
      <w:hyperlink r:id="rId32">
        <w:r w:rsidDel="00000000" w:rsidR="00000000" w:rsidRPr="00000000">
          <w:rPr>
            <w:rFonts w:ascii="Times New Roman" w:cs="Times New Roman" w:eastAsia="Times New Roman" w:hAnsi="Times New Roman"/>
            <w:color w:val="1155cc"/>
            <w:sz w:val="24"/>
            <w:szCs w:val="24"/>
            <w:u w:val="single"/>
            <w:rtl w:val="0"/>
          </w:rPr>
          <w:t xml:space="preserve">https://doi.org/10.51137/wrp.ijarbm.2025.aont.45738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P.M., Dr.S., Nair, A., Gupta, A. and Garg, G. (2025). Assessing Green Consumer Behaviour: The Impact Of Premium Pricing On Eco-Friendly Product Adoption. </w:t>
      </w:r>
      <w:r w:rsidDel="00000000" w:rsidR="00000000" w:rsidRPr="00000000">
        <w:rPr>
          <w:rFonts w:ascii="Times New Roman" w:cs="Times New Roman" w:eastAsia="Times New Roman" w:hAnsi="Times New Roman"/>
          <w:i w:val="1"/>
          <w:sz w:val="24"/>
          <w:szCs w:val="24"/>
          <w:rtl w:val="0"/>
        </w:rPr>
        <w:t xml:space="preserve">International Journal of Environmental Sciences</w:t>
      </w:r>
      <w:r w:rsidDel="00000000" w:rsidR="00000000" w:rsidRPr="00000000">
        <w:rPr>
          <w:rFonts w:ascii="Times New Roman" w:cs="Times New Roman" w:eastAsia="Times New Roman" w:hAnsi="Times New Roman"/>
          <w:sz w:val="24"/>
          <w:szCs w:val="24"/>
          <w:rtl w:val="0"/>
        </w:rPr>
        <w:t xml:space="preserve">, [online] 11(9s), pp.631–638. doi:</w:t>
      </w:r>
      <w:hyperlink r:id="rId33">
        <w:r w:rsidDel="00000000" w:rsidR="00000000" w:rsidRPr="00000000">
          <w:rPr>
            <w:rFonts w:ascii="Times New Roman" w:cs="Times New Roman" w:eastAsia="Times New Roman" w:hAnsi="Times New Roman"/>
            <w:color w:val="1155cc"/>
            <w:sz w:val="24"/>
            <w:szCs w:val="24"/>
            <w:u w:val="single"/>
            <w:rtl w:val="0"/>
          </w:rPr>
          <w:t xml:space="preserve">https://doi.org/10.64252/a6tjnh60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Rocco, D. (2025). The strategic determinants of choosing an inbound or outbound approach to Open Innovation. A practical application to Swedish and Italian pharmaceutical SMEs. </w:t>
      </w:r>
      <w:r w:rsidDel="00000000" w:rsidR="00000000" w:rsidRPr="00000000">
        <w:rPr>
          <w:rFonts w:ascii="Times New Roman" w:cs="Times New Roman" w:eastAsia="Times New Roman" w:hAnsi="Times New Roman"/>
          <w:i w:val="1"/>
          <w:sz w:val="24"/>
          <w:szCs w:val="24"/>
          <w:rtl w:val="0"/>
        </w:rPr>
        <w:t xml:space="preserve">Ub.gu.se</w:t>
      </w:r>
      <w:r w:rsidDel="00000000" w:rsidR="00000000" w:rsidRPr="00000000">
        <w:rPr>
          <w:rFonts w:ascii="Times New Roman" w:cs="Times New Roman" w:eastAsia="Times New Roman" w:hAnsi="Times New Roman"/>
          <w:sz w:val="24"/>
          <w:szCs w:val="24"/>
          <w:rtl w:val="0"/>
        </w:rPr>
        <w:t xml:space="preserve">. [online] doi:</w:t>
      </w:r>
      <w:hyperlink r:id="rId34">
        <w:r w:rsidDel="00000000" w:rsidR="00000000" w:rsidRPr="00000000">
          <w:rPr>
            <w:rFonts w:ascii="Times New Roman" w:cs="Times New Roman" w:eastAsia="Times New Roman" w:hAnsi="Times New Roman"/>
            <w:color w:val="1155cc"/>
            <w:sz w:val="24"/>
            <w:szCs w:val="24"/>
            <w:u w:val="single"/>
            <w:rtl w:val="0"/>
          </w:rPr>
          <w:t xml:space="preserve">https://hdl.handle.net/2077/89158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Washington State University (2025). </w:t>
      </w:r>
      <w:r w:rsidDel="00000000" w:rsidR="00000000" w:rsidRPr="00000000">
        <w:rPr>
          <w:rFonts w:ascii="Times New Roman" w:cs="Times New Roman" w:eastAsia="Times New Roman" w:hAnsi="Times New Roman"/>
          <w:i w:val="1"/>
          <w:sz w:val="24"/>
          <w:szCs w:val="24"/>
          <w:rtl w:val="0"/>
        </w:rPr>
        <w:t xml:space="preserve">Industry Research: PESTEL Analysis</w:t>
      </w:r>
      <w:r w:rsidDel="00000000" w:rsidR="00000000" w:rsidRPr="00000000">
        <w:rPr>
          <w:rFonts w:ascii="Times New Roman" w:cs="Times New Roman" w:eastAsia="Times New Roman" w:hAnsi="Times New Roman"/>
          <w:sz w:val="24"/>
          <w:szCs w:val="24"/>
          <w:rtl w:val="0"/>
        </w:rPr>
        <w:t xml:space="preserve">. [online] Washington State University. Available at: </w:t>
      </w:r>
      <w:hyperlink r:id="rId35">
        <w:r w:rsidDel="00000000" w:rsidR="00000000" w:rsidRPr="00000000">
          <w:rPr>
            <w:rFonts w:ascii="Times New Roman" w:cs="Times New Roman" w:eastAsia="Times New Roman" w:hAnsi="Times New Roman"/>
            <w:color w:val="1155cc"/>
            <w:sz w:val="24"/>
            <w:szCs w:val="24"/>
            <w:u w:val="single"/>
            <w:rtl w:val="0"/>
          </w:rPr>
          <w:t xml:space="preserve">https://libguides.libraries.wsu.edu/c.php?g=294263&amp;p=4358409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after="240" w:before="24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3">
      <w:pPr>
        <w:jc w:val="both"/>
        <w:rPr>
          <w:rFonts w:ascii="Times New Roman" w:cs="Times New Roman" w:eastAsia="Times New Roman" w:hAnsi="Times New Roman"/>
          <w:sz w:val="24"/>
          <w:szCs w:val="24"/>
        </w:rPr>
      </w:pPr>
      <w:r w:rsidDel="00000000" w:rsidR="00000000" w:rsidRPr="00000000">
        <w:rPr>
          <w:rtl w:val="0"/>
        </w:rPr>
      </w:r>
    </w:p>
    <w:sectPr>
      <w:headerReference r:id="rId3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proquest.com/openview/8e89ce04f34ccc0471c47e88f34f1fea/1?pq-origsite=gscholar&amp;cbl=18750&amp;diss=y" TargetMode="External"/><Relationship Id="rId22" Type="http://schemas.openxmlformats.org/officeDocument/2006/relationships/hyperlink" Target="https://doi.org/10.1007/978-3-031-93230-4_5" TargetMode="External"/><Relationship Id="rId21" Type="http://schemas.openxmlformats.org/officeDocument/2006/relationships/hyperlink" Target="https://d1wqtxts1xzle7.cloudfront.net/122500274/digital_marketing_in_horticulture_consumer_behavior_culture_sdg_strategies_680739771c810-libre.pdf?1745589738=&amp;response-content-disposition=inline%3B+filename%3DDigital_Marketing_in_Horticulture_Consum.pdf&amp;Expires=1760702726&amp;Signature=Ix9YUXN8hQoCjV13iF2LUXLRGbs-TAHekcttooEUDjTl6wSebbUBXyIWSWxFN4lrOP9vQ5ladsP7-LQZnpsz1cZtFEypCXC2cQ65kflifXUoFZWI2aG24XSvyGCEPqE5j-Vo6EGDEmGHOr7aif82fcAVQ4mu5Oj8llRCIcxwtNPGOI0pDDDoEHEm2cZ5Bha1C1hG3TrHilCHc9LHDCvNX6ap5pTsCAFo8KWXj3x6OwZ0JwTNWrAIkiLBJIxJaPqOlXYjwYe0Cz~K2SFopCz5KSVKN~OV8iYG4uWtLCL3YahRJKuSWqTc1SnT2j81~x5b0g5bKLqaTPmQgStCC61AhA__&amp;Key-Pair-Id=APKAJLOHF5GGSLRBV4ZA" TargetMode="External"/><Relationship Id="rId24" Type="http://schemas.openxmlformats.org/officeDocument/2006/relationships/hyperlink" Target="https://books.google.com.bh/books?hl=en&amp;lr=&amp;id=_V-OEQAAQBAJ&amp;oi=fnd&amp;pg=PA128&amp;dq=+In+markets+with+strong+economic+conditions" TargetMode="External"/><Relationship Id="rId23" Type="http://schemas.openxmlformats.org/officeDocument/2006/relationships/hyperlink" Target="https://www.investopedia.com/terms/s/swot.asp"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kisconnect.eu/en/iss-tools-and-methods/tool-details?id=34&amp;name=Pestel+Analysis" TargetMode="External"/><Relationship Id="rId26" Type="http://schemas.openxmlformats.org/officeDocument/2006/relationships/hyperlink" Target="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 TargetMode="External"/><Relationship Id="rId25" Type="http://schemas.openxmlformats.org/officeDocument/2006/relationships/hyperlink" Target="https://doi.org/10.4018/979-8-3373-1687-1.ch004" TargetMode="External"/><Relationship Id="rId28" Type="http://schemas.openxmlformats.org/officeDocument/2006/relationships/hyperlink" Target="https://www.researchgate.net/profile/Pravitha-Vijaykumar/publication/391173655_Apple_Inc_A_Case_Study_on_Marketing_Excellence_and_Sustainable_Innovation_in_a_Dynamic_Market/links/681311b2d1054b0207e5c274/Apple-Inc-A-Case-Study-on-Marketing-Excellence-and-Sustainable-Innovation-in-a-Dynamic-Market.pdf" TargetMode="External"/><Relationship Id="rId27" Type="http://schemas.openxmlformats.org/officeDocument/2006/relationships/hyperlink" Target="https://doi.org/10.2991/978-94-6463-748-9_49"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contemporaryjournal.com/index.php/14/article/view/1192" TargetMode="External"/><Relationship Id="rId7" Type="http://schemas.openxmlformats.org/officeDocument/2006/relationships/image" Target="media/image2.png"/><Relationship Id="rId8" Type="http://schemas.openxmlformats.org/officeDocument/2006/relationships/image" Target="media/image1.png"/><Relationship Id="rId31" Type="http://schemas.openxmlformats.org/officeDocument/2006/relationships/hyperlink" Target="https://doi.org/10.1080/23311975.2025.2500677" TargetMode="External"/><Relationship Id="rId30" Type="http://schemas.openxmlformats.org/officeDocument/2006/relationships/hyperlink" Target="https://asjp.cerist.dz/en/article/266377" TargetMode="External"/><Relationship Id="rId11" Type="http://schemas.openxmlformats.org/officeDocument/2006/relationships/hyperlink" Target="https://doi.org/10.4995/jarte.2025.20708" TargetMode="External"/><Relationship Id="rId33" Type="http://schemas.openxmlformats.org/officeDocument/2006/relationships/hyperlink" Target="https://doi.org/10.64252/a6tjnh60" TargetMode="External"/><Relationship Id="rId10" Type="http://schemas.openxmlformats.org/officeDocument/2006/relationships/hyperlink" Target="https://www.bitesizelearning.co.uk/resources/swot-analysis-explained-examples-templates" TargetMode="External"/><Relationship Id="rId32" Type="http://schemas.openxmlformats.org/officeDocument/2006/relationships/hyperlink" Target="https://doi.org/10.51137/wrp.ijarbm.2025.aont.45738" TargetMode="External"/><Relationship Id="rId13" Type="http://schemas.openxmlformats.org/officeDocument/2006/relationships/hyperlink" Target="https://doi.org/10.1007/978-3-031-97609-4_11" TargetMode="External"/><Relationship Id="rId35" Type="http://schemas.openxmlformats.org/officeDocument/2006/relationships/hyperlink" Target="https://libguides.libraries.wsu.edu/c.php?g=294263&amp;p=4358409" TargetMode="External"/><Relationship Id="rId12" Type="http://schemas.openxmlformats.org/officeDocument/2006/relationships/hyperlink" Target="https://www.researchgate.net/profile/Alekhya-Kambhampati/publication/395845268_Investigating_the_Measurable_Factors_Influencing_Variability_in_Apple's_iPhone_Annual_Sales_Performance/links/68de02c502d6215259b83612/Investigating-the-Measurable-Factors-Influencing-Variability-in-Apples-iPhone-Annual-Sales-Performance.pdf" TargetMode="External"/><Relationship Id="rId34" Type="http://schemas.openxmlformats.org/officeDocument/2006/relationships/hyperlink" Target="https://hdl.handle.net/2077/89158" TargetMode="External"/><Relationship Id="rId15" Type="http://schemas.openxmlformats.org/officeDocument/2006/relationships/hyperlink" Target="https://kriezacademy.com/index.php/kriezacademy/article/view/76" TargetMode="External"/><Relationship Id="rId14" Type="http://schemas.openxmlformats.org/officeDocument/2006/relationships/hyperlink" Target="https://doi.org/10.56799/jceki.v4i3.8123" TargetMode="External"/><Relationship Id="rId36" Type="http://schemas.openxmlformats.org/officeDocument/2006/relationships/header" Target="header1.xml"/><Relationship Id="rId17" Type="http://schemas.openxmlformats.org/officeDocument/2006/relationships/hyperlink" Target="https://doi.org/10.3390/su17209073" TargetMode="External"/><Relationship Id="rId16" Type="http://schemas.openxmlformats.org/officeDocument/2006/relationships/hyperlink" Target="https://doi.org/10.1111/joms.13063" TargetMode="External"/><Relationship Id="rId19" Type="http://schemas.openxmlformats.org/officeDocument/2006/relationships/hyperlink" Target="https://www.researchgate.net/profile/George-Gitonga-3/publication/388212908_Market_Penetration_Strategies_and_Competitive_Advantage_of_the_Telecommunication_Firms_in_Kenya/links/67b8536e461fb56424e484cb/Market-Penetration-Strategies-and-Competitive-Advantage-of-the-Telecommunication-Firms-in-Kenya.pdf" TargetMode="External"/><Relationship Id="rId18" Type="http://schemas.openxmlformats.org/officeDocument/2006/relationships/hyperlink" Target="https://doi.org/10.4018/979-8-3373-4667-0.ch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Oflaz/AA3sJDF2h/fIAeH3Wvlg==">CgMxLjAyDmguaTZ5ZWlzb2FlcmRzMg5oLm92MGV2a3ZpMjM4MzIOaC5pN3EzODYxaWxxdHoyDmgudjYwM3JkcHVpa2J2Mg5oLjQ4eTM3dDNjeGUyZzIOaC42ZHJ0MHlrNHhmeHMyDmguYnpmdDNrZDMybjlyMg5oLmI2OHo3eHJpMW92YTIOaC53OTNubnRlbjB6cmYyDmguNXE4amxjNXk1amMzMg5oLnk1czZkamZ6cjY0dzIOaC40aXlpZm55amVtYTIyDmgudTl5dG40OGJrczR6Mg5oLmlocXkwcnkycTUzcjIOaC5sMGYwcXo5MHg3anMyDmgubWF2NHJ3NG13cGVrMg5oLnAzNDA4Y2pyZTZxYTIOaC54OHNhOW1mN2pldzAyDmgubmxpNXVobWo4NmZ0Mg5oLjJsYTZiNXVyYTd0MDIOaC44OW03bWV3Zm55b3UyDmgubGI5NDNmNXNtMWkxMg5oLjlnaW4xeHh5aXg2ejgAciExNUVPaVpiaXFIS0RNMDVPYVVLdnY3MWxKcFVvTVVaNm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