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A32EB" w14:textId="24A6C9BF" w:rsidR="006F44C7" w:rsidRDefault="006F44C7" w:rsidP="006F44C7">
      <w:r>
        <w:rPr>
          <w:noProof/>
        </w:rPr>
        <w:drawing>
          <wp:inline distT="0" distB="0" distL="0" distR="0" wp14:anchorId="239C30AF" wp14:editId="12A39DFA">
            <wp:extent cx="5731510" cy="1279694"/>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279694"/>
                    </a:xfrm>
                    <a:prstGeom prst="rect">
                      <a:avLst/>
                    </a:prstGeom>
                    <a:noFill/>
                    <a:ln>
                      <a:noFill/>
                    </a:ln>
                  </pic:spPr>
                </pic:pic>
              </a:graphicData>
            </a:graphic>
          </wp:inline>
        </w:drawing>
      </w:r>
    </w:p>
    <w:p w14:paraId="0B114F5E" w14:textId="77777777" w:rsidR="00E92D5D" w:rsidRDefault="00E92D5D" w:rsidP="006F44C7">
      <w:pPr>
        <w:jc w:val="center"/>
        <w:rPr>
          <w:rFonts w:ascii="Times New Roman" w:hAnsi="Times New Roman" w:cs="Times New Roman"/>
          <w:b/>
          <w:bCs/>
          <w:spacing w:val="20"/>
          <w:sz w:val="48"/>
          <w:szCs w:val="48"/>
        </w:rPr>
      </w:pPr>
    </w:p>
    <w:p w14:paraId="2A9921DB" w14:textId="77777777" w:rsidR="00D35757" w:rsidRDefault="00D35757" w:rsidP="006F44C7">
      <w:pPr>
        <w:jc w:val="center"/>
        <w:rPr>
          <w:rFonts w:ascii="Times New Roman" w:hAnsi="Times New Roman" w:cs="Times New Roman"/>
          <w:b/>
          <w:bCs/>
          <w:spacing w:val="20"/>
          <w:sz w:val="48"/>
          <w:szCs w:val="48"/>
        </w:rPr>
      </w:pPr>
    </w:p>
    <w:p w14:paraId="5936AD2F" w14:textId="21FB3CB4" w:rsidR="00CB16DA" w:rsidRDefault="00CB16DA" w:rsidP="00E35D11">
      <w:pPr>
        <w:pStyle w:val="Heading1"/>
        <w:shd w:val="clear" w:color="auto" w:fill="FFFFFF"/>
        <w:spacing w:before="0" w:beforeAutospacing="0"/>
        <w:jc w:val="center"/>
        <w:rPr>
          <w:rFonts w:ascii="Segoe UI" w:hAnsi="Segoe UI" w:cs="Segoe UI"/>
          <w:color w:val="1D2125"/>
        </w:rPr>
      </w:pPr>
      <w:r>
        <w:rPr>
          <w:rFonts w:ascii="Segoe UI" w:hAnsi="Segoe UI" w:cs="Segoe UI"/>
          <w:color w:val="1D2125"/>
        </w:rPr>
        <w:t>International Financial Management LCBB6002</w:t>
      </w:r>
    </w:p>
    <w:p w14:paraId="188C348B" w14:textId="77777777" w:rsidR="00156D68" w:rsidRPr="00E92D5D" w:rsidRDefault="00156D68" w:rsidP="006F44C7">
      <w:pPr>
        <w:jc w:val="center"/>
        <w:rPr>
          <w:rFonts w:ascii="Times New Roman" w:eastAsia="Times New Roman" w:hAnsi="Times New Roman" w:cs="Times New Roman"/>
          <w:b/>
          <w:bCs/>
          <w:color w:val="1D2125"/>
          <w:kern w:val="36"/>
          <w:sz w:val="2"/>
          <w:szCs w:val="2"/>
          <w:lang w:eastAsia="en-GB"/>
        </w:rPr>
      </w:pPr>
    </w:p>
    <w:p w14:paraId="3C296E73" w14:textId="200CB151" w:rsidR="000F4969" w:rsidRPr="00E92D5D" w:rsidRDefault="000F4969" w:rsidP="006F44C7">
      <w:pPr>
        <w:jc w:val="center"/>
        <w:rPr>
          <w:rFonts w:ascii="Times New Roman" w:eastAsia="Times New Roman" w:hAnsi="Times New Roman" w:cs="Times New Roman"/>
          <w:b/>
          <w:bCs/>
          <w:color w:val="1D2125"/>
          <w:kern w:val="36"/>
          <w:sz w:val="28"/>
          <w:szCs w:val="28"/>
          <w:lang w:eastAsia="en-GB"/>
        </w:rPr>
      </w:pPr>
      <w:r w:rsidRPr="00E92D5D">
        <w:rPr>
          <w:rFonts w:ascii="Times New Roman" w:eastAsia="Times New Roman" w:hAnsi="Times New Roman" w:cs="Times New Roman"/>
          <w:b/>
          <w:bCs/>
          <w:color w:val="1D2125"/>
          <w:kern w:val="36"/>
          <w:sz w:val="28"/>
          <w:szCs w:val="28"/>
          <w:lang w:eastAsia="en-GB"/>
        </w:rPr>
        <w:t xml:space="preserve">~ Assessment </w:t>
      </w:r>
      <w:r w:rsidR="00545127" w:rsidRPr="00E92D5D">
        <w:rPr>
          <w:rFonts w:ascii="Times New Roman" w:eastAsia="Times New Roman" w:hAnsi="Times New Roman" w:cs="Times New Roman"/>
          <w:b/>
          <w:bCs/>
          <w:color w:val="1D2125"/>
          <w:kern w:val="36"/>
          <w:sz w:val="28"/>
          <w:szCs w:val="28"/>
          <w:lang w:eastAsia="en-GB"/>
        </w:rPr>
        <w:t>1</w:t>
      </w:r>
      <w:r w:rsidRPr="00E92D5D">
        <w:rPr>
          <w:rFonts w:ascii="Times New Roman" w:eastAsia="Times New Roman" w:hAnsi="Times New Roman" w:cs="Times New Roman"/>
          <w:b/>
          <w:bCs/>
          <w:color w:val="1D2125"/>
          <w:kern w:val="36"/>
          <w:sz w:val="28"/>
          <w:szCs w:val="28"/>
          <w:lang w:eastAsia="en-GB"/>
        </w:rPr>
        <w:t xml:space="preserve"> </w:t>
      </w:r>
      <w:r w:rsidR="00E35D11">
        <w:rPr>
          <w:rFonts w:ascii="Times New Roman" w:eastAsia="Times New Roman" w:hAnsi="Times New Roman" w:cs="Times New Roman"/>
          <w:b/>
          <w:bCs/>
          <w:color w:val="1D2125"/>
          <w:kern w:val="36"/>
          <w:sz w:val="28"/>
          <w:szCs w:val="28"/>
          <w:lang w:eastAsia="en-GB"/>
        </w:rPr>
        <w:t xml:space="preserve">coursework </w:t>
      </w:r>
      <w:r w:rsidRPr="00E92D5D">
        <w:rPr>
          <w:rFonts w:ascii="Times New Roman" w:eastAsia="Times New Roman" w:hAnsi="Times New Roman" w:cs="Times New Roman"/>
          <w:b/>
          <w:bCs/>
          <w:color w:val="1D2125"/>
          <w:kern w:val="36"/>
          <w:sz w:val="28"/>
          <w:szCs w:val="28"/>
          <w:lang w:eastAsia="en-GB"/>
        </w:rPr>
        <w:t>~</w:t>
      </w:r>
    </w:p>
    <w:p w14:paraId="599CFB56" w14:textId="77777777" w:rsidR="006F44C7" w:rsidRDefault="006F44C7" w:rsidP="006F44C7">
      <w:pPr>
        <w:jc w:val="center"/>
        <w:rPr>
          <w:rFonts w:ascii="Times New Roman" w:eastAsia="Times New Roman" w:hAnsi="Times New Roman" w:cs="Times New Roman"/>
          <w:b/>
          <w:bCs/>
          <w:color w:val="1D2125"/>
          <w:kern w:val="36"/>
          <w:sz w:val="48"/>
          <w:szCs w:val="48"/>
          <w:lang w:eastAsia="en-GB"/>
        </w:rPr>
      </w:pPr>
    </w:p>
    <w:p w14:paraId="7E3DF997" w14:textId="6F966137" w:rsidR="00E92D5D" w:rsidRPr="00E92D5D" w:rsidRDefault="00E35D11" w:rsidP="00E92D5D">
      <w:pPr>
        <w:spacing w:line="480" w:lineRule="auto"/>
        <w:jc w:val="center"/>
        <w:rPr>
          <w:rFonts w:ascii="Times New Roman" w:eastAsia="Times New Roman" w:hAnsi="Times New Roman" w:cs="Times New Roman"/>
          <w:b/>
          <w:bCs/>
          <w:color w:val="1D2125"/>
          <w:kern w:val="36"/>
          <w:sz w:val="144"/>
          <w:szCs w:val="144"/>
          <w:lang w:eastAsia="en-GB"/>
        </w:rPr>
      </w:pPr>
      <w:r>
        <w:rPr>
          <w:rFonts w:ascii="Times New Roman" w:eastAsia="Times New Roman" w:hAnsi="Times New Roman" w:cs="Times New Roman"/>
          <w:b/>
          <w:bCs/>
          <w:sz w:val="44"/>
          <w:szCs w:val="44"/>
          <w:lang w:eastAsia="en-GB"/>
        </w:rPr>
        <w:t>Evaluation of different strategies adopted by MNCs in managing their exposure to foreign exchange risks</w:t>
      </w:r>
      <w:r w:rsidR="00FE286E">
        <w:rPr>
          <w:rFonts w:ascii="Times New Roman" w:eastAsia="Times New Roman" w:hAnsi="Times New Roman" w:cs="Times New Roman"/>
          <w:b/>
          <w:bCs/>
          <w:sz w:val="44"/>
          <w:szCs w:val="44"/>
          <w:lang w:eastAsia="en-GB"/>
        </w:rPr>
        <w:t xml:space="preserve"> – Apple Inc case</w:t>
      </w:r>
      <w:r>
        <w:rPr>
          <w:rFonts w:ascii="Times New Roman" w:eastAsia="Times New Roman" w:hAnsi="Times New Roman" w:cs="Times New Roman"/>
          <w:b/>
          <w:bCs/>
          <w:sz w:val="44"/>
          <w:szCs w:val="44"/>
          <w:lang w:eastAsia="en-GB"/>
        </w:rPr>
        <w:t>:</w:t>
      </w:r>
    </w:p>
    <w:p w14:paraId="4E74975E" w14:textId="77777777" w:rsidR="006F44C7" w:rsidRPr="00B7364F" w:rsidRDefault="006F44C7" w:rsidP="006F44C7">
      <w:pPr>
        <w:jc w:val="center"/>
        <w:rPr>
          <w:rFonts w:ascii="Times New Roman" w:eastAsia="Times New Roman" w:hAnsi="Times New Roman" w:cs="Times New Roman"/>
          <w:b/>
          <w:bCs/>
          <w:color w:val="1D2125"/>
          <w:kern w:val="36"/>
          <w:sz w:val="48"/>
          <w:szCs w:val="48"/>
          <w:lang w:eastAsia="en-GB"/>
        </w:rPr>
      </w:pPr>
    </w:p>
    <w:p w14:paraId="0C2A8515" w14:textId="77777777" w:rsidR="002602D5" w:rsidRDefault="002602D5" w:rsidP="006F44C7">
      <w:pPr>
        <w:jc w:val="center"/>
        <w:rPr>
          <w:rFonts w:ascii="Times New Roman" w:hAnsi="Times New Roman" w:cs="Times New Roman"/>
          <w:b/>
          <w:sz w:val="36"/>
          <w:szCs w:val="36"/>
        </w:rPr>
      </w:pPr>
    </w:p>
    <w:p w14:paraId="79A43C8F" w14:textId="77777777" w:rsidR="002602D5" w:rsidRPr="00B7364F" w:rsidRDefault="002602D5" w:rsidP="006F44C7">
      <w:pPr>
        <w:jc w:val="center"/>
        <w:rPr>
          <w:rFonts w:ascii="Times New Roman" w:hAnsi="Times New Roman" w:cs="Times New Roman"/>
          <w:b/>
          <w:sz w:val="36"/>
          <w:szCs w:val="36"/>
        </w:rPr>
      </w:pPr>
    </w:p>
    <w:p w14:paraId="44D2F35F" w14:textId="31609653" w:rsidR="006D7C4A" w:rsidRDefault="002602D5" w:rsidP="006F44C7">
      <w:pPr>
        <w:jc w:val="center"/>
        <w:rPr>
          <w:rFonts w:ascii="Segoe UI" w:hAnsi="Segoe UI" w:cs="Segoe UI"/>
          <w:color w:val="1D2125"/>
          <w:sz w:val="20"/>
          <w:szCs w:val="20"/>
          <w:shd w:val="clear" w:color="auto" w:fill="F8F9FA"/>
        </w:rPr>
      </w:pPr>
      <w:r>
        <w:rPr>
          <w:rFonts w:ascii="Times New Roman" w:hAnsi="Times New Roman" w:cs="Times New Roman"/>
          <w:b/>
          <w:sz w:val="36"/>
          <w:szCs w:val="36"/>
        </w:rPr>
        <w:t>Module Leader</w:t>
      </w:r>
      <w:r w:rsidR="006D7C4A" w:rsidRPr="00B7364F">
        <w:rPr>
          <w:rFonts w:ascii="Times New Roman" w:hAnsi="Times New Roman" w:cs="Times New Roman"/>
          <w:b/>
          <w:sz w:val="36"/>
          <w:szCs w:val="36"/>
        </w:rPr>
        <w:t>:</w:t>
      </w:r>
      <w:r w:rsidR="00900697" w:rsidRPr="00B7364F">
        <w:rPr>
          <w:rFonts w:ascii="Times New Roman" w:hAnsi="Times New Roman" w:cs="Times New Roman"/>
          <w:b/>
          <w:sz w:val="36"/>
          <w:szCs w:val="36"/>
        </w:rPr>
        <w:t xml:space="preserve"> </w:t>
      </w:r>
      <w:proofErr w:type="spellStart"/>
      <w:r w:rsidR="00D35757" w:rsidRPr="00D35757">
        <w:rPr>
          <w:rFonts w:ascii="Times New Roman" w:hAnsi="Times New Roman" w:cs="Times New Roman"/>
          <w:b/>
          <w:bCs/>
          <w:color w:val="1D2125"/>
          <w:sz w:val="36"/>
          <w:szCs w:val="36"/>
          <w:shd w:val="clear" w:color="auto" w:fill="F8F9FA"/>
        </w:rPr>
        <w:t>Dr.</w:t>
      </w:r>
      <w:proofErr w:type="spellEnd"/>
      <w:r w:rsidR="00D35757" w:rsidRPr="00D35757">
        <w:rPr>
          <w:rFonts w:ascii="Times New Roman" w:hAnsi="Times New Roman" w:cs="Times New Roman"/>
          <w:b/>
          <w:bCs/>
          <w:color w:val="1D2125"/>
          <w:sz w:val="36"/>
          <w:szCs w:val="36"/>
          <w:shd w:val="clear" w:color="auto" w:fill="F8F9FA"/>
        </w:rPr>
        <w:t xml:space="preserve"> Taye </w:t>
      </w:r>
      <w:proofErr w:type="spellStart"/>
      <w:r w:rsidR="00D35757" w:rsidRPr="00D35757">
        <w:rPr>
          <w:rFonts w:ascii="Times New Roman" w:hAnsi="Times New Roman" w:cs="Times New Roman"/>
          <w:b/>
          <w:bCs/>
          <w:color w:val="1D2125"/>
          <w:sz w:val="36"/>
          <w:szCs w:val="36"/>
          <w:shd w:val="clear" w:color="auto" w:fill="F8F9FA"/>
        </w:rPr>
        <w:t>Osadiya</w:t>
      </w:r>
      <w:proofErr w:type="spellEnd"/>
    </w:p>
    <w:p w14:paraId="3130F3EE" w14:textId="0AB477D3" w:rsidR="00D35757" w:rsidRPr="00B7364F" w:rsidRDefault="00D35757" w:rsidP="006F44C7">
      <w:pPr>
        <w:jc w:val="center"/>
        <w:rPr>
          <w:rFonts w:ascii="Times New Roman" w:hAnsi="Times New Roman" w:cs="Times New Roman"/>
          <w:b/>
          <w:sz w:val="36"/>
          <w:szCs w:val="36"/>
        </w:rPr>
      </w:pPr>
      <w:r w:rsidRPr="00B7364F">
        <w:rPr>
          <w:rFonts w:ascii="Times New Roman" w:hAnsi="Times New Roman" w:cs="Times New Roman"/>
          <w:b/>
          <w:sz w:val="36"/>
          <w:szCs w:val="36"/>
        </w:rPr>
        <w:t>Lecturer</w:t>
      </w:r>
      <w:r>
        <w:rPr>
          <w:rFonts w:ascii="Times New Roman" w:hAnsi="Times New Roman" w:cs="Times New Roman"/>
          <w:b/>
          <w:sz w:val="36"/>
          <w:szCs w:val="36"/>
        </w:rPr>
        <w:t xml:space="preserve">: </w:t>
      </w:r>
      <w:r w:rsidRPr="00D35757">
        <w:rPr>
          <w:rFonts w:ascii="Times New Roman" w:hAnsi="Times New Roman" w:cs="Times New Roman"/>
          <w:b/>
          <w:bCs/>
          <w:sz w:val="36"/>
          <w:szCs w:val="36"/>
        </w:rPr>
        <w:t>Dr Thomas Adeyemi</w:t>
      </w:r>
    </w:p>
    <w:p w14:paraId="3B464AD6" w14:textId="29E6C84E" w:rsidR="006F44C7" w:rsidRPr="00B7364F" w:rsidRDefault="00900697" w:rsidP="006F44C7">
      <w:pPr>
        <w:jc w:val="center"/>
        <w:rPr>
          <w:rFonts w:ascii="Times New Roman" w:hAnsi="Times New Roman" w:cs="Times New Roman"/>
          <w:b/>
          <w:sz w:val="36"/>
          <w:szCs w:val="36"/>
        </w:rPr>
      </w:pPr>
      <w:r w:rsidRPr="00B7364F">
        <w:rPr>
          <w:rFonts w:ascii="Times New Roman" w:hAnsi="Times New Roman" w:cs="Times New Roman"/>
          <w:b/>
          <w:sz w:val="36"/>
          <w:szCs w:val="36"/>
        </w:rPr>
        <w:t xml:space="preserve">Student: </w:t>
      </w:r>
      <w:r w:rsidR="006F44C7" w:rsidRPr="00B7364F">
        <w:rPr>
          <w:rFonts w:ascii="Times New Roman" w:hAnsi="Times New Roman" w:cs="Times New Roman"/>
          <w:b/>
          <w:sz w:val="36"/>
          <w:szCs w:val="36"/>
        </w:rPr>
        <w:t>Vladimir Mihai BARA – 2110942</w:t>
      </w:r>
    </w:p>
    <w:p w14:paraId="5536B235" w14:textId="77777777" w:rsidR="00B7364F" w:rsidRDefault="00B7364F" w:rsidP="00900697">
      <w:pPr>
        <w:jc w:val="both"/>
        <w:rPr>
          <w:b/>
          <w:sz w:val="24"/>
          <w:szCs w:val="24"/>
        </w:rPr>
      </w:pPr>
    </w:p>
    <w:p w14:paraId="41E7CFAF" w14:textId="113FBCB2" w:rsidR="00900697" w:rsidRDefault="00900697" w:rsidP="00900697">
      <w:pPr>
        <w:jc w:val="both"/>
        <w:rPr>
          <w:rFonts w:ascii="Times New Roman" w:hAnsi="Times New Roman" w:cs="Times New Roman"/>
          <w:b/>
          <w:sz w:val="24"/>
          <w:szCs w:val="24"/>
        </w:rPr>
      </w:pPr>
      <w:r w:rsidRPr="00086261">
        <w:rPr>
          <w:rFonts w:ascii="Times New Roman" w:hAnsi="Times New Roman" w:cs="Times New Roman"/>
          <w:b/>
          <w:sz w:val="24"/>
          <w:szCs w:val="24"/>
        </w:rPr>
        <w:t>Table of Contents:</w:t>
      </w:r>
    </w:p>
    <w:p w14:paraId="1910BCF4" w14:textId="77777777" w:rsidR="002602D5" w:rsidRPr="00086261" w:rsidRDefault="002602D5" w:rsidP="00900697">
      <w:pPr>
        <w:jc w:val="both"/>
        <w:rPr>
          <w:rFonts w:ascii="Times New Roman" w:hAnsi="Times New Roman" w:cs="Times New Roman"/>
          <w:b/>
          <w:sz w:val="24"/>
          <w:szCs w:val="24"/>
        </w:rPr>
      </w:pPr>
    </w:p>
    <w:p w14:paraId="161A85D0" w14:textId="77777777" w:rsidR="00900697" w:rsidRPr="00086261" w:rsidRDefault="00900697" w:rsidP="00900697">
      <w:pPr>
        <w:jc w:val="both"/>
        <w:rPr>
          <w:rFonts w:ascii="Times New Roman" w:hAnsi="Times New Roman" w:cs="Times New Roman"/>
          <w:b/>
          <w:sz w:val="24"/>
          <w:szCs w:val="24"/>
        </w:rPr>
      </w:pPr>
    </w:p>
    <w:p w14:paraId="2A8599FE" w14:textId="125DB4D2" w:rsidR="00900697" w:rsidRPr="003730BA" w:rsidRDefault="00900697" w:rsidP="00F239C8">
      <w:pPr>
        <w:pStyle w:val="ListParagraph"/>
        <w:numPr>
          <w:ilvl w:val="0"/>
          <w:numId w:val="1"/>
        </w:numPr>
        <w:spacing w:line="360" w:lineRule="auto"/>
        <w:jc w:val="both"/>
        <w:rPr>
          <w:rFonts w:ascii="Times New Roman" w:hAnsi="Times New Roman" w:cs="Times New Roman"/>
          <w:b/>
          <w:sz w:val="24"/>
          <w:szCs w:val="24"/>
        </w:rPr>
      </w:pPr>
      <w:r w:rsidRPr="003730BA">
        <w:rPr>
          <w:rFonts w:ascii="Times New Roman" w:hAnsi="Times New Roman" w:cs="Times New Roman"/>
          <w:b/>
          <w:sz w:val="24"/>
          <w:szCs w:val="24"/>
        </w:rPr>
        <w:t>Introduction</w:t>
      </w:r>
      <w:r w:rsidR="00452B92" w:rsidRPr="003730BA">
        <w:rPr>
          <w:rFonts w:ascii="Times New Roman" w:hAnsi="Times New Roman" w:cs="Times New Roman"/>
          <w:b/>
          <w:sz w:val="24"/>
          <w:szCs w:val="24"/>
        </w:rPr>
        <w:t xml:space="preserve"> </w:t>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t>– p.3</w:t>
      </w:r>
    </w:p>
    <w:p w14:paraId="250BB263" w14:textId="11418865" w:rsidR="00736AC5" w:rsidRPr="00CF3717" w:rsidRDefault="00C66CB3" w:rsidP="00F239C8">
      <w:pPr>
        <w:pStyle w:val="ListParagraph"/>
        <w:numPr>
          <w:ilvl w:val="0"/>
          <w:numId w:val="1"/>
        </w:numPr>
        <w:spacing w:line="360" w:lineRule="auto"/>
        <w:jc w:val="both"/>
        <w:rPr>
          <w:rFonts w:ascii="Times New Roman" w:hAnsi="Times New Roman" w:cs="Times New Roman"/>
          <w:b/>
          <w:bCs/>
          <w:sz w:val="24"/>
          <w:szCs w:val="24"/>
        </w:rPr>
      </w:pPr>
      <w:r w:rsidRPr="00DC27FC">
        <w:rPr>
          <w:rFonts w:ascii="Times New Roman" w:hAnsi="Times New Roman" w:cs="Times New Roman"/>
          <w:b/>
          <w:bCs/>
          <w:sz w:val="24"/>
          <w:szCs w:val="24"/>
        </w:rPr>
        <w:t>U</w:t>
      </w:r>
      <w:r w:rsidRPr="003D213C">
        <w:rPr>
          <w:rFonts w:ascii="Times New Roman" w:eastAsia="Times New Roman" w:hAnsi="Times New Roman" w:cs="Times New Roman"/>
          <w:b/>
          <w:bCs/>
          <w:color w:val="0D0D0D"/>
          <w:sz w:val="24"/>
          <w:szCs w:val="24"/>
          <w:lang w:eastAsia="en-GB"/>
        </w:rPr>
        <w:t xml:space="preserve">nderstanding Foreign Exchange </w:t>
      </w:r>
      <w:r>
        <w:rPr>
          <w:rFonts w:ascii="Times New Roman" w:eastAsia="Times New Roman" w:hAnsi="Times New Roman" w:cs="Times New Roman"/>
          <w:b/>
          <w:bCs/>
          <w:color w:val="0D0D0D"/>
          <w:sz w:val="24"/>
          <w:szCs w:val="24"/>
          <w:lang w:eastAsia="en-GB"/>
        </w:rPr>
        <w:t xml:space="preserve">Exposure and/or </w:t>
      </w:r>
      <w:r w:rsidRPr="003D213C">
        <w:rPr>
          <w:rFonts w:ascii="Times New Roman" w:eastAsia="Times New Roman" w:hAnsi="Times New Roman" w:cs="Times New Roman"/>
          <w:b/>
          <w:bCs/>
          <w:color w:val="0D0D0D"/>
          <w:sz w:val="24"/>
          <w:szCs w:val="24"/>
          <w:lang w:eastAsia="en-GB"/>
        </w:rPr>
        <w:t>Risks</w:t>
      </w:r>
      <w:r w:rsidR="00CF3717">
        <w:rPr>
          <w:rFonts w:ascii="Times New Roman" w:eastAsia="Times New Roman" w:hAnsi="Times New Roman" w:cs="Times New Roman"/>
          <w:b/>
          <w:bCs/>
          <w:color w:val="0D0D0D"/>
          <w:sz w:val="24"/>
          <w:szCs w:val="24"/>
          <w:lang w:eastAsia="en-GB"/>
        </w:rPr>
        <w:tab/>
      </w:r>
      <w:r w:rsidR="00CF3717">
        <w:rPr>
          <w:rFonts w:ascii="Times New Roman" w:eastAsia="Times New Roman" w:hAnsi="Times New Roman" w:cs="Times New Roman"/>
          <w:b/>
          <w:bCs/>
          <w:color w:val="0D0D0D"/>
          <w:sz w:val="24"/>
          <w:szCs w:val="24"/>
          <w:lang w:eastAsia="en-GB"/>
        </w:rPr>
        <w:tab/>
      </w:r>
      <w:r w:rsidR="00CF3717">
        <w:rPr>
          <w:rFonts w:ascii="Times New Roman" w:eastAsia="Times New Roman" w:hAnsi="Times New Roman" w:cs="Times New Roman"/>
          <w:b/>
          <w:bCs/>
          <w:color w:val="0D0D0D"/>
          <w:sz w:val="24"/>
          <w:szCs w:val="24"/>
          <w:lang w:eastAsia="en-GB"/>
        </w:rPr>
        <w:tab/>
      </w:r>
      <w:r w:rsidR="00CF3717">
        <w:rPr>
          <w:rFonts w:ascii="Times New Roman" w:hAnsi="Times New Roman" w:cs="Times New Roman"/>
          <w:b/>
          <w:sz w:val="24"/>
          <w:szCs w:val="24"/>
        </w:rPr>
        <w:t>– p.3</w:t>
      </w:r>
    </w:p>
    <w:p w14:paraId="7137E3C3" w14:textId="7EA44398" w:rsidR="00CF3717" w:rsidRPr="00B45AFB" w:rsidRDefault="00CF3717" w:rsidP="00F239C8">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w:t>
      </w:r>
      <w:r w:rsidRPr="00AA5CE3">
        <w:rPr>
          <w:rFonts w:ascii="Times New Roman" w:eastAsia="Times New Roman" w:hAnsi="Times New Roman" w:cs="Times New Roman"/>
          <w:b/>
          <w:bCs/>
          <w:color w:val="0D0D0D"/>
          <w:sz w:val="24"/>
          <w:szCs w:val="24"/>
          <w:lang w:eastAsia="en-GB"/>
        </w:rPr>
        <w:t>heoretical Frameworks in IFM</w:t>
      </w:r>
      <w:r>
        <w:rPr>
          <w:rFonts w:ascii="Times New Roman" w:eastAsia="Times New Roman" w:hAnsi="Times New Roman" w:cs="Times New Roman"/>
          <w:b/>
          <w:bCs/>
          <w:color w:val="0D0D0D"/>
          <w:sz w:val="24"/>
          <w:szCs w:val="24"/>
          <w:lang w:eastAsia="en-GB"/>
        </w:rPr>
        <w:tab/>
      </w:r>
      <w:r>
        <w:rPr>
          <w:rFonts w:ascii="Times New Roman" w:eastAsia="Times New Roman" w:hAnsi="Times New Roman" w:cs="Times New Roman"/>
          <w:b/>
          <w:bCs/>
          <w:color w:val="0D0D0D"/>
          <w:sz w:val="24"/>
          <w:szCs w:val="24"/>
          <w:lang w:eastAsia="en-GB"/>
        </w:rPr>
        <w:tab/>
      </w:r>
      <w:r>
        <w:rPr>
          <w:rFonts w:ascii="Times New Roman" w:eastAsia="Times New Roman" w:hAnsi="Times New Roman" w:cs="Times New Roman"/>
          <w:b/>
          <w:bCs/>
          <w:color w:val="0D0D0D"/>
          <w:sz w:val="24"/>
          <w:szCs w:val="24"/>
          <w:lang w:eastAsia="en-GB"/>
        </w:rPr>
        <w:tab/>
      </w:r>
      <w:r>
        <w:rPr>
          <w:rFonts w:ascii="Times New Roman" w:eastAsia="Times New Roman" w:hAnsi="Times New Roman" w:cs="Times New Roman"/>
          <w:b/>
          <w:bCs/>
          <w:color w:val="0D0D0D"/>
          <w:sz w:val="24"/>
          <w:szCs w:val="24"/>
          <w:lang w:eastAsia="en-GB"/>
        </w:rPr>
        <w:tab/>
      </w:r>
      <w:r>
        <w:rPr>
          <w:rFonts w:ascii="Times New Roman" w:eastAsia="Times New Roman" w:hAnsi="Times New Roman" w:cs="Times New Roman"/>
          <w:b/>
          <w:bCs/>
          <w:color w:val="0D0D0D"/>
          <w:sz w:val="24"/>
          <w:szCs w:val="24"/>
          <w:lang w:eastAsia="en-GB"/>
        </w:rPr>
        <w:tab/>
      </w:r>
      <w:r>
        <w:rPr>
          <w:rFonts w:ascii="Times New Roman" w:eastAsia="Times New Roman" w:hAnsi="Times New Roman" w:cs="Times New Roman"/>
          <w:b/>
          <w:bCs/>
          <w:color w:val="0D0D0D"/>
          <w:sz w:val="24"/>
          <w:szCs w:val="24"/>
          <w:lang w:eastAsia="en-GB"/>
        </w:rPr>
        <w:tab/>
      </w:r>
      <w:r>
        <w:rPr>
          <w:rFonts w:ascii="Times New Roman" w:eastAsia="Times New Roman" w:hAnsi="Times New Roman" w:cs="Times New Roman"/>
          <w:b/>
          <w:bCs/>
          <w:sz w:val="24"/>
          <w:szCs w:val="24"/>
          <w:lang w:eastAsia="en-GB"/>
        </w:rPr>
        <w:t>– p.5</w:t>
      </w:r>
    </w:p>
    <w:p w14:paraId="68FEBF29" w14:textId="46B321C9" w:rsidR="00E92D5D" w:rsidRPr="00CF3717" w:rsidRDefault="00CF3717" w:rsidP="00F239C8">
      <w:pPr>
        <w:pStyle w:val="ListParagraph"/>
        <w:numPr>
          <w:ilvl w:val="0"/>
          <w:numId w:val="1"/>
        </w:numPr>
        <w:spacing w:after="0" w:line="360" w:lineRule="auto"/>
        <w:jc w:val="both"/>
        <w:rPr>
          <w:rFonts w:ascii="Times New Roman" w:eastAsia="Times New Roman" w:hAnsi="Times New Roman" w:cs="Times New Roman"/>
          <w:b/>
          <w:bCs/>
          <w:color w:val="0D0D0D"/>
          <w:sz w:val="24"/>
          <w:szCs w:val="24"/>
          <w:lang w:eastAsia="en-GB"/>
        </w:rPr>
      </w:pPr>
      <w:r w:rsidRPr="003C636D">
        <w:rPr>
          <w:rFonts w:ascii="Times New Roman" w:eastAsia="Times New Roman" w:hAnsi="Times New Roman" w:cs="Times New Roman"/>
          <w:b/>
          <w:bCs/>
          <w:sz w:val="24"/>
          <w:szCs w:val="24"/>
          <w:lang w:eastAsia="en-GB"/>
        </w:rPr>
        <w:t>S</w:t>
      </w:r>
      <w:r w:rsidRPr="003C636D">
        <w:rPr>
          <w:rFonts w:ascii="Times New Roman" w:eastAsia="Times New Roman" w:hAnsi="Times New Roman" w:cs="Times New Roman"/>
          <w:b/>
          <w:bCs/>
          <w:color w:val="0D0D0D"/>
          <w:sz w:val="24"/>
          <w:szCs w:val="24"/>
          <w:lang w:eastAsia="en-GB"/>
        </w:rPr>
        <w:t xml:space="preserve">trategies for Managing FX </w:t>
      </w:r>
      <w:r>
        <w:rPr>
          <w:rFonts w:ascii="Times New Roman" w:eastAsia="Times New Roman" w:hAnsi="Times New Roman" w:cs="Times New Roman"/>
          <w:b/>
          <w:bCs/>
          <w:color w:val="0D0D0D"/>
          <w:sz w:val="24"/>
          <w:szCs w:val="24"/>
          <w:lang w:eastAsia="en-GB"/>
        </w:rPr>
        <w:t xml:space="preserve">Exposure and/or </w:t>
      </w:r>
      <w:r w:rsidRPr="003C636D">
        <w:rPr>
          <w:rFonts w:ascii="Times New Roman" w:eastAsia="Times New Roman" w:hAnsi="Times New Roman" w:cs="Times New Roman"/>
          <w:b/>
          <w:bCs/>
          <w:color w:val="0D0D0D"/>
          <w:sz w:val="24"/>
          <w:szCs w:val="24"/>
          <w:lang w:eastAsia="en-GB"/>
        </w:rPr>
        <w:t>Risks:</w:t>
      </w:r>
      <w:r w:rsidR="005C34DD" w:rsidRPr="00CF3717">
        <w:rPr>
          <w:rFonts w:ascii="Times New Roman" w:eastAsia="Times New Roman" w:hAnsi="Times New Roman" w:cs="Times New Roman"/>
          <w:b/>
          <w:bCs/>
          <w:sz w:val="24"/>
          <w:szCs w:val="24"/>
          <w:lang w:eastAsia="en-GB"/>
        </w:rPr>
        <w:tab/>
      </w:r>
      <w:r w:rsidR="005C34DD" w:rsidRPr="00CF3717">
        <w:rPr>
          <w:rFonts w:ascii="Times New Roman" w:eastAsia="Times New Roman" w:hAnsi="Times New Roman" w:cs="Times New Roman"/>
          <w:b/>
          <w:bCs/>
          <w:sz w:val="24"/>
          <w:szCs w:val="24"/>
          <w:lang w:eastAsia="en-GB"/>
        </w:rPr>
        <w:tab/>
      </w:r>
      <w:r w:rsidR="005C34DD" w:rsidRPr="00CF3717">
        <w:rPr>
          <w:rFonts w:ascii="Times New Roman" w:eastAsia="Times New Roman" w:hAnsi="Times New Roman" w:cs="Times New Roman"/>
          <w:b/>
          <w:bCs/>
          <w:sz w:val="24"/>
          <w:szCs w:val="24"/>
          <w:lang w:eastAsia="en-GB"/>
        </w:rPr>
        <w:tab/>
      </w:r>
      <w:r w:rsidR="005C34DD" w:rsidRPr="00CF3717">
        <w:rPr>
          <w:rFonts w:ascii="Times New Roman" w:eastAsia="Times New Roman" w:hAnsi="Times New Roman" w:cs="Times New Roman"/>
          <w:b/>
          <w:bCs/>
          <w:sz w:val="24"/>
          <w:szCs w:val="24"/>
          <w:lang w:eastAsia="en-GB"/>
        </w:rPr>
        <w:tab/>
        <w:t>– p.</w:t>
      </w:r>
      <w:r>
        <w:rPr>
          <w:rFonts w:ascii="Times New Roman" w:eastAsia="Times New Roman" w:hAnsi="Times New Roman" w:cs="Times New Roman"/>
          <w:b/>
          <w:bCs/>
          <w:sz w:val="24"/>
          <w:szCs w:val="24"/>
          <w:lang w:eastAsia="en-GB"/>
        </w:rPr>
        <w:t>6</w:t>
      </w:r>
    </w:p>
    <w:p w14:paraId="6DEDA744" w14:textId="1A8EC751" w:rsidR="0017126C" w:rsidRPr="003730BA" w:rsidRDefault="0017126C" w:rsidP="00F239C8">
      <w:pPr>
        <w:pStyle w:val="ListParagraph"/>
        <w:numPr>
          <w:ilvl w:val="0"/>
          <w:numId w:val="1"/>
        </w:numPr>
        <w:spacing w:line="360" w:lineRule="auto"/>
        <w:jc w:val="both"/>
        <w:rPr>
          <w:rFonts w:ascii="Times New Roman" w:hAnsi="Times New Roman" w:cs="Times New Roman"/>
          <w:b/>
          <w:sz w:val="24"/>
          <w:szCs w:val="24"/>
        </w:rPr>
      </w:pPr>
      <w:r w:rsidRPr="003730BA">
        <w:rPr>
          <w:rFonts w:ascii="Times New Roman" w:hAnsi="Times New Roman" w:cs="Times New Roman"/>
          <w:b/>
          <w:sz w:val="24"/>
          <w:szCs w:val="24"/>
        </w:rPr>
        <w:t>Conclusion</w:t>
      </w:r>
      <w:r w:rsidR="005C34DD">
        <w:rPr>
          <w:rFonts w:ascii="Times New Roman" w:hAnsi="Times New Roman" w:cs="Times New Roman"/>
          <w:b/>
          <w:sz w:val="24"/>
          <w:szCs w:val="24"/>
        </w:rPr>
        <w:t xml:space="preserve"> </w:t>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t>– p.</w:t>
      </w:r>
      <w:r w:rsidR="00F239C8">
        <w:rPr>
          <w:rFonts w:ascii="Times New Roman" w:hAnsi="Times New Roman" w:cs="Times New Roman"/>
          <w:b/>
          <w:sz w:val="24"/>
          <w:szCs w:val="24"/>
        </w:rPr>
        <w:t>7</w:t>
      </w:r>
    </w:p>
    <w:p w14:paraId="799713BE" w14:textId="60433DF9" w:rsidR="003423BD" w:rsidRPr="003730BA" w:rsidRDefault="003423BD" w:rsidP="00F239C8">
      <w:pPr>
        <w:pStyle w:val="ListParagraph"/>
        <w:numPr>
          <w:ilvl w:val="0"/>
          <w:numId w:val="1"/>
        </w:numPr>
        <w:spacing w:line="360" w:lineRule="auto"/>
        <w:jc w:val="both"/>
        <w:rPr>
          <w:rFonts w:ascii="Times New Roman" w:hAnsi="Times New Roman" w:cs="Times New Roman"/>
          <w:b/>
          <w:sz w:val="24"/>
          <w:szCs w:val="24"/>
        </w:rPr>
      </w:pPr>
      <w:r w:rsidRPr="003730BA">
        <w:rPr>
          <w:rFonts w:ascii="Times New Roman" w:hAnsi="Times New Roman" w:cs="Times New Roman"/>
          <w:b/>
          <w:sz w:val="24"/>
          <w:szCs w:val="24"/>
        </w:rPr>
        <w:t xml:space="preserve">References </w:t>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r>
      <w:r w:rsidR="005C34DD">
        <w:rPr>
          <w:rFonts w:ascii="Times New Roman" w:hAnsi="Times New Roman" w:cs="Times New Roman"/>
          <w:b/>
          <w:sz w:val="24"/>
          <w:szCs w:val="24"/>
        </w:rPr>
        <w:tab/>
        <w:t>– p.</w:t>
      </w:r>
      <w:r w:rsidR="00F239C8">
        <w:rPr>
          <w:rFonts w:ascii="Times New Roman" w:hAnsi="Times New Roman" w:cs="Times New Roman"/>
          <w:b/>
          <w:sz w:val="24"/>
          <w:szCs w:val="24"/>
        </w:rPr>
        <w:t>8</w:t>
      </w:r>
    </w:p>
    <w:p w14:paraId="7BF0A62A" w14:textId="383D18CF" w:rsidR="006F44C7" w:rsidRPr="003730BA" w:rsidRDefault="003730BA" w:rsidP="003730BA">
      <w:pPr>
        <w:tabs>
          <w:tab w:val="left" w:pos="1072"/>
        </w:tabs>
        <w:rPr>
          <w:rFonts w:ascii="Times New Roman" w:hAnsi="Times New Roman" w:cs="Times New Roman"/>
          <w:sz w:val="24"/>
          <w:szCs w:val="24"/>
        </w:rPr>
      </w:pPr>
      <w:r>
        <w:tab/>
      </w:r>
    </w:p>
    <w:p w14:paraId="04B5A627" w14:textId="77777777" w:rsidR="0017126C" w:rsidRPr="003730BA" w:rsidRDefault="0017126C">
      <w:pPr>
        <w:rPr>
          <w:rFonts w:ascii="Times New Roman" w:hAnsi="Times New Roman" w:cs="Times New Roman"/>
          <w:sz w:val="24"/>
          <w:szCs w:val="24"/>
        </w:rPr>
      </w:pPr>
    </w:p>
    <w:p w14:paraId="58BD0B9B" w14:textId="77777777" w:rsidR="0017126C" w:rsidRPr="003730BA" w:rsidRDefault="0017126C">
      <w:pPr>
        <w:rPr>
          <w:rFonts w:ascii="Times New Roman" w:hAnsi="Times New Roman" w:cs="Times New Roman"/>
          <w:sz w:val="24"/>
          <w:szCs w:val="24"/>
        </w:rPr>
      </w:pPr>
    </w:p>
    <w:p w14:paraId="4561C296" w14:textId="77777777" w:rsidR="0017126C" w:rsidRPr="003730BA" w:rsidRDefault="0017126C">
      <w:pPr>
        <w:rPr>
          <w:rFonts w:ascii="Times New Roman" w:hAnsi="Times New Roman" w:cs="Times New Roman"/>
          <w:sz w:val="24"/>
          <w:szCs w:val="24"/>
        </w:rPr>
      </w:pPr>
    </w:p>
    <w:p w14:paraId="1BE367B7" w14:textId="77777777" w:rsidR="0017126C" w:rsidRPr="003730BA" w:rsidRDefault="0017126C">
      <w:pPr>
        <w:rPr>
          <w:rFonts w:ascii="Times New Roman" w:hAnsi="Times New Roman" w:cs="Times New Roman"/>
          <w:sz w:val="24"/>
          <w:szCs w:val="24"/>
        </w:rPr>
      </w:pPr>
    </w:p>
    <w:p w14:paraId="0F26887B" w14:textId="77777777" w:rsidR="0017126C" w:rsidRPr="003730BA" w:rsidRDefault="0017126C">
      <w:pPr>
        <w:rPr>
          <w:rFonts w:ascii="Times New Roman" w:hAnsi="Times New Roman" w:cs="Times New Roman"/>
          <w:sz w:val="24"/>
          <w:szCs w:val="24"/>
        </w:rPr>
      </w:pPr>
    </w:p>
    <w:p w14:paraId="65088DB3" w14:textId="77777777" w:rsidR="0017126C" w:rsidRPr="003730BA" w:rsidRDefault="0017126C">
      <w:pPr>
        <w:rPr>
          <w:rFonts w:ascii="Times New Roman" w:hAnsi="Times New Roman" w:cs="Times New Roman"/>
          <w:sz w:val="24"/>
          <w:szCs w:val="24"/>
        </w:rPr>
      </w:pPr>
    </w:p>
    <w:p w14:paraId="387B476F" w14:textId="77777777" w:rsidR="0017126C" w:rsidRPr="003730BA" w:rsidRDefault="0017126C">
      <w:pPr>
        <w:rPr>
          <w:rFonts w:ascii="Times New Roman" w:hAnsi="Times New Roman" w:cs="Times New Roman"/>
          <w:sz w:val="24"/>
          <w:szCs w:val="24"/>
        </w:rPr>
      </w:pPr>
    </w:p>
    <w:p w14:paraId="29F3ED1B" w14:textId="77777777" w:rsidR="0017126C" w:rsidRPr="003730BA" w:rsidRDefault="0017126C">
      <w:pPr>
        <w:rPr>
          <w:rFonts w:ascii="Times New Roman" w:hAnsi="Times New Roman" w:cs="Times New Roman"/>
          <w:sz w:val="24"/>
          <w:szCs w:val="24"/>
        </w:rPr>
      </w:pPr>
    </w:p>
    <w:p w14:paraId="47AEA70D" w14:textId="77777777" w:rsidR="0017126C" w:rsidRPr="003730BA" w:rsidRDefault="0017126C">
      <w:pPr>
        <w:rPr>
          <w:rFonts w:ascii="Times New Roman" w:hAnsi="Times New Roman" w:cs="Times New Roman"/>
          <w:sz w:val="24"/>
          <w:szCs w:val="24"/>
        </w:rPr>
      </w:pPr>
    </w:p>
    <w:p w14:paraId="74BADB08" w14:textId="77777777" w:rsidR="0017126C" w:rsidRPr="003730BA" w:rsidRDefault="0017126C">
      <w:pPr>
        <w:rPr>
          <w:rFonts w:ascii="Times New Roman" w:hAnsi="Times New Roman" w:cs="Times New Roman"/>
          <w:sz w:val="24"/>
          <w:szCs w:val="24"/>
        </w:rPr>
      </w:pPr>
    </w:p>
    <w:p w14:paraId="0A757AD2" w14:textId="77777777" w:rsidR="0017126C" w:rsidRPr="003730BA" w:rsidRDefault="0017126C">
      <w:pPr>
        <w:rPr>
          <w:rFonts w:ascii="Times New Roman" w:hAnsi="Times New Roman" w:cs="Times New Roman"/>
          <w:sz w:val="24"/>
          <w:szCs w:val="24"/>
        </w:rPr>
      </w:pPr>
    </w:p>
    <w:p w14:paraId="7D8DD4E7" w14:textId="77777777" w:rsidR="0017126C" w:rsidRPr="003730BA" w:rsidRDefault="0017126C">
      <w:pPr>
        <w:rPr>
          <w:rFonts w:ascii="Times New Roman" w:hAnsi="Times New Roman" w:cs="Times New Roman"/>
          <w:sz w:val="24"/>
          <w:szCs w:val="24"/>
        </w:rPr>
      </w:pPr>
    </w:p>
    <w:p w14:paraId="25F1AEB5" w14:textId="77777777" w:rsidR="0017126C" w:rsidRPr="003730BA" w:rsidRDefault="0017126C">
      <w:pPr>
        <w:rPr>
          <w:rFonts w:ascii="Times New Roman" w:hAnsi="Times New Roman" w:cs="Times New Roman"/>
          <w:sz w:val="24"/>
          <w:szCs w:val="24"/>
        </w:rPr>
      </w:pPr>
    </w:p>
    <w:p w14:paraId="33604365" w14:textId="77777777" w:rsidR="006B5D22" w:rsidRPr="003730BA" w:rsidRDefault="006B5D22">
      <w:pPr>
        <w:rPr>
          <w:rFonts w:ascii="Times New Roman" w:hAnsi="Times New Roman" w:cs="Times New Roman"/>
          <w:sz w:val="24"/>
          <w:szCs w:val="24"/>
        </w:rPr>
      </w:pPr>
    </w:p>
    <w:p w14:paraId="6AFAEE24" w14:textId="45AF0AC4" w:rsidR="009E2D10" w:rsidRPr="003730BA" w:rsidRDefault="009E2D10" w:rsidP="00086261">
      <w:pPr>
        <w:spacing w:line="360" w:lineRule="auto"/>
        <w:jc w:val="both"/>
        <w:rPr>
          <w:rFonts w:ascii="Times New Roman" w:hAnsi="Times New Roman" w:cs="Times New Roman"/>
          <w:sz w:val="24"/>
          <w:szCs w:val="24"/>
        </w:rPr>
      </w:pPr>
    </w:p>
    <w:p w14:paraId="5FE1BE4D" w14:textId="77777777" w:rsidR="00086261" w:rsidRDefault="00086261" w:rsidP="00086261">
      <w:pPr>
        <w:spacing w:line="360" w:lineRule="auto"/>
        <w:jc w:val="both"/>
        <w:rPr>
          <w:rFonts w:ascii="Times New Roman" w:hAnsi="Times New Roman" w:cs="Times New Roman"/>
          <w:sz w:val="24"/>
          <w:szCs w:val="24"/>
        </w:rPr>
      </w:pPr>
    </w:p>
    <w:p w14:paraId="6AE3C018" w14:textId="77777777" w:rsidR="003730BA" w:rsidRDefault="003730BA" w:rsidP="00086261">
      <w:pPr>
        <w:spacing w:line="360" w:lineRule="auto"/>
        <w:jc w:val="both"/>
        <w:rPr>
          <w:rFonts w:ascii="Times New Roman" w:hAnsi="Times New Roman" w:cs="Times New Roman"/>
          <w:sz w:val="24"/>
          <w:szCs w:val="24"/>
        </w:rPr>
      </w:pPr>
    </w:p>
    <w:p w14:paraId="33799F9C" w14:textId="77777777" w:rsidR="003730BA" w:rsidRDefault="003730BA" w:rsidP="00086261">
      <w:pPr>
        <w:spacing w:line="360" w:lineRule="auto"/>
        <w:jc w:val="both"/>
        <w:rPr>
          <w:rFonts w:ascii="Times New Roman" w:hAnsi="Times New Roman" w:cs="Times New Roman"/>
          <w:sz w:val="24"/>
          <w:szCs w:val="24"/>
        </w:rPr>
      </w:pPr>
    </w:p>
    <w:p w14:paraId="1F63B3AF" w14:textId="77777777" w:rsidR="002602D5" w:rsidRDefault="002602D5" w:rsidP="00E3054D">
      <w:pPr>
        <w:spacing w:line="720" w:lineRule="auto"/>
        <w:jc w:val="center"/>
        <w:rPr>
          <w:rFonts w:ascii="Times New Roman" w:hAnsi="Times New Roman" w:cs="Times New Roman"/>
        </w:rPr>
      </w:pPr>
    </w:p>
    <w:p w14:paraId="291EE952" w14:textId="24A0E975" w:rsidR="00AE693F" w:rsidRPr="00DC27FC" w:rsidRDefault="003730BA" w:rsidP="005B1AB7">
      <w:pPr>
        <w:pStyle w:val="ListParagraph"/>
        <w:numPr>
          <w:ilvl w:val="0"/>
          <w:numId w:val="5"/>
        </w:numPr>
        <w:spacing w:line="360" w:lineRule="auto"/>
        <w:jc w:val="both"/>
        <w:rPr>
          <w:rFonts w:ascii="Times New Roman" w:hAnsi="Times New Roman" w:cs="Times New Roman"/>
          <w:b/>
          <w:bCs/>
          <w:sz w:val="24"/>
          <w:szCs w:val="24"/>
        </w:rPr>
      </w:pPr>
      <w:r w:rsidRPr="003730BA">
        <w:rPr>
          <w:rFonts w:ascii="Times New Roman" w:hAnsi="Times New Roman" w:cs="Times New Roman"/>
          <w:b/>
          <w:bCs/>
          <w:sz w:val="24"/>
          <w:szCs w:val="24"/>
        </w:rPr>
        <w:lastRenderedPageBreak/>
        <w:t>Introduction:</w:t>
      </w:r>
    </w:p>
    <w:p w14:paraId="3F33DD9E" w14:textId="4E1E6957" w:rsidR="00AE693F" w:rsidRDefault="00AE693F" w:rsidP="00D522C7">
      <w:pPr>
        <w:spacing w:line="360" w:lineRule="auto"/>
        <w:ind w:firstLine="360"/>
        <w:jc w:val="both"/>
        <w:rPr>
          <w:rFonts w:ascii="Times New Roman" w:eastAsia="Times New Roman" w:hAnsi="Times New Roman" w:cs="Times New Roman"/>
          <w:color w:val="0D0D0D"/>
          <w:sz w:val="24"/>
          <w:szCs w:val="24"/>
          <w:lang w:eastAsia="en-GB"/>
        </w:rPr>
      </w:pPr>
      <w:r>
        <w:rPr>
          <w:rFonts w:ascii="Times New Roman" w:hAnsi="Times New Roman" w:cs="Times New Roman"/>
          <w:sz w:val="24"/>
          <w:szCs w:val="24"/>
        </w:rPr>
        <w:t xml:space="preserve">Our report on </w:t>
      </w:r>
      <w:r w:rsidRPr="0063310D">
        <w:rPr>
          <w:rFonts w:ascii="Times New Roman" w:eastAsia="Times New Roman" w:hAnsi="Times New Roman" w:cs="Times New Roman"/>
          <w:color w:val="0D0D0D"/>
          <w:sz w:val="24"/>
          <w:szCs w:val="24"/>
          <w:lang w:eastAsia="en-GB"/>
        </w:rPr>
        <w:t>International Financial Management (IFM) theories</w:t>
      </w:r>
      <w:r>
        <w:rPr>
          <w:rFonts w:ascii="Times New Roman" w:eastAsia="Times New Roman" w:hAnsi="Times New Roman" w:cs="Times New Roman"/>
          <w:color w:val="0D0D0D"/>
          <w:sz w:val="24"/>
          <w:szCs w:val="24"/>
          <w:lang w:eastAsia="en-GB"/>
        </w:rPr>
        <w:t xml:space="preserve"> will</w:t>
      </w:r>
      <w:r w:rsidRPr="0063310D">
        <w:rPr>
          <w:rFonts w:ascii="Times New Roman" w:eastAsia="Times New Roman" w:hAnsi="Times New Roman" w:cs="Times New Roman"/>
          <w:color w:val="0D0D0D"/>
          <w:sz w:val="24"/>
          <w:szCs w:val="24"/>
          <w:lang w:eastAsia="en-GB"/>
        </w:rPr>
        <w:t xml:space="preserve"> focus on strategies that multinational corporations (MNCs) use to manage foreign exchange (FX) risks.</w:t>
      </w:r>
    </w:p>
    <w:p w14:paraId="3AD71CD4" w14:textId="637F922B" w:rsidR="00F87E2A" w:rsidRPr="00F87E2A" w:rsidRDefault="00F87E2A" w:rsidP="00D522C7">
      <w:pPr>
        <w:spacing w:line="360" w:lineRule="auto"/>
        <w:ind w:firstLine="360"/>
        <w:jc w:val="both"/>
        <w:rPr>
          <w:rFonts w:ascii="Times New Roman" w:hAnsi="Times New Roman" w:cs="Times New Roman"/>
          <w:sz w:val="24"/>
          <w:szCs w:val="24"/>
        </w:rPr>
      </w:pPr>
      <w:r w:rsidRPr="00F87E2A">
        <w:rPr>
          <w:rFonts w:ascii="Times New Roman" w:hAnsi="Times New Roman" w:cs="Times New Roman"/>
          <w:color w:val="0D0D0D"/>
          <w:sz w:val="24"/>
          <w:szCs w:val="24"/>
          <w:shd w:val="clear" w:color="auto" w:fill="FFFFFF"/>
        </w:rPr>
        <w:t xml:space="preserve">International Financial Management concerns the financial operations and planning of multinational corporations in a global market. It includes investment, financing decisions, and the management of foreign exchange risks. </w:t>
      </w:r>
      <w:r w:rsidR="007D7634" w:rsidRPr="007D7634">
        <w:rPr>
          <w:rFonts w:ascii="Times New Roman" w:hAnsi="Times New Roman" w:cs="Times New Roman"/>
          <w:color w:val="0D0D0D"/>
          <w:sz w:val="24"/>
          <w:szCs w:val="24"/>
          <w:shd w:val="clear" w:color="auto" w:fill="FFFFFF"/>
        </w:rPr>
        <w:t>International Financial Management (IFM) is crucial for multinational corporations (MNCs) navigating the complexities of global markets. Effective IFM strategies enable these firms to manage the risks and opportunities associated with currency fluctuation, cross-border transactions, and international investments.</w:t>
      </w:r>
      <w:r w:rsidR="005646E1">
        <w:rPr>
          <w:rFonts w:ascii="Times New Roman" w:hAnsi="Times New Roman" w:cs="Times New Roman"/>
          <w:color w:val="0D0D0D"/>
          <w:sz w:val="24"/>
          <w:szCs w:val="24"/>
          <w:shd w:val="clear" w:color="auto" w:fill="FFFFFF"/>
        </w:rPr>
        <w:t xml:space="preserve"> </w:t>
      </w:r>
      <w:r w:rsidRPr="00F87E2A">
        <w:rPr>
          <w:rFonts w:ascii="Times New Roman" w:hAnsi="Times New Roman" w:cs="Times New Roman"/>
          <w:color w:val="0D0D0D"/>
          <w:sz w:val="24"/>
          <w:szCs w:val="24"/>
          <w:shd w:val="clear" w:color="auto" w:fill="FFFFFF"/>
        </w:rPr>
        <w:t>The dynamic nature of global markets demands that MNCs develop sophisticated financial strategies to navigate currency fluctuations, political risks, and differences in financial regulations.</w:t>
      </w:r>
    </w:p>
    <w:p w14:paraId="05B0ED58" w14:textId="4B305DD4" w:rsidR="00E92D5D" w:rsidRDefault="007D7634" w:rsidP="00D522C7">
      <w:pPr>
        <w:spacing w:after="0" w:line="360" w:lineRule="auto"/>
        <w:ind w:firstLine="360"/>
        <w:jc w:val="both"/>
        <w:rPr>
          <w:rFonts w:ascii="Times New Roman" w:hAnsi="Times New Roman" w:cs="Times New Roman"/>
          <w:color w:val="0D0D0D"/>
          <w:sz w:val="24"/>
          <w:szCs w:val="24"/>
          <w:shd w:val="clear" w:color="auto" w:fill="FFFFFF"/>
        </w:rPr>
      </w:pPr>
      <w:r w:rsidRPr="007D7634">
        <w:rPr>
          <w:rFonts w:ascii="Times New Roman" w:hAnsi="Times New Roman" w:cs="Times New Roman"/>
          <w:color w:val="0D0D0D"/>
          <w:sz w:val="24"/>
          <w:szCs w:val="24"/>
          <w:shd w:val="clear" w:color="auto" w:fill="FFFFFF"/>
        </w:rPr>
        <w:t xml:space="preserve">As global financial markets become increasingly interconnected and volatile, the ability to manage foreign exchange (FX) </w:t>
      </w:r>
      <w:r w:rsidR="00DC27FC">
        <w:rPr>
          <w:rFonts w:ascii="Times New Roman" w:eastAsia="Times New Roman" w:hAnsi="Times New Roman" w:cs="Times New Roman"/>
          <w:color w:val="0D0D0D"/>
          <w:sz w:val="24"/>
          <w:szCs w:val="24"/>
          <w:lang w:eastAsia="en-GB"/>
        </w:rPr>
        <w:t xml:space="preserve">rates and </w:t>
      </w:r>
      <w:r w:rsidRPr="007D7634">
        <w:rPr>
          <w:rFonts w:ascii="Times New Roman" w:hAnsi="Times New Roman" w:cs="Times New Roman"/>
          <w:color w:val="0D0D0D"/>
          <w:sz w:val="24"/>
          <w:szCs w:val="24"/>
          <w:shd w:val="clear" w:color="auto" w:fill="FFFFFF"/>
        </w:rPr>
        <w:t>risk efficiently becomes pivotal for sustaining profitability and strategic growth.</w:t>
      </w:r>
    </w:p>
    <w:p w14:paraId="0BC02FD3" w14:textId="3BBD74D4" w:rsidR="005646E1" w:rsidRPr="007D7634" w:rsidRDefault="005646E1" w:rsidP="00D522C7">
      <w:pPr>
        <w:spacing w:after="0" w:line="360" w:lineRule="auto"/>
        <w:ind w:firstLine="360"/>
        <w:jc w:val="both"/>
        <w:rPr>
          <w:rFonts w:ascii="Times New Roman" w:eastAsia="Times New Roman" w:hAnsi="Times New Roman" w:cs="Times New Roman"/>
          <w:sz w:val="24"/>
          <w:szCs w:val="24"/>
          <w:lang w:eastAsia="en-GB"/>
        </w:rPr>
      </w:pPr>
      <w:r>
        <w:rPr>
          <w:rFonts w:ascii="Times New Roman" w:hAnsi="Times New Roman" w:cs="Times New Roman"/>
          <w:color w:val="0D0D0D"/>
          <w:sz w:val="24"/>
          <w:szCs w:val="24"/>
          <w:shd w:val="clear" w:color="auto" w:fill="FFFFFF"/>
        </w:rPr>
        <w:t xml:space="preserve">Our report brings up Apple Inc.'s 2020 annual report case and study </w:t>
      </w:r>
      <w:proofErr w:type="gramStart"/>
      <w:r>
        <w:rPr>
          <w:rFonts w:ascii="Times New Roman" w:hAnsi="Times New Roman" w:cs="Times New Roman"/>
          <w:color w:val="0D0D0D"/>
          <w:sz w:val="24"/>
          <w:szCs w:val="24"/>
          <w:shd w:val="clear" w:color="auto" w:fill="FFFFFF"/>
        </w:rPr>
        <w:t>and also</w:t>
      </w:r>
      <w:proofErr w:type="gramEnd"/>
      <w:r>
        <w:rPr>
          <w:rFonts w:ascii="Times New Roman" w:hAnsi="Times New Roman" w:cs="Times New Roman"/>
          <w:color w:val="0D0D0D"/>
          <w:sz w:val="24"/>
          <w:szCs w:val="24"/>
          <w:shd w:val="clear" w:color="auto" w:fill="FFFFFF"/>
        </w:rPr>
        <w:t xml:space="preserve"> shows the example of Tesla Inc.’s strategies that use forward contracts and build Gigafactories in the USA, China, and Germany. </w:t>
      </w:r>
    </w:p>
    <w:p w14:paraId="78D23B79" w14:textId="77777777" w:rsidR="00F87E2A" w:rsidRDefault="00F87E2A" w:rsidP="00D522C7">
      <w:pPr>
        <w:spacing w:after="0" w:line="360" w:lineRule="auto"/>
        <w:jc w:val="both"/>
        <w:rPr>
          <w:rFonts w:ascii="Times New Roman" w:eastAsia="Times New Roman" w:hAnsi="Times New Roman" w:cs="Times New Roman"/>
          <w:sz w:val="24"/>
          <w:szCs w:val="24"/>
          <w:lang w:eastAsia="en-GB"/>
        </w:rPr>
      </w:pPr>
    </w:p>
    <w:p w14:paraId="4C290458" w14:textId="45D0E463" w:rsidR="00DC27FC" w:rsidRPr="00DC27FC" w:rsidRDefault="00DC27FC" w:rsidP="00D522C7">
      <w:pPr>
        <w:pStyle w:val="ListParagraph"/>
        <w:numPr>
          <w:ilvl w:val="0"/>
          <w:numId w:val="5"/>
        </w:numPr>
        <w:spacing w:line="360" w:lineRule="auto"/>
        <w:jc w:val="both"/>
        <w:rPr>
          <w:rFonts w:ascii="Times New Roman" w:hAnsi="Times New Roman" w:cs="Times New Roman"/>
          <w:b/>
          <w:bCs/>
          <w:sz w:val="24"/>
          <w:szCs w:val="24"/>
        </w:rPr>
      </w:pPr>
      <w:r w:rsidRPr="00DC27FC">
        <w:rPr>
          <w:rFonts w:ascii="Times New Roman" w:hAnsi="Times New Roman" w:cs="Times New Roman"/>
          <w:b/>
          <w:bCs/>
          <w:sz w:val="24"/>
          <w:szCs w:val="24"/>
        </w:rPr>
        <w:t>U</w:t>
      </w:r>
      <w:r w:rsidRPr="003D213C">
        <w:rPr>
          <w:rFonts w:ascii="Times New Roman" w:eastAsia="Times New Roman" w:hAnsi="Times New Roman" w:cs="Times New Roman"/>
          <w:b/>
          <w:bCs/>
          <w:color w:val="0D0D0D"/>
          <w:sz w:val="24"/>
          <w:szCs w:val="24"/>
          <w:lang w:eastAsia="en-GB"/>
        </w:rPr>
        <w:t xml:space="preserve">nderstanding Foreign Exchange </w:t>
      </w:r>
      <w:r w:rsidR="005B1AB7">
        <w:rPr>
          <w:rFonts w:ascii="Times New Roman" w:eastAsia="Times New Roman" w:hAnsi="Times New Roman" w:cs="Times New Roman"/>
          <w:b/>
          <w:bCs/>
          <w:color w:val="0D0D0D"/>
          <w:sz w:val="24"/>
          <w:szCs w:val="24"/>
          <w:lang w:eastAsia="en-GB"/>
        </w:rPr>
        <w:t xml:space="preserve">Exposure and/or </w:t>
      </w:r>
      <w:r w:rsidRPr="003D213C">
        <w:rPr>
          <w:rFonts w:ascii="Times New Roman" w:eastAsia="Times New Roman" w:hAnsi="Times New Roman" w:cs="Times New Roman"/>
          <w:b/>
          <w:bCs/>
          <w:color w:val="0D0D0D"/>
          <w:sz w:val="24"/>
          <w:szCs w:val="24"/>
          <w:lang w:eastAsia="en-GB"/>
        </w:rPr>
        <w:t>Risks</w:t>
      </w:r>
    </w:p>
    <w:p w14:paraId="589EBE09" w14:textId="733D4118" w:rsidR="00DC27FC" w:rsidRPr="00DC27FC" w:rsidRDefault="00DC27FC" w:rsidP="00D522C7">
      <w:pPr>
        <w:spacing w:line="360" w:lineRule="auto"/>
        <w:ind w:firstLine="360"/>
        <w:jc w:val="both"/>
        <w:rPr>
          <w:rFonts w:ascii="Times New Roman" w:eastAsia="Times New Roman" w:hAnsi="Times New Roman" w:cs="Times New Roman"/>
          <w:color w:val="0D0D0D"/>
          <w:sz w:val="24"/>
          <w:szCs w:val="24"/>
          <w:lang w:eastAsia="en-GB"/>
        </w:rPr>
      </w:pPr>
      <w:r w:rsidRPr="00DC27FC">
        <w:rPr>
          <w:rFonts w:ascii="Times New Roman" w:hAnsi="Times New Roman" w:cs="Times New Roman"/>
          <w:sz w:val="24"/>
          <w:szCs w:val="24"/>
        </w:rPr>
        <w:t>F</w:t>
      </w:r>
      <w:r w:rsidRPr="003D213C">
        <w:rPr>
          <w:rFonts w:ascii="Times New Roman" w:eastAsia="Times New Roman" w:hAnsi="Times New Roman" w:cs="Times New Roman"/>
          <w:color w:val="0D0D0D"/>
          <w:sz w:val="24"/>
          <w:szCs w:val="24"/>
          <w:lang w:eastAsia="en-GB"/>
        </w:rPr>
        <w:t xml:space="preserve">oreign exchange </w:t>
      </w:r>
      <w:r>
        <w:rPr>
          <w:rFonts w:ascii="Times New Roman" w:eastAsia="Times New Roman" w:hAnsi="Times New Roman" w:cs="Times New Roman"/>
          <w:color w:val="0D0D0D"/>
          <w:sz w:val="24"/>
          <w:szCs w:val="24"/>
          <w:lang w:eastAsia="en-GB"/>
        </w:rPr>
        <w:t xml:space="preserve">rate and </w:t>
      </w:r>
      <w:r w:rsidRPr="003D213C">
        <w:rPr>
          <w:rFonts w:ascii="Times New Roman" w:eastAsia="Times New Roman" w:hAnsi="Times New Roman" w:cs="Times New Roman"/>
          <w:color w:val="0D0D0D"/>
          <w:sz w:val="24"/>
          <w:szCs w:val="24"/>
          <w:lang w:eastAsia="en-GB"/>
        </w:rPr>
        <w:t xml:space="preserve">risk arises from the fluctuation in currency values affecting the financial transactions of multinational corporations. There are three main types of FX </w:t>
      </w:r>
      <w:r w:rsidR="005B1AB7">
        <w:rPr>
          <w:rFonts w:ascii="Times New Roman" w:eastAsia="Times New Roman" w:hAnsi="Times New Roman" w:cs="Times New Roman"/>
          <w:color w:val="0D0D0D"/>
          <w:sz w:val="24"/>
          <w:szCs w:val="24"/>
          <w:lang w:eastAsia="en-GB"/>
        </w:rPr>
        <w:t xml:space="preserve">exposure and/or </w:t>
      </w:r>
      <w:r w:rsidRPr="003D213C">
        <w:rPr>
          <w:rFonts w:ascii="Times New Roman" w:eastAsia="Times New Roman" w:hAnsi="Times New Roman" w:cs="Times New Roman"/>
          <w:color w:val="0D0D0D"/>
          <w:sz w:val="24"/>
          <w:szCs w:val="24"/>
          <w:lang w:eastAsia="en-GB"/>
        </w:rPr>
        <w:t>risk</w:t>
      </w:r>
      <w:r w:rsidR="005B1AB7">
        <w:rPr>
          <w:rFonts w:ascii="Times New Roman" w:eastAsia="Times New Roman" w:hAnsi="Times New Roman" w:cs="Times New Roman"/>
          <w:color w:val="0D0D0D"/>
          <w:sz w:val="24"/>
          <w:szCs w:val="24"/>
          <w:lang w:eastAsia="en-GB"/>
        </w:rPr>
        <w:t>.</w:t>
      </w:r>
    </w:p>
    <w:p w14:paraId="622147DE" w14:textId="1B3A0DF8" w:rsidR="00DC27FC" w:rsidRPr="00F1531C" w:rsidRDefault="00DC27FC" w:rsidP="00D522C7">
      <w:pPr>
        <w:spacing w:line="360" w:lineRule="auto"/>
        <w:ind w:firstLine="360"/>
        <w:jc w:val="both"/>
        <w:rPr>
          <w:rFonts w:ascii="Times New Roman" w:hAnsi="Times New Roman" w:cs="Times New Roman"/>
          <w:color w:val="0D0D0D"/>
          <w:sz w:val="24"/>
          <w:szCs w:val="24"/>
          <w:shd w:val="clear" w:color="auto" w:fill="FFFFFF"/>
        </w:rPr>
      </w:pPr>
      <w:r w:rsidRPr="00DC27FC">
        <w:rPr>
          <w:rFonts w:ascii="Times New Roman" w:hAnsi="Times New Roman" w:cs="Times New Roman"/>
          <w:sz w:val="24"/>
          <w:szCs w:val="24"/>
        </w:rPr>
        <w:t xml:space="preserve">2.1. </w:t>
      </w:r>
      <w:r w:rsidRPr="00F1531C">
        <w:rPr>
          <w:rFonts w:ascii="Times New Roman" w:hAnsi="Times New Roman" w:cs="Times New Roman"/>
          <w:b/>
          <w:bCs/>
          <w:sz w:val="24"/>
          <w:szCs w:val="24"/>
        </w:rPr>
        <w:t xml:space="preserve">Transaction </w:t>
      </w:r>
      <w:r w:rsidRPr="00F1531C">
        <w:rPr>
          <w:rFonts w:ascii="Times New Roman" w:eastAsia="Times New Roman" w:hAnsi="Times New Roman" w:cs="Times New Roman"/>
          <w:b/>
          <w:bCs/>
          <w:color w:val="0D0D0D"/>
          <w:sz w:val="24"/>
          <w:szCs w:val="24"/>
          <w:lang w:eastAsia="en-GB"/>
        </w:rPr>
        <w:t xml:space="preserve">exposure and/or </w:t>
      </w:r>
      <w:r w:rsidRPr="00F1531C">
        <w:rPr>
          <w:rFonts w:ascii="Times New Roman" w:hAnsi="Times New Roman" w:cs="Times New Roman"/>
          <w:b/>
          <w:bCs/>
          <w:sz w:val="24"/>
          <w:szCs w:val="24"/>
        </w:rPr>
        <w:t>risk</w:t>
      </w:r>
      <w:r w:rsidRPr="00734CE3">
        <w:rPr>
          <w:rFonts w:ascii="Times New Roman" w:hAnsi="Times New Roman" w:cs="Times New Roman"/>
          <w:sz w:val="24"/>
          <w:szCs w:val="24"/>
        </w:rPr>
        <w:t xml:space="preserve">: </w:t>
      </w:r>
      <w:r w:rsidR="00734CE3" w:rsidRPr="00734CE3">
        <w:rPr>
          <w:rFonts w:ascii="Times New Roman" w:hAnsi="Times New Roman" w:cs="Times New Roman"/>
          <w:color w:val="0D0D0D"/>
          <w:sz w:val="24"/>
          <w:szCs w:val="24"/>
          <w:shd w:val="clear" w:color="auto" w:fill="FFFFFF"/>
        </w:rPr>
        <w:t>Transaction exposure occurs when a company engages in international transactions that involve foreign currencies. This means that any fluctuation in exchange rates between the time the deal is made, and the time payment is receive</w:t>
      </w:r>
      <w:r w:rsidR="00734CE3" w:rsidRPr="00F1531C">
        <w:rPr>
          <w:rFonts w:ascii="Times New Roman" w:hAnsi="Times New Roman" w:cs="Times New Roman"/>
          <w:color w:val="0D0D0D"/>
          <w:sz w:val="24"/>
          <w:szCs w:val="24"/>
          <w:shd w:val="clear" w:color="auto" w:fill="FFFFFF"/>
        </w:rPr>
        <w:t xml:space="preserve">d or made can lead to financial gains or losses. </w:t>
      </w:r>
    </w:p>
    <w:p w14:paraId="53C7DEDD" w14:textId="27F12691" w:rsidR="00734CE3" w:rsidRDefault="00734CE3" w:rsidP="00D522C7">
      <w:pPr>
        <w:spacing w:line="360" w:lineRule="auto"/>
        <w:ind w:firstLine="360"/>
        <w:jc w:val="both"/>
        <w:rPr>
          <w:rFonts w:ascii="Times New Roman" w:hAnsi="Times New Roman" w:cs="Times New Roman"/>
          <w:color w:val="0D0D0D"/>
          <w:sz w:val="24"/>
          <w:szCs w:val="24"/>
          <w:shd w:val="clear" w:color="auto" w:fill="FFFFFF"/>
        </w:rPr>
      </w:pPr>
      <w:bookmarkStart w:id="0" w:name="_Hlk162932778"/>
      <w:r w:rsidRPr="00F1531C">
        <w:rPr>
          <w:rFonts w:ascii="Times New Roman" w:hAnsi="Times New Roman" w:cs="Times New Roman"/>
          <w:color w:val="0D0D0D"/>
          <w:sz w:val="24"/>
          <w:szCs w:val="24"/>
          <w:shd w:val="clear" w:color="auto" w:fill="FFFFFF"/>
        </w:rPr>
        <w:t>Shapiro, A. C. (2014) in "Multinational Financial Management</w:t>
      </w:r>
      <w:r w:rsidR="00F1531C" w:rsidRPr="00F1531C">
        <w:rPr>
          <w:rFonts w:ascii="Times New Roman" w:hAnsi="Times New Roman" w:cs="Times New Roman"/>
          <w:color w:val="0D0D0D"/>
          <w:sz w:val="24"/>
          <w:szCs w:val="24"/>
          <w:shd w:val="clear" w:color="auto" w:fill="FFFFFF"/>
        </w:rPr>
        <w:t>”</w:t>
      </w:r>
      <w:bookmarkEnd w:id="0"/>
      <w:r w:rsidRPr="00F1531C">
        <w:rPr>
          <w:rFonts w:ascii="Times New Roman" w:hAnsi="Times New Roman" w:cs="Times New Roman"/>
          <w:color w:val="0D0D0D"/>
          <w:sz w:val="24"/>
          <w:szCs w:val="24"/>
          <w:shd w:val="clear" w:color="auto" w:fill="FFFFFF"/>
        </w:rPr>
        <w:t xml:space="preserve"> explains that transaction exposure is a short-term risk that can be managed through various hedging strategies, such as forward contracts, options, and money market hedges.</w:t>
      </w:r>
    </w:p>
    <w:p w14:paraId="18687BA7" w14:textId="7E62789F" w:rsidR="00F1531C" w:rsidRPr="00F1531C" w:rsidRDefault="00F1531C" w:rsidP="00D522C7">
      <w:pPr>
        <w:spacing w:line="360" w:lineRule="auto"/>
        <w:ind w:firstLine="360"/>
        <w:jc w:val="both"/>
        <w:rPr>
          <w:rFonts w:ascii="Times New Roman" w:hAnsi="Times New Roman" w:cs="Times New Roman"/>
          <w:sz w:val="24"/>
          <w:szCs w:val="24"/>
        </w:rPr>
      </w:pPr>
      <w:r>
        <w:rPr>
          <w:rFonts w:ascii="Times New Roman" w:hAnsi="Times New Roman" w:cs="Times New Roman"/>
          <w:color w:val="0D0D0D"/>
          <w:sz w:val="24"/>
          <w:szCs w:val="24"/>
          <w:shd w:val="clear" w:color="auto" w:fill="FFFFFF"/>
        </w:rPr>
        <w:lastRenderedPageBreak/>
        <w:t>For exampl</w:t>
      </w:r>
      <w:r w:rsidRPr="00F1531C">
        <w:rPr>
          <w:rFonts w:ascii="Times New Roman" w:hAnsi="Times New Roman" w:cs="Times New Roman"/>
          <w:color w:val="0D0D0D"/>
          <w:sz w:val="24"/>
          <w:szCs w:val="24"/>
          <w:shd w:val="clear" w:color="auto" w:fill="FFFFFF"/>
        </w:rPr>
        <w:t>e, an American company, ABC Corp., orders parts from a German supplier for €100,000, with payment due in 60 days. If the euro strengthens against the dollar during that period, the cost in USD will increase, leading to a higher actual payment than initially anticipated.</w:t>
      </w:r>
    </w:p>
    <w:p w14:paraId="0E866B01" w14:textId="7BCC227A" w:rsidR="00DC27FC" w:rsidRPr="00F1531C" w:rsidRDefault="00DC27FC" w:rsidP="00D522C7">
      <w:pPr>
        <w:spacing w:line="360" w:lineRule="auto"/>
        <w:ind w:firstLine="360"/>
        <w:jc w:val="both"/>
        <w:rPr>
          <w:rFonts w:ascii="Times New Roman" w:hAnsi="Times New Roman" w:cs="Times New Roman"/>
          <w:color w:val="0D0D0D"/>
          <w:sz w:val="24"/>
          <w:szCs w:val="24"/>
          <w:shd w:val="clear" w:color="auto" w:fill="FFFFFF"/>
        </w:rPr>
      </w:pPr>
      <w:r w:rsidRPr="00DC27FC">
        <w:rPr>
          <w:rFonts w:ascii="Times New Roman" w:hAnsi="Times New Roman" w:cs="Times New Roman"/>
          <w:sz w:val="24"/>
          <w:szCs w:val="24"/>
        </w:rPr>
        <w:t xml:space="preserve">2.2. </w:t>
      </w:r>
      <w:r w:rsidRPr="00F1531C">
        <w:rPr>
          <w:rFonts w:ascii="Times New Roman" w:hAnsi="Times New Roman" w:cs="Times New Roman"/>
          <w:b/>
          <w:bCs/>
          <w:sz w:val="24"/>
          <w:szCs w:val="24"/>
        </w:rPr>
        <w:t>Translation exposure and/or risk:</w:t>
      </w:r>
      <w:r w:rsidRPr="00DC27FC">
        <w:rPr>
          <w:rFonts w:ascii="Times New Roman" w:eastAsia="Times New Roman" w:hAnsi="Times New Roman" w:cs="Times New Roman"/>
          <w:color w:val="0D0D0D"/>
          <w:sz w:val="24"/>
          <w:szCs w:val="24"/>
          <w:lang w:eastAsia="en-GB"/>
        </w:rPr>
        <w:t xml:space="preserve"> </w:t>
      </w:r>
      <w:r w:rsidR="00F1531C" w:rsidRPr="00F1531C">
        <w:rPr>
          <w:rFonts w:ascii="Times New Roman" w:hAnsi="Times New Roman" w:cs="Times New Roman"/>
          <w:color w:val="0D0D0D"/>
          <w:sz w:val="24"/>
          <w:szCs w:val="24"/>
          <w:shd w:val="clear" w:color="auto" w:fill="FFFFFF"/>
        </w:rPr>
        <w:t xml:space="preserve">Translation exposure arises when an MNC must consolidate its financial statements from various countries into a single reporting currency. Changes in exchange rates can affect the reported assets, liabilities, income, and equity of foreign subsidiaries when converted to the parent company's reporting currency. </w:t>
      </w:r>
    </w:p>
    <w:p w14:paraId="25D8B119" w14:textId="160A019C" w:rsidR="00F1531C" w:rsidRPr="00F1531C" w:rsidRDefault="00F1531C" w:rsidP="00D522C7">
      <w:pPr>
        <w:spacing w:line="360" w:lineRule="auto"/>
        <w:ind w:firstLine="360"/>
        <w:jc w:val="both"/>
        <w:rPr>
          <w:rFonts w:ascii="Times New Roman" w:hAnsi="Times New Roman" w:cs="Times New Roman"/>
          <w:color w:val="0D0D0D"/>
          <w:sz w:val="24"/>
          <w:szCs w:val="24"/>
          <w:shd w:val="clear" w:color="auto" w:fill="FFFFFF"/>
        </w:rPr>
      </w:pPr>
      <w:bookmarkStart w:id="1" w:name="_Hlk162933190"/>
      <w:r w:rsidRPr="00F1531C">
        <w:rPr>
          <w:rFonts w:ascii="Times New Roman" w:hAnsi="Times New Roman" w:cs="Times New Roman"/>
          <w:color w:val="0D0D0D"/>
          <w:sz w:val="24"/>
          <w:szCs w:val="24"/>
          <w:shd w:val="clear" w:color="auto" w:fill="FFFFFF"/>
        </w:rPr>
        <w:t>Madura, J. (2017) in "International Financial Management"</w:t>
      </w:r>
      <w:bookmarkEnd w:id="1"/>
      <w:r w:rsidRPr="00F1531C">
        <w:rPr>
          <w:rFonts w:ascii="Times New Roman" w:hAnsi="Times New Roman" w:cs="Times New Roman"/>
          <w:color w:val="0D0D0D"/>
          <w:sz w:val="24"/>
          <w:szCs w:val="24"/>
          <w:shd w:val="clear" w:color="auto" w:fill="FFFFFF"/>
        </w:rPr>
        <w:t xml:space="preserve"> translation exposure as a part of accounting exposure, highlighting the importance of understanding accounting standards and the use of tools like the temporal and current rate methods for managing this risk.</w:t>
      </w:r>
    </w:p>
    <w:p w14:paraId="43613D98" w14:textId="1422AFC7" w:rsidR="00F1531C" w:rsidRPr="00F1531C" w:rsidRDefault="00F1531C" w:rsidP="00D522C7">
      <w:pPr>
        <w:spacing w:line="360" w:lineRule="auto"/>
        <w:ind w:firstLine="360"/>
        <w:jc w:val="both"/>
        <w:rPr>
          <w:rFonts w:ascii="Times New Roman" w:hAnsi="Times New Roman" w:cs="Times New Roman"/>
          <w:sz w:val="24"/>
          <w:szCs w:val="24"/>
        </w:rPr>
      </w:pPr>
      <w:r w:rsidRPr="00F1531C">
        <w:rPr>
          <w:rFonts w:ascii="Times New Roman" w:hAnsi="Times New Roman" w:cs="Times New Roman"/>
          <w:color w:val="0D0D0D"/>
          <w:sz w:val="24"/>
          <w:szCs w:val="24"/>
          <w:shd w:val="clear" w:color="auto" w:fill="FFFFFF"/>
        </w:rPr>
        <w:t>For example, XYZ Ltd., a British corporation with a subsidiary in Japan, must convert its Japanese yen-denominated financial statements into pounds sterling for reporting purposes. If the yen weakens against the pound, the value of the subsidiary's assets and revenues will decrease when reported in the consolidated financial statements, potentially impacting the parent company's stock price.</w:t>
      </w:r>
    </w:p>
    <w:p w14:paraId="116FFD25" w14:textId="7D99F9BE" w:rsidR="00DC27FC" w:rsidRPr="005B1AB7" w:rsidRDefault="00DC27FC" w:rsidP="00D522C7">
      <w:pPr>
        <w:spacing w:line="360" w:lineRule="auto"/>
        <w:ind w:firstLine="360"/>
        <w:jc w:val="both"/>
        <w:rPr>
          <w:rFonts w:ascii="Times New Roman" w:hAnsi="Times New Roman" w:cs="Times New Roman"/>
          <w:color w:val="0D0D0D"/>
          <w:sz w:val="24"/>
          <w:szCs w:val="24"/>
          <w:shd w:val="clear" w:color="auto" w:fill="FFFFFF"/>
        </w:rPr>
      </w:pPr>
      <w:r w:rsidRPr="00DC27FC">
        <w:rPr>
          <w:rFonts w:ascii="Times New Roman" w:hAnsi="Times New Roman" w:cs="Times New Roman"/>
          <w:sz w:val="24"/>
          <w:szCs w:val="24"/>
        </w:rPr>
        <w:t xml:space="preserve">2.3. </w:t>
      </w:r>
      <w:r w:rsidRPr="00F1531C">
        <w:rPr>
          <w:rFonts w:ascii="Times New Roman" w:hAnsi="Times New Roman" w:cs="Times New Roman"/>
          <w:b/>
          <w:bCs/>
          <w:sz w:val="24"/>
          <w:szCs w:val="24"/>
        </w:rPr>
        <w:t xml:space="preserve">Economic exposure </w:t>
      </w:r>
      <w:r w:rsidRPr="005B1AB7">
        <w:rPr>
          <w:rFonts w:ascii="Times New Roman" w:hAnsi="Times New Roman" w:cs="Times New Roman"/>
          <w:b/>
          <w:bCs/>
          <w:sz w:val="24"/>
          <w:szCs w:val="24"/>
        </w:rPr>
        <w:t>and/or risk</w:t>
      </w:r>
      <w:r w:rsidRPr="005B1AB7">
        <w:rPr>
          <w:rFonts w:ascii="Times New Roman" w:hAnsi="Times New Roman" w:cs="Times New Roman"/>
          <w:sz w:val="24"/>
          <w:szCs w:val="24"/>
        </w:rPr>
        <w:t xml:space="preserve">: </w:t>
      </w:r>
      <w:r w:rsidR="00F1531C" w:rsidRPr="005B1AB7">
        <w:rPr>
          <w:rFonts w:ascii="Times New Roman" w:hAnsi="Times New Roman" w:cs="Times New Roman"/>
          <w:color w:val="0D0D0D"/>
          <w:sz w:val="24"/>
          <w:szCs w:val="24"/>
          <w:shd w:val="clear" w:color="auto" w:fill="FFFFFF"/>
        </w:rPr>
        <w:t>Economic exposure, also known as operating exposure, refers to the long-term effect of currency fluctuations on a company's future cash flows and market value. It reflects changes in competitive position and operating income due to exchange rate movements.</w:t>
      </w:r>
    </w:p>
    <w:p w14:paraId="46EFBA0B" w14:textId="7CA86FC9" w:rsidR="00F1531C" w:rsidRPr="005B1AB7" w:rsidRDefault="00F1531C" w:rsidP="00D522C7">
      <w:pPr>
        <w:spacing w:line="360" w:lineRule="auto"/>
        <w:ind w:firstLine="360"/>
        <w:jc w:val="both"/>
        <w:rPr>
          <w:rFonts w:ascii="Times New Roman" w:hAnsi="Times New Roman" w:cs="Times New Roman"/>
          <w:color w:val="0D0D0D"/>
          <w:sz w:val="24"/>
          <w:szCs w:val="24"/>
          <w:shd w:val="clear" w:color="auto" w:fill="FFFFFF"/>
        </w:rPr>
      </w:pPr>
      <w:bookmarkStart w:id="2" w:name="_Hlk162933218"/>
      <w:r w:rsidRPr="005B1AB7">
        <w:rPr>
          <w:rFonts w:ascii="Times New Roman" w:hAnsi="Times New Roman" w:cs="Times New Roman"/>
          <w:color w:val="0D0D0D"/>
          <w:sz w:val="24"/>
          <w:szCs w:val="24"/>
          <w:shd w:val="clear" w:color="auto" w:fill="FFFFFF"/>
        </w:rPr>
        <w:t xml:space="preserve">Brigham, E.F., &amp; Ehrhardt, M.C. (2016) in "Financial Management: Theory &amp; Practice" </w:t>
      </w:r>
      <w:bookmarkEnd w:id="2"/>
      <w:r w:rsidRPr="005B1AB7">
        <w:rPr>
          <w:rFonts w:ascii="Times New Roman" w:hAnsi="Times New Roman" w:cs="Times New Roman"/>
          <w:color w:val="0D0D0D"/>
          <w:sz w:val="24"/>
          <w:szCs w:val="24"/>
          <w:shd w:val="clear" w:color="auto" w:fill="FFFFFF"/>
        </w:rPr>
        <w:t>explains how economic exposure goes beyond the financial aspects to include competitive and strategic considerations. Companies can manage economic exposure by diversifying operations, sourcing inputs, and pricing strategies in multiple currencies.</w:t>
      </w:r>
    </w:p>
    <w:p w14:paraId="6933018E" w14:textId="3FC0705F" w:rsidR="00F1531C" w:rsidRDefault="00F1531C" w:rsidP="00D522C7">
      <w:pPr>
        <w:spacing w:line="360" w:lineRule="auto"/>
        <w:ind w:firstLine="360"/>
        <w:jc w:val="both"/>
        <w:rPr>
          <w:rFonts w:ascii="Times New Roman" w:hAnsi="Times New Roman" w:cs="Times New Roman"/>
          <w:color w:val="0D0D0D"/>
          <w:sz w:val="24"/>
          <w:szCs w:val="24"/>
          <w:shd w:val="clear" w:color="auto" w:fill="FFFFFF"/>
        </w:rPr>
      </w:pPr>
      <w:r w:rsidRPr="005B1AB7">
        <w:rPr>
          <w:rFonts w:ascii="Times New Roman" w:hAnsi="Times New Roman" w:cs="Times New Roman"/>
          <w:color w:val="0D0D0D"/>
          <w:sz w:val="24"/>
          <w:szCs w:val="24"/>
          <w:shd w:val="clear" w:color="auto" w:fill="FFFFFF"/>
        </w:rPr>
        <w:t>DEF Inc., a U.S. manufacturer of electronic goods, competes with companies in South Korea. A significant depreciation of the South Korean won against the USD could make South Korean products cheaper in international markets, potentially reducing DEF Inc.'s global market share, sales, and profits.</w:t>
      </w:r>
    </w:p>
    <w:p w14:paraId="4A1385E8" w14:textId="13F07D8E" w:rsidR="005B1AB7" w:rsidRDefault="005B1AB7" w:rsidP="00D522C7">
      <w:pPr>
        <w:spacing w:line="360" w:lineRule="auto"/>
        <w:ind w:firstLine="360"/>
        <w:jc w:val="both"/>
        <w:rPr>
          <w:rFonts w:ascii="Times New Roman" w:hAnsi="Times New Roman" w:cs="Times New Roman"/>
          <w:color w:val="0D0D0D"/>
          <w:sz w:val="24"/>
          <w:szCs w:val="24"/>
          <w:shd w:val="clear" w:color="auto" w:fill="FFFFFF"/>
        </w:rPr>
      </w:pPr>
      <w:r w:rsidRPr="005B1AB7">
        <w:rPr>
          <w:rFonts w:ascii="Times New Roman" w:hAnsi="Times New Roman" w:cs="Times New Roman"/>
          <w:color w:val="0D0D0D"/>
          <w:sz w:val="24"/>
          <w:szCs w:val="24"/>
          <w:shd w:val="clear" w:color="auto" w:fill="FFFFFF"/>
        </w:rPr>
        <w:t xml:space="preserve">Understanding and managing FX risks is essential for the sustainability and growth of MNCs in the global marketplace. Each type of exposure requires specific management strategies that encompass financial, operational, and strategic dimensions. By employing a </w:t>
      </w:r>
      <w:r w:rsidRPr="005B1AB7">
        <w:rPr>
          <w:rFonts w:ascii="Times New Roman" w:hAnsi="Times New Roman" w:cs="Times New Roman"/>
          <w:color w:val="0D0D0D"/>
          <w:sz w:val="24"/>
          <w:szCs w:val="24"/>
          <w:shd w:val="clear" w:color="auto" w:fill="FFFFFF"/>
        </w:rPr>
        <w:lastRenderedPageBreak/>
        <w:t xml:space="preserve">combination of internal and external hedging techniques and strategic planning, MNCs can </w:t>
      </w:r>
      <w:r>
        <w:rPr>
          <w:rFonts w:ascii="Times New Roman" w:hAnsi="Times New Roman" w:cs="Times New Roman"/>
          <w:color w:val="0D0D0D"/>
          <w:sz w:val="24"/>
          <w:szCs w:val="24"/>
          <w:shd w:val="clear" w:color="auto" w:fill="FFFFFF"/>
        </w:rPr>
        <w:t>reduce</w:t>
      </w:r>
      <w:r w:rsidRPr="005B1AB7">
        <w:rPr>
          <w:rFonts w:ascii="Times New Roman" w:hAnsi="Times New Roman" w:cs="Times New Roman"/>
          <w:color w:val="0D0D0D"/>
          <w:sz w:val="24"/>
          <w:szCs w:val="24"/>
          <w:shd w:val="clear" w:color="auto" w:fill="FFFFFF"/>
        </w:rPr>
        <w:t xml:space="preserve"> the adverse effects of currency fluctuations on their operations and financial performance.</w:t>
      </w:r>
    </w:p>
    <w:p w14:paraId="7A4E59C3" w14:textId="113E1C7F" w:rsidR="005B1AB7" w:rsidRDefault="005B1AB7" w:rsidP="00D522C7">
      <w:pPr>
        <w:spacing w:line="360" w:lineRule="auto"/>
        <w:ind w:firstLine="360"/>
        <w:jc w:val="both"/>
        <w:rPr>
          <w:rFonts w:ascii="Times New Roman" w:hAnsi="Times New Roman" w:cs="Times New Roman"/>
          <w:color w:val="0D0D0D"/>
          <w:sz w:val="24"/>
          <w:szCs w:val="24"/>
          <w:shd w:val="clear" w:color="auto" w:fill="FFFFFF"/>
        </w:rPr>
      </w:pPr>
      <w:r w:rsidRPr="005B1AB7">
        <w:rPr>
          <w:rFonts w:ascii="Times New Roman" w:hAnsi="Times New Roman" w:cs="Times New Roman"/>
          <w:color w:val="0D0D0D"/>
          <w:sz w:val="24"/>
          <w:szCs w:val="24"/>
          <w:shd w:val="clear" w:color="auto" w:fill="FFFFFF"/>
        </w:rPr>
        <w:t xml:space="preserve">For instance, </w:t>
      </w:r>
      <w:r w:rsidRPr="005B1AB7">
        <w:rPr>
          <w:rFonts w:ascii="Times New Roman" w:hAnsi="Times New Roman" w:cs="Times New Roman"/>
          <w:b/>
          <w:bCs/>
          <w:color w:val="0D0D0D"/>
          <w:sz w:val="24"/>
          <w:szCs w:val="24"/>
          <w:shd w:val="clear" w:color="auto" w:fill="FFFFFF"/>
        </w:rPr>
        <w:t>Apple Inc.’s 2020 annual report</w:t>
      </w:r>
      <w:r w:rsidRPr="005B1AB7">
        <w:rPr>
          <w:rFonts w:ascii="Times New Roman" w:hAnsi="Times New Roman" w:cs="Times New Roman"/>
          <w:color w:val="0D0D0D"/>
          <w:sz w:val="24"/>
          <w:szCs w:val="24"/>
          <w:shd w:val="clear" w:color="auto" w:fill="FFFFFF"/>
        </w:rPr>
        <w:t xml:space="preserve"> highlighted its use of derivative instruments to hedge against USD currency fluctuations. The company actively manages its foreign currency exposure through foreign currency forward and option contracts to mitigate transaction risk associated with foreign currency transactions.</w:t>
      </w:r>
    </w:p>
    <w:p w14:paraId="3F7DA1E8" w14:textId="0DE29AE3" w:rsidR="007A5DE3" w:rsidRDefault="007A5DE3" w:rsidP="00D522C7">
      <w:pPr>
        <w:spacing w:line="360" w:lineRule="auto"/>
        <w:jc w:val="both"/>
        <w:rPr>
          <w:rFonts w:ascii="Times New Roman" w:hAnsi="Times New Roman" w:cs="Times New Roman"/>
          <w:sz w:val="24"/>
          <w:szCs w:val="24"/>
        </w:rPr>
      </w:pPr>
      <w:r>
        <w:rPr>
          <w:noProof/>
        </w:rPr>
        <w:drawing>
          <wp:inline distT="0" distB="0" distL="0" distR="0" wp14:anchorId="210AFF48" wp14:editId="6B98D8C6">
            <wp:extent cx="5893770" cy="3720662"/>
            <wp:effectExtent l="0" t="0" r="0" b="0"/>
            <wp:docPr id="404689072" name="Picture 1"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689072" name="Picture 1" descr="A close-up of a repo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5390" cy="3727997"/>
                    </a:xfrm>
                    <a:prstGeom prst="rect">
                      <a:avLst/>
                    </a:prstGeom>
                    <a:noFill/>
                    <a:ln>
                      <a:noFill/>
                    </a:ln>
                  </pic:spPr>
                </pic:pic>
              </a:graphicData>
            </a:graphic>
          </wp:inline>
        </w:drawing>
      </w:r>
    </w:p>
    <w:p w14:paraId="47ED7109" w14:textId="68F2DE6F" w:rsidR="007A5DE3" w:rsidRPr="005B1AB7" w:rsidRDefault="007A5DE3" w:rsidP="00D522C7">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Figure 1: Apple financial report, 10-k 2020, from 26/09/2020 comparing the evolution </w:t>
      </w:r>
      <w:r w:rsidR="00B45AFB">
        <w:rPr>
          <w:rFonts w:ascii="Times New Roman" w:hAnsi="Times New Roman" w:cs="Times New Roman"/>
          <w:sz w:val="24"/>
          <w:szCs w:val="24"/>
        </w:rPr>
        <w:t xml:space="preserve">of </w:t>
      </w:r>
      <w:r>
        <w:rPr>
          <w:rFonts w:ascii="Times New Roman" w:hAnsi="Times New Roman" w:cs="Times New Roman"/>
          <w:sz w:val="24"/>
          <w:szCs w:val="24"/>
        </w:rPr>
        <w:t xml:space="preserve">sales in the Americas, Europe, Greater China, Japan, and </w:t>
      </w:r>
      <w:r w:rsidR="00B45AFB">
        <w:rPr>
          <w:rFonts w:ascii="Times New Roman" w:hAnsi="Times New Roman" w:cs="Times New Roman"/>
          <w:sz w:val="24"/>
          <w:szCs w:val="24"/>
        </w:rPr>
        <w:t xml:space="preserve">the </w:t>
      </w:r>
      <w:r>
        <w:rPr>
          <w:rFonts w:ascii="Times New Roman" w:hAnsi="Times New Roman" w:cs="Times New Roman"/>
          <w:sz w:val="24"/>
          <w:szCs w:val="24"/>
        </w:rPr>
        <w:t>rest of Asia Pacific.</w:t>
      </w:r>
      <w:r w:rsidR="005646E1">
        <w:rPr>
          <w:rFonts w:ascii="Times New Roman" w:hAnsi="Times New Roman" w:cs="Times New Roman"/>
          <w:sz w:val="24"/>
          <w:szCs w:val="24"/>
        </w:rPr>
        <w:t xml:space="preserve"> (Source: </w:t>
      </w:r>
      <w:hyperlink r:id="rId10" w:history="1">
        <w:r w:rsidR="005646E1" w:rsidRPr="009C3CC3">
          <w:rPr>
            <w:rStyle w:val="Hyperlink"/>
            <w:rFonts w:ascii="Times New Roman" w:hAnsi="Times New Roman" w:cs="Times New Roman"/>
            <w:sz w:val="24"/>
            <w:szCs w:val="24"/>
          </w:rPr>
          <w:t>https://s2.q4cdn.com/470004039/files/doc_financials/2020/ar/_10-K-2020-(As-Filed).pdf</w:t>
        </w:r>
      </w:hyperlink>
      <w:r w:rsidR="005646E1">
        <w:rPr>
          <w:rFonts w:ascii="Times New Roman" w:hAnsi="Times New Roman" w:cs="Times New Roman"/>
          <w:sz w:val="24"/>
          <w:szCs w:val="24"/>
        </w:rPr>
        <w:t xml:space="preserve">) </w:t>
      </w:r>
    </w:p>
    <w:p w14:paraId="5C9891D0" w14:textId="2500ACBB" w:rsidR="00DC27FC" w:rsidRPr="00B45AFB" w:rsidRDefault="00B45AFB" w:rsidP="00D522C7">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w:t>
      </w:r>
      <w:r w:rsidRPr="00AA5CE3">
        <w:rPr>
          <w:rFonts w:ascii="Times New Roman" w:eastAsia="Times New Roman" w:hAnsi="Times New Roman" w:cs="Times New Roman"/>
          <w:b/>
          <w:bCs/>
          <w:color w:val="0D0D0D"/>
          <w:sz w:val="24"/>
          <w:szCs w:val="24"/>
          <w:lang w:eastAsia="en-GB"/>
        </w:rPr>
        <w:t>heoretical Frameworks in IFM</w:t>
      </w:r>
      <w:r>
        <w:rPr>
          <w:rFonts w:ascii="Times New Roman" w:eastAsia="Times New Roman" w:hAnsi="Times New Roman" w:cs="Times New Roman"/>
          <w:b/>
          <w:bCs/>
          <w:color w:val="0D0D0D"/>
          <w:sz w:val="24"/>
          <w:szCs w:val="24"/>
          <w:lang w:eastAsia="en-GB"/>
        </w:rPr>
        <w:t>:</w:t>
      </w:r>
    </w:p>
    <w:p w14:paraId="40966F44" w14:textId="77777777" w:rsidR="003C636D" w:rsidRDefault="00B45AFB" w:rsidP="00D522C7">
      <w:pPr>
        <w:spacing w:line="360" w:lineRule="auto"/>
        <w:jc w:val="both"/>
        <w:rPr>
          <w:rFonts w:ascii="Times New Roman" w:eastAsia="Times New Roman" w:hAnsi="Times New Roman" w:cs="Times New Roman"/>
          <w:color w:val="0D0D0D"/>
          <w:sz w:val="24"/>
          <w:szCs w:val="24"/>
          <w:lang w:eastAsia="en-GB"/>
        </w:rPr>
      </w:pPr>
      <w:r w:rsidRPr="003C636D">
        <w:rPr>
          <w:rFonts w:ascii="Times New Roman" w:hAnsi="Times New Roman" w:cs="Times New Roman"/>
          <w:sz w:val="24"/>
          <w:szCs w:val="24"/>
        </w:rPr>
        <w:t xml:space="preserve">3.1. </w:t>
      </w:r>
      <w:r w:rsidR="003C636D">
        <w:rPr>
          <w:rFonts w:ascii="Times New Roman" w:hAnsi="Times New Roman" w:cs="Times New Roman"/>
          <w:sz w:val="24"/>
          <w:szCs w:val="24"/>
        </w:rPr>
        <w:t>P</w:t>
      </w:r>
      <w:r w:rsidR="003C636D" w:rsidRPr="00AA5CE3">
        <w:rPr>
          <w:rFonts w:ascii="Times New Roman" w:eastAsia="Times New Roman" w:hAnsi="Times New Roman" w:cs="Times New Roman"/>
          <w:color w:val="0D0D0D"/>
          <w:sz w:val="24"/>
          <w:szCs w:val="24"/>
          <w:lang w:eastAsia="en-GB"/>
        </w:rPr>
        <w:t>urchasing Power Parity (PPP) and Interest Rate Parity (IRP</w:t>
      </w:r>
      <w:r w:rsidR="003C636D">
        <w:rPr>
          <w:rFonts w:ascii="Times New Roman" w:eastAsia="Times New Roman" w:hAnsi="Times New Roman" w:cs="Times New Roman"/>
          <w:color w:val="0D0D0D"/>
          <w:sz w:val="24"/>
          <w:szCs w:val="24"/>
          <w:lang w:eastAsia="en-GB"/>
        </w:rPr>
        <w:t>):</w:t>
      </w:r>
    </w:p>
    <w:p w14:paraId="2DB61345" w14:textId="0CC01947" w:rsidR="003C636D" w:rsidRDefault="003C636D" w:rsidP="00D522C7">
      <w:pPr>
        <w:spacing w:line="360" w:lineRule="auto"/>
        <w:ind w:firstLine="720"/>
        <w:jc w:val="both"/>
        <w:rPr>
          <w:rFonts w:ascii="Times New Roman" w:eastAsia="Times New Roman" w:hAnsi="Times New Roman" w:cs="Times New Roman"/>
          <w:color w:val="0D0D0D"/>
          <w:sz w:val="24"/>
          <w:szCs w:val="24"/>
          <w:lang w:eastAsia="en-GB"/>
        </w:rPr>
      </w:pPr>
      <w:r>
        <w:rPr>
          <w:rFonts w:ascii="Times New Roman" w:hAnsi="Times New Roman" w:cs="Times New Roman"/>
          <w:sz w:val="24"/>
          <w:szCs w:val="24"/>
        </w:rPr>
        <w:t>P</w:t>
      </w:r>
      <w:r w:rsidRPr="00AA5CE3">
        <w:rPr>
          <w:rFonts w:ascii="Times New Roman" w:eastAsia="Times New Roman" w:hAnsi="Times New Roman" w:cs="Times New Roman"/>
          <w:color w:val="0D0D0D"/>
          <w:sz w:val="24"/>
          <w:szCs w:val="24"/>
          <w:lang w:eastAsia="en-GB"/>
        </w:rPr>
        <w:t>urchasing Power Parity (PPP) suggests that currencies adjust according to the price levels of two countries, aiming for the equivalence of purchasing power (Rogoff, 1996). Interest Rate Parity (IRP) posits that the difference in interest rates between two countries should equal the expected change in exchange rates between their currencies, influencing investment decisions (Taylor, 1995)</w:t>
      </w:r>
      <w:r>
        <w:rPr>
          <w:rFonts w:ascii="Times New Roman" w:eastAsia="Times New Roman" w:hAnsi="Times New Roman" w:cs="Times New Roman"/>
          <w:color w:val="0D0D0D"/>
          <w:sz w:val="24"/>
          <w:szCs w:val="24"/>
          <w:lang w:eastAsia="en-GB"/>
        </w:rPr>
        <w:t>.</w:t>
      </w:r>
    </w:p>
    <w:p w14:paraId="49032B35" w14:textId="1A42E6DD" w:rsidR="003C636D" w:rsidRDefault="003C636D" w:rsidP="00D522C7">
      <w:pPr>
        <w:spacing w:line="360" w:lineRule="auto"/>
        <w:jc w:val="both"/>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lastRenderedPageBreak/>
        <w:t>3.2. T</w:t>
      </w:r>
      <w:r w:rsidRPr="00AA5CE3">
        <w:rPr>
          <w:rFonts w:ascii="Times New Roman" w:eastAsia="Times New Roman" w:hAnsi="Times New Roman" w:cs="Times New Roman"/>
          <w:color w:val="0D0D0D"/>
          <w:sz w:val="24"/>
          <w:szCs w:val="24"/>
          <w:lang w:eastAsia="en-GB"/>
        </w:rPr>
        <w:t>he International Fisher Effect (IFE</w:t>
      </w:r>
      <w:r>
        <w:rPr>
          <w:rFonts w:ascii="Times New Roman" w:eastAsia="Times New Roman" w:hAnsi="Times New Roman" w:cs="Times New Roman"/>
          <w:color w:val="0D0D0D"/>
          <w:sz w:val="24"/>
          <w:szCs w:val="24"/>
          <w:lang w:eastAsia="en-GB"/>
        </w:rPr>
        <w:t>):</w:t>
      </w:r>
    </w:p>
    <w:p w14:paraId="679C05CE" w14:textId="3AF42546" w:rsidR="003C636D" w:rsidRDefault="003C636D" w:rsidP="00D522C7">
      <w:pPr>
        <w:spacing w:line="360" w:lineRule="auto"/>
        <w:ind w:firstLine="360"/>
        <w:jc w:val="both"/>
        <w:rPr>
          <w:rFonts w:ascii="Times New Roman" w:eastAsia="Times New Roman" w:hAnsi="Times New Roman" w:cs="Times New Roman"/>
          <w:color w:val="0D0D0D"/>
          <w:sz w:val="24"/>
          <w:szCs w:val="24"/>
          <w:lang w:eastAsia="en-GB"/>
        </w:rPr>
      </w:pPr>
      <w:r>
        <w:rPr>
          <w:rFonts w:ascii="Times New Roman" w:hAnsi="Times New Roman" w:cs="Times New Roman"/>
          <w:sz w:val="24"/>
          <w:szCs w:val="24"/>
        </w:rPr>
        <w:t>T</w:t>
      </w:r>
      <w:r w:rsidRPr="00AA5CE3">
        <w:rPr>
          <w:rFonts w:ascii="Times New Roman" w:eastAsia="Times New Roman" w:hAnsi="Times New Roman" w:cs="Times New Roman"/>
          <w:color w:val="0D0D0D"/>
          <w:sz w:val="24"/>
          <w:szCs w:val="24"/>
          <w:lang w:eastAsia="en-GB"/>
        </w:rPr>
        <w:t>he International Fisher Effect (IFE) theory states that a country with a higher interest rate will see its currency depreciate due to the inflation expectations embedded in interest rates (Chinn &amp; Meredith, 2004). These theoretical frameworks provide foundational knowledge for understanding and predicting currency movements, which is essential for effective IFM</w:t>
      </w:r>
      <w:r>
        <w:rPr>
          <w:rFonts w:ascii="Times New Roman" w:eastAsia="Times New Roman" w:hAnsi="Times New Roman" w:cs="Times New Roman"/>
          <w:color w:val="0D0D0D"/>
          <w:sz w:val="24"/>
          <w:szCs w:val="24"/>
          <w:lang w:eastAsia="en-GB"/>
        </w:rPr>
        <w:t>.</w:t>
      </w:r>
    </w:p>
    <w:p w14:paraId="49306B77" w14:textId="7A451AFD" w:rsidR="000F1D39" w:rsidRPr="000F1D39" w:rsidRDefault="000F1D39" w:rsidP="00D522C7">
      <w:pPr>
        <w:spacing w:line="360" w:lineRule="auto"/>
        <w:ind w:firstLine="360"/>
        <w:jc w:val="both"/>
        <w:rPr>
          <w:rFonts w:ascii="Times New Roman" w:hAnsi="Times New Roman" w:cs="Times New Roman"/>
          <w:sz w:val="24"/>
          <w:szCs w:val="24"/>
        </w:rPr>
      </w:pPr>
      <w:r w:rsidRPr="000F1D39">
        <w:rPr>
          <w:rFonts w:ascii="Times New Roman" w:hAnsi="Times New Roman" w:cs="Times New Roman"/>
          <w:color w:val="0D0D0D"/>
          <w:sz w:val="24"/>
          <w:szCs w:val="24"/>
          <w:shd w:val="clear" w:color="auto" w:fill="FFFFFF"/>
        </w:rPr>
        <w:t xml:space="preserve">The theories of Purchasing Power Parity (PPP), Interest Rate Parity (IRP), and the International Fisher Effect (IFE) provide foundational insights into the determinants of exchange rates. However, advancements in financial theory and practice suggest that </w:t>
      </w:r>
      <w:r w:rsidRPr="000F1D39">
        <w:rPr>
          <w:rFonts w:ascii="Times New Roman" w:hAnsi="Times New Roman" w:cs="Times New Roman"/>
          <w:b/>
          <w:bCs/>
          <w:color w:val="0D0D0D"/>
          <w:sz w:val="24"/>
          <w:szCs w:val="24"/>
          <w:shd w:val="clear" w:color="auto" w:fill="FFFFFF"/>
        </w:rPr>
        <w:t xml:space="preserve">real options theory </w:t>
      </w:r>
      <w:r>
        <w:rPr>
          <w:rFonts w:ascii="Times New Roman" w:hAnsi="Times New Roman" w:cs="Times New Roman"/>
          <w:color w:val="0D0D0D"/>
          <w:sz w:val="24"/>
          <w:szCs w:val="24"/>
          <w:shd w:val="clear" w:color="auto" w:fill="FFFFFF"/>
        </w:rPr>
        <w:t xml:space="preserve">(that is a </w:t>
      </w:r>
      <w:r>
        <w:rPr>
          <w:rFonts w:ascii="Segoe UI" w:hAnsi="Segoe UI" w:cs="Segoe UI"/>
          <w:color w:val="0D0D0D"/>
          <w:shd w:val="clear" w:color="auto" w:fill="FFFFFF"/>
        </w:rPr>
        <w:t>strategic framework for evaluating investment decisions under uncertainty, emphasizes the value of flexibility in operations and financing</w:t>
      </w:r>
      <w:r w:rsidR="00B540D3">
        <w:rPr>
          <w:rFonts w:ascii="Segoe UI" w:hAnsi="Segoe UI" w:cs="Segoe UI"/>
          <w:color w:val="0D0D0D"/>
          <w:shd w:val="clear" w:color="auto" w:fill="FFFFFF"/>
        </w:rPr>
        <w:t xml:space="preserve">, </w:t>
      </w:r>
      <w:proofErr w:type="spellStart"/>
      <w:r>
        <w:rPr>
          <w:rFonts w:ascii="Segoe UI" w:hAnsi="Segoe UI" w:cs="Segoe UI"/>
          <w:color w:val="0D0D0D"/>
          <w:shd w:val="clear" w:color="auto" w:fill="FFFFFF"/>
        </w:rPr>
        <w:t>Trigeorgis</w:t>
      </w:r>
      <w:proofErr w:type="spellEnd"/>
      <w:r>
        <w:rPr>
          <w:rFonts w:ascii="Segoe UI" w:hAnsi="Segoe UI" w:cs="Segoe UI"/>
          <w:color w:val="0D0D0D"/>
          <w:shd w:val="clear" w:color="auto" w:fill="FFFFFF"/>
        </w:rPr>
        <w:t>, 1996)</w:t>
      </w:r>
      <w:r w:rsidR="00B540D3">
        <w:rPr>
          <w:rFonts w:ascii="Segoe UI" w:hAnsi="Segoe UI" w:cs="Segoe UI"/>
          <w:color w:val="0D0D0D"/>
          <w:shd w:val="clear" w:color="auto" w:fill="FFFFFF"/>
        </w:rPr>
        <w:t xml:space="preserve"> </w:t>
      </w:r>
      <w:r w:rsidRPr="00B540D3">
        <w:rPr>
          <w:rFonts w:ascii="Times New Roman" w:hAnsi="Times New Roman" w:cs="Times New Roman"/>
          <w:color w:val="0D0D0D"/>
          <w:sz w:val="24"/>
          <w:szCs w:val="24"/>
          <w:shd w:val="clear" w:color="auto" w:fill="FFFFFF"/>
        </w:rPr>
        <w:t>and</w:t>
      </w:r>
      <w:r w:rsidRPr="000F1D39">
        <w:rPr>
          <w:rFonts w:ascii="Times New Roman" w:hAnsi="Times New Roman" w:cs="Times New Roman"/>
          <w:b/>
          <w:bCs/>
          <w:color w:val="0D0D0D"/>
          <w:sz w:val="24"/>
          <w:szCs w:val="24"/>
          <w:shd w:val="clear" w:color="auto" w:fill="FFFFFF"/>
        </w:rPr>
        <w:t xml:space="preserve"> behavioural finance</w:t>
      </w:r>
      <w:r w:rsidRPr="000F1D39">
        <w:rPr>
          <w:rFonts w:ascii="Times New Roman" w:hAnsi="Times New Roman" w:cs="Times New Roman"/>
          <w:color w:val="0D0D0D"/>
          <w:sz w:val="24"/>
          <w:szCs w:val="24"/>
          <w:shd w:val="clear" w:color="auto" w:fill="FFFFFF"/>
        </w:rPr>
        <w:t xml:space="preserve"> also play critical roles in IFM.</w:t>
      </w:r>
    </w:p>
    <w:p w14:paraId="2B1F4AC5" w14:textId="5670F4CD" w:rsidR="003C636D" w:rsidRPr="003F2F4E" w:rsidRDefault="003C636D" w:rsidP="003F2F4E">
      <w:pPr>
        <w:pStyle w:val="ListParagraph"/>
        <w:numPr>
          <w:ilvl w:val="0"/>
          <w:numId w:val="5"/>
        </w:numPr>
        <w:spacing w:after="0" w:line="360" w:lineRule="auto"/>
        <w:jc w:val="both"/>
        <w:rPr>
          <w:rFonts w:ascii="Times New Roman" w:eastAsia="Times New Roman" w:hAnsi="Times New Roman" w:cs="Times New Roman"/>
          <w:b/>
          <w:bCs/>
          <w:color w:val="0D0D0D"/>
          <w:sz w:val="24"/>
          <w:szCs w:val="24"/>
          <w:lang w:eastAsia="en-GB"/>
        </w:rPr>
      </w:pPr>
      <w:r w:rsidRPr="003C636D">
        <w:rPr>
          <w:rFonts w:ascii="Times New Roman" w:eastAsia="Times New Roman" w:hAnsi="Times New Roman" w:cs="Times New Roman"/>
          <w:b/>
          <w:bCs/>
          <w:sz w:val="24"/>
          <w:szCs w:val="24"/>
          <w:lang w:eastAsia="en-GB"/>
        </w:rPr>
        <w:t>S</w:t>
      </w:r>
      <w:r w:rsidRPr="003C636D">
        <w:rPr>
          <w:rFonts w:ascii="Times New Roman" w:eastAsia="Times New Roman" w:hAnsi="Times New Roman" w:cs="Times New Roman"/>
          <w:b/>
          <w:bCs/>
          <w:color w:val="0D0D0D"/>
          <w:sz w:val="24"/>
          <w:szCs w:val="24"/>
          <w:lang w:eastAsia="en-GB"/>
        </w:rPr>
        <w:t xml:space="preserve">trategies for Managing FX </w:t>
      </w:r>
      <w:r>
        <w:rPr>
          <w:rFonts w:ascii="Times New Roman" w:eastAsia="Times New Roman" w:hAnsi="Times New Roman" w:cs="Times New Roman"/>
          <w:b/>
          <w:bCs/>
          <w:color w:val="0D0D0D"/>
          <w:sz w:val="24"/>
          <w:szCs w:val="24"/>
          <w:lang w:eastAsia="en-GB"/>
        </w:rPr>
        <w:t xml:space="preserve">Exposure and/or </w:t>
      </w:r>
      <w:r w:rsidRPr="003C636D">
        <w:rPr>
          <w:rFonts w:ascii="Times New Roman" w:eastAsia="Times New Roman" w:hAnsi="Times New Roman" w:cs="Times New Roman"/>
          <w:b/>
          <w:bCs/>
          <w:color w:val="0D0D0D"/>
          <w:sz w:val="24"/>
          <w:szCs w:val="24"/>
          <w:lang w:eastAsia="en-GB"/>
        </w:rPr>
        <w:t>Risks:</w:t>
      </w:r>
    </w:p>
    <w:p w14:paraId="7DDADBFE" w14:textId="5309F31D" w:rsidR="003C636D" w:rsidRDefault="003C636D" w:rsidP="00D522C7">
      <w:pPr>
        <w:spacing w:after="0" w:line="360" w:lineRule="auto"/>
        <w:ind w:firstLine="360"/>
        <w:jc w:val="both"/>
        <w:rPr>
          <w:rFonts w:ascii="Times New Roman" w:eastAsia="Times New Roman" w:hAnsi="Times New Roman" w:cs="Times New Roman"/>
          <w:color w:val="0D0D0D"/>
          <w:sz w:val="24"/>
          <w:szCs w:val="24"/>
          <w:lang w:eastAsia="en-GB"/>
        </w:rPr>
      </w:pPr>
      <w:r>
        <w:rPr>
          <w:rFonts w:ascii="Times New Roman" w:eastAsia="Times New Roman" w:hAnsi="Times New Roman" w:cs="Times New Roman"/>
          <w:sz w:val="24"/>
          <w:szCs w:val="24"/>
          <w:lang w:eastAsia="en-GB"/>
        </w:rPr>
        <w:t xml:space="preserve">4.1. </w:t>
      </w:r>
      <w:r w:rsidRPr="008A27EB">
        <w:rPr>
          <w:rFonts w:ascii="Times New Roman" w:eastAsia="Times New Roman" w:hAnsi="Times New Roman" w:cs="Times New Roman"/>
          <w:b/>
          <w:bCs/>
          <w:sz w:val="24"/>
          <w:szCs w:val="24"/>
          <w:lang w:eastAsia="en-GB"/>
        </w:rPr>
        <w:t>N</w:t>
      </w:r>
      <w:r w:rsidRPr="00AA5CE3">
        <w:rPr>
          <w:rFonts w:ascii="Times New Roman" w:eastAsia="Times New Roman" w:hAnsi="Times New Roman" w:cs="Times New Roman"/>
          <w:b/>
          <w:bCs/>
          <w:color w:val="0D0D0D"/>
          <w:sz w:val="24"/>
          <w:szCs w:val="24"/>
          <w:lang w:eastAsia="en-GB"/>
        </w:rPr>
        <w:t>atural Hedgin</w:t>
      </w:r>
      <w:r w:rsidRPr="008A27EB">
        <w:rPr>
          <w:rFonts w:ascii="Times New Roman" w:eastAsia="Times New Roman" w:hAnsi="Times New Roman" w:cs="Times New Roman"/>
          <w:b/>
          <w:bCs/>
          <w:color w:val="0D0D0D"/>
          <w:sz w:val="24"/>
          <w:szCs w:val="24"/>
          <w:lang w:eastAsia="en-GB"/>
        </w:rPr>
        <w:t>g:</w:t>
      </w:r>
    </w:p>
    <w:p w14:paraId="54A718F0" w14:textId="415D770A" w:rsidR="003C636D" w:rsidRDefault="003C636D" w:rsidP="00D522C7">
      <w:pPr>
        <w:spacing w:after="0" w:line="360" w:lineRule="auto"/>
        <w:ind w:firstLine="360"/>
        <w:jc w:val="both"/>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N</w:t>
      </w:r>
      <w:r w:rsidRPr="00AA5CE3">
        <w:rPr>
          <w:rFonts w:ascii="Times New Roman" w:eastAsia="Times New Roman" w:hAnsi="Times New Roman" w:cs="Times New Roman"/>
          <w:color w:val="0D0D0D"/>
          <w:sz w:val="24"/>
          <w:szCs w:val="24"/>
          <w:lang w:eastAsia="en-GB"/>
        </w:rPr>
        <w:t>atural hedging involves operational strategies that reduce FX exposure without using financial instruments. Strategies include invoicing in the company's home currency and diversifying operations and supply chains across different currencies to offset risks (Aabo &amp; Simkins, 2005)</w:t>
      </w:r>
      <w:r>
        <w:rPr>
          <w:rFonts w:ascii="Times New Roman" w:eastAsia="Times New Roman" w:hAnsi="Times New Roman" w:cs="Times New Roman"/>
          <w:color w:val="0D0D0D"/>
          <w:sz w:val="24"/>
          <w:szCs w:val="24"/>
          <w:lang w:eastAsia="en-GB"/>
        </w:rPr>
        <w:t>.</w:t>
      </w:r>
    </w:p>
    <w:p w14:paraId="6E274BF4" w14:textId="470BB2EF" w:rsidR="003C636D" w:rsidRPr="008A27EB" w:rsidRDefault="003C636D" w:rsidP="00D522C7">
      <w:pPr>
        <w:spacing w:after="0" w:line="360" w:lineRule="auto"/>
        <w:ind w:firstLine="360"/>
        <w:jc w:val="both"/>
        <w:rPr>
          <w:rFonts w:ascii="Times New Roman" w:eastAsia="Times New Roman" w:hAnsi="Times New Roman" w:cs="Times New Roman"/>
          <w:b/>
          <w:bCs/>
          <w:color w:val="0D0D0D"/>
          <w:sz w:val="24"/>
          <w:szCs w:val="24"/>
          <w:lang w:eastAsia="en-GB"/>
        </w:rPr>
      </w:pPr>
      <w:r>
        <w:rPr>
          <w:rFonts w:ascii="Times New Roman" w:eastAsia="Times New Roman" w:hAnsi="Times New Roman" w:cs="Times New Roman"/>
          <w:color w:val="0D0D0D"/>
          <w:sz w:val="24"/>
          <w:szCs w:val="24"/>
          <w:lang w:eastAsia="en-GB"/>
        </w:rPr>
        <w:t xml:space="preserve">4.2. </w:t>
      </w:r>
      <w:r w:rsidRPr="008A27EB">
        <w:rPr>
          <w:rFonts w:ascii="Times New Roman" w:eastAsia="Times New Roman" w:hAnsi="Times New Roman" w:cs="Times New Roman"/>
          <w:b/>
          <w:bCs/>
          <w:color w:val="0D0D0D"/>
          <w:sz w:val="24"/>
          <w:szCs w:val="24"/>
          <w:lang w:eastAsia="en-GB"/>
        </w:rPr>
        <w:t>F</w:t>
      </w:r>
      <w:r w:rsidRPr="00AA5CE3">
        <w:rPr>
          <w:rFonts w:ascii="Times New Roman" w:eastAsia="Times New Roman" w:hAnsi="Times New Roman" w:cs="Times New Roman"/>
          <w:b/>
          <w:bCs/>
          <w:color w:val="0D0D0D"/>
          <w:sz w:val="24"/>
          <w:szCs w:val="24"/>
          <w:lang w:eastAsia="en-GB"/>
        </w:rPr>
        <w:t>inancial Hedgin</w:t>
      </w:r>
      <w:r w:rsidRPr="008A27EB">
        <w:rPr>
          <w:rFonts w:ascii="Times New Roman" w:eastAsia="Times New Roman" w:hAnsi="Times New Roman" w:cs="Times New Roman"/>
          <w:b/>
          <w:bCs/>
          <w:color w:val="0D0D0D"/>
          <w:sz w:val="24"/>
          <w:szCs w:val="24"/>
          <w:lang w:eastAsia="en-GB"/>
        </w:rPr>
        <w:t>g:</w:t>
      </w:r>
    </w:p>
    <w:p w14:paraId="6C6F7D86" w14:textId="2965321D" w:rsidR="003C636D" w:rsidRDefault="003C636D" w:rsidP="00D522C7">
      <w:pPr>
        <w:spacing w:after="0" w:line="360" w:lineRule="auto"/>
        <w:ind w:firstLine="360"/>
        <w:jc w:val="both"/>
        <w:rPr>
          <w:rFonts w:ascii="Times New Roman" w:eastAsia="Times New Roman" w:hAnsi="Times New Roman" w:cs="Times New Roman"/>
          <w:color w:val="0D0D0D"/>
          <w:sz w:val="24"/>
          <w:szCs w:val="24"/>
          <w:lang w:eastAsia="en-GB"/>
        </w:rPr>
      </w:pPr>
      <w:r>
        <w:rPr>
          <w:rFonts w:ascii="Times New Roman" w:eastAsia="Times New Roman" w:hAnsi="Times New Roman" w:cs="Times New Roman"/>
          <w:sz w:val="24"/>
          <w:szCs w:val="24"/>
          <w:lang w:eastAsia="en-GB"/>
        </w:rPr>
        <w:t>F</w:t>
      </w:r>
      <w:r w:rsidRPr="00AA5CE3">
        <w:rPr>
          <w:rFonts w:ascii="Times New Roman" w:eastAsia="Times New Roman" w:hAnsi="Times New Roman" w:cs="Times New Roman"/>
          <w:color w:val="0D0D0D"/>
          <w:sz w:val="24"/>
          <w:szCs w:val="24"/>
          <w:lang w:eastAsia="en-GB"/>
        </w:rPr>
        <w:t xml:space="preserve">inancial hedging uses derivative instruments like </w:t>
      </w:r>
      <w:r w:rsidRPr="00AA5CE3">
        <w:rPr>
          <w:rFonts w:ascii="Times New Roman" w:eastAsia="Times New Roman" w:hAnsi="Times New Roman" w:cs="Times New Roman"/>
          <w:b/>
          <w:bCs/>
          <w:color w:val="0D0D0D"/>
          <w:sz w:val="24"/>
          <w:szCs w:val="24"/>
          <w:lang w:eastAsia="en-GB"/>
        </w:rPr>
        <w:t>forwards, futures, options, and swaps</w:t>
      </w:r>
      <w:r w:rsidRPr="00AA5CE3">
        <w:rPr>
          <w:rFonts w:ascii="Times New Roman" w:eastAsia="Times New Roman" w:hAnsi="Times New Roman" w:cs="Times New Roman"/>
          <w:color w:val="0D0D0D"/>
          <w:sz w:val="24"/>
          <w:szCs w:val="24"/>
          <w:lang w:eastAsia="en-GB"/>
        </w:rPr>
        <w:t xml:space="preserve"> to manage FX risks. These instruments allow companies to lock in exchange rates, protecting against </w:t>
      </w:r>
      <w:proofErr w:type="spellStart"/>
      <w:r w:rsidR="00D522C7">
        <w:rPr>
          <w:rFonts w:ascii="Times New Roman" w:eastAsia="Times New Roman" w:hAnsi="Times New Roman" w:cs="Times New Roman"/>
          <w:color w:val="0D0D0D"/>
          <w:sz w:val="24"/>
          <w:szCs w:val="24"/>
          <w:lang w:eastAsia="en-GB"/>
        </w:rPr>
        <w:t>unfavorable</w:t>
      </w:r>
      <w:proofErr w:type="spellEnd"/>
      <w:r w:rsidRPr="00AA5CE3">
        <w:rPr>
          <w:rFonts w:ascii="Times New Roman" w:eastAsia="Times New Roman" w:hAnsi="Times New Roman" w:cs="Times New Roman"/>
          <w:color w:val="0D0D0D"/>
          <w:sz w:val="24"/>
          <w:szCs w:val="24"/>
          <w:lang w:eastAsia="en-GB"/>
        </w:rPr>
        <w:t xml:space="preserve"> currency movements (Bartram, Brown, &amp; </w:t>
      </w:r>
      <w:proofErr w:type="spellStart"/>
      <w:r w:rsidRPr="00AA5CE3">
        <w:rPr>
          <w:rFonts w:ascii="Times New Roman" w:eastAsia="Times New Roman" w:hAnsi="Times New Roman" w:cs="Times New Roman"/>
          <w:color w:val="0D0D0D"/>
          <w:sz w:val="24"/>
          <w:szCs w:val="24"/>
          <w:lang w:eastAsia="en-GB"/>
        </w:rPr>
        <w:t>Fehle</w:t>
      </w:r>
      <w:proofErr w:type="spellEnd"/>
      <w:r w:rsidRPr="00AA5CE3">
        <w:rPr>
          <w:rFonts w:ascii="Times New Roman" w:eastAsia="Times New Roman" w:hAnsi="Times New Roman" w:cs="Times New Roman"/>
          <w:color w:val="0D0D0D"/>
          <w:sz w:val="24"/>
          <w:szCs w:val="24"/>
          <w:lang w:eastAsia="en-GB"/>
        </w:rPr>
        <w:t>, 2009)</w:t>
      </w:r>
      <w:r>
        <w:rPr>
          <w:rFonts w:ascii="Times New Roman" w:eastAsia="Times New Roman" w:hAnsi="Times New Roman" w:cs="Times New Roman"/>
          <w:color w:val="0D0D0D"/>
          <w:sz w:val="24"/>
          <w:szCs w:val="24"/>
          <w:lang w:eastAsia="en-GB"/>
        </w:rPr>
        <w:t>.</w:t>
      </w:r>
    </w:p>
    <w:p w14:paraId="7FB7BC7A" w14:textId="02B6DFEC" w:rsidR="00D522C7" w:rsidRDefault="00D522C7" w:rsidP="00D522C7">
      <w:pPr>
        <w:spacing w:after="0" w:line="360" w:lineRule="auto"/>
        <w:ind w:firstLine="360"/>
        <w:jc w:val="both"/>
        <w:rPr>
          <w:rFonts w:ascii="Times New Roman" w:eastAsia="Times New Roman" w:hAnsi="Times New Roman" w:cs="Times New Roman"/>
          <w:color w:val="0D0D0D"/>
          <w:sz w:val="24"/>
          <w:szCs w:val="24"/>
          <w:lang w:eastAsia="en-GB"/>
        </w:rPr>
      </w:pPr>
      <w:r>
        <w:rPr>
          <w:rFonts w:ascii="Times New Roman" w:eastAsia="Times New Roman" w:hAnsi="Times New Roman" w:cs="Times New Roman"/>
          <w:sz w:val="24"/>
          <w:szCs w:val="24"/>
          <w:lang w:eastAsia="en-GB"/>
        </w:rPr>
        <w:t xml:space="preserve">4.3. </w:t>
      </w:r>
      <w:r w:rsidRPr="008A27EB">
        <w:rPr>
          <w:rFonts w:ascii="Times New Roman" w:eastAsia="Times New Roman" w:hAnsi="Times New Roman" w:cs="Times New Roman"/>
          <w:b/>
          <w:bCs/>
          <w:sz w:val="24"/>
          <w:szCs w:val="24"/>
          <w:lang w:eastAsia="en-GB"/>
        </w:rPr>
        <w:t>S</w:t>
      </w:r>
      <w:r w:rsidRPr="00AA5CE3">
        <w:rPr>
          <w:rFonts w:ascii="Times New Roman" w:eastAsia="Times New Roman" w:hAnsi="Times New Roman" w:cs="Times New Roman"/>
          <w:b/>
          <w:bCs/>
          <w:color w:val="0D0D0D"/>
          <w:sz w:val="24"/>
          <w:szCs w:val="24"/>
          <w:lang w:eastAsia="en-GB"/>
        </w:rPr>
        <w:t>trategic Hedging</w:t>
      </w:r>
      <w:r w:rsidRPr="008A27EB">
        <w:rPr>
          <w:rFonts w:ascii="Times New Roman" w:eastAsia="Times New Roman" w:hAnsi="Times New Roman" w:cs="Times New Roman"/>
          <w:b/>
          <w:bCs/>
          <w:color w:val="0D0D0D"/>
          <w:sz w:val="24"/>
          <w:szCs w:val="24"/>
          <w:lang w:eastAsia="en-GB"/>
        </w:rPr>
        <w:t>:</w:t>
      </w:r>
    </w:p>
    <w:p w14:paraId="22ED316F" w14:textId="0B5E73B3" w:rsidR="00D522C7" w:rsidRDefault="00D522C7" w:rsidP="00D522C7">
      <w:pPr>
        <w:spacing w:after="0" w:line="360" w:lineRule="auto"/>
        <w:ind w:firstLine="360"/>
        <w:jc w:val="both"/>
        <w:rPr>
          <w:rFonts w:ascii="Times New Roman" w:eastAsia="Times New Roman" w:hAnsi="Times New Roman" w:cs="Times New Roman"/>
          <w:color w:val="0D0D0D"/>
          <w:sz w:val="24"/>
          <w:szCs w:val="24"/>
          <w:lang w:eastAsia="en-GB"/>
        </w:rPr>
      </w:pPr>
      <w:r>
        <w:rPr>
          <w:rFonts w:ascii="Times New Roman" w:eastAsia="Times New Roman" w:hAnsi="Times New Roman" w:cs="Times New Roman"/>
          <w:sz w:val="24"/>
          <w:szCs w:val="24"/>
          <w:lang w:eastAsia="en-GB"/>
        </w:rPr>
        <w:t>S</w:t>
      </w:r>
      <w:r w:rsidRPr="00AA5CE3">
        <w:rPr>
          <w:rFonts w:ascii="Times New Roman" w:eastAsia="Times New Roman" w:hAnsi="Times New Roman" w:cs="Times New Roman"/>
          <w:color w:val="0D0D0D"/>
          <w:sz w:val="24"/>
          <w:szCs w:val="24"/>
          <w:lang w:eastAsia="en-GB"/>
        </w:rPr>
        <w:t xml:space="preserve">trategic hedging focuses on long-term measures, such as adjusting the company’s operational footprint and diversifying revenue streams across multiple currencies, to </w:t>
      </w:r>
      <w:r>
        <w:rPr>
          <w:rFonts w:ascii="Times New Roman" w:eastAsia="Times New Roman" w:hAnsi="Times New Roman" w:cs="Times New Roman"/>
          <w:color w:val="0D0D0D"/>
          <w:sz w:val="24"/>
          <w:szCs w:val="24"/>
          <w:lang w:eastAsia="en-GB"/>
        </w:rPr>
        <w:t>r</w:t>
      </w:r>
      <w:r w:rsidRPr="00AA5CE3">
        <w:rPr>
          <w:rFonts w:ascii="Times New Roman" w:eastAsia="Times New Roman" w:hAnsi="Times New Roman" w:cs="Times New Roman"/>
          <w:color w:val="0D0D0D"/>
          <w:sz w:val="24"/>
          <w:szCs w:val="24"/>
          <w:lang w:eastAsia="en-GB"/>
        </w:rPr>
        <w:t>e</w:t>
      </w:r>
      <w:r>
        <w:rPr>
          <w:rFonts w:ascii="Times New Roman" w:eastAsia="Times New Roman" w:hAnsi="Times New Roman" w:cs="Times New Roman"/>
          <w:color w:val="0D0D0D"/>
          <w:sz w:val="24"/>
          <w:szCs w:val="24"/>
          <w:lang w:eastAsia="en-GB"/>
        </w:rPr>
        <w:t>duce</w:t>
      </w:r>
      <w:r w:rsidRPr="00AA5CE3">
        <w:rPr>
          <w:rFonts w:ascii="Times New Roman" w:eastAsia="Times New Roman" w:hAnsi="Times New Roman" w:cs="Times New Roman"/>
          <w:color w:val="0D0D0D"/>
          <w:sz w:val="24"/>
          <w:szCs w:val="24"/>
          <w:lang w:eastAsia="en-GB"/>
        </w:rPr>
        <w:t xml:space="preserve"> FX exposure (</w:t>
      </w:r>
      <w:proofErr w:type="spellStart"/>
      <w:r w:rsidRPr="00AA5CE3">
        <w:rPr>
          <w:rFonts w:ascii="Times New Roman" w:eastAsia="Times New Roman" w:hAnsi="Times New Roman" w:cs="Times New Roman"/>
          <w:color w:val="0D0D0D"/>
          <w:sz w:val="24"/>
          <w:szCs w:val="24"/>
          <w:lang w:eastAsia="en-GB"/>
        </w:rPr>
        <w:t>Allayannis</w:t>
      </w:r>
      <w:proofErr w:type="spellEnd"/>
      <w:r w:rsidRPr="00AA5CE3">
        <w:rPr>
          <w:rFonts w:ascii="Times New Roman" w:eastAsia="Times New Roman" w:hAnsi="Times New Roman" w:cs="Times New Roman"/>
          <w:color w:val="0D0D0D"/>
          <w:sz w:val="24"/>
          <w:szCs w:val="24"/>
          <w:lang w:eastAsia="en-GB"/>
        </w:rPr>
        <w:t>, Ihrig, &amp; Weston, 2001)</w:t>
      </w:r>
      <w:r>
        <w:rPr>
          <w:rFonts w:ascii="Times New Roman" w:eastAsia="Times New Roman" w:hAnsi="Times New Roman" w:cs="Times New Roman"/>
          <w:color w:val="0D0D0D"/>
          <w:sz w:val="24"/>
          <w:szCs w:val="24"/>
          <w:lang w:eastAsia="en-GB"/>
        </w:rPr>
        <w:t>.</w:t>
      </w:r>
    </w:p>
    <w:p w14:paraId="4CAB514F" w14:textId="7E8C5010" w:rsidR="00D522C7" w:rsidRPr="008A27EB" w:rsidRDefault="00D522C7" w:rsidP="00D522C7">
      <w:pPr>
        <w:spacing w:after="0" w:line="360" w:lineRule="auto"/>
        <w:ind w:firstLine="360"/>
        <w:jc w:val="both"/>
        <w:rPr>
          <w:rFonts w:ascii="Times New Roman" w:eastAsia="Times New Roman" w:hAnsi="Times New Roman" w:cs="Times New Roman"/>
          <w:b/>
          <w:bCs/>
          <w:color w:val="0D0D0D"/>
          <w:sz w:val="24"/>
          <w:szCs w:val="24"/>
          <w:lang w:eastAsia="en-GB"/>
        </w:rPr>
      </w:pPr>
      <w:r>
        <w:rPr>
          <w:rFonts w:ascii="Times New Roman" w:eastAsia="Times New Roman" w:hAnsi="Times New Roman" w:cs="Times New Roman"/>
          <w:color w:val="0D0D0D"/>
          <w:sz w:val="24"/>
          <w:szCs w:val="24"/>
          <w:lang w:eastAsia="en-GB"/>
        </w:rPr>
        <w:t xml:space="preserve">4.4. </w:t>
      </w:r>
      <w:r w:rsidRPr="008A27EB">
        <w:rPr>
          <w:rFonts w:ascii="Times New Roman" w:eastAsia="Times New Roman" w:hAnsi="Times New Roman" w:cs="Times New Roman"/>
          <w:b/>
          <w:bCs/>
          <w:color w:val="0D0D0D"/>
          <w:sz w:val="24"/>
          <w:szCs w:val="24"/>
          <w:lang w:eastAsia="en-GB"/>
        </w:rPr>
        <w:t>Apple Inc’s 2020 annual report:</w:t>
      </w:r>
    </w:p>
    <w:p w14:paraId="258F900C" w14:textId="02852957" w:rsidR="00D522C7" w:rsidRDefault="00D522C7" w:rsidP="00317718">
      <w:pPr>
        <w:spacing w:after="0" w:line="360" w:lineRule="auto"/>
        <w:ind w:firstLine="360"/>
        <w:jc w:val="both"/>
        <w:rPr>
          <w:rFonts w:ascii="Times New Roman" w:eastAsia="Times New Roman" w:hAnsi="Times New Roman" w:cs="Times New Roman"/>
          <w:color w:val="0D0D0D"/>
          <w:sz w:val="24"/>
          <w:szCs w:val="24"/>
          <w:lang w:eastAsia="en-GB"/>
        </w:rPr>
      </w:pPr>
      <w:r>
        <w:rPr>
          <w:rFonts w:ascii="Times New Roman" w:eastAsia="Times New Roman" w:hAnsi="Times New Roman" w:cs="Times New Roman"/>
          <w:sz w:val="24"/>
          <w:szCs w:val="24"/>
          <w:lang w:eastAsia="en-GB"/>
        </w:rPr>
        <w:t xml:space="preserve">A </w:t>
      </w:r>
      <w:r w:rsidRPr="00AA5CE3">
        <w:rPr>
          <w:rFonts w:ascii="Times New Roman" w:eastAsia="Times New Roman" w:hAnsi="Times New Roman" w:cs="Times New Roman"/>
          <w:color w:val="0D0D0D"/>
          <w:sz w:val="24"/>
          <w:szCs w:val="24"/>
          <w:lang w:eastAsia="en-GB"/>
        </w:rPr>
        <w:t xml:space="preserve">thorough examination of Apple Inc.'s 2020 annual report reveals how the company employs a mix of natural and financial hedging strategies to manage its currency risk. Apple Inc. uses derivative instruments extensively to hedge against potential losses from currency fluctuations, illustrating the practical application of financial hedging strategies discussed by Bartram, Brown, &amp; </w:t>
      </w:r>
      <w:proofErr w:type="spellStart"/>
      <w:r w:rsidRPr="00AA5CE3">
        <w:rPr>
          <w:rFonts w:ascii="Times New Roman" w:eastAsia="Times New Roman" w:hAnsi="Times New Roman" w:cs="Times New Roman"/>
          <w:color w:val="0D0D0D"/>
          <w:sz w:val="24"/>
          <w:szCs w:val="24"/>
          <w:lang w:eastAsia="en-GB"/>
        </w:rPr>
        <w:t>Fehle</w:t>
      </w:r>
      <w:proofErr w:type="spellEnd"/>
      <w:r w:rsidRPr="00AA5CE3">
        <w:rPr>
          <w:rFonts w:ascii="Times New Roman" w:eastAsia="Times New Roman" w:hAnsi="Times New Roman" w:cs="Times New Roman"/>
          <w:color w:val="0D0D0D"/>
          <w:sz w:val="24"/>
          <w:szCs w:val="24"/>
          <w:lang w:eastAsia="en-GB"/>
        </w:rPr>
        <w:t xml:space="preserve"> (2009). Moreover, Apple's global operational strategy reflects </w:t>
      </w:r>
      <w:r w:rsidRPr="00AA5CE3">
        <w:rPr>
          <w:rFonts w:ascii="Times New Roman" w:eastAsia="Times New Roman" w:hAnsi="Times New Roman" w:cs="Times New Roman"/>
          <w:color w:val="0D0D0D"/>
          <w:sz w:val="24"/>
          <w:szCs w:val="24"/>
          <w:lang w:eastAsia="en-GB"/>
        </w:rPr>
        <w:lastRenderedPageBreak/>
        <w:t>elements of strategic hedging, aiming to balance its revenue streams and operational risks across various markets</w:t>
      </w:r>
      <w:r>
        <w:rPr>
          <w:rFonts w:ascii="Times New Roman" w:eastAsia="Times New Roman" w:hAnsi="Times New Roman" w:cs="Times New Roman"/>
          <w:color w:val="0D0D0D"/>
          <w:sz w:val="24"/>
          <w:szCs w:val="24"/>
          <w:lang w:eastAsia="en-GB"/>
        </w:rPr>
        <w:t>.</w:t>
      </w:r>
    </w:p>
    <w:p w14:paraId="0435D52E" w14:textId="5DDFB922" w:rsidR="00D522C7" w:rsidRDefault="00D522C7" w:rsidP="00D522C7">
      <w:pPr>
        <w:spacing w:after="0" w:line="360" w:lineRule="auto"/>
        <w:ind w:firstLine="360"/>
        <w:jc w:val="both"/>
        <w:rPr>
          <w:rFonts w:ascii="Times New Roman" w:eastAsia="Times New Roman" w:hAnsi="Times New Roman" w:cs="Times New Roman"/>
          <w:color w:val="0D0D0D"/>
          <w:sz w:val="24"/>
          <w:szCs w:val="24"/>
          <w:lang w:eastAsia="en-GB"/>
        </w:rPr>
      </w:pPr>
      <w:r>
        <w:rPr>
          <w:rFonts w:ascii="Times New Roman" w:eastAsia="Times New Roman" w:hAnsi="Times New Roman" w:cs="Times New Roman"/>
          <w:color w:val="0D0D0D"/>
          <w:sz w:val="24"/>
          <w:szCs w:val="24"/>
          <w:lang w:eastAsia="en-GB"/>
        </w:rPr>
        <w:t>W</w:t>
      </w:r>
      <w:r w:rsidRPr="00AA5CE3">
        <w:rPr>
          <w:rFonts w:ascii="Times New Roman" w:eastAsia="Times New Roman" w:hAnsi="Times New Roman" w:cs="Times New Roman"/>
          <w:color w:val="0D0D0D"/>
          <w:sz w:val="24"/>
          <w:szCs w:val="24"/>
          <w:lang w:eastAsia="en-GB"/>
        </w:rPr>
        <w:t>hile the theoretical frameworks of PPP, IRP, and IFE provide valuable insights into the mechanics of exchange rates, their predictive accuracy can be limited by market imperfections and the influence of speculative capital flows. Moreover, while financial and natural hedging strategies offer mechanisms to manage short-term FX risk, they entail costs and may not fully eliminate exposure</w:t>
      </w:r>
      <w:r>
        <w:rPr>
          <w:rFonts w:ascii="Times New Roman" w:eastAsia="Times New Roman" w:hAnsi="Times New Roman" w:cs="Times New Roman"/>
          <w:color w:val="0D0D0D"/>
          <w:sz w:val="24"/>
          <w:szCs w:val="24"/>
          <w:lang w:eastAsia="en-GB"/>
        </w:rPr>
        <w:t>.</w:t>
      </w:r>
    </w:p>
    <w:p w14:paraId="0437D827" w14:textId="4309BFD3" w:rsidR="00D522C7" w:rsidRDefault="00D522C7" w:rsidP="00D522C7">
      <w:pPr>
        <w:spacing w:after="0" w:line="360" w:lineRule="auto"/>
        <w:ind w:firstLine="360"/>
        <w:jc w:val="both"/>
        <w:rPr>
          <w:rFonts w:ascii="Times New Roman" w:eastAsia="Times New Roman" w:hAnsi="Times New Roman" w:cs="Times New Roman"/>
          <w:color w:val="0D0D0D"/>
          <w:sz w:val="24"/>
          <w:szCs w:val="24"/>
          <w:lang w:eastAsia="en-GB"/>
        </w:rPr>
      </w:pPr>
      <w:r>
        <w:rPr>
          <w:rFonts w:ascii="Times New Roman" w:eastAsia="Times New Roman" w:hAnsi="Times New Roman" w:cs="Times New Roman"/>
          <w:sz w:val="24"/>
          <w:szCs w:val="24"/>
          <w:lang w:eastAsia="en-GB"/>
        </w:rPr>
        <w:t>S</w:t>
      </w:r>
      <w:r w:rsidRPr="00AA5CE3">
        <w:rPr>
          <w:rFonts w:ascii="Times New Roman" w:eastAsia="Times New Roman" w:hAnsi="Times New Roman" w:cs="Times New Roman"/>
          <w:color w:val="0D0D0D"/>
          <w:sz w:val="24"/>
          <w:szCs w:val="24"/>
          <w:lang w:eastAsia="en-GB"/>
        </w:rPr>
        <w:t>trategic hedging, though offering a longer-term solution, requires significant investment and strategic flexibility, which may not be feasible for all firms. The case of Apple Inc. illustrates a sophisticated approach to FX risk management, combining financial instruments with strategic operational decisions. However, the effectiveness of these strategies can vary across industries and companies, depending on their size, financial resources, and market positions</w:t>
      </w:r>
      <w:r>
        <w:rPr>
          <w:rFonts w:ascii="Times New Roman" w:eastAsia="Times New Roman" w:hAnsi="Times New Roman" w:cs="Times New Roman"/>
          <w:color w:val="0D0D0D"/>
          <w:sz w:val="24"/>
          <w:szCs w:val="24"/>
          <w:lang w:eastAsia="en-GB"/>
        </w:rPr>
        <w:t>.</w:t>
      </w:r>
    </w:p>
    <w:p w14:paraId="3F867715" w14:textId="6D19BA99" w:rsidR="003F2F4E" w:rsidRDefault="008A27EB" w:rsidP="00D522C7">
      <w:pPr>
        <w:spacing w:after="0" w:line="360" w:lineRule="auto"/>
        <w:ind w:firstLine="360"/>
        <w:jc w:val="both"/>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 xml:space="preserve">Another </w:t>
      </w:r>
      <w:r w:rsidR="00B540D3" w:rsidRPr="00B540D3">
        <w:rPr>
          <w:rFonts w:ascii="Times New Roman" w:hAnsi="Times New Roman" w:cs="Times New Roman"/>
          <w:color w:val="0D0D0D"/>
          <w:sz w:val="24"/>
          <w:szCs w:val="24"/>
          <w:shd w:val="clear" w:color="auto" w:fill="FFFFFF"/>
        </w:rPr>
        <w:t xml:space="preserve">example </w:t>
      </w:r>
      <w:r>
        <w:rPr>
          <w:rFonts w:ascii="Times New Roman" w:hAnsi="Times New Roman" w:cs="Times New Roman"/>
          <w:color w:val="0D0D0D"/>
          <w:sz w:val="24"/>
          <w:szCs w:val="24"/>
          <w:shd w:val="clear" w:color="auto" w:fill="FFFFFF"/>
        </w:rPr>
        <w:t xml:space="preserve">is represented by </w:t>
      </w:r>
      <w:r w:rsidR="00B540D3" w:rsidRPr="00B540D3">
        <w:rPr>
          <w:rFonts w:ascii="Times New Roman" w:hAnsi="Times New Roman" w:cs="Times New Roman"/>
          <w:b/>
          <w:bCs/>
          <w:color w:val="0D0D0D"/>
          <w:sz w:val="24"/>
          <w:szCs w:val="24"/>
          <w:shd w:val="clear" w:color="auto" w:fill="FFFFFF"/>
        </w:rPr>
        <w:t>Tesla, Inc.'s strategies</w:t>
      </w:r>
      <w:r w:rsidR="00B540D3" w:rsidRPr="00B540D3">
        <w:rPr>
          <w:rFonts w:ascii="Times New Roman" w:hAnsi="Times New Roman" w:cs="Times New Roman"/>
          <w:color w:val="0D0D0D"/>
          <w:sz w:val="24"/>
          <w:szCs w:val="24"/>
          <w:shd w:val="clear" w:color="auto" w:fill="FFFFFF"/>
        </w:rPr>
        <w:t xml:space="preserve"> for managing FX risk illustrates the application of these theories and strategies. Tesla's global operations expose it to significant currency risk, which the company manages through a combination of </w:t>
      </w:r>
      <w:r w:rsidR="00B540D3" w:rsidRPr="00B540D3">
        <w:rPr>
          <w:rFonts w:ascii="Times New Roman" w:hAnsi="Times New Roman" w:cs="Times New Roman"/>
          <w:b/>
          <w:bCs/>
          <w:color w:val="0D0D0D"/>
          <w:sz w:val="24"/>
          <w:szCs w:val="24"/>
          <w:shd w:val="clear" w:color="auto" w:fill="FFFFFF"/>
        </w:rPr>
        <w:t>financial hedging, operational adjustments, and strategic planning</w:t>
      </w:r>
      <w:r w:rsidR="00B540D3" w:rsidRPr="00B540D3">
        <w:rPr>
          <w:rFonts w:ascii="Times New Roman" w:hAnsi="Times New Roman" w:cs="Times New Roman"/>
          <w:color w:val="0D0D0D"/>
          <w:sz w:val="24"/>
          <w:szCs w:val="24"/>
          <w:shd w:val="clear" w:color="auto" w:fill="FFFFFF"/>
        </w:rPr>
        <w:t xml:space="preserve">. For instance, </w:t>
      </w:r>
      <w:r w:rsidR="00B540D3" w:rsidRPr="00B540D3">
        <w:rPr>
          <w:rFonts w:ascii="Times New Roman" w:hAnsi="Times New Roman" w:cs="Times New Roman"/>
          <w:b/>
          <w:bCs/>
          <w:color w:val="0D0D0D"/>
          <w:sz w:val="24"/>
          <w:szCs w:val="24"/>
          <w:shd w:val="clear" w:color="auto" w:fill="FFFFFF"/>
        </w:rPr>
        <w:t>Tesla uses forward contracts and options</w:t>
      </w:r>
      <w:r w:rsidR="00B540D3" w:rsidRPr="00B540D3">
        <w:rPr>
          <w:rFonts w:ascii="Times New Roman" w:hAnsi="Times New Roman" w:cs="Times New Roman"/>
          <w:color w:val="0D0D0D"/>
          <w:sz w:val="24"/>
          <w:szCs w:val="24"/>
          <w:shd w:val="clear" w:color="auto" w:fill="FFFFFF"/>
        </w:rPr>
        <w:t xml:space="preserve"> to hedge transaction risks associated with its international sales and procurement. Additionally, Tesla's investment in manufacturing facilities in different regions, such as the </w:t>
      </w:r>
      <w:r w:rsidR="00B540D3" w:rsidRPr="00B540D3">
        <w:rPr>
          <w:rFonts w:ascii="Times New Roman" w:hAnsi="Times New Roman" w:cs="Times New Roman"/>
          <w:b/>
          <w:bCs/>
          <w:color w:val="0D0D0D"/>
          <w:sz w:val="24"/>
          <w:szCs w:val="24"/>
          <w:shd w:val="clear" w:color="auto" w:fill="FFFFFF"/>
        </w:rPr>
        <w:t>Gigafactories in the USA, China, and Germany</w:t>
      </w:r>
      <w:r w:rsidR="00B540D3" w:rsidRPr="00B540D3">
        <w:rPr>
          <w:rFonts w:ascii="Times New Roman" w:hAnsi="Times New Roman" w:cs="Times New Roman"/>
          <w:color w:val="0D0D0D"/>
          <w:sz w:val="24"/>
          <w:szCs w:val="24"/>
          <w:shd w:val="clear" w:color="auto" w:fill="FFFFFF"/>
        </w:rPr>
        <w:t>, exemplifies strategic hedging and global diversification.</w:t>
      </w:r>
    </w:p>
    <w:p w14:paraId="222F0FFD" w14:textId="77777777" w:rsidR="00317718" w:rsidRPr="00B540D3" w:rsidRDefault="00317718" w:rsidP="00D522C7">
      <w:pPr>
        <w:spacing w:after="0" w:line="360" w:lineRule="auto"/>
        <w:ind w:firstLine="360"/>
        <w:jc w:val="both"/>
        <w:rPr>
          <w:rFonts w:ascii="Times New Roman" w:eastAsia="Times New Roman" w:hAnsi="Times New Roman" w:cs="Times New Roman"/>
          <w:sz w:val="24"/>
          <w:szCs w:val="24"/>
          <w:lang w:eastAsia="en-GB"/>
        </w:rPr>
      </w:pPr>
    </w:p>
    <w:p w14:paraId="6F8DFF24" w14:textId="7BA35EFD" w:rsidR="00E92D5D" w:rsidRPr="00B540D3" w:rsidRDefault="003C636D" w:rsidP="00D522C7">
      <w:pPr>
        <w:spacing w:after="0" w:line="360" w:lineRule="auto"/>
        <w:ind w:firstLine="360"/>
        <w:jc w:val="both"/>
        <w:rPr>
          <w:rFonts w:ascii="Times New Roman" w:eastAsia="Times New Roman" w:hAnsi="Times New Roman" w:cs="Times New Roman"/>
          <w:b/>
          <w:bCs/>
          <w:sz w:val="24"/>
          <w:szCs w:val="24"/>
          <w:lang w:eastAsia="en-GB"/>
        </w:rPr>
      </w:pPr>
      <w:r w:rsidRPr="00B540D3">
        <w:rPr>
          <w:rFonts w:ascii="Times New Roman" w:eastAsia="Times New Roman" w:hAnsi="Times New Roman" w:cs="Times New Roman"/>
          <w:b/>
          <w:bCs/>
          <w:sz w:val="24"/>
          <w:szCs w:val="24"/>
          <w:lang w:eastAsia="en-GB"/>
        </w:rPr>
        <w:t xml:space="preserve">5. </w:t>
      </w:r>
      <w:r w:rsidR="00E92D5D" w:rsidRPr="00B540D3">
        <w:rPr>
          <w:rFonts w:ascii="Times New Roman" w:eastAsia="Times New Roman" w:hAnsi="Times New Roman" w:cs="Times New Roman"/>
          <w:b/>
          <w:bCs/>
          <w:sz w:val="24"/>
          <w:szCs w:val="24"/>
          <w:lang w:eastAsia="en-GB"/>
        </w:rPr>
        <w:t>Conclusion</w:t>
      </w:r>
    </w:p>
    <w:p w14:paraId="62598A50" w14:textId="317CF6B7" w:rsidR="00577791" w:rsidRPr="000F1D39" w:rsidRDefault="000F1D39" w:rsidP="000F1D39">
      <w:pPr>
        <w:spacing w:line="360" w:lineRule="auto"/>
        <w:ind w:firstLine="360"/>
        <w:jc w:val="both"/>
        <w:rPr>
          <w:rFonts w:ascii="Times New Roman" w:hAnsi="Times New Roman" w:cs="Times New Roman"/>
          <w:b/>
          <w:bCs/>
          <w:sz w:val="24"/>
          <w:szCs w:val="24"/>
          <w:lang w:val="en-US"/>
        </w:rPr>
      </w:pPr>
      <w:r w:rsidRPr="000F1D39">
        <w:rPr>
          <w:rFonts w:ascii="Times New Roman" w:eastAsia="Times New Roman" w:hAnsi="Times New Roman" w:cs="Times New Roman"/>
          <w:sz w:val="24"/>
          <w:szCs w:val="24"/>
          <w:lang w:eastAsia="en-GB"/>
        </w:rPr>
        <w:t>T</w:t>
      </w:r>
      <w:r w:rsidRPr="000F1D39">
        <w:rPr>
          <w:rFonts w:ascii="Times New Roman" w:hAnsi="Times New Roman" w:cs="Times New Roman"/>
          <w:color w:val="0D0D0D"/>
          <w:sz w:val="24"/>
          <w:szCs w:val="24"/>
          <w:shd w:val="clear" w:color="auto" w:fill="FFFFFF"/>
        </w:rPr>
        <w:t>he management of foreign exchange risks in international financial management is a complex but essential component of multinational corporations' strategic planning. By leveraging theoretical frameworks and employing a mix of hedging strategies, MNCs can navigate the uncertainties of global currency markets. Our report has demonstrated, through the practical example of Apple Inc., how effective FX risk management supports the financial stability and strategic objectives of multinational firms.</w:t>
      </w:r>
      <w:r w:rsidR="00E37E9E">
        <w:rPr>
          <w:rFonts w:ascii="Times New Roman" w:hAnsi="Times New Roman" w:cs="Times New Roman"/>
          <w:color w:val="0D0D0D"/>
          <w:sz w:val="24"/>
          <w:szCs w:val="24"/>
          <w:shd w:val="clear" w:color="auto" w:fill="FFFFFF"/>
        </w:rPr>
        <w:t xml:space="preserve"> Also, the Tesla Inc. example is a great illustration of using forward contracts and options on top of building different Gigafactories in different </w:t>
      </w:r>
      <w:r w:rsidR="00F239C8">
        <w:rPr>
          <w:rFonts w:ascii="Times New Roman" w:hAnsi="Times New Roman" w:cs="Times New Roman"/>
          <w:color w:val="0D0D0D"/>
          <w:sz w:val="24"/>
          <w:szCs w:val="24"/>
          <w:shd w:val="clear" w:color="auto" w:fill="FFFFFF"/>
        </w:rPr>
        <w:t>parts</w:t>
      </w:r>
      <w:r w:rsidR="00E37E9E">
        <w:rPr>
          <w:rFonts w:ascii="Times New Roman" w:hAnsi="Times New Roman" w:cs="Times New Roman"/>
          <w:color w:val="0D0D0D"/>
          <w:sz w:val="24"/>
          <w:szCs w:val="24"/>
          <w:shd w:val="clear" w:color="auto" w:fill="FFFFFF"/>
        </w:rPr>
        <w:t xml:space="preserve"> of the world: in the USA, China, and Germany.</w:t>
      </w:r>
    </w:p>
    <w:p w14:paraId="6E75CD13" w14:textId="77777777" w:rsidR="00577791" w:rsidRPr="000F1D39" w:rsidRDefault="00577791" w:rsidP="00D522C7">
      <w:pPr>
        <w:pStyle w:val="ListParagraph"/>
        <w:spacing w:line="360" w:lineRule="auto"/>
        <w:jc w:val="both"/>
        <w:rPr>
          <w:rFonts w:ascii="Times New Roman" w:hAnsi="Times New Roman" w:cs="Times New Roman"/>
          <w:b/>
          <w:bCs/>
          <w:sz w:val="24"/>
          <w:szCs w:val="24"/>
          <w:lang w:val="en-US"/>
        </w:rPr>
      </w:pPr>
    </w:p>
    <w:p w14:paraId="6FAEC9D4" w14:textId="77777777" w:rsidR="00577791" w:rsidRPr="000F1D39" w:rsidRDefault="00577791" w:rsidP="00D522C7">
      <w:pPr>
        <w:pStyle w:val="ListParagraph"/>
        <w:spacing w:line="360" w:lineRule="auto"/>
        <w:jc w:val="both"/>
        <w:rPr>
          <w:rFonts w:ascii="Times New Roman" w:hAnsi="Times New Roman" w:cs="Times New Roman"/>
          <w:b/>
          <w:bCs/>
          <w:sz w:val="24"/>
          <w:szCs w:val="24"/>
          <w:lang w:val="en-US"/>
        </w:rPr>
      </w:pPr>
    </w:p>
    <w:p w14:paraId="248EF711" w14:textId="509FDF38" w:rsidR="00577791" w:rsidRPr="00577791" w:rsidRDefault="00577791" w:rsidP="00D522C7">
      <w:pPr>
        <w:pStyle w:val="ListParagraph"/>
        <w:spacing w:line="360" w:lineRule="auto"/>
        <w:jc w:val="both"/>
        <w:rPr>
          <w:rFonts w:ascii="Times New Roman" w:hAnsi="Times New Roman" w:cs="Times New Roman"/>
          <w:b/>
          <w:bCs/>
          <w:sz w:val="24"/>
          <w:szCs w:val="24"/>
          <w:lang w:val="en-US"/>
        </w:rPr>
      </w:pPr>
      <w:r w:rsidRPr="00577791">
        <w:rPr>
          <w:rFonts w:ascii="Times New Roman" w:hAnsi="Times New Roman" w:cs="Times New Roman"/>
          <w:b/>
          <w:bCs/>
          <w:sz w:val="24"/>
          <w:szCs w:val="24"/>
          <w:lang w:val="en-US"/>
        </w:rPr>
        <w:lastRenderedPageBreak/>
        <w:t>Reference:</w:t>
      </w:r>
    </w:p>
    <w:p w14:paraId="5930E8F3" w14:textId="13ACAE92" w:rsidR="00577791" w:rsidRPr="00152F80" w:rsidRDefault="00152F80" w:rsidP="00152F80">
      <w:pPr>
        <w:pStyle w:val="ListParagraph"/>
        <w:numPr>
          <w:ilvl w:val="0"/>
          <w:numId w:val="11"/>
        </w:num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w:t>
      </w:r>
      <w:r w:rsidRPr="0085176B">
        <w:rPr>
          <w:rFonts w:ascii="Times New Roman" w:eastAsia="Times New Roman" w:hAnsi="Times New Roman" w:cs="Times New Roman"/>
          <w:color w:val="0D0D0D"/>
          <w:sz w:val="24"/>
          <w:szCs w:val="24"/>
          <w:lang w:eastAsia="en-GB"/>
        </w:rPr>
        <w:t>abo, T., &amp; Simkins, B. (2005). Interaction between Real Options and Financial Hedging: The Case of Non-Ferrous Metals Management. Journal of Financial and Quantitative Analysis, 40(1), 105-125</w:t>
      </w:r>
      <w:r>
        <w:rPr>
          <w:rFonts w:ascii="Times New Roman" w:eastAsia="Times New Roman" w:hAnsi="Times New Roman" w:cs="Times New Roman"/>
          <w:color w:val="0D0D0D"/>
          <w:sz w:val="24"/>
          <w:szCs w:val="24"/>
          <w:lang w:eastAsia="en-GB"/>
        </w:rPr>
        <w:t>.</w:t>
      </w:r>
    </w:p>
    <w:p w14:paraId="5D5371DA" w14:textId="2EF0F722" w:rsidR="00152F80" w:rsidRPr="00152F80" w:rsidRDefault="00152F80" w:rsidP="00152F80">
      <w:pPr>
        <w:pStyle w:val="ListParagraph"/>
        <w:numPr>
          <w:ilvl w:val="0"/>
          <w:numId w:val="11"/>
        </w:numPr>
        <w:spacing w:after="0" w:line="360" w:lineRule="auto"/>
        <w:jc w:val="both"/>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A</w:t>
      </w:r>
      <w:r w:rsidRPr="0085176B">
        <w:rPr>
          <w:rFonts w:ascii="Times New Roman" w:eastAsia="Times New Roman" w:hAnsi="Times New Roman" w:cs="Times New Roman"/>
          <w:color w:val="0D0D0D"/>
          <w:sz w:val="24"/>
          <w:szCs w:val="24"/>
          <w:lang w:eastAsia="en-GB"/>
        </w:rPr>
        <w:t>llayannis</w:t>
      </w:r>
      <w:proofErr w:type="spellEnd"/>
      <w:r w:rsidRPr="0085176B">
        <w:rPr>
          <w:rFonts w:ascii="Times New Roman" w:eastAsia="Times New Roman" w:hAnsi="Times New Roman" w:cs="Times New Roman"/>
          <w:color w:val="0D0D0D"/>
          <w:sz w:val="24"/>
          <w:szCs w:val="24"/>
          <w:lang w:eastAsia="en-GB"/>
        </w:rPr>
        <w:t>, G., Ihrig, J., &amp; Weston, J.P. (2001). Exchange-rate Hedging: Financial versus Operational Strategies. American Economic Review, 91(2), 391-395</w:t>
      </w:r>
      <w:r>
        <w:rPr>
          <w:rFonts w:ascii="Times New Roman" w:eastAsia="Times New Roman" w:hAnsi="Times New Roman" w:cs="Times New Roman"/>
          <w:color w:val="0D0D0D"/>
          <w:sz w:val="24"/>
          <w:szCs w:val="24"/>
          <w:lang w:eastAsia="en-GB"/>
        </w:rPr>
        <w:t>.</w:t>
      </w:r>
    </w:p>
    <w:p w14:paraId="248AE88E" w14:textId="3352B6E7" w:rsidR="00152F80" w:rsidRPr="00152F80" w:rsidRDefault="00152F80" w:rsidP="00152F80">
      <w:pPr>
        <w:pStyle w:val="ListParagraph"/>
        <w:numPr>
          <w:ilvl w:val="0"/>
          <w:numId w:val="11"/>
        </w:num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color w:val="0D0D0D"/>
          <w:sz w:val="24"/>
          <w:szCs w:val="24"/>
          <w:lang w:eastAsia="en-GB"/>
        </w:rPr>
        <w:t>B</w:t>
      </w:r>
      <w:r w:rsidRPr="0085176B">
        <w:rPr>
          <w:rFonts w:ascii="Times New Roman" w:eastAsia="Times New Roman" w:hAnsi="Times New Roman" w:cs="Times New Roman"/>
          <w:color w:val="0D0D0D"/>
          <w:sz w:val="24"/>
          <w:szCs w:val="24"/>
          <w:lang w:eastAsia="en-GB"/>
        </w:rPr>
        <w:t xml:space="preserve">artram, S.M., Brown, G.W., &amp; </w:t>
      </w:r>
      <w:proofErr w:type="spellStart"/>
      <w:r w:rsidRPr="0085176B">
        <w:rPr>
          <w:rFonts w:ascii="Times New Roman" w:eastAsia="Times New Roman" w:hAnsi="Times New Roman" w:cs="Times New Roman"/>
          <w:color w:val="0D0D0D"/>
          <w:sz w:val="24"/>
          <w:szCs w:val="24"/>
          <w:lang w:eastAsia="en-GB"/>
        </w:rPr>
        <w:t>Fehle</w:t>
      </w:r>
      <w:proofErr w:type="spellEnd"/>
      <w:r w:rsidRPr="0085176B">
        <w:rPr>
          <w:rFonts w:ascii="Times New Roman" w:eastAsia="Times New Roman" w:hAnsi="Times New Roman" w:cs="Times New Roman"/>
          <w:color w:val="0D0D0D"/>
          <w:sz w:val="24"/>
          <w:szCs w:val="24"/>
          <w:lang w:eastAsia="en-GB"/>
        </w:rPr>
        <w:t>, F.R. (2009). International Evidence on Financial Derivatives Usage. Financial Management, 38(1), 185-206</w:t>
      </w:r>
      <w:r>
        <w:rPr>
          <w:rFonts w:ascii="Times New Roman" w:eastAsia="Times New Roman" w:hAnsi="Times New Roman" w:cs="Times New Roman"/>
          <w:color w:val="0D0D0D"/>
          <w:sz w:val="24"/>
          <w:szCs w:val="24"/>
          <w:lang w:eastAsia="en-GB"/>
        </w:rPr>
        <w:t>.</w:t>
      </w:r>
    </w:p>
    <w:p w14:paraId="6A0B7676" w14:textId="77777777" w:rsidR="00152F80" w:rsidRPr="0053740B" w:rsidRDefault="00152F80" w:rsidP="00152F80">
      <w:pPr>
        <w:pStyle w:val="ListParagraph"/>
        <w:numPr>
          <w:ilvl w:val="0"/>
          <w:numId w:val="11"/>
        </w:numPr>
        <w:spacing w:line="360" w:lineRule="auto"/>
        <w:rPr>
          <w:rFonts w:ascii="Times New Roman" w:hAnsi="Times New Roman" w:cs="Times New Roman"/>
          <w:sz w:val="24"/>
          <w:szCs w:val="24"/>
          <w:lang w:val="en-US"/>
        </w:rPr>
      </w:pPr>
      <w:r w:rsidRPr="0053740B">
        <w:rPr>
          <w:rFonts w:ascii="Times New Roman" w:hAnsi="Times New Roman" w:cs="Times New Roman"/>
          <w:color w:val="0D0D0D"/>
          <w:sz w:val="24"/>
          <w:szCs w:val="24"/>
          <w:shd w:val="clear" w:color="auto" w:fill="FFFFFF"/>
        </w:rPr>
        <w:t>Brigham, E.F., &amp; Ehrhardt, M.C. (2016) Financial Management: Theory &amp; Practice</w:t>
      </w:r>
    </w:p>
    <w:p w14:paraId="2A8F859C" w14:textId="3EB5DDCD" w:rsidR="00152F80" w:rsidRPr="00152F80" w:rsidRDefault="00152F80" w:rsidP="00152F80">
      <w:pPr>
        <w:pStyle w:val="ListParagraph"/>
        <w:numPr>
          <w:ilvl w:val="0"/>
          <w:numId w:val="11"/>
        </w:num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w:t>
      </w:r>
      <w:r w:rsidRPr="0085176B">
        <w:rPr>
          <w:rFonts w:ascii="Times New Roman" w:eastAsia="Times New Roman" w:hAnsi="Times New Roman" w:cs="Times New Roman"/>
          <w:color w:val="0D0D0D"/>
          <w:sz w:val="24"/>
          <w:szCs w:val="24"/>
          <w:lang w:eastAsia="en-GB"/>
        </w:rPr>
        <w:t>hinn, M.D., &amp; Meredith, G. (2004). Monetary Policy and Long-Horizon Uncovered Interest Parity. IMF Staff Papers, 51(3), 409-430</w:t>
      </w:r>
      <w:r>
        <w:rPr>
          <w:rFonts w:ascii="Times New Roman" w:eastAsia="Times New Roman" w:hAnsi="Times New Roman" w:cs="Times New Roman"/>
          <w:color w:val="0D0D0D"/>
          <w:sz w:val="24"/>
          <w:szCs w:val="24"/>
          <w:lang w:eastAsia="en-GB"/>
        </w:rPr>
        <w:t>.</w:t>
      </w:r>
    </w:p>
    <w:p w14:paraId="5455EBB3" w14:textId="3C2BBC5C" w:rsidR="00152F80" w:rsidRPr="00152F80" w:rsidRDefault="00152F80" w:rsidP="00152F80">
      <w:pPr>
        <w:pStyle w:val="ListParagraph"/>
        <w:numPr>
          <w:ilvl w:val="0"/>
          <w:numId w:val="11"/>
        </w:num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J</w:t>
      </w:r>
      <w:r w:rsidRPr="0085176B">
        <w:rPr>
          <w:rFonts w:ascii="Times New Roman" w:eastAsia="Times New Roman" w:hAnsi="Times New Roman" w:cs="Times New Roman"/>
          <w:color w:val="0D0D0D"/>
          <w:sz w:val="24"/>
          <w:szCs w:val="24"/>
          <w:lang w:eastAsia="en-GB"/>
        </w:rPr>
        <w:t xml:space="preserve">in, Y., &amp; </w:t>
      </w:r>
      <w:proofErr w:type="spellStart"/>
      <w:r w:rsidRPr="0085176B">
        <w:rPr>
          <w:rFonts w:ascii="Times New Roman" w:eastAsia="Times New Roman" w:hAnsi="Times New Roman" w:cs="Times New Roman"/>
          <w:color w:val="0D0D0D"/>
          <w:sz w:val="24"/>
          <w:szCs w:val="24"/>
          <w:lang w:eastAsia="en-GB"/>
        </w:rPr>
        <w:t>Jorion</w:t>
      </w:r>
      <w:proofErr w:type="spellEnd"/>
      <w:r w:rsidRPr="0085176B">
        <w:rPr>
          <w:rFonts w:ascii="Times New Roman" w:eastAsia="Times New Roman" w:hAnsi="Times New Roman" w:cs="Times New Roman"/>
          <w:color w:val="0D0D0D"/>
          <w:sz w:val="24"/>
          <w:szCs w:val="24"/>
          <w:lang w:eastAsia="en-GB"/>
        </w:rPr>
        <w:t>, P. (2006). Firm Value and Hedging: Evidence from US Oil and Gas Producers. Journal of Finance, 61(2), 893-919</w:t>
      </w:r>
      <w:r>
        <w:rPr>
          <w:rFonts w:ascii="Times New Roman" w:eastAsia="Times New Roman" w:hAnsi="Times New Roman" w:cs="Times New Roman"/>
          <w:color w:val="0D0D0D"/>
          <w:sz w:val="24"/>
          <w:szCs w:val="24"/>
          <w:lang w:eastAsia="en-GB"/>
        </w:rPr>
        <w:t>.</w:t>
      </w:r>
    </w:p>
    <w:p w14:paraId="6925CC61" w14:textId="77777777" w:rsidR="00152F80" w:rsidRPr="0053740B" w:rsidRDefault="00152F80" w:rsidP="00152F80">
      <w:pPr>
        <w:pStyle w:val="ListParagraph"/>
        <w:numPr>
          <w:ilvl w:val="0"/>
          <w:numId w:val="11"/>
        </w:numPr>
        <w:spacing w:line="360" w:lineRule="auto"/>
        <w:rPr>
          <w:rFonts w:ascii="Times New Roman" w:hAnsi="Times New Roman" w:cs="Times New Roman"/>
          <w:sz w:val="24"/>
          <w:szCs w:val="24"/>
          <w:lang w:val="en-US"/>
        </w:rPr>
      </w:pPr>
      <w:r w:rsidRPr="0053740B">
        <w:rPr>
          <w:rFonts w:ascii="Times New Roman" w:hAnsi="Times New Roman" w:cs="Times New Roman"/>
          <w:color w:val="0D0D0D"/>
          <w:sz w:val="24"/>
          <w:szCs w:val="24"/>
          <w:shd w:val="clear" w:color="auto" w:fill="FFFFFF"/>
        </w:rPr>
        <w:t>Madura, J. (2017) International Financial Management</w:t>
      </w:r>
    </w:p>
    <w:p w14:paraId="3277E1C4" w14:textId="7435F5B9" w:rsidR="00152F80" w:rsidRPr="00152F80" w:rsidRDefault="00152F80" w:rsidP="00152F80">
      <w:pPr>
        <w:pStyle w:val="ListParagraph"/>
        <w:numPr>
          <w:ilvl w:val="0"/>
          <w:numId w:val="11"/>
        </w:num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w:t>
      </w:r>
      <w:r w:rsidRPr="0085176B">
        <w:rPr>
          <w:rFonts w:ascii="Times New Roman" w:eastAsia="Times New Roman" w:hAnsi="Times New Roman" w:cs="Times New Roman"/>
          <w:color w:val="0D0D0D"/>
          <w:sz w:val="24"/>
          <w:szCs w:val="24"/>
          <w:lang w:eastAsia="en-GB"/>
        </w:rPr>
        <w:t>ogoff, K. (1996). The Purchasing Power Parity Puzzle. Journal of Economic Literature, 34(2), 647-668</w:t>
      </w:r>
      <w:r>
        <w:rPr>
          <w:rFonts w:ascii="Times New Roman" w:eastAsia="Times New Roman" w:hAnsi="Times New Roman" w:cs="Times New Roman"/>
          <w:color w:val="0D0D0D"/>
          <w:sz w:val="24"/>
          <w:szCs w:val="24"/>
          <w:lang w:eastAsia="en-GB"/>
        </w:rPr>
        <w:t>.</w:t>
      </w:r>
    </w:p>
    <w:p w14:paraId="362886C7" w14:textId="1EE9AD9B" w:rsidR="00152F80" w:rsidRPr="00152F80" w:rsidRDefault="00152F80" w:rsidP="00152F80">
      <w:pPr>
        <w:pStyle w:val="ListParagraph"/>
        <w:numPr>
          <w:ilvl w:val="0"/>
          <w:numId w:val="11"/>
        </w:numPr>
        <w:spacing w:line="360" w:lineRule="auto"/>
        <w:rPr>
          <w:rFonts w:ascii="Times New Roman" w:hAnsi="Times New Roman" w:cs="Times New Roman"/>
          <w:sz w:val="24"/>
          <w:szCs w:val="24"/>
          <w:lang w:val="en-US"/>
        </w:rPr>
      </w:pPr>
      <w:r w:rsidRPr="0053740B">
        <w:rPr>
          <w:rFonts w:ascii="Times New Roman" w:hAnsi="Times New Roman" w:cs="Times New Roman"/>
          <w:color w:val="0D0D0D"/>
          <w:sz w:val="24"/>
          <w:szCs w:val="24"/>
          <w:shd w:val="clear" w:color="auto" w:fill="FFFFFF"/>
        </w:rPr>
        <w:t>Shapiro, A. C. (2014) Multinational Financial Management</w:t>
      </w:r>
      <w:r>
        <w:rPr>
          <w:rFonts w:ascii="Times New Roman" w:hAnsi="Times New Roman" w:cs="Times New Roman"/>
          <w:color w:val="0D0D0D"/>
          <w:sz w:val="24"/>
          <w:szCs w:val="24"/>
          <w:shd w:val="clear" w:color="auto" w:fill="FFFFFF"/>
        </w:rPr>
        <w:t>.</w:t>
      </w:r>
    </w:p>
    <w:p w14:paraId="60F89E35" w14:textId="2BD74102" w:rsidR="00152F80" w:rsidRPr="00152F80" w:rsidRDefault="00152F80" w:rsidP="00152F80">
      <w:pPr>
        <w:pStyle w:val="ListParagraph"/>
        <w:numPr>
          <w:ilvl w:val="0"/>
          <w:numId w:val="11"/>
        </w:num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Pr="0085176B">
        <w:rPr>
          <w:rFonts w:ascii="Times New Roman" w:eastAsia="Times New Roman" w:hAnsi="Times New Roman" w:cs="Times New Roman"/>
          <w:color w:val="0D0D0D"/>
          <w:sz w:val="24"/>
          <w:szCs w:val="24"/>
          <w:lang w:eastAsia="en-GB"/>
        </w:rPr>
        <w:t>aylor, M.P. (1995). The Economics of Exchange Rates. Journal of Economic Literature, 33(1), 13-47</w:t>
      </w:r>
      <w:r>
        <w:rPr>
          <w:rFonts w:ascii="Times New Roman" w:eastAsia="Times New Roman" w:hAnsi="Times New Roman" w:cs="Times New Roman"/>
          <w:color w:val="0D0D0D"/>
          <w:sz w:val="24"/>
          <w:szCs w:val="24"/>
          <w:lang w:eastAsia="en-GB"/>
        </w:rPr>
        <w:t>.</w:t>
      </w:r>
    </w:p>
    <w:p w14:paraId="341176F3" w14:textId="07941F9A" w:rsidR="00152F80" w:rsidRPr="00577791" w:rsidRDefault="00152F80" w:rsidP="00152F80">
      <w:pPr>
        <w:pStyle w:val="ListParagraph"/>
        <w:numPr>
          <w:ilvl w:val="0"/>
          <w:numId w:val="11"/>
        </w:numPr>
        <w:spacing w:after="0"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Appel Inc. 2020 financial report: </w:t>
      </w:r>
      <w:hyperlink r:id="rId11" w:history="1">
        <w:r w:rsidRPr="009C3CC3">
          <w:rPr>
            <w:rStyle w:val="Hyperlink"/>
            <w:rFonts w:ascii="Times New Roman" w:hAnsi="Times New Roman" w:cs="Times New Roman"/>
            <w:sz w:val="24"/>
            <w:szCs w:val="24"/>
          </w:rPr>
          <w:t>https://s2.q4cdn.com/470004039/files/doc_financials/2020/ar/_10-K-2020-(As-Filed).pdf</w:t>
        </w:r>
      </w:hyperlink>
      <w:r>
        <w:t xml:space="preserve">, access 30 March 2020. </w:t>
      </w:r>
    </w:p>
    <w:sectPr w:rsidR="00152F80" w:rsidRPr="00577791" w:rsidSect="00182CB5">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CC8D6" w14:textId="77777777" w:rsidR="00182CB5" w:rsidRDefault="00182CB5" w:rsidP="007168BE">
      <w:pPr>
        <w:spacing w:after="0" w:line="240" w:lineRule="auto"/>
      </w:pPr>
      <w:r>
        <w:separator/>
      </w:r>
    </w:p>
  </w:endnote>
  <w:endnote w:type="continuationSeparator" w:id="0">
    <w:p w14:paraId="57234859" w14:textId="77777777" w:rsidR="00182CB5" w:rsidRDefault="00182CB5" w:rsidP="00716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4133656"/>
      <w:docPartObj>
        <w:docPartGallery w:val="Page Numbers (Bottom of Page)"/>
        <w:docPartUnique/>
      </w:docPartObj>
    </w:sdtPr>
    <w:sdtEndPr>
      <w:rPr>
        <w:noProof/>
      </w:rPr>
    </w:sdtEndPr>
    <w:sdtContent>
      <w:p w14:paraId="03A9ADA9" w14:textId="73B923B5" w:rsidR="007168BE" w:rsidRDefault="007168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89BA0B" w14:textId="77777777" w:rsidR="007168BE" w:rsidRDefault="00716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F4542" w14:textId="77777777" w:rsidR="00182CB5" w:rsidRDefault="00182CB5" w:rsidP="007168BE">
      <w:pPr>
        <w:spacing w:after="0" w:line="240" w:lineRule="auto"/>
      </w:pPr>
      <w:r>
        <w:separator/>
      </w:r>
    </w:p>
  </w:footnote>
  <w:footnote w:type="continuationSeparator" w:id="0">
    <w:p w14:paraId="10C9127D" w14:textId="77777777" w:rsidR="00182CB5" w:rsidRDefault="00182CB5" w:rsidP="007168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2564"/>
    <w:multiLevelType w:val="multilevel"/>
    <w:tmpl w:val="FC82BE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583189D"/>
    <w:multiLevelType w:val="hybridMultilevel"/>
    <w:tmpl w:val="179285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F483C"/>
    <w:multiLevelType w:val="hybridMultilevel"/>
    <w:tmpl w:val="B36CE27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F698F"/>
    <w:multiLevelType w:val="hybridMultilevel"/>
    <w:tmpl w:val="B70E0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FC50EC"/>
    <w:multiLevelType w:val="hybridMultilevel"/>
    <w:tmpl w:val="F718F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1D0C5A"/>
    <w:multiLevelType w:val="hybridMultilevel"/>
    <w:tmpl w:val="4852D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BA3A07"/>
    <w:multiLevelType w:val="hybridMultilevel"/>
    <w:tmpl w:val="E8CC7128"/>
    <w:lvl w:ilvl="0" w:tplc="9990C99E">
      <w:start w:val="1"/>
      <w:numFmt w:val="decimal"/>
      <w:lvlText w:val="%1."/>
      <w:lvlJc w:val="left"/>
      <w:pPr>
        <w:tabs>
          <w:tab w:val="num" w:pos="720"/>
        </w:tabs>
        <w:ind w:left="720" w:hanging="360"/>
      </w:pPr>
      <w:rPr>
        <w:rFonts w:ascii="Times New Roman" w:eastAsia="Times New Roman" w:hAnsi="Times New Roman" w:cs="Times New Roman"/>
      </w:rPr>
    </w:lvl>
    <w:lvl w:ilvl="1" w:tplc="E0FA700C" w:tentative="1">
      <w:start w:val="1"/>
      <w:numFmt w:val="bullet"/>
      <w:lvlText w:val="•"/>
      <w:lvlJc w:val="left"/>
      <w:pPr>
        <w:tabs>
          <w:tab w:val="num" w:pos="1440"/>
        </w:tabs>
        <w:ind w:left="1440" w:hanging="360"/>
      </w:pPr>
      <w:rPr>
        <w:rFonts w:ascii="Arial" w:hAnsi="Arial" w:hint="default"/>
      </w:rPr>
    </w:lvl>
    <w:lvl w:ilvl="2" w:tplc="1102F75A" w:tentative="1">
      <w:start w:val="1"/>
      <w:numFmt w:val="bullet"/>
      <w:lvlText w:val="•"/>
      <w:lvlJc w:val="left"/>
      <w:pPr>
        <w:tabs>
          <w:tab w:val="num" w:pos="2160"/>
        </w:tabs>
        <w:ind w:left="2160" w:hanging="360"/>
      </w:pPr>
      <w:rPr>
        <w:rFonts w:ascii="Arial" w:hAnsi="Arial" w:hint="default"/>
      </w:rPr>
    </w:lvl>
    <w:lvl w:ilvl="3" w:tplc="BB2ABDDC" w:tentative="1">
      <w:start w:val="1"/>
      <w:numFmt w:val="bullet"/>
      <w:lvlText w:val="•"/>
      <w:lvlJc w:val="left"/>
      <w:pPr>
        <w:tabs>
          <w:tab w:val="num" w:pos="2880"/>
        </w:tabs>
        <w:ind w:left="2880" w:hanging="360"/>
      </w:pPr>
      <w:rPr>
        <w:rFonts w:ascii="Arial" w:hAnsi="Arial" w:hint="default"/>
      </w:rPr>
    </w:lvl>
    <w:lvl w:ilvl="4" w:tplc="2A7EAF26" w:tentative="1">
      <w:start w:val="1"/>
      <w:numFmt w:val="bullet"/>
      <w:lvlText w:val="•"/>
      <w:lvlJc w:val="left"/>
      <w:pPr>
        <w:tabs>
          <w:tab w:val="num" w:pos="3600"/>
        </w:tabs>
        <w:ind w:left="3600" w:hanging="360"/>
      </w:pPr>
      <w:rPr>
        <w:rFonts w:ascii="Arial" w:hAnsi="Arial" w:hint="default"/>
      </w:rPr>
    </w:lvl>
    <w:lvl w:ilvl="5" w:tplc="CA5841D0" w:tentative="1">
      <w:start w:val="1"/>
      <w:numFmt w:val="bullet"/>
      <w:lvlText w:val="•"/>
      <w:lvlJc w:val="left"/>
      <w:pPr>
        <w:tabs>
          <w:tab w:val="num" w:pos="4320"/>
        </w:tabs>
        <w:ind w:left="4320" w:hanging="360"/>
      </w:pPr>
      <w:rPr>
        <w:rFonts w:ascii="Arial" w:hAnsi="Arial" w:hint="default"/>
      </w:rPr>
    </w:lvl>
    <w:lvl w:ilvl="6" w:tplc="2B12955C" w:tentative="1">
      <w:start w:val="1"/>
      <w:numFmt w:val="bullet"/>
      <w:lvlText w:val="•"/>
      <w:lvlJc w:val="left"/>
      <w:pPr>
        <w:tabs>
          <w:tab w:val="num" w:pos="5040"/>
        </w:tabs>
        <w:ind w:left="5040" w:hanging="360"/>
      </w:pPr>
      <w:rPr>
        <w:rFonts w:ascii="Arial" w:hAnsi="Arial" w:hint="default"/>
      </w:rPr>
    </w:lvl>
    <w:lvl w:ilvl="7" w:tplc="7694A7D4" w:tentative="1">
      <w:start w:val="1"/>
      <w:numFmt w:val="bullet"/>
      <w:lvlText w:val="•"/>
      <w:lvlJc w:val="left"/>
      <w:pPr>
        <w:tabs>
          <w:tab w:val="num" w:pos="5760"/>
        </w:tabs>
        <w:ind w:left="5760" w:hanging="360"/>
      </w:pPr>
      <w:rPr>
        <w:rFonts w:ascii="Arial" w:hAnsi="Arial" w:hint="default"/>
      </w:rPr>
    </w:lvl>
    <w:lvl w:ilvl="8" w:tplc="214CED2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8700E0C"/>
    <w:multiLevelType w:val="hybridMultilevel"/>
    <w:tmpl w:val="179285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DC51B74"/>
    <w:multiLevelType w:val="hybridMultilevel"/>
    <w:tmpl w:val="F536B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A83149"/>
    <w:multiLevelType w:val="hybridMultilevel"/>
    <w:tmpl w:val="BADAF102"/>
    <w:lvl w:ilvl="0" w:tplc="97AE6CAE">
      <w:start w:val="1"/>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1335AB"/>
    <w:multiLevelType w:val="hybridMultilevel"/>
    <w:tmpl w:val="3462F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6163DF"/>
    <w:multiLevelType w:val="multilevel"/>
    <w:tmpl w:val="9B708D06"/>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520" w:hanging="1440"/>
      </w:pPr>
      <w:rPr>
        <w:rFonts w:hint="default"/>
      </w:rPr>
    </w:lvl>
    <w:lvl w:ilvl="4">
      <w:start w:val="1"/>
      <w:numFmt w:val="decimal"/>
      <w:isLgl/>
      <w:lvlText w:val="%1.%2.%3.%4.%5."/>
      <w:lvlJc w:val="left"/>
      <w:pPr>
        <w:ind w:left="3240" w:hanging="1800"/>
      </w:pPr>
      <w:rPr>
        <w:rFonts w:hint="default"/>
      </w:rPr>
    </w:lvl>
    <w:lvl w:ilvl="5">
      <w:start w:val="1"/>
      <w:numFmt w:val="decimal"/>
      <w:isLgl/>
      <w:lvlText w:val="%1.%2.%3.%4.%5.%6."/>
      <w:lvlJc w:val="left"/>
      <w:pPr>
        <w:ind w:left="3960" w:hanging="2160"/>
      </w:pPr>
      <w:rPr>
        <w:rFonts w:hint="default"/>
      </w:rPr>
    </w:lvl>
    <w:lvl w:ilvl="6">
      <w:start w:val="1"/>
      <w:numFmt w:val="decimal"/>
      <w:isLgl/>
      <w:lvlText w:val="%1.%2.%3.%4.%5.%6.%7."/>
      <w:lvlJc w:val="left"/>
      <w:pPr>
        <w:ind w:left="4680" w:hanging="2520"/>
      </w:pPr>
      <w:rPr>
        <w:rFonts w:hint="default"/>
      </w:rPr>
    </w:lvl>
    <w:lvl w:ilvl="7">
      <w:start w:val="1"/>
      <w:numFmt w:val="decimal"/>
      <w:isLgl/>
      <w:lvlText w:val="%1.%2.%3.%4.%5.%6.%7.%8."/>
      <w:lvlJc w:val="left"/>
      <w:pPr>
        <w:ind w:left="5400" w:hanging="2880"/>
      </w:pPr>
      <w:rPr>
        <w:rFonts w:hint="default"/>
      </w:rPr>
    </w:lvl>
    <w:lvl w:ilvl="8">
      <w:start w:val="1"/>
      <w:numFmt w:val="decimal"/>
      <w:isLgl/>
      <w:lvlText w:val="%1.%2.%3.%4.%5.%6.%7.%8.%9."/>
      <w:lvlJc w:val="left"/>
      <w:pPr>
        <w:ind w:left="6120" w:hanging="3240"/>
      </w:pPr>
      <w:rPr>
        <w:rFonts w:hint="default"/>
      </w:rPr>
    </w:lvl>
  </w:abstractNum>
  <w:num w:numId="1" w16cid:durableId="873150325">
    <w:abstractNumId w:val="11"/>
  </w:num>
  <w:num w:numId="2" w16cid:durableId="1480730511">
    <w:abstractNumId w:val="0"/>
  </w:num>
  <w:num w:numId="3" w16cid:durableId="1902056087">
    <w:abstractNumId w:val="9"/>
  </w:num>
  <w:num w:numId="4" w16cid:durableId="1827627677">
    <w:abstractNumId w:val="4"/>
  </w:num>
  <w:num w:numId="5" w16cid:durableId="1490362616">
    <w:abstractNumId w:val="1"/>
  </w:num>
  <w:num w:numId="6" w16cid:durableId="273287629">
    <w:abstractNumId w:val="5"/>
  </w:num>
  <w:num w:numId="7" w16cid:durableId="1438866925">
    <w:abstractNumId w:val="10"/>
  </w:num>
  <w:num w:numId="8" w16cid:durableId="653490855">
    <w:abstractNumId w:val="7"/>
  </w:num>
  <w:num w:numId="9" w16cid:durableId="1045059802">
    <w:abstractNumId w:val="2"/>
  </w:num>
  <w:num w:numId="10" w16cid:durableId="1793477311">
    <w:abstractNumId w:val="6"/>
  </w:num>
  <w:num w:numId="11" w16cid:durableId="241960012">
    <w:abstractNumId w:val="8"/>
  </w:num>
  <w:num w:numId="12" w16cid:durableId="19777581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4C7"/>
    <w:rsid w:val="000079A6"/>
    <w:rsid w:val="000166FB"/>
    <w:rsid w:val="00017355"/>
    <w:rsid w:val="000341AE"/>
    <w:rsid w:val="00046595"/>
    <w:rsid w:val="00046FFF"/>
    <w:rsid w:val="00055A9A"/>
    <w:rsid w:val="00062A72"/>
    <w:rsid w:val="0007191E"/>
    <w:rsid w:val="000728AA"/>
    <w:rsid w:val="000759C0"/>
    <w:rsid w:val="00080D43"/>
    <w:rsid w:val="0008116A"/>
    <w:rsid w:val="000817C5"/>
    <w:rsid w:val="00086261"/>
    <w:rsid w:val="000A35FE"/>
    <w:rsid w:val="000A3E62"/>
    <w:rsid w:val="000B0609"/>
    <w:rsid w:val="000B1042"/>
    <w:rsid w:val="000B59EB"/>
    <w:rsid w:val="000C1F92"/>
    <w:rsid w:val="000C3240"/>
    <w:rsid w:val="000C66E0"/>
    <w:rsid w:val="000D2702"/>
    <w:rsid w:val="000D765F"/>
    <w:rsid w:val="000E57CD"/>
    <w:rsid w:val="000E7E61"/>
    <w:rsid w:val="000F1D39"/>
    <w:rsid w:val="000F39A6"/>
    <w:rsid w:val="000F4969"/>
    <w:rsid w:val="00101426"/>
    <w:rsid w:val="00103EE0"/>
    <w:rsid w:val="00110D94"/>
    <w:rsid w:val="0012064A"/>
    <w:rsid w:val="0012344C"/>
    <w:rsid w:val="00133FA3"/>
    <w:rsid w:val="00137677"/>
    <w:rsid w:val="00145EE0"/>
    <w:rsid w:val="00150D7A"/>
    <w:rsid w:val="00152F80"/>
    <w:rsid w:val="00153C49"/>
    <w:rsid w:val="00156331"/>
    <w:rsid w:val="00156D68"/>
    <w:rsid w:val="00157622"/>
    <w:rsid w:val="0017126C"/>
    <w:rsid w:val="0017783E"/>
    <w:rsid w:val="00182CB5"/>
    <w:rsid w:val="001863C7"/>
    <w:rsid w:val="001A588A"/>
    <w:rsid w:val="001D12F9"/>
    <w:rsid w:val="001D252A"/>
    <w:rsid w:val="001E095D"/>
    <w:rsid w:val="001E2ADB"/>
    <w:rsid w:val="001E52DA"/>
    <w:rsid w:val="001F02B8"/>
    <w:rsid w:val="001F3130"/>
    <w:rsid w:val="001F4DAF"/>
    <w:rsid w:val="00207116"/>
    <w:rsid w:val="00213EA7"/>
    <w:rsid w:val="00232675"/>
    <w:rsid w:val="00244657"/>
    <w:rsid w:val="00253EC1"/>
    <w:rsid w:val="00256DE2"/>
    <w:rsid w:val="002602D5"/>
    <w:rsid w:val="00263307"/>
    <w:rsid w:val="00270CA5"/>
    <w:rsid w:val="00275151"/>
    <w:rsid w:val="00282F47"/>
    <w:rsid w:val="002A7E0B"/>
    <w:rsid w:val="002D0242"/>
    <w:rsid w:val="002E3658"/>
    <w:rsid w:val="002F74D3"/>
    <w:rsid w:val="00310BE9"/>
    <w:rsid w:val="00311D1A"/>
    <w:rsid w:val="00317718"/>
    <w:rsid w:val="00330181"/>
    <w:rsid w:val="00333967"/>
    <w:rsid w:val="003423BD"/>
    <w:rsid w:val="00346B55"/>
    <w:rsid w:val="003479BB"/>
    <w:rsid w:val="003663C8"/>
    <w:rsid w:val="00371C17"/>
    <w:rsid w:val="003730BA"/>
    <w:rsid w:val="00373F7D"/>
    <w:rsid w:val="00384ADC"/>
    <w:rsid w:val="00395DC5"/>
    <w:rsid w:val="003A4182"/>
    <w:rsid w:val="003B7578"/>
    <w:rsid w:val="003C636D"/>
    <w:rsid w:val="003D33BF"/>
    <w:rsid w:val="003E623A"/>
    <w:rsid w:val="003F13B3"/>
    <w:rsid w:val="003F2F4E"/>
    <w:rsid w:val="003F3991"/>
    <w:rsid w:val="004131A2"/>
    <w:rsid w:val="00452501"/>
    <w:rsid w:val="00452B92"/>
    <w:rsid w:val="0045593C"/>
    <w:rsid w:val="00467835"/>
    <w:rsid w:val="00467935"/>
    <w:rsid w:val="00474B18"/>
    <w:rsid w:val="004818C3"/>
    <w:rsid w:val="00483FF4"/>
    <w:rsid w:val="004906AE"/>
    <w:rsid w:val="004916D2"/>
    <w:rsid w:val="004A26B8"/>
    <w:rsid w:val="004A798D"/>
    <w:rsid w:val="004C4C1F"/>
    <w:rsid w:val="004C6396"/>
    <w:rsid w:val="004D3CD2"/>
    <w:rsid w:val="004E3086"/>
    <w:rsid w:val="004F22C0"/>
    <w:rsid w:val="004F2A7C"/>
    <w:rsid w:val="004F6D38"/>
    <w:rsid w:val="00502CC7"/>
    <w:rsid w:val="00510730"/>
    <w:rsid w:val="0051377C"/>
    <w:rsid w:val="00531B84"/>
    <w:rsid w:val="00545127"/>
    <w:rsid w:val="005536C9"/>
    <w:rsid w:val="0055471F"/>
    <w:rsid w:val="005646E1"/>
    <w:rsid w:val="00577791"/>
    <w:rsid w:val="00594C2D"/>
    <w:rsid w:val="0059733A"/>
    <w:rsid w:val="00597678"/>
    <w:rsid w:val="005A7789"/>
    <w:rsid w:val="005B1AB7"/>
    <w:rsid w:val="005B216D"/>
    <w:rsid w:val="005B3B9E"/>
    <w:rsid w:val="005C34DD"/>
    <w:rsid w:val="005C7009"/>
    <w:rsid w:val="005E301A"/>
    <w:rsid w:val="005F72BF"/>
    <w:rsid w:val="00611E88"/>
    <w:rsid w:val="00617450"/>
    <w:rsid w:val="006240AC"/>
    <w:rsid w:val="00626013"/>
    <w:rsid w:val="00650145"/>
    <w:rsid w:val="00654891"/>
    <w:rsid w:val="006548E7"/>
    <w:rsid w:val="00655E0E"/>
    <w:rsid w:val="00661CE7"/>
    <w:rsid w:val="00680A9A"/>
    <w:rsid w:val="00695F96"/>
    <w:rsid w:val="006A3FBB"/>
    <w:rsid w:val="006A741D"/>
    <w:rsid w:val="006B5D22"/>
    <w:rsid w:val="006C2007"/>
    <w:rsid w:val="006C7A91"/>
    <w:rsid w:val="006D7C4A"/>
    <w:rsid w:val="006F44C7"/>
    <w:rsid w:val="006F45CC"/>
    <w:rsid w:val="00705FE9"/>
    <w:rsid w:val="007168BE"/>
    <w:rsid w:val="00717F73"/>
    <w:rsid w:val="00724B17"/>
    <w:rsid w:val="00734CE3"/>
    <w:rsid w:val="00736AC5"/>
    <w:rsid w:val="00736B41"/>
    <w:rsid w:val="00741942"/>
    <w:rsid w:val="0075180D"/>
    <w:rsid w:val="00770687"/>
    <w:rsid w:val="00773A8C"/>
    <w:rsid w:val="00786E75"/>
    <w:rsid w:val="007901DF"/>
    <w:rsid w:val="00791E11"/>
    <w:rsid w:val="00793A2A"/>
    <w:rsid w:val="007A5C67"/>
    <w:rsid w:val="007A5DE3"/>
    <w:rsid w:val="007A61E6"/>
    <w:rsid w:val="007D3B5B"/>
    <w:rsid w:val="007D7634"/>
    <w:rsid w:val="007F0C9E"/>
    <w:rsid w:val="007F1E1C"/>
    <w:rsid w:val="0080334C"/>
    <w:rsid w:val="0080730A"/>
    <w:rsid w:val="00813D4B"/>
    <w:rsid w:val="00821BA9"/>
    <w:rsid w:val="00825F67"/>
    <w:rsid w:val="00843323"/>
    <w:rsid w:val="0084621C"/>
    <w:rsid w:val="008574DF"/>
    <w:rsid w:val="00876B86"/>
    <w:rsid w:val="008853E9"/>
    <w:rsid w:val="00891089"/>
    <w:rsid w:val="00894551"/>
    <w:rsid w:val="008A27EB"/>
    <w:rsid w:val="008A3A29"/>
    <w:rsid w:val="008A767A"/>
    <w:rsid w:val="008B7A2C"/>
    <w:rsid w:val="008C0AD7"/>
    <w:rsid w:val="008C46E9"/>
    <w:rsid w:val="008C679E"/>
    <w:rsid w:val="008F7F61"/>
    <w:rsid w:val="00900697"/>
    <w:rsid w:val="00901F5F"/>
    <w:rsid w:val="0090441C"/>
    <w:rsid w:val="00921252"/>
    <w:rsid w:val="00930106"/>
    <w:rsid w:val="00945061"/>
    <w:rsid w:val="00945C21"/>
    <w:rsid w:val="009621B0"/>
    <w:rsid w:val="00986D40"/>
    <w:rsid w:val="0099599E"/>
    <w:rsid w:val="009A736A"/>
    <w:rsid w:val="009C311B"/>
    <w:rsid w:val="009C5F52"/>
    <w:rsid w:val="009E2D10"/>
    <w:rsid w:val="009E68A2"/>
    <w:rsid w:val="009F382D"/>
    <w:rsid w:val="009F748F"/>
    <w:rsid w:val="00A240C1"/>
    <w:rsid w:val="00A249B4"/>
    <w:rsid w:val="00A36F35"/>
    <w:rsid w:val="00A3777D"/>
    <w:rsid w:val="00A42453"/>
    <w:rsid w:val="00A523BA"/>
    <w:rsid w:val="00A62D3B"/>
    <w:rsid w:val="00A66E70"/>
    <w:rsid w:val="00A73A4C"/>
    <w:rsid w:val="00A86C8F"/>
    <w:rsid w:val="00A90AB4"/>
    <w:rsid w:val="00A91001"/>
    <w:rsid w:val="00A915A5"/>
    <w:rsid w:val="00A94617"/>
    <w:rsid w:val="00AB2A8B"/>
    <w:rsid w:val="00AB3CF2"/>
    <w:rsid w:val="00AE0EBA"/>
    <w:rsid w:val="00AE4792"/>
    <w:rsid w:val="00AE4EAF"/>
    <w:rsid w:val="00AE590B"/>
    <w:rsid w:val="00AE693F"/>
    <w:rsid w:val="00AF5427"/>
    <w:rsid w:val="00B13BB7"/>
    <w:rsid w:val="00B44A0B"/>
    <w:rsid w:val="00B45AFB"/>
    <w:rsid w:val="00B50C0B"/>
    <w:rsid w:val="00B540D3"/>
    <w:rsid w:val="00B56DF0"/>
    <w:rsid w:val="00B64174"/>
    <w:rsid w:val="00B7364F"/>
    <w:rsid w:val="00B853FA"/>
    <w:rsid w:val="00B90A3F"/>
    <w:rsid w:val="00B92CF3"/>
    <w:rsid w:val="00B93724"/>
    <w:rsid w:val="00BA2198"/>
    <w:rsid w:val="00BA34CC"/>
    <w:rsid w:val="00BB1CAA"/>
    <w:rsid w:val="00BD6187"/>
    <w:rsid w:val="00BE4CC5"/>
    <w:rsid w:val="00BF5228"/>
    <w:rsid w:val="00C04756"/>
    <w:rsid w:val="00C233D4"/>
    <w:rsid w:val="00C26184"/>
    <w:rsid w:val="00C35DF5"/>
    <w:rsid w:val="00C4559F"/>
    <w:rsid w:val="00C56E15"/>
    <w:rsid w:val="00C61A76"/>
    <w:rsid w:val="00C623DD"/>
    <w:rsid w:val="00C66CB3"/>
    <w:rsid w:val="00C67911"/>
    <w:rsid w:val="00C7351D"/>
    <w:rsid w:val="00C74CE3"/>
    <w:rsid w:val="00C829DC"/>
    <w:rsid w:val="00C86679"/>
    <w:rsid w:val="00C90A99"/>
    <w:rsid w:val="00C92D70"/>
    <w:rsid w:val="00C93B00"/>
    <w:rsid w:val="00C9710E"/>
    <w:rsid w:val="00CB16DA"/>
    <w:rsid w:val="00CF3717"/>
    <w:rsid w:val="00D02EA8"/>
    <w:rsid w:val="00D03382"/>
    <w:rsid w:val="00D207B5"/>
    <w:rsid w:val="00D2137F"/>
    <w:rsid w:val="00D32D90"/>
    <w:rsid w:val="00D347B6"/>
    <w:rsid w:val="00D35757"/>
    <w:rsid w:val="00D3592E"/>
    <w:rsid w:val="00D3756E"/>
    <w:rsid w:val="00D407B3"/>
    <w:rsid w:val="00D40B04"/>
    <w:rsid w:val="00D4467D"/>
    <w:rsid w:val="00D450CF"/>
    <w:rsid w:val="00D522C7"/>
    <w:rsid w:val="00D53A3B"/>
    <w:rsid w:val="00D55A2C"/>
    <w:rsid w:val="00D71A7C"/>
    <w:rsid w:val="00D73AC9"/>
    <w:rsid w:val="00D73C58"/>
    <w:rsid w:val="00D81638"/>
    <w:rsid w:val="00D85CCB"/>
    <w:rsid w:val="00D91EFE"/>
    <w:rsid w:val="00D95464"/>
    <w:rsid w:val="00DA5DD9"/>
    <w:rsid w:val="00DB73E3"/>
    <w:rsid w:val="00DC038C"/>
    <w:rsid w:val="00DC1172"/>
    <w:rsid w:val="00DC27FC"/>
    <w:rsid w:val="00DD4B5B"/>
    <w:rsid w:val="00DE4512"/>
    <w:rsid w:val="00DE5225"/>
    <w:rsid w:val="00E00047"/>
    <w:rsid w:val="00E12D2B"/>
    <w:rsid w:val="00E21C89"/>
    <w:rsid w:val="00E2201A"/>
    <w:rsid w:val="00E3054D"/>
    <w:rsid w:val="00E3191C"/>
    <w:rsid w:val="00E35D11"/>
    <w:rsid w:val="00E37E9E"/>
    <w:rsid w:val="00E4644C"/>
    <w:rsid w:val="00E51138"/>
    <w:rsid w:val="00E53711"/>
    <w:rsid w:val="00E65461"/>
    <w:rsid w:val="00E85904"/>
    <w:rsid w:val="00E85C0A"/>
    <w:rsid w:val="00E864F0"/>
    <w:rsid w:val="00E86899"/>
    <w:rsid w:val="00E919A9"/>
    <w:rsid w:val="00E92D5D"/>
    <w:rsid w:val="00EA5C5C"/>
    <w:rsid w:val="00EB399F"/>
    <w:rsid w:val="00EC4261"/>
    <w:rsid w:val="00EC5BEB"/>
    <w:rsid w:val="00ED1F32"/>
    <w:rsid w:val="00EE10E5"/>
    <w:rsid w:val="00EF2A07"/>
    <w:rsid w:val="00F013D9"/>
    <w:rsid w:val="00F014DB"/>
    <w:rsid w:val="00F02D1E"/>
    <w:rsid w:val="00F03C69"/>
    <w:rsid w:val="00F1531C"/>
    <w:rsid w:val="00F1534B"/>
    <w:rsid w:val="00F17746"/>
    <w:rsid w:val="00F239C8"/>
    <w:rsid w:val="00F2713A"/>
    <w:rsid w:val="00F4397E"/>
    <w:rsid w:val="00F4552A"/>
    <w:rsid w:val="00F569B7"/>
    <w:rsid w:val="00F64238"/>
    <w:rsid w:val="00F660C3"/>
    <w:rsid w:val="00F87E2A"/>
    <w:rsid w:val="00FC2B5E"/>
    <w:rsid w:val="00FC4C96"/>
    <w:rsid w:val="00FC6950"/>
    <w:rsid w:val="00FE286E"/>
    <w:rsid w:val="00FE531A"/>
    <w:rsid w:val="00FF2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A6C8E7"/>
  <w15:docId w15:val="{0AD89C12-00C3-449E-A3E2-DD52DE5FC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44C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602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45A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4C7"/>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00697"/>
    <w:pPr>
      <w:ind w:left="720"/>
      <w:contextualSpacing/>
    </w:pPr>
  </w:style>
  <w:style w:type="character" w:styleId="Hyperlink">
    <w:name w:val="Hyperlink"/>
    <w:basedOn w:val="DefaultParagraphFont"/>
    <w:uiPriority w:val="99"/>
    <w:unhideWhenUsed/>
    <w:rsid w:val="00B44A0B"/>
    <w:rPr>
      <w:color w:val="0563C1" w:themeColor="hyperlink"/>
      <w:u w:val="single"/>
    </w:rPr>
  </w:style>
  <w:style w:type="character" w:styleId="UnresolvedMention">
    <w:name w:val="Unresolved Mention"/>
    <w:basedOn w:val="DefaultParagraphFont"/>
    <w:uiPriority w:val="99"/>
    <w:semiHidden/>
    <w:unhideWhenUsed/>
    <w:rsid w:val="00B44A0B"/>
    <w:rPr>
      <w:color w:val="605E5C"/>
      <w:shd w:val="clear" w:color="auto" w:fill="E1DFDD"/>
    </w:rPr>
  </w:style>
  <w:style w:type="character" w:styleId="FollowedHyperlink">
    <w:name w:val="FollowedHyperlink"/>
    <w:basedOn w:val="DefaultParagraphFont"/>
    <w:uiPriority w:val="99"/>
    <w:semiHidden/>
    <w:unhideWhenUsed/>
    <w:rsid w:val="009E68A2"/>
    <w:rPr>
      <w:color w:val="954F72" w:themeColor="followedHyperlink"/>
      <w:u w:val="single"/>
    </w:rPr>
  </w:style>
  <w:style w:type="character" w:customStyle="1" w:styleId="authorortitle">
    <w:name w:val="authorortitle"/>
    <w:basedOn w:val="DefaultParagraphFont"/>
    <w:rsid w:val="00E3054D"/>
  </w:style>
  <w:style w:type="paragraph" w:styleId="Header">
    <w:name w:val="header"/>
    <w:basedOn w:val="Normal"/>
    <w:link w:val="HeaderChar"/>
    <w:uiPriority w:val="99"/>
    <w:unhideWhenUsed/>
    <w:rsid w:val="00716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8BE"/>
  </w:style>
  <w:style w:type="paragraph" w:styleId="Footer">
    <w:name w:val="footer"/>
    <w:basedOn w:val="Normal"/>
    <w:link w:val="FooterChar"/>
    <w:uiPriority w:val="99"/>
    <w:unhideWhenUsed/>
    <w:rsid w:val="00716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8BE"/>
  </w:style>
  <w:style w:type="paragraph" w:styleId="NormalWeb">
    <w:name w:val="Normal (Web)"/>
    <w:basedOn w:val="Normal"/>
    <w:uiPriority w:val="99"/>
    <w:semiHidden/>
    <w:unhideWhenUsed/>
    <w:rsid w:val="008F7F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2602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45AF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22436">
      <w:bodyDiv w:val="1"/>
      <w:marLeft w:val="0"/>
      <w:marRight w:val="0"/>
      <w:marTop w:val="0"/>
      <w:marBottom w:val="0"/>
      <w:divBdr>
        <w:top w:val="none" w:sz="0" w:space="0" w:color="auto"/>
        <w:left w:val="none" w:sz="0" w:space="0" w:color="auto"/>
        <w:bottom w:val="none" w:sz="0" w:space="0" w:color="auto"/>
        <w:right w:val="none" w:sz="0" w:space="0" w:color="auto"/>
      </w:divBdr>
    </w:div>
    <w:div w:id="266546564">
      <w:bodyDiv w:val="1"/>
      <w:marLeft w:val="0"/>
      <w:marRight w:val="0"/>
      <w:marTop w:val="0"/>
      <w:marBottom w:val="0"/>
      <w:divBdr>
        <w:top w:val="none" w:sz="0" w:space="0" w:color="auto"/>
        <w:left w:val="none" w:sz="0" w:space="0" w:color="auto"/>
        <w:bottom w:val="none" w:sz="0" w:space="0" w:color="auto"/>
        <w:right w:val="none" w:sz="0" w:space="0" w:color="auto"/>
      </w:divBdr>
    </w:div>
    <w:div w:id="354967724">
      <w:bodyDiv w:val="1"/>
      <w:marLeft w:val="0"/>
      <w:marRight w:val="0"/>
      <w:marTop w:val="0"/>
      <w:marBottom w:val="0"/>
      <w:divBdr>
        <w:top w:val="none" w:sz="0" w:space="0" w:color="auto"/>
        <w:left w:val="none" w:sz="0" w:space="0" w:color="auto"/>
        <w:bottom w:val="none" w:sz="0" w:space="0" w:color="auto"/>
        <w:right w:val="none" w:sz="0" w:space="0" w:color="auto"/>
      </w:divBdr>
    </w:div>
    <w:div w:id="477309498">
      <w:bodyDiv w:val="1"/>
      <w:marLeft w:val="0"/>
      <w:marRight w:val="0"/>
      <w:marTop w:val="0"/>
      <w:marBottom w:val="0"/>
      <w:divBdr>
        <w:top w:val="none" w:sz="0" w:space="0" w:color="auto"/>
        <w:left w:val="none" w:sz="0" w:space="0" w:color="auto"/>
        <w:bottom w:val="none" w:sz="0" w:space="0" w:color="auto"/>
        <w:right w:val="none" w:sz="0" w:space="0" w:color="auto"/>
      </w:divBdr>
      <w:divsChild>
        <w:div w:id="270020136">
          <w:marLeft w:val="0"/>
          <w:marRight w:val="0"/>
          <w:marTop w:val="0"/>
          <w:marBottom w:val="0"/>
          <w:divBdr>
            <w:top w:val="none" w:sz="0" w:space="0" w:color="auto"/>
            <w:left w:val="none" w:sz="0" w:space="0" w:color="auto"/>
            <w:bottom w:val="none" w:sz="0" w:space="0" w:color="auto"/>
            <w:right w:val="none" w:sz="0" w:space="0" w:color="auto"/>
          </w:divBdr>
        </w:div>
        <w:div w:id="1516654534">
          <w:marLeft w:val="0"/>
          <w:marRight w:val="0"/>
          <w:marTop w:val="0"/>
          <w:marBottom w:val="0"/>
          <w:divBdr>
            <w:top w:val="none" w:sz="0" w:space="0" w:color="auto"/>
            <w:left w:val="none" w:sz="0" w:space="0" w:color="auto"/>
            <w:bottom w:val="none" w:sz="0" w:space="0" w:color="auto"/>
            <w:right w:val="none" w:sz="0" w:space="0" w:color="auto"/>
          </w:divBdr>
        </w:div>
        <w:div w:id="1917592380">
          <w:marLeft w:val="0"/>
          <w:marRight w:val="0"/>
          <w:marTop w:val="0"/>
          <w:marBottom w:val="0"/>
          <w:divBdr>
            <w:top w:val="none" w:sz="0" w:space="0" w:color="auto"/>
            <w:left w:val="none" w:sz="0" w:space="0" w:color="auto"/>
            <w:bottom w:val="none" w:sz="0" w:space="0" w:color="auto"/>
            <w:right w:val="none" w:sz="0" w:space="0" w:color="auto"/>
          </w:divBdr>
        </w:div>
        <w:div w:id="1265772913">
          <w:marLeft w:val="0"/>
          <w:marRight w:val="0"/>
          <w:marTop w:val="0"/>
          <w:marBottom w:val="0"/>
          <w:divBdr>
            <w:top w:val="none" w:sz="0" w:space="0" w:color="auto"/>
            <w:left w:val="none" w:sz="0" w:space="0" w:color="auto"/>
            <w:bottom w:val="none" w:sz="0" w:space="0" w:color="auto"/>
            <w:right w:val="none" w:sz="0" w:space="0" w:color="auto"/>
          </w:divBdr>
        </w:div>
        <w:div w:id="1671636690">
          <w:marLeft w:val="0"/>
          <w:marRight w:val="0"/>
          <w:marTop w:val="0"/>
          <w:marBottom w:val="0"/>
          <w:divBdr>
            <w:top w:val="none" w:sz="0" w:space="0" w:color="auto"/>
            <w:left w:val="none" w:sz="0" w:space="0" w:color="auto"/>
            <w:bottom w:val="none" w:sz="0" w:space="0" w:color="auto"/>
            <w:right w:val="none" w:sz="0" w:space="0" w:color="auto"/>
          </w:divBdr>
        </w:div>
        <w:div w:id="1555506213">
          <w:marLeft w:val="0"/>
          <w:marRight w:val="0"/>
          <w:marTop w:val="0"/>
          <w:marBottom w:val="0"/>
          <w:divBdr>
            <w:top w:val="none" w:sz="0" w:space="0" w:color="auto"/>
            <w:left w:val="none" w:sz="0" w:space="0" w:color="auto"/>
            <w:bottom w:val="none" w:sz="0" w:space="0" w:color="auto"/>
            <w:right w:val="none" w:sz="0" w:space="0" w:color="auto"/>
          </w:divBdr>
        </w:div>
        <w:div w:id="983972894">
          <w:marLeft w:val="0"/>
          <w:marRight w:val="0"/>
          <w:marTop w:val="0"/>
          <w:marBottom w:val="0"/>
          <w:divBdr>
            <w:top w:val="none" w:sz="0" w:space="0" w:color="auto"/>
            <w:left w:val="none" w:sz="0" w:space="0" w:color="auto"/>
            <w:bottom w:val="none" w:sz="0" w:space="0" w:color="auto"/>
            <w:right w:val="none" w:sz="0" w:space="0" w:color="auto"/>
          </w:divBdr>
        </w:div>
        <w:div w:id="1851412407">
          <w:marLeft w:val="0"/>
          <w:marRight w:val="0"/>
          <w:marTop w:val="0"/>
          <w:marBottom w:val="0"/>
          <w:divBdr>
            <w:top w:val="none" w:sz="0" w:space="0" w:color="auto"/>
            <w:left w:val="none" w:sz="0" w:space="0" w:color="auto"/>
            <w:bottom w:val="none" w:sz="0" w:space="0" w:color="auto"/>
            <w:right w:val="none" w:sz="0" w:space="0" w:color="auto"/>
          </w:divBdr>
        </w:div>
        <w:div w:id="1322348967">
          <w:marLeft w:val="0"/>
          <w:marRight w:val="0"/>
          <w:marTop w:val="0"/>
          <w:marBottom w:val="0"/>
          <w:divBdr>
            <w:top w:val="none" w:sz="0" w:space="0" w:color="auto"/>
            <w:left w:val="none" w:sz="0" w:space="0" w:color="auto"/>
            <w:bottom w:val="none" w:sz="0" w:space="0" w:color="auto"/>
            <w:right w:val="none" w:sz="0" w:space="0" w:color="auto"/>
          </w:divBdr>
        </w:div>
        <w:div w:id="1053575690">
          <w:marLeft w:val="0"/>
          <w:marRight w:val="0"/>
          <w:marTop w:val="0"/>
          <w:marBottom w:val="0"/>
          <w:divBdr>
            <w:top w:val="none" w:sz="0" w:space="0" w:color="auto"/>
            <w:left w:val="none" w:sz="0" w:space="0" w:color="auto"/>
            <w:bottom w:val="none" w:sz="0" w:space="0" w:color="auto"/>
            <w:right w:val="none" w:sz="0" w:space="0" w:color="auto"/>
          </w:divBdr>
        </w:div>
        <w:div w:id="32581555">
          <w:marLeft w:val="0"/>
          <w:marRight w:val="0"/>
          <w:marTop w:val="0"/>
          <w:marBottom w:val="0"/>
          <w:divBdr>
            <w:top w:val="none" w:sz="0" w:space="0" w:color="auto"/>
            <w:left w:val="none" w:sz="0" w:space="0" w:color="auto"/>
            <w:bottom w:val="none" w:sz="0" w:space="0" w:color="auto"/>
            <w:right w:val="none" w:sz="0" w:space="0" w:color="auto"/>
          </w:divBdr>
        </w:div>
        <w:div w:id="88628047">
          <w:marLeft w:val="0"/>
          <w:marRight w:val="0"/>
          <w:marTop w:val="0"/>
          <w:marBottom w:val="0"/>
          <w:divBdr>
            <w:top w:val="none" w:sz="0" w:space="0" w:color="auto"/>
            <w:left w:val="none" w:sz="0" w:space="0" w:color="auto"/>
            <w:bottom w:val="none" w:sz="0" w:space="0" w:color="auto"/>
            <w:right w:val="none" w:sz="0" w:space="0" w:color="auto"/>
          </w:divBdr>
        </w:div>
        <w:div w:id="14384897">
          <w:marLeft w:val="0"/>
          <w:marRight w:val="0"/>
          <w:marTop w:val="0"/>
          <w:marBottom w:val="0"/>
          <w:divBdr>
            <w:top w:val="none" w:sz="0" w:space="0" w:color="auto"/>
            <w:left w:val="none" w:sz="0" w:space="0" w:color="auto"/>
            <w:bottom w:val="none" w:sz="0" w:space="0" w:color="auto"/>
            <w:right w:val="none" w:sz="0" w:space="0" w:color="auto"/>
          </w:divBdr>
        </w:div>
        <w:div w:id="2124381095">
          <w:marLeft w:val="0"/>
          <w:marRight w:val="0"/>
          <w:marTop w:val="0"/>
          <w:marBottom w:val="0"/>
          <w:divBdr>
            <w:top w:val="none" w:sz="0" w:space="0" w:color="auto"/>
            <w:left w:val="none" w:sz="0" w:space="0" w:color="auto"/>
            <w:bottom w:val="none" w:sz="0" w:space="0" w:color="auto"/>
            <w:right w:val="none" w:sz="0" w:space="0" w:color="auto"/>
          </w:divBdr>
        </w:div>
        <w:div w:id="1366100481">
          <w:marLeft w:val="0"/>
          <w:marRight w:val="0"/>
          <w:marTop w:val="0"/>
          <w:marBottom w:val="0"/>
          <w:divBdr>
            <w:top w:val="none" w:sz="0" w:space="0" w:color="auto"/>
            <w:left w:val="none" w:sz="0" w:space="0" w:color="auto"/>
            <w:bottom w:val="none" w:sz="0" w:space="0" w:color="auto"/>
            <w:right w:val="none" w:sz="0" w:space="0" w:color="auto"/>
          </w:divBdr>
        </w:div>
        <w:div w:id="1161041267">
          <w:marLeft w:val="0"/>
          <w:marRight w:val="0"/>
          <w:marTop w:val="0"/>
          <w:marBottom w:val="0"/>
          <w:divBdr>
            <w:top w:val="none" w:sz="0" w:space="0" w:color="auto"/>
            <w:left w:val="none" w:sz="0" w:space="0" w:color="auto"/>
            <w:bottom w:val="none" w:sz="0" w:space="0" w:color="auto"/>
            <w:right w:val="none" w:sz="0" w:space="0" w:color="auto"/>
          </w:divBdr>
        </w:div>
        <w:div w:id="1503932817">
          <w:marLeft w:val="0"/>
          <w:marRight w:val="0"/>
          <w:marTop w:val="0"/>
          <w:marBottom w:val="0"/>
          <w:divBdr>
            <w:top w:val="none" w:sz="0" w:space="0" w:color="auto"/>
            <w:left w:val="none" w:sz="0" w:space="0" w:color="auto"/>
            <w:bottom w:val="none" w:sz="0" w:space="0" w:color="auto"/>
            <w:right w:val="none" w:sz="0" w:space="0" w:color="auto"/>
          </w:divBdr>
        </w:div>
        <w:div w:id="526530112">
          <w:marLeft w:val="0"/>
          <w:marRight w:val="0"/>
          <w:marTop w:val="0"/>
          <w:marBottom w:val="0"/>
          <w:divBdr>
            <w:top w:val="none" w:sz="0" w:space="0" w:color="auto"/>
            <w:left w:val="none" w:sz="0" w:space="0" w:color="auto"/>
            <w:bottom w:val="none" w:sz="0" w:space="0" w:color="auto"/>
            <w:right w:val="none" w:sz="0" w:space="0" w:color="auto"/>
          </w:divBdr>
        </w:div>
      </w:divsChild>
    </w:div>
    <w:div w:id="645739242">
      <w:bodyDiv w:val="1"/>
      <w:marLeft w:val="0"/>
      <w:marRight w:val="0"/>
      <w:marTop w:val="0"/>
      <w:marBottom w:val="0"/>
      <w:divBdr>
        <w:top w:val="none" w:sz="0" w:space="0" w:color="auto"/>
        <w:left w:val="none" w:sz="0" w:space="0" w:color="auto"/>
        <w:bottom w:val="none" w:sz="0" w:space="0" w:color="auto"/>
        <w:right w:val="none" w:sz="0" w:space="0" w:color="auto"/>
      </w:divBdr>
    </w:div>
    <w:div w:id="949166910">
      <w:bodyDiv w:val="1"/>
      <w:marLeft w:val="0"/>
      <w:marRight w:val="0"/>
      <w:marTop w:val="0"/>
      <w:marBottom w:val="0"/>
      <w:divBdr>
        <w:top w:val="none" w:sz="0" w:space="0" w:color="auto"/>
        <w:left w:val="none" w:sz="0" w:space="0" w:color="auto"/>
        <w:bottom w:val="none" w:sz="0" w:space="0" w:color="auto"/>
        <w:right w:val="none" w:sz="0" w:space="0" w:color="auto"/>
      </w:divBdr>
    </w:div>
    <w:div w:id="1196847869">
      <w:bodyDiv w:val="1"/>
      <w:marLeft w:val="0"/>
      <w:marRight w:val="0"/>
      <w:marTop w:val="0"/>
      <w:marBottom w:val="0"/>
      <w:divBdr>
        <w:top w:val="none" w:sz="0" w:space="0" w:color="auto"/>
        <w:left w:val="none" w:sz="0" w:space="0" w:color="auto"/>
        <w:bottom w:val="none" w:sz="0" w:space="0" w:color="auto"/>
        <w:right w:val="none" w:sz="0" w:space="0" w:color="auto"/>
      </w:divBdr>
    </w:div>
    <w:div w:id="1438527525">
      <w:bodyDiv w:val="1"/>
      <w:marLeft w:val="0"/>
      <w:marRight w:val="0"/>
      <w:marTop w:val="0"/>
      <w:marBottom w:val="0"/>
      <w:divBdr>
        <w:top w:val="none" w:sz="0" w:space="0" w:color="auto"/>
        <w:left w:val="none" w:sz="0" w:space="0" w:color="auto"/>
        <w:bottom w:val="none" w:sz="0" w:space="0" w:color="auto"/>
        <w:right w:val="none" w:sz="0" w:space="0" w:color="auto"/>
      </w:divBdr>
    </w:div>
    <w:div w:id="1834057054">
      <w:bodyDiv w:val="1"/>
      <w:marLeft w:val="0"/>
      <w:marRight w:val="0"/>
      <w:marTop w:val="0"/>
      <w:marBottom w:val="0"/>
      <w:divBdr>
        <w:top w:val="none" w:sz="0" w:space="0" w:color="auto"/>
        <w:left w:val="none" w:sz="0" w:space="0" w:color="auto"/>
        <w:bottom w:val="none" w:sz="0" w:space="0" w:color="auto"/>
        <w:right w:val="none" w:sz="0" w:space="0" w:color="auto"/>
      </w:divBdr>
    </w:div>
    <w:div w:id="18479429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2.q4cdn.com/470004039/files/doc_financials/2020/ar/_10-K-2020-(As-Filed).pdf" TargetMode="External"/><Relationship Id="rId5" Type="http://schemas.openxmlformats.org/officeDocument/2006/relationships/webSettings" Target="webSettings.xml"/><Relationship Id="rId10" Type="http://schemas.openxmlformats.org/officeDocument/2006/relationships/hyperlink" Target="https://s2.q4cdn.com/470004039/files/doc_financials/2020/ar/_10-K-2020-(As-Filed).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A63E2-BFBB-40F7-859F-3D671DF9E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8</Pages>
  <Words>1705</Words>
  <Characters>10695</Characters>
  <Application>Microsoft Office Word</Application>
  <DocSecurity>0</DocSecurity>
  <Lines>212</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Bara (2110942)</dc:creator>
  <cp:keywords/>
  <dc:description/>
  <cp:lastModifiedBy>Vladimir Bara (2110942)</cp:lastModifiedBy>
  <cp:revision>20</cp:revision>
  <cp:lastPrinted>2023-12-20T21:05:00Z</cp:lastPrinted>
  <dcterms:created xsi:type="dcterms:W3CDTF">2024-04-02T12:03:00Z</dcterms:created>
  <dcterms:modified xsi:type="dcterms:W3CDTF">2024-04-02T15:26:00Z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990d4d6c-3f98-45af-b2ed-289275f5799f</vt:lpwstr>
  </property>
</Properties>
</file>