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B9826" w14:textId="77777777" w:rsidR="005005B0" w:rsidRDefault="005005B0" w:rsidP="005005B0">
      <w:pPr>
        <w:pStyle w:val="NormalWeb"/>
        <w:spacing w:after="0"/>
        <w:ind w:left="-180" w:right="-334"/>
        <w:rPr>
          <w:lang w:val="cy-GB"/>
        </w:rPr>
      </w:pPr>
      <w:r>
        <w:rPr>
          <w:noProof/>
          <w:lang w:eastAsia="en-GB"/>
        </w:rPr>
        <w:drawing>
          <wp:inline distT="0" distB="0" distL="0" distR="0" wp14:anchorId="256F7815" wp14:editId="405E7334">
            <wp:extent cx="2876550" cy="1047750"/>
            <wp:effectExtent l="19050" t="19050" r="19050" b="19050"/>
            <wp:docPr id="1560323301" name="Picture 156032330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A45184C" w14:textId="2B055168" w:rsidR="005005B0" w:rsidRDefault="005005B0" w:rsidP="00B3766B">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50260ED9" w14:textId="77777777" w:rsidR="00B3766B" w:rsidRPr="00B3766B" w:rsidRDefault="00B3766B" w:rsidP="00B3766B">
      <w:pPr>
        <w:rPr>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5005B0" w:rsidRPr="002F467C" w14:paraId="0F4E7920" w14:textId="77777777" w:rsidTr="00421223">
        <w:trPr>
          <w:gridAfter w:val="1"/>
          <w:wAfter w:w="101" w:type="dxa"/>
          <w:trHeight w:val="614"/>
        </w:trPr>
        <w:tc>
          <w:tcPr>
            <w:tcW w:w="8755" w:type="dxa"/>
            <w:gridSpan w:val="6"/>
          </w:tcPr>
          <w:p w14:paraId="27C1F839" w14:textId="77777777" w:rsidR="005005B0" w:rsidRPr="00F76C18" w:rsidRDefault="005005B0" w:rsidP="00421223">
            <w:pPr>
              <w:pStyle w:val="NormalWeb"/>
              <w:spacing w:after="0"/>
              <w:ind w:right="34"/>
              <w:rPr>
                <w:rFonts w:ascii="Calibri" w:hAnsi="Calibri" w:cs="Tahoma"/>
                <w:i/>
                <w:sz w:val="36"/>
              </w:rPr>
            </w:pPr>
            <w:r w:rsidRPr="002F467C">
              <w:rPr>
                <w:rFonts w:ascii="Calibri" w:hAnsi="Calibri" w:cs="Tahoma"/>
                <w:i/>
              </w:rPr>
              <w:t>Student Name</w:t>
            </w:r>
            <w:r>
              <w:rPr>
                <w:rFonts w:ascii="Calibri" w:hAnsi="Calibri" w:cs="Tahoma"/>
                <w:i/>
              </w:rPr>
              <w:t>: Elizabeth Nelson</w:t>
            </w:r>
          </w:p>
          <w:p w14:paraId="575C69AA" w14:textId="77777777" w:rsidR="005005B0" w:rsidRPr="00D6482C" w:rsidRDefault="005005B0" w:rsidP="00421223">
            <w:pPr>
              <w:pStyle w:val="NormalWeb"/>
              <w:spacing w:after="0"/>
              <w:ind w:right="34"/>
              <w:rPr>
                <w:rFonts w:ascii="Calibri" w:hAnsi="Calibri" w:cs="Tahoma"/>
                <w:iCs/>
              </w:rPr>
            </w:pPr>
          </w:p>
        </w:tc>
      </w:tr>
      <w:tr w:rsidR="005005B0" w:rsidRPr="002F467C" w14:paraId="448E173D" w14:textId="77777777" w:rsidTr="00421223">
        <w:trPr>
          <w:gridAfter w:val="1"/>
          <w:wAfter w:w="101" w:type="dxa"/>
          <w:trHeight w:val="718"/>
        </w:trPr>
        <w:tc>
          <w:tcPr>
            <w:tcW w:w="8755" w:type="dxa"/>
            <w:gridSpan w:val="6"/>
          </w:tcPr>
          <w:p w14:paraId="50897659" w14:textId="77777777" w:rsidR="005005B0" w:rsidRPr="002F467C" w:rsidRDefault="005005B0" w:rsidP="00421223">
            <w:pPr>
              <w:pStyle w:val="NormalWeb"/>
              <w:spacing w:after="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Pr>
                <w:rFonts w:ascii="Calibri" w:hAnsi="Calibri" w:cs="Tahoma"/>
                <w:i/>
              </w:rPr>
              <w:t>2307251@student.uwtsd.ac.uk</w:t>
            </w:r>
          </w:p>
        </w:tc>
      </w:tr>
      <w:tr w:rsidR="005005B0" w:rsidRPr="002F467C" w14:paraId="6C5FA6B5" w14:textId="77777777" w:rsidTr="00421223">
        <w:trPr>
          <w:gridAfter w:val="1"/>
          <w:wAfter w:w="101" w:type="dxa"/>
          <w:trHeight w:val="849"/>
        </w:trPr>
        <w:tc>
          <w:tcPr>
            <w:tcW w:w="4788" w:type="dxa"/>
          </w:tcPr>
          <w:p w14:paraId="1A1E5003" w14:textId="77777777" w:rsidR="005005B0" w:rsidRDefault="005005B0" w:rsidP="00421223">
            <w:pPr>
              <w:pStyle w:val="NormalWeb"/>
              <w:spacing w:after="0"/>
              <w:ind w:right="34"/>
              <w:rPr>
                <w:rFonts w:ascii="Calibri" w:hAnsi="Calibri" w:cs="Tahoma"/>
                <w:i/>
              </w:rPr>
            </w:pPr>
          </w:p>
          <w:p w14:paraId="17F03632" w14:textId="77777777" w:rsidR="005005B0" w:rsidRPr="00D6482C" w:rsidRDefault="005005B0" w:rsidP="00421223">
            <w:pPr>
              <w:pStyle w:val="NormalWeb"/>
              <w:spacing w:after="0"/>
              <w:ind w:right="34"/>
              <w:rPr>
                <w:rFonts w:ascii="Calibri" w:hAnsi="Calibri" w:cs="Tahoma"/>
                <w:i/>
                <w:color w:val="000000"/>
              </w:rPr>
            </w:pPr>
            <w:r w:rsidRPr="002F467C">
              <w:rPr>
                <w:rFonts w:ascii="Calibri" w:hAnsi="Calibri" w:cs="Tahoma"/>
                <w:i/>
              </w:rPr>
              <w:t>Module code:</w:t>
            </w:r>
            <w:r>
              <w:rPr>
                <w:rFonts w:ascii="Calibri" w:hAnsi="Calibri" w:cs="Tahoma"/>
                <w:i/>
              </w:rPr>
              <w:t xml:space="preserve"> </w:t>
            </w:r>
            <w:hyperlink r:id="rId9" w:tooltip="MA Dissertation (Ancient) (HPAH7013 and HPAR7008)" w:history="1">
              <w:r w:rsidRPr="00D6482C">
                <w:rPr>
                  <w:rStyle w:val="Hyperlink"/>
                  <w:rFonts w:ascii="Calibri" w:hAnsi="Calibri" w:cs="Tahoma"/>
                  <w:i/>
                </w:rPr>
                <w:t>HPAH7013</w:t>
              </w:r>
            </w:hyperlink>
          </w:p>
          <w:p w14:paraId="755BCAFE" w14:textId="77777777" w:rsidR="005005B0" w:rsidRPr="002F467C" w:rsidRDefault="005005B0" w:rsidP="00421223">
            <w:pPr>
              <w:pStyle w:val="NormalWeb"/>
              <w:spacing w:after="0"/>
              <w:ind w:right="34"/>
              <w:rPr>
                <w:rFonts w:ascii="Calibri" w:hAnsi="Calibri" w:cs="Tahoma"/>
                <w:i/>
              </w:rPr>
            </w:pPr>
          </w:p>
        </w:tc>
        <w:tc>
          <w:tcPr>
            <w:tcW w:w="2266" w:type="dxa"/>
            <w:gridSpan w:val="4"/>
          </w:tcPr>
          <w:p w14:paraId="5D876044" w14:textId="77777777" w:rsidR="005005B0" w:rsidRPr="002F467C" w:rsidRDefault="005005B0" w:rsidP="00421223">
            <w:pPr>
              <w:pStyle w:val="NormalWeb"/>
              <w:spacing w:after="0"/>
              <w:ind w:right="34"/>
              <w:rPr>
                <w:rFonts w:ascii="Calibri" w:hAnsi="Calibri" w:cs="Tahoma"/>
                <w:i/>
              </w:rPr>
            </w:pPr>
            <w:r w:rsidRPr="002F467C">
              <w:rPr>
                <w:rFonts w:ascii="Calibri" w:hAnsi="Calibri" w:cs="Tahoma"/>
                <w:i/>
              </w:rPr>
              <w:t>Student ID number:</w:t>
            </w:r>
            <w:r>
              <w:rPr>
                <w:rFonts w:ascii="Calibri" w:hAnsi="Calibri" w:cs="Tahoma"/>
                <w:i/>
              </w:rPr>
              <w:t xml:space="preserve"> 2307251</w:t>
            </w:r>
          </w:p>
        </w:tc>
        <w:tc>
          <w:tcPr>
            <w:tcW w:w="1701" w:type="dxa"/>
          </w:tcPr>
          <w:p w14:paraId="2D85036B" w14:textId="77777777" w:rsidR="005005B0" w:rsidRPr="002F467C" w:rsidRDefault="005005B0" w:rsidP="00421223">
            <w:pPr>
              <w:pStyle w:val="NormalWeb"/>
              <w:spacing w:after="0"/>
              <w:ind w:right="34"/>
              <w:rPr>
                <w:rFonts w:ascii="Calibri" w:hAnsi="Calibri" w:cs="Tahoma"/>
                <w:i/>
              </w:rPr>
            </w:pPr>
            <w:r w:rsidRPr="002F467C">
              <w:rPr>
                <w:rFonts w:ascii="Calibri" w:hAnsi="Calibri" w:cs="Tahoma"/>
                <w:i/>
              </w:rPr>
              <w:t>Educational support needs:</w:t>
            </w:r>
          </w:p>
          <w:p w14:paraId="62E0FD3B" w14:textId="77777777" w:rsidR="005005B0" w:rsidRPr="002F467C" w:rsidRDefault="005005B0" w:rsidP="00421223">
            <w:pPr>
              <w:pStyle w:val="NormalWeb"/>
              <w:spacing w:after="0"/>
              <w:ind w:right="34"/>
              <w:rPr>
                <w:rFonts w:ascii="Calibri" w:hAnsi="Calibri" w:cs="Tahoma"/>
                <w:i/>
              </w:rPr>
            </w:pPr>
            <w:r w:rsidRPr="002F467C">
              <w:rPr>
                <w:rFonts w:ascii="Calibri" w:hAnsi="Calibri" w:cs="Tahoma"/>
                <w:i/>
              </w:rPr>
              <w:t>No</w:t>
            </w:r>
          </w:p>
        </w:tc>
      </w:tr>
      <w:tr w:rsidR="005005B0" w:rsidRPr="002F467C" w14:paraId="37BFF0A1" w14:textId="77777777" w:rsidTr="00421223">
        <w:trPr>
          <w:gridAfter w:val="1"/>
          <w:wAfter w:w="101" w:type="dxa"/>
          <w:trHeight w:val="820"/>
        </w:trPr>
        <w:tc>
          <w:tcPr>
            <w:tcW w:w="8755" w:type="dxa"/>
            <w:gridSpan w:val="6"/>
          </w:tcPr>
          <w:p w14:paraId="2C8B6BA3" w14:textId="77777777" w:rsidR="005005B0" w:rsidRDefault="005005B0" w:rsidP="00421223">
            <w:pPr>
              <w:pStyle w:val="NormalWeb"/>
              <w:spacing w:after="0"/>
              <w:ind w:right="34"/>
              <w:rPr>
                <w:rFonts w:ascii="Calibri" w:hAnsi="Calibri" w:cs="Tahoma"/>
                <w:i/>
              </w:rPr>
            </w:pPr>
            <w:r>
              <w:rPr>
                <w:rFonts w:ascii="Calibri" w:hAnsi="Calibri" w:cs="Tahoma"/>
                <w:i/>
              </w:rPr>
              <w:t>Dissertation title: Sublimation and Sacrifice – the Dresden Wresting Group statue type</w:t>
            </w:r>
          </w:p>
          <w:p w14:paraId="7BAD05AE" w14:textId="77777777" w:rsidR="005005B0" w:rsidRPr="00F76C18" w:rsidRDefault="005005B0" w:rsidP="00421223">
            <w:pPr>
              <w:pStyle w:val="NormalWeb"/>
              <w:spacing w:after="0"/>
              <w:ind w:right="34"/>
              <w:rPr>
                <w:rFonts w:ascii="Calibri" w:hAnsi="Calibri" w:cs="Tahoma"/>
                <w:i/>
                <w:sz w:val="36"/>
              </w:rPr>
            </w:pPr>
          </w:p>
        </w:tc>
      </w:tr>
      <w:tr w:rsidR="005005B0" w:rsidRPr="002F467C" w14:paraId="08E16682" w14:textId="77777777" w:rsidTr="00421223">
        <w:trPr>
          <w:gridAfter w:val="1"/>
          <w:wAfter w:w="101" w:type="dxa"/>
          <w:trHeight w:val="539"/>
        </w:trPr>
        <w:tc>
          <w:tcPr>
            <w:tcW w:w="5495" w:type="dxa"/>
            <w:gridSpan w:val="3"/>
            <w:tcBorders>
              <w:bottom w:val="single" w:sz="4" w:space="0" w:color="000000"/>
            </w:tcBorders>
          </w:tcPr>
          <w:p w14:paraId="597F1340" w14:textId="77777777" w:rsidR="005005B0" w:rsidRPr="002F467C" w:rsidRDefault="005005B0" w:rsidP="00421223">
            <w:pPr>
              <w:pStyle w:val="NormalWeb"/>
              <w:spacing w:after="0"/>
              <w:ind w:right="34"/>
              <w:rPr>
                <w:rFonts w:ascii="Calibri" w:hAnsi="Calibri" w:cs="Tahoma"/>
                <w:i/>
              </w:rPr>
            </w:pPr>
            <w:r>
              <w:rPr>
                <w:rFonts w:ascii="Calibri" w:hAnsi="Calibri" w:cs="Tahoma"/>
                <w:i/>
              </w:rPr>
              <w:t>Supervisor: Matthew Cobb</w:t>
            </w:r>
          </w:p>
        </w:tc>
        <w:tc>
          <w:tcPr>
            <w:tcW w:w="3260" w:type="dxa"/>
            <w:gridSpan w:val="3"/>
            <w:tcBorders>
              <w:bottom w:val="single" w:sz="4" w:space="0" w:color="000000"/>
            </w:tcBorders>
          </w:tcPr>
          <w:p w14:paraId="7B125204" w14:textId="77777777" w:rsidR="005005B0" w:rsidRPr="002F467C" w:rsidRDefault="005005B0" w:rsidP="00421223">
            <w:pPr>
              <w:pStyle w:val="NormalWeb"/>
              <w:tabs>
                <w:tab w:val="left" w:pos="1680"/>
              </w:tabs>
              <w:spacing w:after="0"/>
              <w:ind w:right="34"/>
              <w:rPr>
                <w:rFonts w:ascii="Calibri" w:hAnsi="Calibri" w:cs="Tahoma"/>
                <w:i/>
              </w:rPr>
            </w:pPr>
            <w:r w:rsidRPr="002F467C">
              <w:rPr>
                <w:rFonts w:ascii="Calibri" w:hAnsi="Calibri" w:cs="Tahoma"/>
                <w:i/>
              </w:rPr>
              <w:t>Word coun</w:t>
            </w:r>
            <w:r>
              <w:rPr>
                <w:rFonts w:ascii="Calibri" w:hAnsi="Calibri" w:cs="Tahoma"/>
                <w:i/>
              </w:rPr>
              <w:t>t:</w:t>
            </w:r>
            <w:r>
              <w:rPr>
                <w:rFonts w:ascii="Calibri" w:hAnsi="Calibri" w:cs="Tahoma"/>
                <w:i/>
              </w:rPr>
              <w:tab/>
              <w:t xml:space="preserve"> 15217</w:t>
            </w:r>
          </w:p>
        </w:tc>
      </w:tr>
      <w:tr w:rsidR="005005B0" w:rsidRPr="002F467C" w14:paraId="45335D5A" w14:textId="77777777" w:rsidTr="00421223">
        <w:trPr>
          <w:gridAfter w:val="1"/>
          <w:wAfter w:w="101" w:type="dxa"/>
          <w:trHeight w:val="978"/>
        </w:trPr>
        <w:tc>
          <w:tcPr>
            <w:tcW w:w="8755" w:type="dxa"/>
            <w:gridSpan w:val="6"/>
            <w:shd w:val="clear" w:color="auto" w:fill="D9D9D9"/>
          </w:tcPr>
          <w:p w14:paraId="4A2630DD" w14:textId="77777777" w:rsidR="005005B0" w:rsidRPr="00BB1492" w:rsidRDefault="005005B0" w:rsidP="00421223">
            <w:pPr>
              <w:pStyle w:val="NormalWeb"/>
              <w:spacing w:after="0"/>
              <w:ind w:right="34"/>
              <w:rPr>
                <w:rFonts w:ascii="Calibri" w:hAnsi="Calibri" w:cs="Tahoma"/>
              </w:rPr>
            </w:pPr>
            <w:r w:rsidRPr="00BB1492">
              <w:rPr>
                <w:rFonts w:ascii="Calibri" w:hAnsi="Calibri" w:cs="Tahoma"/>
              </w:rPr>
              <w:t>I confirm that this is my original work and that I have adhered to the University policy on plagiarism.</w:t>
            </w:r>
          </w:p>
          <w:p w14:paraId="362D6B7F" w14:textId="7BFE4F05" w:rsidR="005005B0" w:rsidRPr="00BB1492" w:rsidRDefault="005005B0" w:rsidP="00421223">
            <w:pPr>
              <w:pStyle w:val="NormalWeb"/>
              <w:spacing w:after="0"/>
              <w:ind w:right="34"/>
              <w:rPr>
                <w:rFonts w:ascii="Calibri" w:hAnsi="Calibri" w:cs="Tahoma"/>
              </w:rPr>
            </w:pPr>
            <w:r w:rsidRPr="00BB1492">
              <w:rPr>
                <w:rFonts w:ascii="Calibri" w:hAnsi="Calibri" w:cs="Tahoma"/>
              </w:rPr>
              <w:t xml:space="preserve">Signed </w:t>
            </w:r>
            <w:r w:rsidRPr="005005B0">
              <w:rPr>
                <w:rFonts w:ascii="Cavolini" w:hAnsi="Cavolini" w:cs="Cavolini"/>
                <w:sz w:val="20"/>
                <w:szCs w:val="20"/>
              </w:rPr>
              <w:t>Elizabeth</w:t>
            </w:r>
            <w:r w:rsidRPr="005005B0">
              <w:rPr>
                <w:rFonts w:ascii="Cavolini" w:hAnsi="Cavolini" w:cs="Cavolini"/>
                <w:sz w:val="20"/>
                <w:szCs w:val="20"/>
              </w:rPr>
              <w:t xml:space="preserve"> Nelson</w:t>
            </w:r>
            <w:r>
              <w:rPr>
                <w:rFonts w:ascii="Calibri" w:hAnsi="Calibri" w:cs="Tahoma"/>
              </w:rPr>
              <w:t xml:space="preserve"> </w:t>
            </w:r>
          </w:p>
          <w:p w14:paraId="0781BF7B" w14:textId="77777777" w:rsidR="005005B0" w:rsidRPr="00BB1492" w:rsidRDefault="005005B0" w:rsidP="00421223">
            <w:pPr>
              <w:pStyle w:val="NormalWeb"/>
              <w:spacing w:after="0"/>
              <w:ind w:right="34"/>
              <w:rPr>
                <w:rFonts w:ascii="Calibri" w:hAnsi="Calibri" w:cs="Calibri"/>
                <w:b/>
                <w:sz w:val="44"/>
                <w:szCs w:val="44"/>
              </w:rPr>
            </w:pPr>
            <w:r w:rsidRPr="00BB1492">
              <w:rPr>
                <w:rFonts w:ascii="Calibri" w:hAnsi="Calibri" w:cs="Tahoma"/>
                <w:b/>
              </w:rPr>
              <w:t xml:space="preserve">Email </w:t>
            </w:r>
            <w:proofErr w:type="spellStart"/>
            <w:proofErr w:type="gramStart"/>
            <w:r w:rsidRPr="00BB1492">
              <w:rPr>
                <w:rFonts w:ascii="Calibri" w:hAnsi="Calibri" w:cs="Tahoma"/>
                <w:b/>
              </w:rPr>
              <w:t>submission:if</w:t>
            </w:r>
            <w:proofErr w:type="spellEnd"/>
            <w:proofErr w:type="gramEnd"/>
            <w:r w:rsidRPr="00BB1492">
              <w:rPr>
                <w:rFonts w:ascii="Calibri" w:hAnsi="Calibri" w:cs="Tahoma"/>
                <w:b/>
              </w:rPr>
              <w:t xml:space="preserve"> you are submitting this form via email, please tick this box </w:t>
            </w:r>
            <w:r>
              <w:rPr>
                <w:rFonts w:ascii="Calibri" w:hAnsi="Calibri" w:cs="Calibri"/>
                <w:b/>
                <w:sz w:val="44"/>
                <w:szCs w:val="44"/>
              </w:rPr>
              <w:t>x</w:t>
            </w:r>
          </w:p>
          <w:p w14:paraId="179B8B15" w14:textId="77777777" w:rsidR="005005B0" w:rsidRPr="00BB1492" w:rsidRDefault="005005B0" w:rsidP="00421223">
            <w:pPr>
              <w:pStyle w:val="NormalWeb"/>
              <w:spacing w:after="0"/>
              <w:ind w:right="34"/>
              <w:rPr>
                <w:rFonts w:ascii="Calibri" w:hAnsi="Calibri" w:cs="Tahoma"/>
                <w:b/>
              </w:rPr>
            </w:pPr>
            <w:r w:rsidRPr="00BB1492">
              <w:rPr>
                <w:rFonts w:ascii="Calibri" w:hAnsi="Calibri" w:cs="Tahoma"/>
                <w:b/>
              </w:rPr>
              <w:t>(as a substitute for your signature) to confirm that you agree to the above declaration.</w:t>
            </w:r>
          </w:p>
        </w:tc>
      </w:tr>
      <w:tr w:rsidR="005005B0" w:rsidRPr="002F467C" w14:paraId="468FE5A6" w14:textId="77777777" w:rsidTr="00421223">
        <w:trPr>
          <w:gridAfter w:val="1"/>
          <w:wAfter w:w="101" w:type="dxa"/>
          <w:trHeight w:val="3972"/>
        </w:trPr>
        <w:tc>
          <w:tcPr>
            <w:tcW w:w="8755" w:type="dxa"/>
            <w:gridSpan w:val="6"/>
          </w:tcPr>
          <w:p w14:paraId="5E910C6D" w14:textId="77777777" w:rsidR="005005B0" w:rsidRPr="002F467C" w:rsidRDefault="005005B0" w:rsidP="00421223">
            <w:pPr>
              <w:pStyle w:val="NormalWeb"/>
              <w:spacing w:after="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14:paraId="7D969D6B" w14:textId="77777777" w:rsidR="005005B0" w:rsidRDefault="005005B0" w:rsidP="00421223">
            <w:pPr>
              <w:pStyle w:val="NormalWeb"/>
              <w:rPr>
                <w:rFonts w:ascii="Calibri" w:hAnsi="Calibri" w:cs="Tahoma"/>
                <w:i/>
              </w:rPr>
            </w:pPr>
            <w:r w:rsidRPr="002F467C">
              <w:rPr>
                <w:rFonts w:ascii="Calibri" w:hAnsi="Calibri" w:cs="Tahoma"/>
                <w:i/>
              </w:rPr>
              <w:t>Comments:</w:t>
            </w:r>
          </w:p>
          <w:p w14:paraId="1621FA53" w14:textId="77777777" w:rsidR="005005B0" w:rsidRDefault="005005B0" w:rsidP="00421223">
            <w:pPr>
              <w:pStyle w:val="NormalWeb"/>
              <w:rPr>
                <w:rFonts w:ascii="Calibri" w:hAnsi="Calibri" w:cs="Tahoma"/>
                <w:i/>
              </w:rPr>
            </w:pPr>
          </w:p>
          <w:p w14:paraId="308CFDB9" w14:textId="77777777" w:rsidR="005005B0" w:rsidRDefault="005005B0" w:rsidP="00421223">
            <w:pPr>
              <w:pStyle w:val="NormalWeb"/>
              <w:rPr>
                <w:rFonts w:ascii="Calibri" w:hAnsi="Calibri" w:cs="Tahoma"/>
                <w:i/>
              </w:rPr>
            </w:pPr>
          </w:p>
          <w:p w14:paraId="2BEE6532" w14:textId="77777777" w:rsidR="005005B0" w:rsidRDefault="005005B0" w:rsidP="00421223">
            <w:pPr>
              <w:pStyle w:val="NormalWeb"/>
              <w:rPr>
                <w:rFonts w:ascii="Calibri" w:hAnsi="Calibri" w:cs="Tahoma"/>
                <w:i/>
              </w:rPr>
            </w:pPr>
          </w:p>
          <w:p w14:paraId="73ACF179" w14:textId="77777777" w:rsidR="005005B0" w:rsidRDefault="005005B0" w:rsidP="00421223">
            <w:pPr>
              <w:pStyle w:val="NormalWeb"/>
              <w:rPr>
                <w:rFonts w:ascii="Calibri" w:hAnsi="Calibri" w:cs="Tahoma"/>
                <w:i/>
              </w:rPr>
            </w:pPr>
          </w:p>
          <w:p w14:paraId="4CB8A5A5" w14:textId="77777777" w:rsidR="005005B0" w:rsidRDefault="005005B0" w:rsidP="00421223">
            <w:pPr>
              <w:pStyle w:val="NormalWeb"/>
              <w:rPr>
                <w:rFonts w:ascii="Calibri" w:hAnsi="Calibri" w:cs="Tahoma"/>
                <w:i/>
              </w:rPr>
            </w:pPr>
          </w:p>
          <w:p w14:paraId="62B779FD" w14:textId="77777777" w:rsidR="005005B0" w:rsidRDefault="005005B0" w:rsidP="00421223">
            <w:pPr>
              <w:pStyle w:val="NormalWeb"/>
              <w:rPr>
                <w:rFonts w:ascii="Calibri" w:hAnsi="Calibri" w:cs="Tahoma"/>
                <w:i/>
              </w:rPr>
            </w:pPr>
          </w:p>
          <w:p w14:paraId="33CFD0F4" w14:textId="77777777" w:rsidR="005005B0" w:rsidRPr="002F467C" w:rsidRDefault="005005B0" w:rsidP="00421223">
            <w:pPr>
              <w:pStyle w:val="NormalWeb"/>
              <w:rPr>
                <w:rFonts w:ascii="Calibri" w:hAnsi="Calibri" w:cs="Tahoma"/>
                <w:i/>
              </w:rPr>
            </w:pPr>
          </w:p>
        </w:tc>
      </w:tr>
      <w:tr w:rsidR="005005B0" w:rsidRPr="002F467C" w14:paraId="0BDD698A" w14:textId="77777777" w:rsidTr="00421223">
        <w:trPr>
          <w:gridAfter w:val="1"/>
          <w:wAfter w:w="101" w:type="dxa"/>
          <w:trHeight w:val="492"/>
        </w:trPr>
        <w:tc>
          <w:tcPr>
            <w:tcW w:w="6768" w:type="dxa"/>
            <w:gridSpan w:val="4"/>
          </w:tcPr>
          <w:p w14:paraId="1969F650" w14:textId="77777777" w:rsidR="005005B0" w:rsidRPr="00B12C4F" w:rsidRDefault="005005B0" w:rsidP="00421223">
            <w:pPr>
              <w:pStyle w:val="NormalWeb"/>
              <w:ind w:left="142" w:right="34"/>
              <w:rPr>
                <w:rFonts w:ascii="Calibri" w:hAnsi="Calibri" w:cs="Tahoma"/>
              </w:rPr>
            </w:pPr>
            <w:r w:rsidRPr="00B12C4F">
              <w:rPr>
                <w:rFonts w:ascii="Calibri" w:hAnsi="Calibri" w:cs="Tahoma"/>
              </w:rPr>
              <w:lastRenderedPageBreak/>
              <w:t>First Marker’s Mark:</w:t>
            </w:r>
          </w:p>
          <w:p w14:paraId="111B08D9" w14:textId="77777777" w:rsidR="005005B0" w:rsidRPr="002F467C" w:rsidRDefault="005005B0" w:rsidP="00421223">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552F1FA2" w14:textId="77777777" w:rsidR="005005B0" w:rsidRPr="002F467C" w:rsidRDefault="005005B0" w:rsidP="00421223">
            <w:pPr>
              <w:pStyle w:val="NormalWeb"/>
              <w:spacing w:after="0"/>
              <w:ind w:left="142" w:right="34"/>
              <w:rPr>
                <w:rFonts w:ascii="Calibri" w:hAnsi="Calibri" w:cs="Tahoma"/>
                <w:i/>
              </w:rPr>
            </w:pPr>
            <w:r w:rsidRPr="002F467C">
              <w:rPr>
                <w:rFonts w:ascii="Calibri" w:hAnsi="Calibri" w:cs="Tahoma"/>
                <w:i/>
              </w:rPr>
              <w:t>Date:</w:t>
            </w:r>
          </w:p>
        </w:tc>
      </w:tr>
      <w:tr w:rsidR="005005B0" w:rsidRPr="002F467C" w14:paraId="43652873" w14:textId="77777777" w:rsidTr="00421223">
        <w:tc>
          <w:tcPr>
            <w:tcW w:w="8856" w:type="dxa"/>
            <w:gridSpan w:val="7"/>
          </w:tcPr>
          <w:p w14:paraId="482684E3" w14:textId="77777777" w:rsidR="005005B0" w:rsidRPr="002F467C" w:rsidRDefault="005005B0" w:rsidP="00421223">
            <w:pPr>
              <w:pStyle w:val="NormalWeb"/>
              <w:spacing w:after="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w:t>
            </w:r>
            <w:r w:rsidRPr="002F467C">
              <w:rPr>
                <w:rFonts w:ascii="Calibri" w:hAnsi="Calibri" w:cs="Tahoma"/>
                <w:bCs/>
              </w:rPr>
              <w:t>:</w:t>
            </w:r>
          </w:p>
          <w:p w14:paraId="08C4C352" w14:textId="77777777" w:rsidR="005005B0" w:rsidRPr="002F467C" w:rsidRDefault="005005B0" w:rsidP="00421223">
            <w:pPr>
              <w:pStyle w:val="NormalWeb"/>
              <w:spacing w:after="0"/>
              <w:ind w:right="-334"/>
              <w:rPr>
                <w:rFonts w:ascii="Calibri" w:hAnsi="Calibri" w:cs="Tahoma"/>
                <w:bCs/>
              </w:rPr>
            </w:pPr>
          </w:p>
          <w:p w14:paraId="7F85E5DF" w14:textId="77777777" w:rsidR="005005B0" w:rsidRPr="002F467C" w:rsidRDefault="005005B0" w:rsidP="00421223">
            <w:pPr>
              <w:pStyle w:val="NormalWeb"/>
              <w:spacing w:after="0"/>
              <w:ind w:right="-334"/>
              <w:rPr>
                <w:rFonts w:ascii="Calibri" w:hAnsi="Calibri" w:cs="Tahoma"/>
                <w:bCs/>
              </w:rPr>
            </w:pPr>
            <w:r w:rsidRPr="002F467C">
              <w:rPr>
                <w:rFonts w:ascii="Calibri" w:hAnsi="Calibri" w:cs="Tahoma"/>
                <w:bCs/>
              </w:rPr>
              <w:t>Comments:</w:t>
            </w:r>
          </w:p>
          <w:p w14:paraId="4ED087FC" w14:textId="77777777" w:rsidR="005005B0" w:rsidRPr="002F467C" w:rsidRDefault="005005B0" w:rsidP="00421223">
            <w:pPr>
              <w:pStyle w:val="NormalWeb"/>
              <w:spacing w:after="0"/>
              <w:ind w:right="-334"/>
              <w:rPr>
                <w:rFonts w:ascii="Calibri" w:hAnsi="Calibri" w:cs="Tahoma"/>
                <w:bCs/>
              </w:rPr>
            </w:pPr>
          </w:p>
          <w:p w14:paraId="30FD9EA5" w14:textId="77777777" w:rsidR="005005B0" w:rsidRPr="002F467C" w:rsidRDefault="005005B0" w:rsidP="00421223">
            <w:pPr>
              <w:pStyle w:val="NormalWeb"/>
              <w:spacing w:after="0"/>
              <w:ind w:right="-334"/>
              <w:rPr>
                <w:rFonts w:ascii="Calibri" w:hAnsi="Calibri" w:cs="Tahoma"/>
                <w:bCs/>
              </w:rPr>
            </w:pPr>
          </w:p>
          <w:p w14:paraId="0CBC0074" w14:textId="77777777" w:rsidR="005005B0" w:rsidRPr="002F467C" w:rsidRDefault="005005B0" w:rsidP="00421223">
            <w:pPr>
              <w:pStyle w:val="NormalWeb"/>
              <w:spacing w:after="0"/>
              <w:ind w:right="-334"/>
              <w:rPr>
                <w:rFonts w:ascii="Calibri" w:hAnsi="Calibri" w:cs="Tahoma"/>
                <w:bCs/>
              </w:rPr>
            </w:pPr>
          </w:p>
          <w:p w14:paraId="236A13D2" w14:textId="77777777" w:rsidR="005005B0" w:rsidRPr="002F467C" w:rsidRDefault="005005B0" w:rsidP="00421223">
            <w:pPr>
              <w:pStyle w:val="NormalWeb"/>
              <w:spacing w:after="0"/>
              <w:ind w:right="-334"/>
              <w:rPr>
                <w:rFonts w:ascii="Calibri" w:hAnsi="Calibri" w:cs="Tahoma"/>
                <w:bCs/>
              </w:rPr>
            </w:pPr>
          </w:p>
          <w:p w14:paraId="3787232D" w14:textId="77777777" w:rsidR="005005B0" w:rsidRPr="002F467C" w:rsidRDefault="005005B0" w:rsidP="00421223">
            <w:pPr>
              <w:pStyle w:val="NormalWeb"/>
              <w:spacing w:after="0"/>
              <w:ind w:right="-334"/>
              <w:rPr>
                <w:rFonts w:ascii="Calibri" w:hAnsi="Calibri" w:cs="Tahoma"/>
                <w:bCs/>
              </w:rPr>
            </w:pPr>
          </w:p>
          <w:p w14:paraId="565D3E8D" w14:textId="77777777" w:rsidR="005005B0" w:rsidRPr="002F467C" w:rsidRDefault="005005B0" w:rsidP="00421223">
            <w:pPr>
              <w:pStyle w:val="NormalWeb"/>
              <w:spacing w:after="0"/>
              <w:ind w:right="-334"/>
              <w:rPr>
                <w:rFonts w:ascii="Calibri" w:hAnsi="Calibri" w:cs="Tahoma"/>
                <w:bCs/>
              </w:rPr>
            </w:pPr>
          </w:p>
          <w:p w14:paraId="523592D2" w14:textId="77777777" w:rsidR="005005B0" w:rsidRPr="002F467C" w:rsidRDefault="005005B0" w:rsidP="00421223">
            <w:pPr>
              <w:pStyle w:val="NormalWeb"/>
              <w:spacing w:after="0"/>
              <w:ind w:right="-334"/>
              <w:rPr>
                <w:rFonts w:ascii="Calibri" w:hAnsi="Calibri" w:cs="Tahoma"/>
                <w:bCs/>
              </w:rPr>
            </w:pPr>
          </w:p>
          <w:p w14:paraId="6C4E55D5" w14:textId="77777777" w:rsidR="005005B0" w:rsidRPr="002F467C" w:rsidRDefault="005005B0" w:rsidP="00421223">
            <w:pPr>
              <w:pStyle w:val="NormalWeb"/>
              <w:spacing w:after="0"/>
              <w:ind w:right="-334"/>
              <w:rPr>
                <w:rFonts w:ascii="Calibri" w:hAnsi="Calibri" w:cs="Tahoma"/>
                <w:bCs/>
              </w:rPr>
            </w:pPr>
          </w:p>
          <w:p w14:paraId="143FBA87" w14:textId="77777777" w:rsidR="005005B0" w:rsidRPr="002F467C" w:rsidRDefault="005005B0" w:rsidP="00421223">
            <w:pPr>
              <w:pStyle w:val="NormalWeb"/>
              <w:spacing w:after="0"/>
              <w:ind w:right="-334"/>
              <w:rPr>
                <w:rFonts w:ascii="Calibri" w:hAnsi="Calibri" w:cs="Tahoma"/>
                <w:bCs/>
              </w:rPr>
            </w:pPr>
          </w:p>
          <w:p w14:paraId="6BE3811E" w14:textId="77777777" w:rsidR="005005B0" w:rsidRPr="002F467C" w:rsidRDefault="005005B0" w:rsidP="00421223">
            <w:pPr>
              <w:pStyle w:val="NormalWeb"/>
              <w:spacing w:after="0"/>
              <w:ind w:right="-334"/>
              <w:rPr>
                <w:rFonts w:ascii="Calibri" w:hAnsi="Calibri" w:cs="Tahoma"/>
                <w:bCs/>
              </w:rPr>
            </w:pPr>
          </w:p>
          <w:p w14:paraId="11DD3EF5" w14:textId="77777777" w:rsidR="005005B0" w:rsidRPr="002F467C" w:rsidRDefault="005005B0" w:rsidP="00421223">
            <w:pPr>
              <w:pStyle w:val="NormalWeb"/>
              <w:spacing w:after="0"/>
              <w:ind w:right="-334"/>
              <w:rPr>
                <w:rFonts w:ascii="Calibri" w:hAnsi="Calibri" w:cs="Tahoma"/>
                <w:bCs/>
              </w:rPr>
            </w:pPr>
          </w:p>
          <w:p w14:paraId="6FC4F592" w14:textId="77777777" w:rsidR="005005B0" w:rsidRPr="002F467C" w:rsidRDefault="005005B0" w:rsidP="00421223">
            <w:pPr>
              <w:pStyle w:val="NormalWeb"/>
              <w:spacing w:after="0"/>
              <w:ind w:right="-334"/>
              <w:rPr>
                <w:rFonts w:ascii="Calibri" w:hAnsi="Calibri" w:cs="Tahoma"/>
                <w:bCs/>
              </w:rPr>
            </w:pPr>
          </w:p>
          <w:p w14:paraId="720DE78F" w14:textId="77777777" w:rsidR="005005B0" w:rsidRPr="002F467C" w:rsidRDefault="005005B0" w:rsidP="00421223">
            <w:pPr>
              <w:pStyle w:val="NormalWeb"/>
              <w:spacing w:after="0"/>
              <w:ind w:right="-334"/>
              <w:rPr>
                <w:rFonts w:ascii="Calibri" w:hAnsi="Calibri" w:cs="Tahoma"/>
                <w:bCs/>
              </w:rPr>
            </w:pPr>
          </w:p>
          <w:p w14:paraId="1A794D2A" w14:textId="77777777" w:rsidR="005005B0" w:rsidRPr="002F467C" w:rsidRDefault="005005B0" w:rsidP="00421223">
            <w:pPr>
              <w:pStyle w:val="NormalWeb"/>
              <w:spacing w:after="0"/>
              <w:ind w:right="-334"/>
              <w:rPr>
                <w:rFonts w:ascii="Calibri" w:hAnsi="Calibri" w:cs="Tahoma"/>
                <w:bCs/>
              </w:rPr>
            </w:pPr>
          </w:p>
          <w:p w14:paraId="3A92139C" w14:textId="77777777" w:rsidR="005005B0" w:rsidRPr="002F467C" w:rsidRDefault="005005B0" w:rsidP="00421223">
            <w:pPr>
              <w:pStyle w:val="NormalWeb"/>
              <w:spacing w:after="0"/>
              <w:ind w:right="-334"/>
              <w:rPr>
                <w:rFonts w:ascii="Calibri" w:hAnsi="Calibri" w:cs="Tahoma"/>
                <w:bCs/>
              </w:rPr>
            </w:pPr>
          </w:p>
          <w:p w14:paraId="110708DD" w14:textId="77777777" w:rsidR="005005B0" w:rsidRPr="002F467C" w:rsidRDefault="005005B0" w:rsidP="00421223">
            <w:pPr>
              <w:pStyle w:val="NormalWeb"/>
              <w:spacing w:after="0"/>
              <w:ind w:right="-334"/>
              <w:rPr>
                <w:rFonts w:ascii="Calibri" w:hAnsi="Calibri" w:cs="Tahoma"/>
                <w:bCs/>
              </w:rPr>
            </w:pPr>
          </w:p>
          <w:p w14:paraId="55EBBACF" w14:textId="77777777" w:rsidR="005005B0" w:rsidRPr="002F467C" w:rsidRDefault="005005B0" w:rsidP="00421223">
            <w:pPr>
              <w:pStyle w:val="NormalWeb"/>
              <w:spacing w:after="0"/>
              <w:ind w:right="-334"/>
              <w:rPr>
                <w:rFonts w:ascii="Calibri" w:hAnsi="Calibri" w:cs="Tahoma"/>
                <w:bCs/>
              </w:rPr>
            </w:pPr>
          </w:p>
          <w:p w14:paraId="4F6A7DB3" w14:textId="77777777" w:rsidR="005005B0" w:rsidRPr="002F467C" w:rsidRDefault="005005B0" w:rsidP="00421223">
            <w:pPr>
              <w:pStyle w:val="NormalWeb"/>
              <w:spacing w:after="0"/>
              <w:ind w:right="-334"/>
              <w:rPr>
                <w:rFonts w:ascii="Calibri" w:hAnsi="Calibri" w:cs="Tahoma"/>
                <w:bCs/>
              </w:rPr>
            </w:pPr>
          </w:p>
        </w:tc>
      </w:tr>
      <w:tr w:rsidR="005005B0" w:rsidRPr="002F467C" w14:paraId="38381E74" w14:textId="77777777" w:rsidTr="00421223">
        <w:trPr>
          <w:trHeight w:val="720"/>
        </w:trPr>
        <w:tc>
          <w:tcPr>
            <w:tcW w:w="5211" w:type="dxa"/>
            <w:gridSpan w:val="2"/>
          </w:tcPr>
          <w:p w14:paraId="1ACD9740" w14:textId="77777777" w:rsidR="005005B0" w:rsidRDefault="005005B0" w:rsidP="00421223">
            <w:pPr>
              <w:pStyle w:val="NormalWeb"/>
              <w:spacing w:after="0"/>
              <w:ind w:right="-334"/>
              <w:rPr>
                <w:rFonts w:ascii="Calibri" w:hAnsi="Calibri" w:cs="Tahoma"/>
                <w:bCs/>
              </w:rPr>
            </w:pPr>
            <w:r>
              <w:rPr>
                <w:rFonts w:ascii="Calibri" w:hAnsi="Calibri" w:cs="Tahoma"/>
                <w:bCs/>
              </w:rPr>
              <w:t xml:space="preserve">Second </w:t>
            </w:r>
            <w:proofErr w:type="gramStart"/>
            <w:r>
              <w:rPr>
                <w:rFonts w:ascii="Calibri" w:hAnsi="Calibri" w:cs="Tahoma"/>
                <w:bCs/>
              </w:rPr>
              <w:t>Marker’s  Mark</w:t>
            </w:r>
            <w:proofErr w:type="gramEnd"/>
            <w:r w:rsidRPr="002F467C">
              <w:rPr>
                <w:rFonts w:ascii="Calibri" w:hAnsi="Calibri" w:cs="Tahoma"/>
                <w:bCs/>
              </w:rPr>
              <w:t>:</w:t>
            </w:r>
          </w:p>
          <w:p w14:paraId="5C303310" w14:textId="77777777" w:rsidR="005005B0" w:rsidRPr="002F467C" w:rsidRDefault="005005B0" w:rsidP="00421223">
            <w:pPr>
              <w:pStyle w:val="NormalWeb"/>
              <w:spacing w:after="0"/>
              <w:ind w:right="-334"/>
              <w:rPr>
                <w:rFonts w:ascii="Calibri" w:hAnsi="Calibri" w:cs="Tahoma"/>
                <w:bCs/>
              </w:rPr>
            </w:pPr>
            <w:r>
              <w:rPr>
                <w:rFonts w:ascii="Calibri" w:hAnsi="Calibri" w:cs="Tahoma"/>
                <w:bCs/>
              </w:rPr>
              <w:t>Signature:</w:t>
            </w:r>
          </w:p>
        </w:tc>
        <w:tc>
          <w:tcPr>
            <w:tcW w:w="3645" w:type="dxa"/>
            <w:gridSpan w:val="5"/>
          </w:tcPr>
          <w:p w14:paraId="4023CB39" w14:textId="77777777" w:rsidR="005005B0" w:rsidRPr="002F467C" w:rsidRDefault="005005B0" w:rsidP="00421223">
            <w:pPr>
              <w:pStyle w:val="NormalWeb"/>
              <w:spacing w:after="0"/>
              <w:ind w:right="-334"/>
              <w:rPr>
                <w:rFonts w:ascii="Calibri" w:hAnsi="Calibri" w:cs="Tahoma"/>
                <w:bCs/>
              </w:rPr>
            </w:pPr>
            <w:r w:rsidRPr="002F467C">
              <w:rPr>
                <w:rFonts w:ascii="Calibri" w:hAnsi="Calibri" w:cs="Tahoma"/>
                <w:bCs/>
              </w:rPr>
              <w:t>Date:</w:t>
            </w:r>
          </w:p>
        </w:tc>
      </w:tr>
      <w:tr w:rsidR="005005B0" w:rsidRPr="002F467C" w14:paraId="7E563537" w14:textId="77777777" w:rsidTr="00421223">
        <w:trPr>
          <w:trHeight w:val="720"/>
        </w:trPr>
        <w:tc>
          <w:tcPr>
            <w:tcW w:w="5211" w:type="dxa"/>
            <w:gridSpan w:val="2"/>
          </w:tcPr>
          <w:p w14:paraId="5BF50C53" w14:textId="77777777" w:rsidR="005005B0" w:rsidRDefault="005005B0" w:rsidP="00421223">
            <w:pPr>
              <w:pStyle w:val="NormalWeb"/>
              <w:spacing w:after="0"/>
              <w:ind w:right="-334"/>
              <w:rPr>
                <w:rFonts w:ascii="Calibri" w:hAnsi="Calibri" w:cs="Tahoma"/>
                <w:bCs/>
              </w:rPr>
            </w:pPr>
            <w:r>
              <w:rPr>
                <w:rFonts w:ascii="Calibri" w:hAnsi="Calibri" w:cs="Tahoma"/>
                <w:bCs/>
              </w:rPr>
              <w:t>Agreed internal mark:</w:t>
            </w:r>
          </w:p>
          <w:p w14:paraId="62E6B13B" w14:textId="77777777" w:rsidR="005005B0" w:rsidRDefault="005005B0" w:rsidP="00421223">
            <w:pPr>
              <w:pStyle w:val="NormalWeb"/>
              <w:spacing w:after="0"/>
              <w:ind w:right="-334"/>
              <w:rPr>
                <w:rFonts w:ascii="Calibri" w:hAnsi="Calibri" w:cs="Tahoma"/>
                <w:bCs/>
              </w:rPr>
            </w:pPr>
          </w:p>
          <w:p w14:paraId="4729FF8C" w14:textId="77777777" w:rsidR="005005B0" w:rsidRDefault="005005B0" w:rsidP="00421223">
            <w:pPr>
              <w:pStyle w:val="NormalWeb"/>
              <w:spacing w:after="0"/>
              <w:ind w:right="-334"/>
              <w:rPr>
                <w:rFonts w:ascii="Calibri" w:hAnsi="Calibri" w:cs="Tahoma"/>
                <w:bCs/>
              </w:rPr>
            </w:pPr>
            <w:r>
              <w:rPr>
                <w:rFonts w:ascii="Calibri" w:hAnsi="Calibri" w:cs="Tahoma"/>
                <w:bCs/>
              </w:rPr>
              <w:t>Signature 1</w:t>
            </w:r>
            <w:r w:rsidRPr="00BB1492">
              <w:rPr>
                <w:rFonts w:ascii="Calibri" w:hAnsi="Calibri" w:cs="Tahoma"/>
                <w:bCs/>
                <w:vertAlign w:val="superscript"/>
              </w:rPr>
              <w:t>st</w:t>
            </w:r>
            <w:r>
              <w:rPr>
                <w:rFonts w:ascii="Calibri" w:hAnsi="Calibri" w:cs="Tahoma"/>
                <w:bCs/>
              </w:rPr>
              <w:t xml:space="preserve"> marker:</w:t>
            </w:r>
          </w:p>
          <w:p w14:paraId="313D72E7" w14:textId="77777777" w:rsidR="005005B0" w:rsidRDefault="005005B0" w:rsidP="00421223">
            <w:pPr>
              <w:pStyle w:val="NormalWeb"/>
              <w:spacing w:after="0"/>
              <w:ind w:right="-334"/>
              <w:rPr>
                <w:rFonts w:ascii="Calibri" w:hAnsi="Calibri" w:cs="Tahoma"/>
                <w:bCs/>
              </w:rPr>
            </w:pPr>
          </w:p>
          <w:p w14:paraId="1D6DE7FA" w14:textId="77777777" w:rsidR="005005B0" w:rsidRDefault="005005B0" w:rsidP="00421223">
            <w:pPr>
              <w:pStyle w:val="NormalWeb"/>
              <w:spacing w:after="0"/>
              <w:ind w:right="-334"/>
              <w:rPr>
                <w:rFonts w:ascii="Calibri" w:hAnsi="Calibri" w:cs="Tahoma"/>
                <w:bCs/>
              </w:rPr>
            </w:pPr>
            <w:r>
              <w:rPr>
                <w:rFonts w:ascii="Calibri" w:hAnsi="Calibri" w:cs="Tahoma"/>
                <w:bCs/>
              </w:rPr>
              <w:t>Signature 2</w:t>
            </w:r>
            <w:r w:rsidRPr="00BB1492">
              <w:rPr>
                <w:rFonts w:ascii="Calibri" w:hAnsi="Calibri" w:cs="Tahoma"/>
                <w:bCs/>
                <w:vertAlign w:val="superscript"/>
              </w:rPr>
              <w:t>nd</w:t>
            </w:r>
            <w:r>
              <w:rPr>
                <w:rFonts w:ascii="Calibri" w:hAnsi="Calibri" w:cs="Tahoma"/>
                <w:bCs/>
              </w:rPr>
              <w:t xml:space="preserve"> marker:</w:t>
            </w:r>
          </w:p>
          <w:p w14:paraId="1C69366B" w14:textId="77777777" w:rsidR="005005B0" w:rsidRDefault="005005B0" w:rsidP="00421223">
            <w:pPr>
              <w:pStyle w:val="NormalWeb"/>
              <w:spacing w:after="0"/>
              <w:ind w:right="-334"/>
              <w:rPr>
                <w:rFonts w:ascii="Calibri" w:hAnsi="Calibri" w:cs="Tahoma"/>
                <w:bCs/>
              </w:rPr>
            </w:pPr>
          </w:p>
        </w:tc>
        <w:tc>
          <w:tcPr>
            <w:tcW w:w="3645" w:type="dxa"/>
            <w:gridSpan w:val="5"/>
          </w:tcPr>
          <w:p w14:paraId="0B595D1F" w14:textId="77777777" w:rsidR="005005B0" w:rsidRPr="002F467C" w:rsidRDefault="005005B0" w:rsidP="00421223">
            <w:pPr>
              <w:pStyle w:val="NormalWeb"/>
              <w:spacing w:after="0"/>
              <w:ind w:right="-334"/>
              <w:rPr>
                <w:rFonts w:ascii="Calibri" w:hAnsi="Calibri" w:cs="Tahoma"/>
                <w:bCs/>
              </w:rPr>
            </w:pPr>
            <w:r>
              <w:rPr>
                <w:rFonts w:ascii="Calibri" w:hAnsi="Calibri" w:cs="Tahoma"/>
                <w:bCs/>
              </w:rPr>
              <w:t>Date</w:t>
            </w:r>
          </w:p>
        </w:tc>
      </w:tr>
      <w:tr w:rsidR="005005B0" w:rsidRPr="002F467C" w14:paraId="524074DE" w14:textId="77777777" w:rsidTr="00421223">
        <w:trPr>
          <w:trHeight w:val="720"/>
        </w:trPr>
        <w:tc>
          <w:tcPr>
            <w:tcW w:w="8856" w:type="dxa"/>
            <w:gridSpan w:val="7"/>
          </w:tcPr>
          <w:p w14:paraId="4C447FB5" w14:textId="77777777" w:rsidR="005005B0" w:rsidRPr="00BB1492" w:rsidRDefault="005005B0" w:rsidP="00421223">
            <w:pPr>
              <w:pStyle w:val="NormalWeb"/>
              <w:spacing w:after="0"/>
              <w:ind w:left="142" w:right="34"/>
              <w:rPr>
                <w:rFonts w:ascii="Calibri" w:hAnsi="Calibri" w:cs="Tahoma"/>
                <w:i/>
              </w:rPr>
            </w:pPr>
            <w:r w:rsidRPr="00BB1492">
              <w:rPr>
                <w:rFonts w:ascii="Calibri" w:hAnsi="Calibri" w:cs="Tahoma"/>
              </w:rPr>
              <w:t xml:space="preserve">Comments </w:t>
            </w:r>
            <w:r w:rsidRPr="00BB1492">
              <w:rPr>
                <w:rFonts w:ascii="Calibri" w:hAnsi="Calibri" w:cs="Tahoma"/>
                <w:i/>
              </w:rPr>
              <w:t xml:space="preserve">(for completion by the internal markers which </w:t>
            </w:r>
            <w:r w:rsidRPr="00030CB5">
              <w:rPr>
                <w:rFonts w:ascii="Calibri" w:hAnsi="Calibri" w:cs="Tahoma"/>
                <w:i/>
              </w:rPr>
              <w:t>indicate</w:t>
            </w:r>
            <w:r w:rsidRPr="00BB1492">
              <w:rPr>
                <w:rFonts w:ascii="Calibri" w:hAnsi="Calibri" w:cs="Tahoma"/>
                <w:i/>
              </w:rPr>
              <w:t xml:space="preserve"> how the agreed internal mark has been arrived at):</w:t>
            </w:r>
          </w:p>
          <w:p w14:paraId="7AE41EFD" w14:textId="77777777" w:rsidR="005005B0" w:rsidRPr="00C87244" w:rsidRDefault="005005B0" w:rsidP="00421223">
            <w:pPr>
              <w:pStyle w:val="NormalWeb"/>
              <w:spacing w:after="0"/>
              <w:ind w:left="142" w:right="34"/>
              <w:rPr>
                <w:rFonts w:ascii="Calibri" w:hAnsi="Calibri" w:cs="Tahoma"/>
                <w:b/>
                <w:i/>
              </w:rPr>
            </w:pPr>
          </w:p>
          <w:p w14:paraId="1C85C0C1" w14:textId="77777777" w:rsidR="005005B0" w:rsidRPr="002F467C" w:rsidRDefault="005005B0" w:rsidP="00421223">
            <w:pPr>
              <w:pStyle w:val="NormalWeb"/>
              <w:spacing w:after="0"/>
              <w:ind w:right="-334"/>
              <w:rPr>
                <w:rFonts w:ascii="Calibri" w:hAnsi="Calibri" w:cs="Tahoma"/>
                <w:bCs/>
              </w:rPr>
            </w:pPr>
          </w:p>
        </w:tc>
      </w:tr>
      <w:tr w:rsidR="005005B0" w:rsidRPr="002F467C" w14:paraId="423B0B23" w14:textId="77777777" w:rsidTr="00421223">
        <w:trPr>
          <w:trHeight w:val="720"/>
        </w:trPr>
        <w:tc>
          <w:tcPr>
            <w:tcW w:w="8856" w:type="dxa"/>
            <w:gridSpan w:val="7"/>
          </w:tcPr>
          <w:p w14:paraId="0DD050CD" w14:textId="77777777" w:rsidR="005005B0" w:rsidRPr="00C87244" w:rsidRDefault="005005B0" w:rsidP="00421223">
            <w:pPr>
              <w:pStyle w:val="NormalWeb"/>
              <w:spacing w:after="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0BB88E62" w14:textId="77777777" w:rsidR="005005B0" w:rsidRPr="002F467C" w:rsidRDefault="005005B0" w:rsidP="00421223">
            <w:pPr>
              <w:pStyle w:val="NormalWeb"/>
              <w:spacing w:after="0"/>
              <w:ind w:left="142" w:right="34"/>
              <w:rPr>
                <w:rFonts w:ascii="Calibri" w:hAnsi="Calibri" w:cs="Tahoma"/>
                <w:b/>
                <w:i/>
              </w:rPr>
            </w:pPr>
          </w:p>
        </w:tc>
      </w:tr>
    </w:tbl>
    <w:p w14:paraId="05C0213B" w14:textId="77777777" w:rsidR="005005B0" w:rsidRDefault="005005B0" w:rsidP="005005B0">
      <w:pPr>
        <w:pStyle w:val="NormalWeb"/>
        <w:spacing w:after="0"/>
        <w:ind w:right="-334"/>
        <w:rPr>
          <w:rFonts w:ascii="Trebuchet MS" w:hAnsi="Trebuchet MS" w:cs="Tahoma"/>
          <w:bCs/>
        </w:rPr>
      </w:pPr>
    </w:p>
    <w:p w14:paraId="36C7758E" w14:textId="77777777" w:rsidR="005005B0" w:rsidRDefault="005005B0" w:rsidP="005005B0">
      <w:pPr>
        <w:pStyle w:val="NormalWeb"/>
        <w:spacing w:after="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5005B0" w:rsidRPr="002F467C" w14:paraId="0D2FCFEA" w14:textId="77777777" w:rsidTr="00421223">
        <w:tc>
          <w:tcPr>
            <w:tcW w:w="8856" w:type="dxa"/>
          </w:tcPr>
          <w:p w14:paraId="1CF58701" w14:textId="77777777" w:rsidR="005005B0" w:rsidRPr="002F467C" w:rsidRDefault="005005B0" w:rsidP="00421223">
            <w:pPr>
              <w:pStyle w:val="NormalWeb"/>
              <w:spacing w:after="0"/>
              <w:ind w:right="-334"/>
              <w:rPr>
                <w:rFonts w:ascii="Calibri" w:hAnsi="Calibri" w:cs="Tahoma"/>
                <w:bCs/>
              </w:rPr>
            </w:pPr>
            <w:r w:rsidRPr="002F467C">
              <w:rPr>
                <w:rFonts w:ascii="Calibri" w:hAnsi="Calibri" w:cs="Tahoma"/>
                <w:bCs/>
                <w:i/>
              </w:rPr>
              <w:lastRenderedPageBreak/>
              <w:t xml:space="preserve">For completion by </w:t>
            </w:r>
            <w:r>
              <w:rPr>
                <w:rFonts w:ascii="Calibri" w:hAnsi="Calibri" w:cs="Tahoma"/>
                <w:bCs/>
                <w:i/>
              </w:rPr>
              <w:t>the External Examiner</w:t>
            </w:r>
            <w:r w:rsidRPr="002F467C">
              <w:rPr>
                <w:rFonts w:ascii="Calibri" w:hAnsi="Calibri" w:cs="Tahoma"/>
                <w:bCs/>
              </w:rPr>
              <w:t>:</w:t>
            </w:r>
          </w:p>
          <w:p w14:paraId="1248F09B" w14:textId="77777777" w:rsidR="005005B0" w:rsidRPr="002F467C" w:rsidRDefault="005005B0" w:rsidP="00421223">
            <w:pPr>
              <w:pStyle w:val="NormalWeb"/>
              <w:spacing w:after="0"/>
              <w:ind w:right="-334"/>
              <w:rPr>
                <w:rFonts w:ascii="Calibri" w:hAnsi="Calibri" w:cs="Tahoma"/>
                <w:bCs/>
              </w:rPr>
            </w:pPr>
          </w:p>
          <w:p w14:paraId="1343297A" w14:textId="77777777" w:rsidR="005005B0" w:rsidRPr="002F467C" w:rsidRDefault="005005B0" w:rsidP="00421223">
            <w:pPr>
              <w:pStyle w:val="NormalWeb"/>
              <w:spacing w:after="0"/>
              <w:ind w:right="-334"/>
              <w:rPr>
                <w:rFonts w:ascii="Calibri" w:hAnsi="Calibri" w:cs="Tahoma"/>
                <w:bCs/>
              </w:rPr>
            </w:pPr>
            <w:r w:rsidRPr="002F467C">
              <w:rPr>
                <w:rFonts w:ascii="Calibri" w:hAnsi="Calibri" w:cs="Tahoma"/>
                <w:bCs/>
              </w:rPr>
              <w:t>Comments:</w:t>
            </w:r>
          </w:p>
          <w:p w14:paraId="129AE585" w14:textId="77777777" w:rsidR="005005B0" w:rsidRPr="002F467C" w:rsidRDefault="005005B0" w:rsidP="00421223">
            <w:pPr>
              <w:pStyle w:val="NormalWeb"/>
              <w:spacing w:after="0"/>
              <w:ind w:right="-334"/>
              <w:rPr>
                <w:rFonts w:ascii="Calibri" w:hAnsi="Calibri" w:cs="Tahoma"/>
                <w:bCs/>
              </w:rPr>
            </w:pPr>
          </w:p>
          <w:p w14:paraId="5B63DBA2" w14:textId="77777777" w:rsidR="005005B0" w:rsidRPr="002F467C" w:rsidRDefault="005005B0" w:rsidP="00421223">
            <w:pPr>
              <w:pStyle w:val="NormalWeb"/>
              <w:spacing w:after="0"/>
              <w:ind w:right="-334"/>
              <w:rPr>
                <w:rFonts w:ascii="Calibri" w:hAnsi="Calibri" w:cs="Tahoma"/>
                <w:bCs/>
              </w:rPr>
            </w:pPr>
          </w:p>
          <w:p w14:paraId="20EDB829" w14:textId="77777777" w:rsidR="005005B0" w:rsidRPr="002F467C" w:rsidRDefault="005005B0" w:rsidP="00421223">
            <w:pPr>
              <w:pStyle w:val="NormalWeb"/>
              <w:spacing w:after="0"/>
              <w:ind w:right="-334"/>
              <w:rPr>
                <w:rFonts w:ascii="Calibri" w:hAnsi="Calibri" w:cs="Tahoma"/>
                <w:bCs/>
              </w:rPr>
            </w:pPr>
          </w:p>
          <w:p w14:paraId="5ABEBC5C" w14:textId="77777777" w:rsidR="005005B0" w:rsidRPr="002F467C" w:rsidRDefault="005005B0" w:rsidP="00421223">
            <w:pPr>
              <w:pStyle w:val="NormalWeb"/>
              <w:spacing w:after="0"/>
              <w:ind w:right="-334"/>
              <w:rPr>
                <w:rFonts w:ascii="Calibri" w:hAnsi="Calibri" w:cs="Tahoma"/>
                <w:bCs/>
              </w:rPr>
            </w:pPr>
          </w:p>
          <w:p w14:paraId="624CE97D" w14:textId="77777777" w:rsidR="005005B0" w:rsidRPr="002F467C" w:rsidRDefault="005005B0" w:rsidP="00421223">
            <w:pPr>
              <w:pStyle w:val="NormalWeb"/>
              <w:spacing w:after="0"/>
              <w:ind w:right="-334"/>
              <w:rPr>
                <w:rFonts w:ascii="Calibri" w:hAnsi="Calibri" w:cs="Tahoma"/>
                <w:bCs/>
              </w:rPr>
            </w:pPr>
          </w:p>
          <w:p w14:paraId="3BA658F8" w14:textId="77777777" w:rsidR="005005B0" w:rsidRPr="002F467C" w:rsidRDefault="005005B0" w:rsidP="00421223">
            <w:pPr>
              <w:pStyle w:val="NormalWeb"/>
              <w:spacing w:after="0"/>
              <w:ind w:right="-334"/>
              <w:rPr>
                <w:rFonts w:ascii="Calibri" w:hAnsi="Calibri" w:cs="Tahoma"/>
                <w:bCs/>
              </w:rPr>
            </w:pPr>
          </w:p>
          <w:p w14:paraId="77B005E5" w14:textId="77777777" w:rsidR="005005B0" w:rsidRPr="002F467C" w:rsidRDefault="005005B0" w:rsidP="00421223">
            <w:pPr>
              <w:pStyle w:val="NormalWeb"/>
              <w:spacing w:after="0"/>
              <w:ind w:right="-334"/>
              <w:rPr>
                <w:rFonts w:ascii="Calibri" w:hAnsi="Calibri" w:cs="Tahoma"/>
                <w:bCs/>
              </w:rPr>
            </w:pPr>
          </w:p>
          <w:p w14:paraId="36DF204C" w14:textId="77777777" w:rsidR="005005B0" w:rsidRPr="002F467C" w:rsidRDefault="005005B0" w:rsidP="00421223">
            <w:pPr>
              <w:pStyle w:val="NormalWeb"/>
              <w:spacing w:after="0"/>
              <w:ind w:right="-334"/>
              <w:rPr>
                <w:rFonts w:ascii="Calibri" w:hAnsi="Calibri" w:cs="Tahoma"/>
                <w:bCs/>
              </w:rPr>
            </w:pPr>
          </w:p>
          <w:p w14:paraId="28E6D210" w14:textId="77777777" w:rsidR="005005B0" w:rsidRPr="002F467C" w:rsidRDefault="005005B0" w:rsidP="00421223">
            <w:pPr>
              <w:pStyle w:val="NormalWeb"/>
              <w:spacing w:after="0"/>
              <w:ind w:right="-334"/>
              <w:rPr>
                <w:rFonts w:ascii="Calibri" w:hAnsi="Calibri" w:cs="Tahoma"/>
                <w:bCs/>
              </w:rPr>
            </w:pPr>
          </w:p>
          <w:p w14:paraId="3A156A1B" w14:textId="77777777" w:rsidR="005005B0" w:rsidRPr="002F467C" w:rsidRDefault="005005B0" w:rsidP="00421223">
            <w:pPr>
              <w:pStyle w:val="NormalWeb"/>
              <w:spacing w:after="0"/>
              <w:ind w:right="-334"/>
              <w:rPr>
                <w:rFonts w:ascii="Calibri" w:hAnsi="Calibri" w:cs="Tahoma"/>
                <w:bCs/>
              </w:rPr>
            </w:pPr>
          </w:p>
          <w:p w14:paraId="629473C9" w14:textId="77777777" w:rsidR="005005B0" w:rsidRPr="002F467C" w:rsidRDefault="005005B0" w:rsidP="00421223">
            <w:pPr>
              <w:pStyle w:val="NormalWeb"/>
              <w:spacing w:after="0"/>
              <w:ind w:right="-334"/>
              <w:rPr>
                <w:rFonts w:ascii="Calibri" w:hAnsi="Calibri" w:cs="Tahoma"/>
                <w:bCs/>
              </w:rPr>
            </w:pPr>
          </w:p>
          <w:p w14:paraId="742AC806" w14:textId="77777777" w:rsidR="005005B0" w:rsidRPr="002F467C" w:rsidRDefault="005005B0" w:rsidP="00421223">
            <w:pPr>
              <w:pStyle w:val="NormalWeb"/>
              <w:spacing w:after="0"/>
              <w:ind w:right="-334"/>
              <w:rPr>
                <w:rFonts w:ascii="Calibri" w:hAnsi="Calibri" w:cs="Tahoma"/>
                <w:bCs/>
              </w:rPr>
            </w:pPr>
          </w:p>
          <w:p w14:paraId="28487E80" w14:textId="77777777" w:rsidR="005005B0" w:rsidRPr="002F467C" w:rsidRDefault="005005B0" w:rsidP="00421223">
            <w:pPr>
              <w:pStyle w:val="NormalWeb"/>
              <w:spacing w:after="0"/>
              <w:ind w:right="-334"/>
              <w:rPr>
                <w:rFonts w:ascii="Calibri" w:hAnsi="Calibri" w:cs="Tahoma"/>
                <w:bCs/>
              </w:rPr>
            </w:pPr>
          </w:p>
          <w:p w14:paraId="0029B2C5" w14:textId="77777777" w:rsidR="005005B0" w:rsidRPr="002F467C" w:rsidRDefault="005005B0" w:rsidP="00421223">
            <w:pPr>
              <w:pStyle w:val="NormalWeb"/>
              <w:spacing w:after="0"/>
              <w:ind w:right="-334"/>
              <w:rPr>
                <w:rFonts w:ascii="Calibri" w:hAnsi="Calibri" w:cs="Tahoma"/>
                <w:bCs/>
              </w:rPr>
            </w:pPr>
          </w:p>
          <w:p w14:paraId="5ABBE0DE" w14:textId="77777777" w:rsidR="005005B0" w:rsidRPr="002F467C" w:rsidRDefault="005005B0" w:rsidP="00421223">
            <w:pPr>
              <w:pStyle w:val="NormalWeb"/>
              <w:spacing w:after="0"/>
              <w:ind w:right="-334"/>
              <w:rPr>
                <w:rFonts w:ascii="Calibri" w:hAnsi="Calibri" w:cs="Tahoma"/>
                <w:bCs/>
              </w:rPr>
            </w:pPr>
          </w:p>
          <w:p w14:paraId="74AE926B" w14:textId="77777777" w:rsidR="005005B0" w:rsidRPr="002F467C" w:rsidRDefault="005005B0" w:rsidP="00421223">
            <w:pPr>
              <w:pStyle w:val="NormalWeb"/>
              <w:spacing w:after="0"/>
              <w:ind w:right="-334"/>
              <w:rPr>
                <w:rFonts w:ascii="Calibri" w:hAnsi="Calibri" w:cs="Tahoma"/>
                <w:bCs/>
              </w:rPr>
            </w:pPr>
          </w:p>
          <w:p w14:paraId="6833FF11" w14:textId="77777777" w:rsidR="005005B0" w:rsidRDefault="005005B0" w:rsidP="00421223">
            <w:pPr>
              <w:pStyle w:val="NormalWeb"/>
              <w:spacing w:after="0"/>
              <w:ind w:right="-334"/>
              <w:rPr>
                <w:rFonts w:ascii="Calibri" w:hAnsi="Calibri" w:cs="Tahoma"/>
                <w:bCs/>
              </w:rPr>
            </w:pPr>
          </w:p>
          <w:p w14:paraId="2DCD141B" w14:textId="77777777" w:rsidR="005005B0" w:rsidRDefault="005005B0" w:rsidP="00421223">
            <w:pPr>
              <w:pStyle w:val="NormalWeb"/>
              <w:spacing w:after="0"/>
              <w:ind w:right="-334"/>
              <w:rPr>
                <w:rFonts w:ascii="Calibri" w:hAnsi="Calibri" w:cs="Tahoma"/>
                <w:bCs/>
              </w:rPr>
            </w:pPr>
          </w:p>
          <w:p w14:paraId="2F891CFC" w14:textId="77777777" w:rsidR="005005B0" w:rsidRDefault="005005B0" w:rsidP="00421223">
            <w:pPr>
              <w:pStyle w:val="NormalWeb"/>
              <w:spacing w:after="0"/>
              <w:ind w:right="-334"/>
              <w:rPr>
                <w:rFonts w:ascii="Calibri" w:hAnsi="Calibri" w:cs="Tahoma"/>
                <w:bCs/>
              </w:rPr>
            </w:pPr>
          </w:p>
          <w:p w14:paraId="3A29CCD5" w14:textId="77777777" w:rsidR="005005B0" w:rsidRDefault="005005B0" w:rsidP="00421223">
            <w:pPr>
              <w:pStyle w:val="NormalWeb"/>
              <w:spacing w:after="0"/>
              <w:ind w:right="-334"/>
              <w:rPr>
                <w:rFonts w:ascii="Calibri" w:hAnsi="Calibri" w:cs="Tahoma"/>
                <w:bCs/>
              </w:rPr>
            </w:pPr>
          </w:p>
          <w:p w14:paraId="70A3E6AF" w14:textId="77777777" w:rsidR="005005B0" w:rsidRDefault="005005B0" w:rsidP="00421223">
            <w:pPr>
              <w:pStyle w:val="NormalWeb"/>
              <w:spacing w:after="0"/>
              <w:ind w:right="-334"/>
              <w:rPr>
                <w:rFonts w:ascii="Calibri" w:hAnsi="Calibri" w:cs="Tahoma"/>
                <w:bCs/>
              </w:rPr>
            </w:pPr>
          </w:p>
          <w:p w14:paraId="5AD5C993" w14:textId="77777777" w:rsidR="005005B0" w:rsidRDefault="005005B0" w:rsidP="00421223">
            <w:pPr>
              <w:pStyle w:val="NormalWeb"/>
              <w:spacing w:after="0"/>
              <w:ind w:right="-334"/>
              <w:rPr>
                <w:rFonts w:ascii="Calibri" w:hAnsi="Calibri" w:cs="Tahoma"/>
                <w:bCs/>
              </w:rPr>
            </w:pPr>
          </w:p>
          <w:p w14:paraId="56A2EBEF" w14:textId="77777777" w:rsidR="005005B0" w:rsidRDefault="005005B0" w:rsidP="00421223">
            <w:pPr>
              <w:pStyle w:val="NormalWeb"/>
              <w:spacing w:after="0"/>
              <w:ind w:right="-334"/>
              <w:rPr>
                <w:rFonts w:ascii="Calibri" w:hAnsi="Calibri" w:cs="Tahoma"/>
                <w:bCs/>
              </w:rPr>
            </w:pPr>
          </w:p>
          <w:p w14:paraId="4342205E" w14:textId="77777777" w:rsidR="005005B0" w:rsidRDefault="005005B0" w:rsidP="00421223">
            <w:pPr>
              <w:pStyle w:val="NormalWeb"/>
              <w:spacing w:after="0"/>
              <w:ind w:right="-334"/>
              <w:rPr>
                <w:rFonts w:ascii="Calibri" w:hAnsi="Calibri" w:cs="Tahoma"/>
                <w:bCs/>
              </w:rPr>
            </w:pPr>
          </w:p>
          <w:p w14:paraId="5AE0893E" w14:textId="77777777" w:rsidR="005005B0" w:rsidRDefault="005005B0" w:rsidP="00421223">
            <w:pPr>
              <w:pStyle w:val="NormalWeb"/>
              <w:spacing w:after="0"/>
              <w:ind w:right="-334"/>
              <w:rPr>
                <w:rFonts w:ascii="Calibri" w:hAnsi="Calibri" w:cs="Tahoma"/>
                <w:bCs/>
              </w:rPr>
            </w:pPr>
            <w:r>
              <w:rPr>
                <w:rFonts w:ascii="Calibri" w:hAnsi="Calibri" w:cs="Tahoma"/>
                <w:bCs/>
              </w:rPr>
              <w:t>Proposed Mark:</w:t>
            </w:r>
          </w:p>
          <w:p w14:paraId="72FDFA38" w14:textId="77777777" w:rsidR="005005B0" w:rsidRDefault="005005B0" w:rsidP="00421223">
            <w:pPr>
              <w:pStyle w:val="NormalWeb"/>
              <w:spacing w:after="0"/>
              <w:ind w:right="-334"/>
              <w:rPr>
                <w:rFonts w:ascii="Calibri" w:hAnsi="Calibri" w:cs="Tahoma"/>
                <w:bCs/>
              </w:rPr>
            </w:pPr>
          </w:p>
          <w:p w14:paraId="1475295D" w14:textId="77777777" w:rsidR="005005B0" w:rsidRPr="002F467C" w:rsidRDefault="005005B0" w:rsidP="00421223">
            <w:pPr>
              <w:pStyle w:val="NormalWeb"/>
              <w:spacing w:after="0"/>
              <w:ind w:right="-334"/>
              <w:rPr>
                <w:rFonts w:ascii="Calibri" w:hAnsi="Calibri" w:cs="Tahoma"/>
                <w:bCs/>
              </w:rPr>
            </w:pPr>
            <w:r>
              <w:rPr>
                <w:rFonts w:ascii="Calibri" w:hAnsi="Calibri" w:cs="Tahoma"/>
                <w:bCs/>
              </w:rPr>
              <w:t>Signature of External Examiner:</w:t>
            </w:r>
          </w:p>
          <w:p w14:paraId="6DC0815D" w14:textId="77777777" w:rsidR="005005B0" w:rsidRPr="002F467C" w:rsidRDefault="005005B0" w:rsidP="00421223">
            <w:pPr>
              <w:pStyle w:val="NormalWeb"/>
              <w:spacing w:after="0"/>
              <w:ind w:right="-334"/>
              <w:rPr>
                <w:rFonts w:ascii="Calibri" w:hAnsi="Calibri" w:cs="Tahoma"/>
                <w:bCs/>
              </w:rPr>
            </w:pPr>
          </w:p>
        </w:tc>
      </w:tr>
      <w:tr w:rsidR="005005B0" w:rsidRPr="002F467C" w14:paraId="293629FF" w14:textId="77777777" w:rsidTr="00421223">
        <w:trPr>
          <w:trHeight w:val="720"/>
        </w:trPr>
        <w:tc>
          <w:tcPr>
            <w:tcW w:w="8856" w:type="dxa"/>
          </w:tcPr>
          <w:p w14:paraId="7E47F2AF" w14:textId="77777777" w:rsidR="005005B0" w:rsidRPr="002F467C" w:rsidRDefault="005005B0" w:rsidP="00421223">
            <w:pPr>
              <w:pStyle w:val="NormalWeb"/>
              <w:tabs>
                <w:tab w:val="left" w:pos="2835"/>
              </w:tabs>
              <w:spacing w:after="0"/>
              <w:ind w:right="-334"/>
              <w:rPr>
                <w:rFonts w:ascii="Calibri" w:hAnsi="Calibri" w:cs="Tahoma"/>
                <w:bCs/>
              </w:rPr>
            </w:pPr>
            <w:r>
              <w:rPr>
                <w:rFonts w:ascii="Calibri" w:hAnsi="Calibri" w:cs="Tahoma"/>
                <w:bCs/>
              </w:rPr>
              <w:t>Final Agreed Mark:</w:t>
            </w:r>
          </w:p>
        </w:tc>
      </w:tr>
      <w:tr w:rsidR="005005B0" w:rsidRPr="002F467C" w14:paraId="7F13A3C8" w14:textId="77777777" w:rsidTr="00421223">
        <w:trPr>
          <w:trHeight w:val="720"/>
        </w:trPr>
        <w:tc>
          <w:tcPr>
            <w:tcW w:w="8856" w:type="dxa"/>
          </w:tcPr>
          <w:p w14:paraId="1DF5F062" w14:textId="77777777" w:rsidR="005005B0" w:rsidRDefault="005005B0" w:rsidP="00421223">
            <w:pPr>
              <w:pStyle w:val="NormalWeb"/>
              <w:tabs>
                <w:tab w:val="left" w:pos="2835"/>
              </w:tabs>
              <w:spacing w:after="0"/>
              <w:ind w:right="-334"/>
              <w:rPr>
                <w:rFonts w:ascii="Calibri" w:hAnsi="Calibri" w:cs="Tahoma"/>
                <w:bCs/>
              </w:rPr>
            </w:pPr>
            <w:r>
              <w:rPr>
                <w:rFonts w:ascii="Calibri" w:hAnsi="Calibri" w:cs="Tahoma"/>
                <w:bCs/>
              </w:rPr>
              <w:t>Comments (to indicate how the final agreed mark has been arrived at):</w:t>
            </w:r>
          </w:p>
        </w:tc>
      </w:tr>
    </w:tbl>
    <w:p w14:paraId="2F7F3B19" w14:textId="77777777" w:rsidR="005005B0" w:rsidRPr="00D67BF8" w:rsidRDefault="005005B0" w:rsidP="005005B0">
      <w:pPr>
        <w:pStyle w:val="NormalWeb"/>
        <w:spacing w:after="0"/>
        <w:ind w:right="-334"/>
        <w:rPr>
          <w:rFonts w:ascii="Trebuchet MS" w:hAnsi="Trebuchet MS" w:cs="Tahoma"/>
          <w:bCs/>
        </w:rPr>
      </w:pPr>
    </w:p>
    <w:p w14:paraId="3F0B0945" w14:textId="77777777" w:rsidR="005005B0" w:rsidRDefault="005005B0" w:rsidP="005005B0"/>
    <w:p w14:paraId="0538D763" w14:textId="77777777" w:rsidR="005005B0" w:rsidRDefault="005005B0">
      <w:pPr>
        <w:rPr>
          <w:b/>
          <w:bCs/>
          <w:sz w:val="28"/>
          <w:szCs w:val="28"/>
        </w:rPr>
      </w:pPr>
      <w:r>
        <w:rPr>
          <w:b/>
          <w:bCs/>
          <w:sz w:val="28"/>
          <w:szCs w:val="28"/>
        </w:rPr>
        <w:br w:type="page"/>
      </w:r>
    </w:p>
    <w:p w14:paraId="2DE106C3" w14:textId="77777777" w:rsidR="00B3766B" w:rsidRDefault="00B3766B" w:rsidP="0071302C">
      <w:pPr>
        <w:jc w:val="center"/>
        <w:rPr>
          <w:b/>
          <w:bCs/>
          <w:sz w:val="28"/>
          <w:szCs w:val="28"/>
        </w:rPr>
      </w:pPr>
    </w:p>
    <w:p w14:paraId="580C3255" w14:textId="77777777" w:rsidR="00B3766B" w:rsidRDefault="00B3766B" w:rsidP="0071302C">
      <w:pPr>
        <w:jc w:val="center"/>
        <w:rPr>
          <w:b/>
          <w:bCs/>
          <w:sz w:val="28"/>
          <w:szCs w:val="28"/>
        </w:rPr>
      </w:pPr>
    </w:p>
    <w:p w14:paraId="4A72D9C7" w14:textId="2CCD38E3" w:rsidR="0071302C" w:rsidRDefault="0071302C" w:rsidP="0071302C">
      <w:pPr>
        <w:jc w:val="center"/>
        <w:rPr>
          <w:b/>
          <w:bCs/>
          <w:sz w:val="28"/>
          <w:szCs w:val="28"/>
        </w:rPr>
      </w:pPr>
      <w:r>
        <w:rPr>
          <w:b/>
          <w:bCs/>
          <w:sz w:val="28"/>
          <w:szCs w:val="28"/>
        </w:rPr>
        <w:t xml:space="preserve">Sublimation and Sacrifice – </w:t>
      </w:r>
      <w:r w:rsidR="005005B0">
        <w:rPr>
          <w:b/>
          <w:bCs/>
          <w:sz w:val="28"/>
          <w:szCs w:val="28"/>
        </w:rPr>
        <w:t>t</w:t>
      </w:r>
      <w:r>
        <w:rPr>
          <w:b/>
          <w:bCs/>
          <w:sz w:val="28"/>
          <w:szCs w:val="28"/>
        </w:rPr>
        <w:t>he Dresden Wrestling Group statue type</w:t>
      </w:r>
    </w:p>
    <w:p w14:paraId="748466A2" w14:textId="77777777" w:rsidR="0071302C" w:rsidRDefault="0071302C" w:rsidP="0071302C">
      <w:pPr>
        <w:jc w:val="center"/>
        <w:rPr>
          <w:b/>
          <w:bCs/>
          <w:sz w:val="28"/>
          <w:szCs w:val="28"/>
        </w:rPr>
      </w:pPr>
    </w:p>
    <w:p w14:paraId="3120D9E9" w14:textId="77777777" w:rsidR="00B3766B" w:rsidRDefault="00B3766B" w:rsidP="0071302C">
      <w:pPr>
        <w:jc w:val="center"/>
        <w:rPr>
          <w:b/>
          <w:bCs/>
          <w:sz w:val="28"/>
          <w:szCs w:val="28"/>
        </w:rPr>
      </w:pPr>
    </w:p>
    <w:p w14:paraId="77565F08" w14:textId="66F3C6DC" w:rsidR="0071302C" w:rsidRDefault="0071302C" w:rsidP="0071302C">
      <w:pPr>
        <w:jc w:val="center"/>
        <w:rPr>
          <w:b/>
          <w:bCs/>
          <w:sz w:val="28"/>
          <w:szCs w:val="28"/>
        </w:rPr>
      </w:pPr>
      <w:r>
        <w:rPr>
          <w:b/>
          <w:bCs/>
          <w:sz w:val="28"/>
          <w:szCs w:val="28"/>
        </w:rPr>
        <w:t>Elizabeth Nelson</w:t>
      </w:r>
    </w:p>
    <w:p w14:paraId="00D571BE" w14:textId="77777777" w:rsidR="0071302C" w:rsidRDefault="0071302C" w:rsidP="0071302C">
      <w:pPr>
        <w:jc w:val="center"/>
        <w:rPr>
          <w:b/>
          <w:bCs/>
          <w:sz w:val="28"/>
          <w:szCs w:val="28"/>
        </w:rPr>
      </w:pPr>
      <w:r>
        <w:rPr>
          <w:b/>
          <w:bCs/>
          <w:sz w:val="28"/>
          <w:szCs w:val="28"/>
        </w:rPr>
        <w:t>2307251</w:t>
      </w:r>
    </w:p>
    <w:p w14:paraId="71838A90" w14:textId="77777777" w:rsidR="0071302C" w:rsidRDefault="0071302C" w:rsidP="0071302C">
      <w:pPr>
        <w:jc w:val="center"/>
        <w:rPr>
          <w:b/>
          <w:bCs/>
          <w:sz w:val="28"/>
          <w:szCs w:val="28"/>
        </w:rPr>
      </w:pPr>
      <w:r>
        <w:rPr>
          <w:b/>
          <w:bCs/>
          <w:sz w:val="28"/>
          <w:szCs w:val="28"/>
        </w:rPr>
        <w:t>June 2026</w:t>
      </w:r>
    </w:p>
    <w:p w14:paraId="47458C27" w14:textId="77777777" w:rsidR="0071302C" w:rsidRDefault="0071302C">
      <w:pPr>
        <w:rPr>
          <w:b/>
          <w:bCs/>
          <w:sz w:val="28"/>
          <w:szCs w:val="28"/>
        </w:rPr>
      </w:pPr>
      <w:r>
        <w:rPr>
          <w:b/>
          <w:bCs/>
          <w:sz w:val="28"/>
          <w:szCs w:val="28"/>
        </w:rPr>
        <w:br w:type="page"/>
      </w:r>
    </w:p>
    <w:p w14:paraId="521E8889" w14:textId="77777777" w:rsidR="0071302C" w:rsidRPr="00951BBF" w:rsidRDefault="0071302C" w:rsidP="0071302C">
      <w:pPr>
        <w:spacing w:after="120"/>
        <w:ind w:left="720"/>
        <w:rPr>
          <w:rFonts w:ascii="Arial" w:hAnsi="Arial" w:cs="Arial"/>
        </w:rPr>
      </w:pPr>
      <w:r>
        <w:rPr>
          <w:rFonts w:ascii="Arial" w:hAnsi="Arial" w:cs="Arial"/>
          <w:noProof/>
        </w:rPr>
        <w:lastRenderedPageBreak/>
        <w:drawing>
          <wp:inline distT="0" distB="0" distL="0" distR="0" wp14:anchorId="37085A75" wp14:editId="568301D6">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868DDD6"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6A13546C"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029AB2D7"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03CBA266" w14:textId="592447EE"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5005B0">
        <w:rPr>
          <w:rFonts w:ascii="Arial" w:hAnsi="Arial" w:cs="Arial"/>
        </w:rPr>
        <w:t xml:space="preserve">: </w:t>
      </w:r>
      <w:r>
        <w:rPr>
          <w:rFonts w:ascii="Arial" w:hAnsi="Arial" w:cs="Arial"/>
        </w:rPr>
        <w:t xml:space="preserve">Elizabeth Nelson </w:t>
      </w:r>
    </w:p>
    <w:p w14:paraId="3621D0B0" w14:textId="0CDC3D4A"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5005B0">
        <w:rPr>
          <w:rFonts w:ascii="Arial" w:hAnsi="Arial" w:cs="Arial"/>
        </w:rPr>
        <w:t>:</w:t>
      </w:r>
      <w:r>
        <w:rPr>
          <w:rFonts w:ascii="Arial" w:hAnsi="Arial" w:cs="Arial"/>
        </w:rPr>
        <w:t xml:space="preserve">16 June 2026 </w:t>
      </w:r>
    </w:p>
    <w:p w14:paraId="4A4FD229"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33E3E77" w14:textId="31CC49C8" w:rsidR="0071302C" w:rsidRPr="00951BBF" w:rsidRDefault="0071302C" w:rsidP="0071302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w:t>
      </w:r>
      <w:r w:rsidR="005005B0">
        <w:rPr>
          <w:rFonts w:ascii="Arial" w:hAnsi="Arial" w:cs="Arial"/>
        </w:rPr>
        <w:t>:</w:t>
      </w:r>
      <w:r w:rsidRPr="00951BBF">
        <w:rPr>
          <w:rFonts w:ascii="Arial" w:hAnsi="Arial" w:cs="Arial"/>
        </w:rPr>
        <w:t xml:space="preserve"> </w:t>
      </w:r>
      <w:r>
        <w:rPr>
          <w:rFonts w:ascii="Arial" w:hAnsi="Arial" w:cs="Arial"/>
        </w:rPr>
        <w:t xml:space="preserve">MA Ancient History </w:t>
      </w:r>
    </w:p>
    <w:p w14:paraId="35EF57B0" w14:textId="674993FE"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5005B0">
        <w:rPr>
          <w:rFonts w:ascii="Arial" w:hAnsi="Arial" w:cs="Arial"/>
        </w:rPr>
        <w:t xml:space="preserve">: </w:t>
      </w:r>
      <w:r>
        <w:rPr>
          <w:rFonts w:ascii="Arial" w:hAnsi="Arial" w:cs="Arial"/>
        </w:rPr>
        <w:t xml:space="preserve">Elizabeth Nelson </w:t>
      </w:r>
    </w:p>
    <w:p w14:paraId="3A03C98A" w14:textId="739C4BD1"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5005B0">
        <w:rPr>
          <w:rFonts w:ascii="Arial" w:hAnsi="Arial" w:cs="Arial"/>
        </w:rPr>
        <w:t>:</w:t>
      </w:r>
      <w:r w:rsidRPr="00951BBF">
        <w:rPr>
          <w:rFonts w:ascii="Arial" w:hAnsi="Arial" w:cs="Arial"/>
        </w:rPr>
        <w:t xml:space="preserve"> </w:t>
      </w:r>
      <w:r>
        <w:rPr>
          <w:rFonts w:ascii="Arial" w:hAnsi="Arial" w:cs="Arial"/>
        </w:rPr>
        <w:t>16 June 2026</w:t>
      </w:r>
    </w:p>
    <w:p w14:paraId="3E577B5D"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D247C85"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BC9DD13"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A32E4D0"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1D80E145" w14:textId="4E159852"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5005B0">
        <w:rPr>
          <w:rFonts w:ascii="Arial" w:hAnsi="Arial" w:cs="Arial"/>
        </w:rPr>
        <w:t>:</w:t>
      </w:r>
      <w:r>
        <w:rPr>
          <w:rFonts w:ascii="Arial" w:hAnsi="Arial" w:cs="Arial"/>
        </w:rPr>
        <w:t xml:space="preserve"> Elizabeth Nelson</w:t>
      </w:r>
    </w:p>
    <w:p w14:paraId="744EE882" w14:textId="57F27228"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16 June 2026</w:t>
      </w:r>
    </w:p>
    <w:p w14:paraId="123AB845"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71BBD80D" w14:textId="548D3826" w:rsidR="0071302C" w:rsidRPr="00951BBF" w:rsidRDefault="0071302C" w:rsidP="0071302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w:t>
      </w:r>
      <w:r w:rsidRPr="0071302C">
        <w:rPr>
          <w:rFonts w:ascii="Arial" w:hAnsi="Arial" w:cs="Arial"/>
          <w:b/>
          <w:bCs/>
          <w:i/>
          <w:iCs/>
        </w:rPr>
        <w:t>do not</w:t>
      </w:r>
      <w:r w:rsidRPr="00951BBF">
        <w:rPr>
          <w:rFonts w:ascii="Arial" w:hAnsi="Arial" w:cs="Arial"/>
        </w:rPr>
        <w:t xml:space="preserve"> give consent for my dissertation, if accepted, to be available for photocopying, inter- library loan, and for deposit in the University’s digital repository </w:t>
      </w:r>
    </w:p>
    <w:p w14:paraId="4E5C5246"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p>
    <w:p w14:paraId="46CD2278"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proofErr w:type="gramStart"/>
      <w:r w:rsidRPr="00951BBF">
        <w:rPr>
          <w:rFonts w:ascii="Arial" w:hAnsi="Arial" w:cs="Arial"/>
        </w:rPr>
        <w:t>…..</w:t>
      </w:r>
      <w:proofErr w:type="gramEnd"/>
    </w:p>
    <w:p w14:paraId="46B023AB"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6E553B4C"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56D0CD31" w14:textId="77777777" w:rsidR="0071302C" w:rsidRPr="00951BBF" w:rsidRDefault="0071302C" w:rsidP="0071302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997BC36" w14:textId="2D7E2BDB" w:rsidR="0071302C" w:rsidRPr="0071302C" w:rsidRDefault="0071302C" w:rsidP="0071302C">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r>
        <w:rPr>
          <w:b/>
          <w:bCs/>
          <w:sz w:val="28"/>
          <w:szCs w:val="28"/>
        </w:rPr>
        <w:br w:type="page"/>
      </w:r>
    </w:p>
    <w:p w14:paraId="59912544" w14:textId="304F7AF2" w:rsidR="005005B0" w:rsidRDefault="009013A9" w:rsidP="005005B0">
      <w:pPr>
        <w:jc w:val="center"/>
        <w:rPr>
          <w:b/>
          <w:bCs/>
          <w:sz w:val="28"/>
          <w:szCs w:val="28"/>
        </w:rPr>
      </w:pPr>
      <w:r w:rsidRPr="008C39F5">
        <w:rPr>
          <w:b/>
          <w:bCs/>
          <w:sz w:val="28"/>
          <w:szCs w:val="28"/>
        </w:rPr>
        <w:lastRenderedPageBreak/>
        <w:t xml:space="preserve">Sublimation and Sacrifice – the Dresden </w:t>
      </w:r>
      <w:r w:rsidR="00D14B3F">
        <w:rPr>
          <w:b/>
          <w:bCs/>
          <w:sz w:val="28"/>
          <w:szCs w:val="28"/>
        </w:rPr>
        <w:t>W</w:t>
      </w:r>
      <w:r w:rsidRPr="008C39F5">
        <w:rPr>
          <w:b/>
          <w:bCs/>
          <w:sz w:val="28"/>
          <w:szCs w:val="28"/>
        </w:rPr>
        <w:t xml:space="preserve">restling </w:t>
      </w:r>
      <w:r w:rsidR="00D14B3F">
        <w:rPr>
          <w:b/>
          <w:bCs/>
          <w:sz w:val="28"/>
          <w:szCs w:val="28"/>
        </w:rPr>
        <w:t>G</w:t>
      </w:r>
      <w:r w:rsidRPr="008C39F5">
        <w:rPr>
          <w:b/>
          <w:bCs/>
          <w:sz w:val="28"/>
          <w:szCs w:val="28"/>
        </w:rPr>
        <w:t xml:space="preserve">roup </w:t>
      </w:r>
      <w:r w:rsidR="00A84715">
        <w:rPr>
          <w:b/>
          <w:bCs/>
          <w:sz w:val="28"/>
          <w:szCs w:val="28"/>
        </w:rPr>
        <w:t>statue type</w:t>
      </w:r>
    </w:p>
    <w:p w14:paraId="16E32F9B" w14:textId="6221F1D6" w:rsidR="00EA5FD5" w:rsidRPr="001D55B6" w:rsidRDefault="001D55B6" w:rsidP="001D55B6">
      <w:pPr>
        <w:jc w:val="center"/>
        <w:rPr>
          <w:b/>
          <w:bCs/>
          <w:sz w:val="28"/>
          <w:szCs w:val="28"/>
        </w:rPr>
      </w:pPr>
      <w:r>
        <w:rPr>
          <w:noProof/>
        </w:rPr>
        <w:drawing>
          <wp:inline distT="0" distB="0" distL="0" distR="0" wp14:anchorId="1318401C" wp14:editId="788550EB">
            <wp:extent cx="5731510" cy="5731510"/>
            <wp:effectExtent l="0" t="0" r="2540" b="2540"/>
            <wp:docPr id="1506178544" name="Picture 1" descr="Download Satyr and Hermaphrodite von Scan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ownload Satyr and Hermaphrodite von Scan The Worl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4A619F6" w14:textId="7286C7F2" w:rsidR="00EA5FD5" w:rsidRPr="00532338" w:rsidRDefault="006B2B32" w:rsidP="00EA5FD5">
      <w:pPr>
        <w:jc w:val="center"/>
        <w:rPr>
          <w:lang w:val="fr-FR"/>
        </w:rPr>
      </w:pPr>
      <w:r>
        <w:t xml:space="preserve">Cast of the Dresden </w:t>
      </w:r>
      <w:r w:rsidR="0085711C">
        <w:t>w</w:t>
      </w:r>
      <w:r>
        <w:t xml:space="preserve">restling </w:t>
      </w:r>
      <w:r w:rsidR="0085711C">
        <w:t>g</w:t>
      </w:r>
      <w:r>
        <w:t xml:space="preserve">roup statue at the Ashmolean Museum. </w:t>
      </w:r>
      <w:r w:rsidRPr="00532338">
        <w:rPr>
          <w:lang w:val="fr-FR"/>
        </w:rPr>
        <w:t xml:space="preserve">Catalogue </w:t>
      </w:r>
      <w:r w:rsidR="006A7D8B" w:rsidRPr="00532338">
        <w:rPr>
          <w:lang w:val="fr-FR"/>
        </w:rPr>
        <w:t>reference :</w:t>
      </w:r>
      <w:r w:rsidRPr="00532338">
        <w:rPr>
          <w:lang w:val="fr-FR"/>
        </w:rPr>
        <w:t xml:space="preserve"> </w:t>
      </w:r>
      <w:hyperlink r:id="rId12" w:anchor="/item/ash-object-785202" w:history="1">
        <w:r w:rsidR="00B13825" w:rsidRPr="00532338">
          <w:rPr>
            <w:rStyle w:val="Hyperlink"/>
            <w:lang w:val="fr-FR"/>
          </w:rPr>
          <w:t>https://www.ashmolean.org/collections-online#/item/ash-object-785202</w:t>
        </w:r>
      </w:hyperlink>
    </w:p>
    <w:p w14:paraId="2085FD6E" w14:textId="7484359E" w:rsidR="00EA5FD5" w:rsidRPr="00495AC7" w:rsidRDefault="00EA5FD5" w:rsidP="00EA5FD5">
      <w:pPr>
        <w:rPr>
          <w:b/>
          <w:bCs/>
        </w:rPr>
      </w:pPr>
      <w:r w:rsidRPr="00495AC7">
        <w:rPr>
          <w:b/>
          <w:bCs/>
        </w:rPr>
        <w:t>Chapter One</w:t>
      </w:r>
      <w:r w:rsidR="0071302C">
        <w:rPr>
          <w:b/>
          <w:bCs/>
        </w:rPr>
        <w:t xml:space="preserve"> -</w:t>
      </w:r>
      <w:r w:rsidRPr="00495AC7">
        <w:rPr>
          <w:b/>
          <w:bCs/>
        </w:rPr>
        <w:t xml:space="preserve"> Introduction, known examples,</w:t>
      </w:r>
      <w:r w:rsidR="001D55B6">
        <w:rPr>
          <w:b/>
          <w:bCs/>
        </w:rPr>
        <w:t xml:space="preserve"> dissertation structure</w:t>
      </w:r>
      <w:r w:rsidRPr="00495AC7">
        <w:rPr>
          <w:b/>
          <w:bCs/>
        </w:rPr>
        <w:t xml:space="preserve"> and methodology</w:t>
      </w:r>
    </w:p>
    <w:p w14:paraId="692CA2F1" w14:textId="68997FED" w:rsidR="007A3901" w:rsidRDefault="00320D74">
      <w:r>
        <w:t>This dissertation focuses on a single statue type, known as the ‘Dresden wrestling group’, depicting a hermaphrodite resisting sexual assault by a satyr.</w:t>
      </w:r>
      <w:r w:rsidR="00936576">
        <w:t xml:space="preserve"> An example of </w:t>
      </w:r>
      <w:r w:rsidR="00936576" w:rsidRPr="00A84715">
        <w:rPr>
          <w:i/>
          <w:iCs/>
        </w:rPr>
        <w:t>symplegma</w:t>
      </w:r>
      <w:r w:rsidR="00936576">
        <w:t xml:space="preserve"> (group statuary) the statue is visually arresting, the bodies of satyr and hermaphrodite intertwined</w:t>
      </w:r>
      <w:r w:rsidR="00A84715">
        <w:t xml:space="preserve">, </w:t>
      </w:r>
      <w:r w:rsidR="00294F11">
        <w:t xml:space="preserve">poised, beautiful, but captured </w:t>
      </w:r>
      <w:proofErr w:type="gramStart"/>
      <w:r w:rsidR="00A84715">
        <w:t>in the mid</w:t>
      </w:r>
      <w:r w:rsidR="00294F11">
        <w:t>st</w:t>
      </w:r>
      <w:r w:rsidR="00A84715">
        <w:t xml:space="preserve"> of</w:t>
      </w:r>
      <w:proofErr w:type="gramEnd"/>
      <w:r w:rsidR="00A84715">
        <w:t xml:space="preserve"> a desperate struggle</w:t>
      </w:r>
      <w:r w:rsidR="00936576">
        <w:t xml:space="preserve">. </w:t>
      </w:r>
      <w:r w:rsidR="00A2541C">
        <w:t xml:space="preserve"> </w:t>
      </w:r>
      <w:r>
        <w:t>The statue is known in multiple copies</w:t>
      </w:r>
      <w:r w:rsidR="00936576">
        <w:t>,</w:t>
      </w:r>
      <w:r>
        <w:t xml:space="preserve"> </w:t>
      </w:r>
      <w:r w:rsidR="00A84715">
        <w:t>dating</w:t>
      </w:r>
      <w:r w:rsidR="00EA5FD5">
        <w:t xml:space="preserve"> </w:t>
      </w:r>
      <w:r>
        <w:t xml:space="preserve">from </w:t>
      </w:r>
      <w:r w:rsidR="008C0233">
        <w:t>around</w:t>
      </w:r>
      <w:r>
        <w:t xml:space="preserve"> 200</w:t>
      </w:r>
      <w:r w:rsidR="008C0233">
        <w:t xml:space="preserve"> </w:t>
      </w:r>
      <w:r>
        <w:t>BC</w:t>
      </w:r>
      <w:r w:rsidR="00A84715">
        <w:t>E to 200 CE</w:t>
      </w:r>
      <w:r w:rsidR="00936576">
        <w:t xml:space="preserve">, </w:t>
      </w:r>
      <w:r w:rsidR="00294F11">
        <w:t xml:space="preserve">with the only complete copies found </w:t>
      </w:r>
      <w:r>
        <w:t>on the Italian peninsula</w:t>
      </w:r>
      <w:r w:rsidR="009013A9">
        <w:t xml:space="preserve">. </w:t>
      </w:r>
      <w:r w:rsidR="00294F11">
        <w:t>Known</w:t>
      </w:r>
      <w:r w:rsidR="009013A9">
        <w:t xml:space="preserve"> find sites are elite villas</w:t>
      </w:r>
      <w:r w:rsidR="00294F11">
        <w:t>/peristyle</w:t>
      </w:r>
      <w:r w:rsidR="009013A9">
        <w:t xml:space="preserve"> gardens and theatre</w:t>
      </w:r>
      <w:r w:rsidR="009542BC">
        <w:t xml:space="preserve"> settings</w:t>
      </w:r>
      <w:r w:rsidR="009013A9">
        <w:t xml:space="preserve">. There </w:t>
      </w:r>
      <w:r>
        <w:t>are no</w:t>
      </w:r>
      <w:r w:rsidR="009013A9">
        <w:t xml:space="preserve"> known</w:t>
      </w:r>
      <w:r>
        <w:t xml:space="preserve"> examples of an original </w:t>
      </w:r>
      <w:r w:rsidR="009542BC">
        <w:t>of the statue from</w:t>
      </w:r>
      <w:r>
        <w:t xml:space="preserve"> the Greek mainland, so unlike other statues of the</w:t>
      </w:r>
      <w:r w:rsidR="00294F11">
        <w:t xml:space="preserve"> Republican</w:t>
      </w:r>
      <w:r>
        <w:t xml:space="preserve"> era, </w:t>
      </w:r>
      <w:r w:rsidR="00A84715">
        <w:t xml:space="preserve">this </w:t>
      </w:r>
      <w:r w:rsidR="00294F11">
        <w:t xml:space="preserve">statue type </w:t>
      </w:r>
      <w:r w:rsidR="00A84715">
        <w:t>is likely to be</w:t>
      </w:r>
      <w:r w:rsidR="009013A9">
        <w:t xml:space="preserve"> a Roman original</w:t>
      </w:r>
      <w:r w:rsidR="00A84715">
        <w:t>.</w:t>
      </w:r>
    </w:p>
    <w:p w14:paraId="7457AE28" w14:textId="15E06728" w:rsidR="00A84715" w:rsidRDefault="00320D74">
      <w:r>
        <w:lastRenderedPageBreak/>
        <w:t xml:space="preserve">The </w:t>
      </w:r>
      <w:r w:rsidR="00936576">
        <w:t xml:space="preserve">Dresden </w:t>
      </w:r>
      <w:r w:rsidR="0085711C">
        <w:t>w</w:t>
      </w:r>
      <w:r w:rsidR="00936576">
        <w:t xml:space="preserve">restling </w:t>
      </w:r>
      <w:r w:rsidR="0085711C">
        <w:t>g</w:t>
      </w:r>
      <w:r w:rsidR="00936576">
        <w:t xml:space="preserve">roup </w:t>
      </w:r>
      <w:r>
        <w:t>has been largely overlooked in the academic literature</w:t>
      </w:r>
      <w:r w:rsidR="00A84715">
        <w:t>. It</w:t>
      </w:r>
      <w:r>
        <w:t xml:space="preserve"> has formed part of the focus of two PhD theses, one by </w:t>
      </w:r>
      <w:r w:rsidR="00A2541C">
        <w:t xml:space="preserve">Aileen </w:t>
      </w:r>
      <w:r>
        <w:t>Ajootian</w:t>
      </w:r>
      <w:r w:rsidR="00AE1BCF">
        <w:t xml:space="preserve"> (1990)</w:t>
      </w:r>
      <w:r w:rsidR="00DF3E28">
        <w:rPr>
          <w:rStyle w:val="FootnoteReference"/>
        </w:rPr>
        <w:footnoteReference w:id="1"/>
      </w:r>
      <w:r>
        <w:t xml:space="preserve"> </w:t>
      </w:r>
      <w:r w:rsidR="00A2541C">
        <w:t>who also provided the complete LIMC catalogue of known statues of hermaphrodites</w:t>
      </w:r>
      <w:r w:rsidR="00CF4280">
        <w:t xml:space="preserve">, </w:t>
      </w:r>
      <w:r>
        <w:t xml:space="preserve">and </w:t>
      </w:r>
      <w:r w:rsidR="00294F11">
        <w:t>one</w:t>
      </w:r>
      <w:r>
        <w:t xml:space="preserve"> by </w:t>
      </w:r>
      <w:r w:rsidR="00A2541C">
        <w:t xml:space="preserve">Linnea </w:t>
      </w:r>
      <w:r>
        <w:t>Ashede (</w:t>
      </w:r>
      <w:r w:rsidR="00AE1BCF">
        <w:t>2015</w:t>
      </w:r>
      <w:r>
        <w:t xml:space="preserve">) </w:t>
      </w:r>
      <w:r w:rsidR="0085711C">
        <w:t>examining</w:t>
      </w:r>
      <w:r>
        <w:t xml:space="preserve"> all known examples of </w:t>
      </w:r>
      <w:r w:rsidRPr="00A2541C">
        <w:rPr>
          <w:i/>
          <w:iCs/>
        </w:rPr>
        <w:t>symplegma</w:t>
      </w:r>
      <w:r>
        <w:t xml:space="preserve"> (group statues) involving hermaphrodites.</w:t>
      </w:r>
      <w:r w:rsidR="00DF3E28">
        <w:rPr>
          <w:rStyle w:val="FootnoteReference"/>
        </w:rPr>
        <w:footnoteReference w:id="2"/>
      </w:r>
      <w:r>
        <w:t xml:space="preserve"> Neither </w:t>
      </w:r>
      <w:r w:rsidR="0085711C">
        <w:t>thesis</w:t>
      </w:r>
      <w:r>
        <w:t xml:space="preserve"> has been published in book form, although both authors have contributed book chapters to edited collections based on their work. The only </w:t>
      </w:r>
      <w:r w:rsidR="00294F11">
        <w:t>work</w:t>
      </w:r>
      <w:r>
        <w:t xml:space="preserve"> focussing </w:t>
      </w:r>
      <w:r w:rsidR="00A84715">
        <w:t xml:space="preserve">solely </w:t>
      </w:r>
      <w:r>
        <w:t xml:space="preserve">on the Dresden wrestling group statue type is </w:t>
      </w:r>
      <w:r w:rsidR="00A85075">
        <w:t xml:space="preserve">a 2007 article by </w:t>
      </w:r>
      <w:r w:rsidR="001B7698">
        <w:t>Alexandra</w:t>
      </w:r>
      <w:r w:rsidR="00A84715">
        <w:t xml:space="preserve"> </w:t>
      </w:r>
      <w:r>
        <w:t>Retzleff</w:t>
      </w:r>
      <w:r w:rsidR="00A85075">
        <w:t>,</w:t>
      </w:r>
      <w:r>
        <w:t xml:space="preserve"> situating the statue in the context of theatre statuary, </w:t>
      </w:r>
      <w:r w:rsidR="00A84715">
        <w:t>given find sites of fragments at theatres at Antioch and Pamphilia</w:t>
      </w:r>
      <w:r w:rsidR="00CF4280">
        <w:t>.</w:t>
      </w:r>
      <w:r w:rsidR="001B7698">
        <w:rPr>
          <w:rStyle w:val="FootnoteReference"/>
        </w:rPr>
        <w:footnoteReference w:id="3"/>
      </w:r>
    </w:p>
    <w:p w14:paraId="3342C381" w14:textId="373EE0EE" w:rsidR="00CF4280" w:rsidRDefault="00320D74">
      <w:r>
        <w:t xml:space="preserve">The </w:t>
      </w:r>
      <w:r w:rsidR="00A84715">
        <w:t>lack</w:t>
      </w:r>
      <w:r>
        <w:t xml:space="preserve"> of attention to this </w:t>
      </w:r>
      <w:r w:rsidR="00AE1BCF">
        <w:t>statue</w:t>
      </w:r>
      <w:r>
        <w:t xml:space="preserve"> type means that it has been</w:t>
      </w:r>
      <w:r w:rsidR="00294F11">
        <w:t>,</w:t>
      </w:r>
      <w:r>
        <w:t xml:space="preserve"> in general, under-theorised</w:t>
      </w:r>
      <w:r w:rsidR="00A84715">
        <w:t xml:space="preserve">, </w:t>
      </w:r>
      <w:r w:rsidR="00294F11">
        <w:t>with the potential explanatory power of</w:t>
      </w:r>
      <w:r w:rsidR="00A84715">
        <w:t xml:space="preserve"> theory</w:t>
      </w:r>
      <w:r w:rsidR="00294F11">
        <w:t>,</w:t>
      </w:r>
      <w:r w:rsidR="00A84715">
        <w:t xml:space="preserve"> </w:t>
      </w:r>
      <w:r w:rsidR="00A85075">
        <w:t>both from</w:t>
      </w:r>
      <w:r w:rsidR="00A84715">
        <w:t xml:space="preserve"> within </w:t>
      </w:r>
      <w:r w:rsidR="0085711C">
        <w:t>and beyond</w:t>
      </w:r>
      <w:r w:rsidR="00A84715">
        <w:t xml:space="preserve"> Ancient History, </w:t>
      </w:r>
      <w:r w:rsidR="00294F11">
        <w:t>un</w:t>
      </w:r>
      <w:r w:rsidR="00866DF4">
        <w:t>der-</w:t>
      </w:r>
      <w:r w:rsidR="00294F11">
        <w:t>explored</w:t>
      </w:r>
      <w:r>
        <w:t xml:space="preserve">. </w:t>
      </w:r>
    </w:p>
    <w:p w14:paraId="0F0A8A03" w14:textId="7DFA205C" w:rsidR="001003FD" w:rsidRDefault="00A84715">
      <w:r>
        <w:t xml:space="preserve">Three </w:t>
      </w:r>
      <w:r w:rsidR="0062778D">
        <w:t>gaps</w:t>
      </w:r>
      <w:r>
        <w:t xml:space="preserve"> within the field of Ancient History stand out. First, w</w:t>
      </w:r>
      <w:r w:rsidR="00320D74">
        <w:t xml:space="preserve">here </w:t>
      </w:r>
      <w:r>
        <w:t xml:space="preserve">art historical </w:t>
      </w:r>
      <w:r w:rsidR="00320D74">
        <w:t xml:space="preserve">authors such as </w:t>
      </w:r>
      <w:r>
        <w:t xml:space="preserve">John Clarke have referred to the Dresden </w:t>
      </w:r>
      <w:r w:rsidR="00607C15">
        <w:t>w</w:t>
      </w:r>
      <w:r>
        <w:t xml:space="preserve">restling </w:t>
      </w:r>
      <w:r w:rsidR="00607C15">
        <w:t>g</w:t>
      </w:r>
      <w:r>
        <w:t>roup (see Chapter 2)</w:t>
      </w:r>
      <w:r w:rsidR="00320D74">
        <w:t xml:space="preserve">, it has been through the lens of </w:t>
      </w:r>
      <w:r>
        <w:t>a traditional framing of its value</w:t>
      </w:r>
      <w:r w:rsidR="00320D74">
        <w:t xml:space="preserve"> </w:t>
      </w:r>
      <w:r w:rsidR="001003FD">
        <w:t>as</w:t>
      </w:r>
      <w:r w:rsidR="00320D74">
        <w:t xml:space="preserve"> apotropaic/humorous – </w:t>
      </w:r>
      <w:r w:rsidR="001003FD">
        <w:t xml:space="preserve">a </w:t>
      </w:r>
      <w:r w:rsidR="00320D74">
        <w:t>reading</w:t>
      </w:r>
      <w:r w:rsidR="00611308">
        <w:t xml:space="preserve"> that</w:t>
      </w:r>
      <w:r w:rsidR="00320D74">
        <w:t xml:space="preserve"> Ashede</w:t>
      </w:r>
      <w:proofErr w:type="gramStart"/>
      <w:r w:rsidR="0062778D">
        <w:t>, in particular, has</w:t>
      </w:r>
      <w:proofErr w:type="gramEnd"/>
      <w:r w:rsidR="00320D74">
        <w:t xml:space="preserve"> sought to challenge. </w:t>
      </w:r>
      <w:r>
        <w:t xml:space="preserve">Second, whilst modern </w:t>
      </w:r>
      <w:r w:rsidR="00320D74">
        <w:t>scholarship on Roman statuary has emphasised statues serv</w:t>
      </w:r>
      <w:r w:rsidR="00294F11">
        <w:t>ing</w:t>
      </w:r>
      <w:r w:rsidR="00320D74">
        <w:t xml:space="preserve"> different types of function within Roman society</w:t>
      </w:r>
      <w:r w:rsidR="001003FD">
        <w:t>,</w:t>
      </w:r>
      <w:r w:rsidR="001003FD">
        <w:rPr>
          <w:rStyle w:val="FootnoteReference"/>
        </w:rPr>
        <w:footnoteReference w:id="4"/>
      </w:r>
      <w:r>
        <w:t xml:space="preserve"> this</w:t>
      </w:r>
      <w:r w:rsidR="00320D74">
        <w:t xml:space="preserve"> type of </w:t>
      </w:r>
      <w:r w:rsidR="001003FD">
        <w:t xml:space="preserve">functional </w:t>
      </w:r>
      <w:r w:rsidR="00320D74">
        <w:t>analysis has not been applied to the Dresden wrestling group</w:t>
      </w:r>
      <w:r>
        <w:t>.</w:t>
      </w:r>
      <w:r>
        <w:rPr>
          <w:rStyle w:val="FootnoteReference"/>
        </w:rPr>
        <w:footnoteReference w:id="5"/>
      </w:r>
      <w:r>
        <w:t xml:space="preserve"> Third,</w:t>
      </w:r>
      <w:r w:rsidR="001003FD">
        <w:t xml:space="preserve"> while authors such as Richlin, Halperin and Skinner have looked at how humour and othering functioned </w:t>
      </w:r>
      <w:r w:rsidR="00CF4280">
        <w:t>in</w:t>
      </w:r>
      <w:r w:rsidR="001003FD">
        <w:t xml:space="preserve"> poetry, satire and invective to create and reinforce gender identity, there has been no analysis of the role of </w:t>
      </w:r>
      <w:r w:rsidR="00294F11">
        <w:t>art in general, and this statue specifically,</w:t>
      </w:r>
      <w:r w:rsidR="001003FD">
        <w:t xml:space="preserve"> in creating, negotiating and reinforcing gendered norms and practices. </w:t>
      </w:r>
    </w:p>
    <w:p w14:paraId="6B0295F7" w14:textId="02D3E1CA" w:rsidR="001003FD" w:rsidRDefault="001003FD">
      <w:r>
        <w:t xml:space="preserve">This dissertation therefore seeks to re-situate the Dresden </w:t>
      </w:r>
      <w:r w:rsidR="00607C15">
        <w:t>w</w:t>
      </w:r>
      <w:r>
        <w:t xml:space="preserve">restling </w:t>
      </w:r>
      <w:r w:rsidR="00607C15">
        <w:t>g</w:t>
      </w:r>
      <w:r>
        <w:t xml:space="preserve">roup statue type, </w:t>
      </w:r>
      <w:r w:rsidR="00294F11">
        <w:t>reading it through</w:t>
      </w:r>
      <w:r>
        <w:t xml:space="preserve"> theoretical approaches from within the field of Ancient History, as well as applying theory from outside</w:t>
      </w:r>
      <w:r w:rsidR="00294F11">
        <w:t xml:space="preserve"> the discipline of</w:t>
      </w:r>
      <w:r>
        <w:t xml:space="preserve"> Ancient History</w:t>
      </w:r>
      <w:r w:rsidR="00294F11">
        <w:t xml:space="preserve">, </w:t>
      </w:r>
      <w:r>
        <w:t xml:space="preserve">to </w:t>
      </w:r>
      <w:r w:rsidR="00CF4280">
        <w:t>open</w:t>
      </w:r>
      <w:r>
        <w:t xml:space="preserve"> new </w:t>
      </w:r>
      <w:r w:rsidR="00CF4280">
        <w:t>perspectives on</w:t>
      </w:r>
      <w:r>
        <w:t xml:space="preserve"> how it functioned in Roman society. The dissertation goes on to look at how the statue functions in modern museum contexts,</w:t>
      </w:r>
      <w:r w:rsidR="00294F11">
        <w:t xml:space="preserve"> drawing parallels with Roman practice when these appear,</w:t>
      </w:r>
      <w:r>
        <w:t xml:space="preserve"> and</w:t>
      </w:r>
      <w:r w:rsidR="00294F11">
        <w:t xml:space="preserve">, using </w:t>
      </w:r>
      <w:r w:rsidR="00CF4280">
        <w:t>insights from</w:t>
      </w:r>
      <w:r w:rsidR="00294F11">
        <w:t xml:space="preserve"> modern museum ethics,</w:t>
      </w:r>
      <w:r>
        <w:t xml:space="preserve"> </w:t>
      </w:r>
      <w:r w:rsidR="00294F11">
        <w:t xml:space="preserve">taking seriously </w:t>
      </w:r>
      <w:r>
        <w:t xml:space="preserve">the </w:t>
      </w:r>
      <w:r w:rsidR="00294F11">
        <w:t>ethical</w:t>
      </w:r>
      <w:r>
        <w:t xml:space="preserve"> implications of </w:t>
      </w:r>
      <w:r w:rsidR="00294F11">
        <w:t xml:space="preserve">its </w:t>
      </w:r>
      <w:r>
        <w:t xml:space="preserve">display today. </w:t>
      </w:r>
    </w:p>
    <w:p w14:paraId="7FC95049" w14:textId="0EB6F039" w:rsidR="009013A9" w:rsidRPr="009013A9" w:rsidRDefault="002900CC">
      <w:pPr>
        <w:rPr>
          <w:b/>
          <w:bCs/>
        </w:rPr>
      </w:pPr>
      <w:r>
        <w:rPr>
          <w:b/>
          <w:bCs/>
        </w:rPr>
        <w:lastRenderedPageBreak/>
        <w:t>Known examples and fragments of the Dresden wrestling group statue type.</w:t>
      </w:r>
    </w:p>
    <w:p w14:paraId="1B772C8F" w14:textId="624B5EC4" w:rsidR="0017319C" w:rsidRDefault="00C76B94">
      <w:r>
        <w:t>A</w:t>
      </w:r>
      <w:r w:rsidR="005A71F6">
        <w:t xml:space="preserve"> complete catalogue of examples of the Dresden </w:t>
      </w:r>
      <w:r w:rsidR="00607C15">
        <w:t>w</w:t>
      </w:r>
      <w:r w:rsidR="005A71F6">
        <w:t xml:space="preserve">restling group statue type </w:t>
      </w:r>
      <w:r>
        <w:t>was first</w:t>
      </w:r>
      <w:r w:rsidR="005A71F6">
        <w:t xml:space="preserve"> provided by Aileen Ajootian in her contribution to </w:t>
      </w:r>
      <w:r w:rsidR="005A71F6" w:rsidRPr="005A71F6">
        <w:t xml:space="preserve">the </w:t>
      </w:r>
      <w:r w:rsidR="005A71F6" w:rsidRPr="005A71F6">
        <w:rPr>
          <w:i/>
          <w:iCs/>
        </w:rPr>
        <w:t xml:space="preserve">Lexicon Iconographicum Mythologiae Classicae </w:t>
      </w:r>
      <w:r w:rsidR="005A71F6" w:rsidRPr="005A71F6">
        <w:t>Vol. 5 (1990)</w:t>
      </w:r>
      <w:r w:rsidR="005A71F6">
        <w:t>. In this, Ajootian list</w:t>
      </w:r>
      <w:r>
        <w:t>ed</w:t>
      </w:r>
      <w:r w:rsidR="005A71F6">
        <w:t xml:space="preserve"> 27 known examples, some of them disputed, of this image</w:t>
      </w:r>
      <w:r w:rsidR="00B275C5">
        <w:t xml:space="preserve"> (including from fragments)</w:t>
      </w:r>
      <w:r w:rsidR="005A71F6">
        <w:t xml:space="preserve"> in sculpture, gems, </w:t>
      </w:r>
      <w:r w:rsidR="00800020">
        <w:t xml:space="preserve">and </w:t>
      </w:r>
      <w:r w:rsidR="005A71F6">
        <w:t xml:space="preserve">terracotta, </w:t>
      </w:r>
      <w:r w:rsidR="00800020">
        <w:t xml:space="preserve">as well as </w:t>
      </w:r>
      <w:r w:rsidR="005A71F6">
        <w:t>mosaics and painted scenes.</w:t>
      </w:r>
      <w:r w:rsidR="0017319C">
        <w:t xml:space="preserve"> </w:t>
      </w:r>
    </w:p>
    <w:p w14:paraId="6B3D445B" w14:textId="1C715E22" w:rsidR="00B275C5" w:rsidRDefault="0017319C">
      <w:r>
        <w:t xml:space="preserve">Ashede’s PhD thesis (2015) lists 31 confirmed or possible examples, including fragments. </w:t>
      </w:r>
      <w:r w:rsidR="00B275C5">
        <w:t xml:space="preserve">Excluding the (sometimes contested) examples in mosaic, paintings, gems and terracotta, but including a bronze </w:t>
      </w:r>
      <w:r w:rsidR="006A7D8B">
        <w:t>miniature</w:t>
      </w:r>
      <w:r w:rsidR="00B275C5">
        <w:t xml:space="preserve">, Ashede (2015) </w:t>
      </w:r>
      <w:r w:rsidR="00800020">
        <w:t xml:space="preserve">lists </w:t>
      </w:r>
      <w:r w:rsidR="0085711C">
        <w:rPr>
          <w:b/>
          <w:bCs/>
        </w:rPr>
        <w:t>six</w:t>
      </w:r>
      <w:r w:rsidR="00103649" w:rsidRPr="00B275C5">
        <w:rPr>
          <w:b/>
          <w:bCs/>
        </w:rPr>
        <w:t xml:space="preserve"> known </w:t>
      </w:r>
      <w:r w:rsidR="00800020" w:rsidRPr="00B275C5">
        <w:rPr>
          <w:b/>
          <w:bCs/>
        </w:rPr>
        <w:t xml:space="preserve">complete </w:t>
      </w:r>
      <w:r w:rsidR="00CF4280">
        <w:rPr>
          <w:b/>
          <w:bCs/>
        </w:rPr>
        <w:t xml:space="preserve">(or near complete) </w:t>
      </w:r>
      <w:r w:rsidR="00103649" w:rsidRPr="00B275C5">
        <w:rPr>
          <w:b/>
          <w:bCs/>
        </w:rPr>
        <w:t>examples</w:t>
      </w:r>
      <w:r w:rsidR="00C76B94">
        <w:rPr>
          <w:rStyle w:val="FootnoteReference"/>
        </w:rPr>
        <w:footnoteReference w:id="6"/>
      </w:r>
      <w:r w:rsidR="00C76B94">
        <w:t xml:space="preserve"> </w:t>
      </w:r>
      <w:r w:rsidR="00103649">
        <w:t xml:space="preserve">of the </w:t>
      </w:r>
      <w:r w:rsidR="009C49CC">
        <w:t xml:space="preserve">Dresden wrestling group </w:t>
      </w:r>
      <w:r w:rsidR="00103649">
        <w:t xml:space="preserve">statue </w:t>
      </w:r>
      <w:r w:rsidR="009C49CC">
        <w:t>type</w:t>
      </w:r>
      <w:r w:rsidR="00800020">
        <w:t xml:space="preserve">, </w:t>
      </w:r>
      <w:r w:rsidR="00B275C5" w:rsidRPr="006F3A8F">
        <w:t>summarised in the table below</w:t>
      </w:r>
      <w:r w:rsidR="006F3A8F">
        <w:t>:</w:t>
      </w:r>
      <w:r w:rsidR="00B275C5" w:rsidRPr="006F3A8F">
        <w:rPr>
          <w:rStyle w:val="FootnoteReference"/>
        </w:rPr>
        <w:footnoteReference w:id="7"/>
      </w:r>
    </w:p>
    <w:tbl>
      <w:tblPr>
        <w:tblStyle w:val="TableGrid"/>
        <w:tblW w:w="0" w:type="auto"/>
        <w:tblLayout w:type="fixed"/>
        <w:tblLook w:val="04A0" w:firstRow="1" w:lastRow="0" w:firstColumn="1" w:lastColumn="0" w:noHBand="0" w:noVBand="1"/>
      </w:tblPr>
      <w:tblGrid>
        <w:gridCol w:w="1271"/>
        <w:gridCol w:w="851"/>
        <w:gridCol w:w="992"/>
        <w:gridCol w:w="1134"/>
        <w:gridCol w:w="850"/>
        <w:gridCol w:w="3918"/>
      </w:tblGrid>
      <w:tr w:rsidR="0017319C" w14:paraId="7F73614F" w14:textId="77777777" w:rsidTr="0017319C">
        <w:tc>
          <w:tcPr>
            <w:tcW w:w="1271" w:type="dxa"/>
            <w:shd w:val="clear" w:color="auto" w:fill="D1D1D1" w:themeFill="background2" w:themeFillShade="E6"/>
          </w:tcPr>
          <w:p w14:paraId="179E4398" w14:textId="2BEEC152" w:rsidR="00B275C5" w:rsidRPr="00FC2485" w:rsidRDefault="00B275C5">
            <w:pPr>
              <w:rPr>
                <w:sz w:val="20"/>
                <w:szCs w:val="20"/>
              </w:rPr>
            </w:pPr>
            <w:r w:rsidRPr="00FC2485">
              <w:rPr>
                <w:sz w:val="20"/>
                <w:szCs w:val="20"/>
              </w:rPr>
              <w:t>Current location</w:t>
            </w:r>
          </w:p>
        </w:tc>
        <w:tc>
          <w:tcPr>
            <w:tcW w:w="851" w:type="dxa"/>
            <w:shd w:val="clear" w:color="auto" w:fill="D1D1D1" w:themeFill="background2" w:themeFillShade="E6"/>
          </w:tcPr>
          <w:p w14:paraId="2D93EA1F" w14:textId="429186DF" w:rsidR="00B275C5" w:rsidRPr="00FC2485" w:rsidRDefault="00B275C5">
            <w:pPr>
              <w:rPr>
                <w:sz w:val="20"/>
                <w:szCs w:val="20"/>
              </w:rPr>
            </w:pPr>
            <w:r w:rsidRPr="00FC2485">
              <w:rPr>
                <w:sz w:val="20"/>
                <w:szCs w:val="20"/>
              </w:rPr>
              <w:t>Medium</w:t>
            </w:r>
          </w:p>
        </w:tc>
        <w:tc>
          <w:tcPr>
            <w:tcW w:w="992" w:type="dxa"/>
            <w:shd w:val="clear" w:color="auto" w:fill="D1D1D1" w:themeFill="background2" w:themeFillShade="E6"/>
          </w:tcPr>
          <w:p w14:paraId="1E89812E" w14:textId="2A2655AC" w:rsidR="00B275C5" w:rsidRPr="00FC2485" w:rsidRDefault="00B275C5">
            <w:pPr>
              <w:rPr>
                <w:sz w:val="20"/>
                <w:szCs w:val="20"/>
              </w:rPr>
            </w:pPr>
            <w:r w:rsidRPr="00FC2485">
              <w:rPr>
                <w:sz w:val="20"/>
                <w:szCs w:val="20"/>
              </w:rPr>
              <w:t>Find site/date</w:t>
            </w:r>
          </w:p>
        </w:tc>
        <w:tc>
          <w:tcPr>
            <w:tcW w:w="1134" w:type="dxa"/>
            <w:shd w:val="clear" w:color="auto" w:fill="D1D1D1" w:themeFill="background2" w:themeFillShade="E6"/>
          </w:tcPr>
          <w:p w14:paraId="1F8AB8CD" w14:textId="2C4EBCDB" w:rsidR="00B275C5" w:rsidRPr="00FC2485" w:rsidRDefault="00B275C5">
            <w:pPr>
              <w:rPr>
                <w:sz w:val="20"/>
                <w:szCs w:val="20"/>
              </w:rPr>
            </w:pPr>
            <w:r w:rsidRPr="00FC2485">
              <w:rPr>
                <w:sz w:val="20"/>
                <w:szCs w:val="20"/>
              </w:rPr>
              <w:t>Museum catalogue</w:t>
            </w:r>
          </w:p>
        </w:tc>
        <w:tc>
          <w:tcPr>
            <w:tcW w:w="850" w:type="dxa"/>
            <w:shd w:val="clear" w:color="auto" w:fill="D1D1D1" w:themeFill="background2" w:themeFillShade="E6"/>
          </w:tcPr>
          <w:p w14:paraId="1C2D73FE" w14:textId="22D9FB4F" w:rsidR="00B275C5" w:rsidRPr="00FC2485" w:rsidRDefault="00B275C5">
            <w:pPr>
              <w:rPr>
                <w:sz w:val="20"/>
                <w:szCs w:val="20"/>
              </w:rPr>
            </w:pPr>
            <w:r w:rsidRPr="00FC2485">
              <w:rPr>
                <w:sz w:val="20"/>
                <w:szCs w:val="20"/>
              </w:rPr>
              <w:t>Dating</w:t>
            </w:r>
          </w:p>
        </w:tc>
        <w:tc>
          <w:tcPr>
            <w:tcW w:w="3918" w:type="dxa"/>
            <w:shd w:val="clear" w:color="auto" w:fill="D1D1D1" w:themeFill="background2" w:themeFillShade="E6"/>
          </w:tcPr>
          <w:p w14:paraId="16C7862E" w14:textId="3D8967BC" w:rsidR="00B275C5" w:rsidRPr="00FC2485" w:rsidRDefault="00B275C5">
            <w:pPr>
              <w:rPr>
                <w:sz w:val="20"/>
                <w:szCs w:val="20"/>
              </w:rPr>
            </w:pPr>
            <w:r w:rsidRPr="00FC2485">
              <w:rPr>
                <w:sz w:val="20"/>
                <w:szCs w:val="20"/>
              </w:rPr>
              <w:t>Notes</w:t>
            </w:r>
          </w:p>
        </w:tc>
      </w:tr>
      <w:tr w:rsidR="0017319C" w14:paraId="09639ADA" w14:textId="77777777" w:rsidTr="0017319C">
        <w:tc>
          <w:tcPr>
            <w:tcW w:w="1271" w:type="dxa"/>
          </w:tcPr>
          <w:p w14:paraId="0869024C" w14:textId="743BCB13" w:rsidR="00B275C5" w:rsidRPr="00FC2485" w:rsidRDefault="00A95355">
            <w:pPr>
              <w:rPr>
                <w:sz w:val="20"/>
                <w:szCs w:val="20"/>
              </w:rPr>
            </w:pPr>
            <w:r w:rsidRPr="00FC2485">
              <w:rPr>
                <w:b/>
                <w:bCs/>
                <w:sz w:val="20"/>
                <w:szCs w:val="20"/>
              </w:rPr>
              <w:t xml:space="preserve">Dresden, Staatliche </w:t>
            </w:r>
            <w:proofErr w:type="spellStart"/>
            <w:r w:rsidRPr="00FC2485">
              <w:rPr>
                <w:b/>
                <w:bCs/>
                <w:sz w:val="20"/>
                <w:szCs w:val="20"/>
              </w:rPr>
              <w:t>Kunstsammlungen</w:t>
            </w:r>
            <w:proofErr w:type="spellEnd"/>
            <w:r w:rsidRPr="00FC2485">
              <w:rPr>
                <w:b/>
                <w:bCs/>
                <w:sz w:val="20"/>
                <w:szCs w:val="20"/>
              </w:rPr>
              <w:t xml:space="preserve">, </w:t>
            </w:r>
            <w:proofErr w:type="spellStart"/>
            <w:r w:rsidRPr="00FC2485">
              <w:rPr>
                <w:b/>
                <w:bCs/>
                <w:sz w:val="20"/>
                <w:szCs w:val="20"/>
              </w:rPr>
              <w:t>Skulpturensammlung</w:t>
            </w:r>
            <w:proofErr w:type="spellEnd"/>
          </w:p>
        </w:tc>
        <w:tc>
          <w:tcPr>
            <w:tcW w:w="851" w:type="dxa"/>
          </w:tcPr>
          <w:p w14:paraId="3F89D4FB" w14:textId="182B70E2" w:rsidR="00B275C5" w:rsidRPr="00FC2485" w:rsidRDefault="00FC2485">
            <w:pPr>
              <w:rPr>
                <w:sz w:val="20"/>
                <w:szCs w:val="20"/>
              </w:rPr>
            </w:pPr>
            <w:r w:rsidRPr="00FC2485">
              <w:rPr>
                <w:sz w:val="20"/>
                <w:szCs w:val="20"/>
              </w:rPr>
              <w:t xml:space="preserve">White </w:t>
            </w:r>
            <w:proofErr w:type="spellStart"/>
            <w:r w:rsidR="00A85075">
              <w:rPr>
                <w:sz w:val="20"/>
                <w:szCs w:val="20"/>
              </w:rPr>
              <w:t>p</w:t>
            </w:r>
            <w:r w:rsidRPr="00FC2485">
              <w:rPr>
                <w:sz w:val="20"/>
                <w:szCs w:val="20"/>
              </w:rPr>
              <w:t>arian</w:t>
            </w:r>
            <w:proofErr w:type="spellEnd"/>
            <w:r w:rsidRPr="00FC2485">
              <w:rPr>
                <w:sz w:val="20"/>
                <w:szCs w:val="20"/>
              </w:rPr>
              <w:t xml:space="preserve"> marble </w:t>
            </w:r>
          </w:p>
        </w:tc>
        <w:tc>
          <w:tcPr>
            <w:tcW w:w="992" w:type="dxa"/>
          </w:tcPr>
          <w:p w14:paraId="25BC83F1" w14:textId="1A618AC3" w:rsidR="00B275C5" w:rsidRPr="00FC2485" w:rsidRDefault="00FC2485">
            <w:pPr>
              <w:rPr>
                <w:sz w:val="20"/>
                <w:szCs w:val="20"/>
              </w:rPr>
            </w:pPr>
            <w:r w:rsidRPr="00FC2485">
              <w:rPr>
                <w:sz w:val="20"/>
                <w:szCs w:val="20"/>
              </w:rPr>
              <w:t>Rome, date of find unknown</w:t>
            </w:r>
          </w:p>
        </w:tc>
        <w:tc>
          <w:tcPr>
            <w:tcW w:w="1134" w:type="dxa"/>
          </w:tcPr>
          <w:p w14:paraId="66A918C0" w14:textId="217D543E" w:rsidR="00B275C5" w:rsidRPr="0098407A" w:rsidRDefault="00FC2485">
            <w:pPr>
              <w:rPr>
                <w:sz w:val="16"/>
                <w:szCs w:val="16"/>
              </w:rPr>
            </w:pPr>
            <w:r w:rsidRPr="0098407A">
              <w:rPr>
                <w:sz w:val="20"/>
                <w:szCs w:val="20"/>
              </w:rPr>
              <w:t xml:space="preserve">HM </w:t>
            </w:r>
            <w:r w:rsidR="00A95355" w:rsidRPr="0098407A">
              <w:rPr>
                <w:sz w:val="20"/>
                <w:szCs w:val="20"/>
              </w:rPr>
              <w:t>155</w:t>
            </w:r>
            <w:r w:rsidR="0098407A" w:rsidRPr="0098407A">
              <w:t xml:space="preserve"> </w:t>
            </w:r>
            <w:hyperlink r:id="rId13" w:history="1">
              <w:r w:rsidR="0098407A" w:rsidRPr="0098407A">
                <w:rPr>
                  <w:rStyle w:val="Hyperlink"/>
                  <w:sz w:val="16"/>
                  <w:szCs w:val="16"/>
                </w:rPr>
                <w:t>https://gemaeldegalerie.skd.museum/en/exhibitions/gemaeldegalerie-alte-meister-old-masters-picture-gallery-and-skulpturensammlung-sculpture-collection-up-to-1800</w:t>
              </w:r>
            </w:hyperlink>
          </w:p>
        </w:tc>
        <w:tc>
          <w:tcPr>
            <w:tcW w:w="850" w:type="dxa"/>
          </w:tcPr>
          <w:p w14:paraId="4C1E7776" w14:textId="234AD4DC" w:rsidR="00B275C5" w:rsidRPr="00FC2485" w:rsidRDefault="00FC2485">
            <w:pPr>
              <w:rPr>
                <w:sz w:val="20"/>
                <w:szCs w:val="20"/>
              </w:rPr>
            </w:pPr>
            <w:r w:rsidRPr="00FC2485">
              <w:rPr>
                <w:sz w:val="20"/>
                <w:szCs w:val="20"/>
              </w:rPr>
              <w:t>2</w:t>
            </w:r>
            <w:r w:rsidRPr="00FC2485">
              <w:rPr>
                <w:sz w:val="20"/>
                <w:szCs w:val="20"/>
                <w:vertAlign w:val="superscript"/>
              </w:rPr>
              <w:t>nd</w:t>
            </w:r>
            <w:r w:rsidRPr="00FC2485">
              <w:rPr>
                <w:sz w:val="20"/>
                <w:szCs w:val="20"/>
              </w:rPr>
              <w:t xml:space="preserve"> Century CE</w:t>
            </w:r>
          </w:p>
        </w:tc>
        <w:tc>
          <w:tcPr>
            <w:tcW w:w="3918" w:type="dxa"/>
          </w:tcPr>
          <w:p w14:paraId="47D9CB93" w14:textId="72C9F6BA" w:rsidR="00B275C5" w:rsidRPr="00FC2485" w:rsidRDefault="00FC2485">
            <w:pPr>
              <w:rPr>
                <w:sz w:val="20"/>
                <w:szCs w:val="20"/>
              </w:rPr>
            </w:pPr>
            <w:r>
              <w:rPr>
                <w:sz w:val="20"/>
                <w:szCs w:val="20"/>
              </w:rPr>
              <w:t xml:space="preserve">The complete, eponymous, but much restored example. The </w:t>
            </w:r>
            <w:r w:rsidR="0098407A">
              <w:rPr>
                <w:sz w:val="20"/>
                <w:szCs w:val="20"/>
              </w:rPr>
              <w:t>cast at the Ashmolean Museum in Oxford is a cast</w:t>
            </w:r>
            <w:r>
              <w:rPr>
                <w:sz w:val="20"/>
                <w:szCs w:val="20"/>
              </w:rPr>
              <w:t xml:space="preserve"> of the Dresden example – photograph above. </w:t>
            </w:r>
          </w:p>
        </w:tc>
      </w:tr>
      <w:tr w:rsidR="0017319C" w14:paraId="16927B8E" w14:textId="77777777" w:rsidTr="0017319C">
        <w:tc>
          <w:tcPr>
            <w:tcW w:w="1271" w:type="dxa"/>
          </w:tcPr>
          <w:p w14:paraId="4D384582" w14:textId="5A21258C" w:rsidR="00B275C5" w:rsidRPr="00FC2485" w:rsidRDefault="00A95355">
            <w:pPr>
              <w:rPr>
                <w:sz w:val="20"/>
                <w:szCs w:val="20"/>
              </w:rPr>
            </w:pPr>
            <w:r w:rsidRPr="00FC2485">
              <w:rPr>
                <w:b/>
                <w:bCs/>
                <w:sz w:val="20"/>
                <w:szCs w:val="20"/>
              </w:rPr>
              <w:t>Liverpool, Liverpool Museum</w:t>
            </w:r>
            <w:r w:rsidRPr="00FC2485">
              <w:rPr>
                <w:sz w:val="20"/>
                <w:szCs w:val="20"/>
              </w:rPr>
              <w:t>,</w:t>
            </w:r>
          </w:p>
        </w:tc>
        <w:tc>
          <w:tcPr>
            <w:tcW w:w="851" w:type="dxa"/>
          </w:tcPr>
          <w:p w14:paraId="02CF5B6E" w14:textId="3E2863F2" w:rsidR="00B275C5" w:rsidRPr="00FC2485" w:rsidRDefault="00A95355">
            <w:pPr>
              <w:rPr>
                <w:sz w:val="20"/>
                <w:szCs w:val="20"/>
              </w:rPr>
            </w:pPr>
            <w:r w:rsidRPr="00FC2485">
              <w:rPr>
                <w:sz w:val="20"/>
                <w:szCs w:val="20"/>
              </w:rPr>
              <w:t xml:space="preserve">White </w:t>
            </w:r>
            <w:r w:rsidR="0085711C">
              <w:rPr>
                <w:sz w:val="20"/>
                <w:szCs w:val="20"/>
              </w:rPr>
              <w:t>m</w:t>
            </w:r>
            <w:r w:rsidRPr="00FC2485">
              <w:rPr>
                <w:sz w:val="20"/>
                <w:szCs w:val="20"/>
              </w:rPr>
              <w:t>arble</w:t>
            </w:r>
          </w:p>
        </w:tc>
        <w:tc>
          <w:tcPr>
            <w:tcW w:w="992" w:type="dxa"/>
          </w:tcPr>
          <w:p w14:paraId="67F33E36" w14:textId="0CC94614" w:rsidR="00B275C5" w:rsidRPr="00FC2485" w:rsidRDefault="00A95355">
            <w:pPr>
              <w:rPr>
                <w:sz w:val="20"/>
                <w:szCs w:val="20"/>
              </w:rPr>
            </w:pPr>
            <w:r w:rsidRPr="00FC2485">
              <w:rPr>
                <w:sz w:val="20"/>
                <w:szCs w:val="20"/>
              </w:rPr>
              <w:t xml:space="preserve">Found by Nicola la </w:t>
            </w:r>
            <w:proofErr w:type="spellStart"/>
            <w:r w:rsidRPr="00FC2485">
              <w:rPr>
                <w:sz w:val="20"/>
                <w:szCs w:val="20"/>
              </w:rPr>
              <w:t>Picola</w:t>
            </w:r>
            <w:proofErr w:type="spellEnd"/>
            <w:r w:rsidRPr="00FC2485">
              <w:rPr>
                <w:sz w:val="20"/>
                <w:szCs w:val="20"/>
              </w:rPr>
              <w:t xml:space="preserve"> during the 1760–1780 excavation by the </w:t>
            </w:r>
            <w:r w:rsidRPr="00C76B94">
              <w:rPr>
                <w:sz w:val="20"/>
                <w:szCs w:val="20"/>
              </w:rPr>
              <w:t xml:space="preserve">Via </w:t>
            </w:r>
            <w:proofErr w:type="spellStart"/>
            <w:r w:rsidRPr="00C76B94">
              <w:rPr>
                <w:sz w:val="20"/>
                <w:szCs w:val="20"/>
              </w:rPr>
              <w:t>Praenestina</w:t>
            </w:r>
            <w:proofErr w:type="spellEnd"/>
            <w:r w:rsidRPr="00C76B94">
              <w:rPr>
                <w:sz w:val="20"/>
                <w:szCs w:val="20"/>
              </w:rPr>
              <w:t xml:space="preserve"> at Rome</w:t>
            </w:r>
          </w:p>
        </w:tc>
        <w:tc>
          <w:tcPr>
            <w:tcW w:w="1134" w:type="dxa"/>
          </w:tcPr>
          <w:p w14:paraId="04126298" w14:textId="58D67035" w:rsidR="00B275C5" w:rsidRPr="0098407A" w:rsidRDefault="00FC2485">
            <w:pPr>
              <w:rPr>
                <w:sz w:val="16"/>
                <w:szCs w:val="16"/>
              </w:rPr>
            </w:pPr>
            <w:hyperlink r:id="rId14" w:history="1">
              <w:r w:rsidRPr="0098407A">
                <w:rPr>
                  <w:rStyle w:val="Hyperlink"/>
                  <w:sz w:val="16"/>
                  <w:szCs w:val="16"/>
                </w:rPr>
                <w:t>https://www.liverpoolmuseums.org.uk/artifact/statue-group-of-satyr-and-hermaphrodite</w:t>
              </w:r>
            </w:hyperlink>
          </w:p>
        </w:tc>
        <w:tc>
          <w:tcPr>
            <w:tcW w:w="850" w:type="dxa"/>
          </w:tcPr>
          <w:p w14:paraId="79A680BF" w14:textId="16FBF228" w:rsidR="00B275C5" w:rsidRPr="00FC2485" w:rsidRDefault="00FC2485">
            <w:pPr>
              <w:rPr>
                <w:sz w:val="20"/>
                <w:szCs w:val="20"/>
              </w:rPr>
            </w:pPr>
            <w:r w:rsidRPr="00FC2485">
              <w:rPr>
                <w:sz w:val="20"/>
                <w:szCs w:val="20"/>
              </w:rPr>
              <w:t>2</w:t>
            </w:r>
            <w:r w:rsidRPr="00FC2485">
              <w:rPr>
                <w:sz w:val="20"/>
                <w:szCs w:val="20"/>
                <w:vertAlign w:val="superscript"/>
              </w:rPr>
              <w:t>nd</w:t>
            </w:r>
            <w:r w:rsidRPr="00FC2485">
              <w:rPr>
                <w:sz w:val="20"/>
                <w:szCs w:val="20"/>
              </w:rPr>
              <w:t xml:space="preserve"> C</w:t>
            </w:r>
            <w:r w:rsidR="00A95355" w:rsidRPr="00FC2485">
              <w:rPr>
                <w:sz w:val="20"/>
                <w:szCs w:val="20"/>
              </w:rPr>
              <w:t>entury CE</w:t>
            </w:r>
          </w:p>
        </w:tc>
        <w:tc>
          <w:tcPr>
            <w:tcW w:w="3918" w:type="dxa"/>
          </w:tcPr>
          <w:p w14:paraId="03A61C25" w14:textId="07307615" w:rsidR="00B275C5" w:rsidRPr="00FC2485" w:rsidRDefault="00A95355" w:rsidP="00FC2485">
            <w:pPr>
              <w:rPr>
                <w:sz w:val="20"/>
                <w:szCs w:val="20"/>
              </w:rPr>
            </w:pPr>
            <w:r w:rsidRPr="00FC2485">
              <w:rPr>
                <w:sz w:val="20"/>
                <w:szCs w:val="20"/>
              </w:rPr>
              <w:t>Formerly in the collection of Henry Blundell</w:t>
            </w:r>
            <w:r w:rsidR="00877832">
              <w:rPr>
                <w:sz w:val="20"/>
                <w:szCs w:val="20"/>
              </w:rPr>
              <w:t xml:space="preserve">. </w:t>
            </w:r>
            <w:r w:rsidRPr="00FC2485">
              <w:rPr>
                <w:sz w:val="20"/>
                <w:szCs w:val="20"/>
              </w:rPr>
              <w:t xml:space="preserve">Non-original parts include </w:t>
            </w:r>
            <w:r w:rsidR="00A85075">
              <w:rPr>
                <w:sz w:val="20"/>
                <w:szCs w:val="20"/>
              </w:rPr>
              <w:t>the h</w:t>
            </w:r>
            <w:r w:rsidRPr="00FC2485">
              <w:rPr>
                <w:sz w:val="20"/>
                <w:szCs w:val="20"/>
              </w:rPr>
              <w:t>ermaphrodit</w:t>
            </w:r>
            <w:r w:rsidR="00A85075">
              <w:rPr>
                <w:sz w:val="20"/>
                <w:szCs w:val="20"/>
              </w:rPr>
              <w:t>e’s</w:t>
            </w:r>
            <w:r w:rsidRPr="00FC2485">
              <w:rPr>
                <w:sz w:val="20"/>
                <w:szCs w:val="20"/>
              </w:rPr>
              <w:t xml:space="preserve"> nose and upper lip, the left hand and underarm, right lower leg and foot, left nipple and a patch on the left upper arm, with parts of the satyr’s lower legs and feet, his right upper leg and knee, the crown of his head, some of his forehead locks and the whole bottom of the rocky seat, with pieces of the drapery. The satyr’s penis has been reattached. </w:t>
            </w:r>
          </w:p>
        </w:tc>
      </w:tr>
      <w:tr w:rsidR="0017319C" w14:paraId="63140B7C" w14:textId="77777777" w:rsidTr="0017319C">
        <w:tc>
          <w:tcPr>
            <w:tcW w:w="1271" w:type="dxa"/>
          </w:tcPr>
          <w:p w14:paraId="0C9AAE56" w14:textId="6995D9AD" w:rsidR="00B275C5" w:rsidRPr="00FC2485" w:rsidRDefault="00A95355">
            <w:pPr>
              <w:rPr>
                <w:sz w:val="20"/>
                <w:szCs w:val="20"/>
              </w:rPr>
            </w:pPr>
            <w:r w:rsidRPr="00FC2485">
              <w:rPr>
                <w:b/>
                <w:bCs/>
                <w:sz w:val="20"/>
                <w:szCs w:val="20"/>
              </w:rPr>
              <w:t xml:space="preserve">Villa of Poppaea at </w:t>
            </w:r>
            <w:r w:rsidRPr="00FC2485">
              <w:rPr>
                <w:b/>
                <w:bCs/>
                <w:sz w:val="20"/>
                <w:szCs w:val="20"/>
              </w:rPr>
              <w:lastRenderedPageBreak/>
              <w:t>Oplontis</w:t>
            </w:r>
            <w:r w:rsidRPr="00FC2485">
              <w:rPr>
                <w:sz w:val="20"/>
                <w:szCs w:val="20"/>
              </w:rPr>
              <w:t xml:space="preserve">, </w:t>
            </w:r>
            <w:r w:rsidRPr="00FC2485">
              <w:rPr>
                <w:b/>
                <w:bCs/>
                <w:i/>
                <w:iCs/>
                <w:sz w:val="20"/>
                <w:szCs w:val="20"/>
              </w:rPr>
              <w:t xml:space="preserve">Parco </w:t>
            </w:r>
            <w:proofErr w:type="spellStart"/>
            <w:r w:rsidRPr="00FC2485">
              <w:rPr>
                <w:b/>
                <w:bCs/>
                <w:i/>
                <w:iCs/>
                <w:sz w:val="20"/>
                <w:szCs w:val="20"/>
              </w:rPr>
              <w:t>Archeologico</w:t>
            </w:r>
            <w:proofErr w:type="spellEnd"/>
            <w:r w:rsidRPr="00FC2485">
              <w:rPr>
                <w:b/>
                <w:bCs/>
                <w:i/>
                <w:iCs/>
                <w:sz w:val="20"/>
                <w:szCs w:val="20"/>
              </w:rPr>
              <w:t xml:space="preserve"> di Pompei</w:t>
            </w:r>
            <w:r w:rsidRPr="00FC2485">
              <w:rPr>
                <w:b/>
                <w:bCs/>
                <w:sz w:val="20"/>
                <w:szCs w:val="20"/>
              </w:rPr>
              <w:t xml:space="preserve"> </w:t>
            </w:r>
          </w:p>
        </w:tc>
        <w:tc>
          <w:tcPr>
            <w:tcW w:w="851" w:type="dxa"/>
          </w:tcPr>
          <w:p w14:paraId="251ED21D" w14:textId="1023676D" w:rsidR="00B275C5" w:rsidRPr="00FC2485" w:rsidRDefault="00A95355">
            <w:pPr>
              <w:rPr>
                <w:sz w:val="20"/>
                <w:szCs w:val="20"/>
              </w:rPr>
            </w:pPr>
            <w:r w:rsidRPr="00FC2485">
              <w:rPr>
                <w:sz w:val="20"/>
                <w:szCs w:val="20"/>
              </w:rPr>
              <w:lastRenderedPageBreak/>
              <w:t>White marble</w:t>
            </w:r>
          </w:p>
        </w:tc>
        <w:tc>
          <w:tcPr>
            <w:tcW w:w="992" w:type="dxa"/>
          </w:tcPr>
          <w:p w14:paraId="2A6F7735" w14:textId="6D54B5C0" w:rsidR="00B275C5" w:rsidRPr="00FC2485" w:rsidRDefault="00A95355">
            <w:pPr>
              <w:rPr>
                <w:sz w:val="20"/>
                <w:szCs w:val="20"/>
              </w:rPr>
            </w:pPr>
            <w:r w:rsidRPr="00FC2485">
              <w:rPr>
                <w:sz w:val="20"/>
                <w:szCs w:val="20"/>
              </w:rPr>
              <w:t>Oplontis1977</w:t>
            </w:r>
          </w:p>
        </w:tc>
        <w:tc>
          <w:tcPr>
            <w:tcW w:w="1134" w:type="dxa"/>
          </w:tcPr>
          <w:p w14:paraId="1FCCFB3E" w14:textId="59318A2B" w:rsidR="00A95355" w:rsidRPr="00FC2485" w:rsidRDefault="00A95355" w:rsidP="00A95355">
            <w:pPr>
              <w:rPr>
                <w:sz w:val="20"/>
                <w:szCs w:val="20"/>
              </w:rPr>
            </w:pPr>
            <w:r w:rsidRPr="00FC2485">
              <w:rPr>
                <w:sz w:val="20"/>
                <w:szCs w:val="20"/>
              </w:rPr>
              <w:t xml:space="preserve">Op. 72.800 </w:t>
            </w:r>
            <w:hyperlink r:id="rId15" w:history="1">
              <w:r w:rsidRPr="0098407A">
                <w:rPr>
                  <w:rStyle w:val="Hyperlink"/>
                  <w:sz w:val="16"/>
                  <w:szCs w:val="16"/>
                </w:rPr>
                <w:t>https://vincenzodeluce.com/portfolio-item/the-sculptures-of-villa-of-poppaea-at-oplontis</w:t>
              </w:r>
            </w:hyperlink>
          </w:p>
        </w:tc>
        <w:tc>
          <w:tcPr>
            <w:tcW w:w="850" w:type="dxa"/>
          </w:tcPr>
          <w:p w14:paraId="113CE979" w14:textId="47898DEC" w:rsidR="00B275C5" w:rsidRPr="00FC2485" w:rsidRDefault="0098407A">
            <w:pPr>
              <w:rPr>
                <w:sz w:val="20"/>
                <w:szCs w:val="20"/>
              </w:rPr>
            </w:pPr>
            <w:r>
              <w:rPr>
                <w:sz w:val="20"/>
                <w:szCs w:val="20"/>
              </w:rPr>
              <w:lastRenderedPageBreak/>
              <w:t>40s-50s CE</w:t>
            </w:r>
          </w:p>
        </w:tc>
        <w:tc>
          <w:tcPr>
            <w:tcW w:w="3918" w:type="dxa"/>
          </w:tcPr>
          <w:p w14:paraId="68D589CA" w14:textId="615C0310" w:rsidR="00B275C5" w:rsidRPr="00FC2485" w:rsidRDefault="00A95355">
            <w:pPr>
              <w:rPr>
                <w:sz w:val="20"/>
                <w:szCs w:val="20"/>
              </w:rPr>
            </w:pPr>
            <w:r w:rsidRPr="00FC2485">
              <w:rPr>
                <w:sz w:val="20"/>
                <w:szCs w:val="20"/>
              </w:rPr>
              <w:t xml:space="preserve">Nearly complete example assembled from several fragments found at the Villa of </w:t>
            </w:r>
            <w:r w:rsidRPr="00FC2485">
              <w:rPr>
                <w:sz w:val="20"/>
                <w:szCs w:val="20"/>
              </w:rPr>
              <w:lastRenderedPageBreak/>
              <w:t>Poppaea at Oplontis</w:t>
            </w:r>
            <w:r w:rsidR="00FC2485">
              <w:rPr>
                <w:sz w:val="20"/>
                <w:szCs w:val="20"/>
              </w:rPr>
              <w:t>.</w:t>
            </w:r>
            <w:r w:rsidR="00877832">
              <w:rPr>
                <w:sz w:val="20"/>
                <w:szCs w:val="20"/>
              </w:rPr>
              <w:t xml:space="preserve"> See photograph on page 14.</w:t>
            </w:r>
          </w:p>
        </w:tc>
      </w:tr>
      <w:tr w:rsidR="0017319C" w14:paraId="6E48F2BF" w14:textId="77777777" w:rsidTr="0017319C">
        <w:tc>
          <w:tcPr>
            <w:tcW w:w="1271" w:type="dxa"/>
          </w:tcPr>
          <w:p w14:paraId="13096C9D" w14:textId="281E4A63" w:rsidR="00B275C5" w:rsidRPr="00FC2485" w:rsidRDefault="00A95355">
            <w:pPr>
              <w:rPr>
                <w:sz w:val="20"/>
                <w:szCs w:val="20"/>
              </w:rPr>
            </w:pPr>
            <w:r w:rsidRPr="00FC2485">
              <w:rPr>
                <w:b/>
                <w:bCs/>
                <w:sz w:val="20"/>
                <w:szCs w:val="20"/>
              </w:rPr>
              <w:t xml:space="preserve">Eichenzell, Museum Schloss </w:t>
            </w:r>
            <w:proofErr w:type="spellStart"/>
            <w:r w:rsidRPr="00FC2485">
              <w:rPr>
                <w:b/>
                <w:bCs/>
                <w:sz w:val="20"/>
                <w:szCs w:val="20"/>
              </w:rPr>
              <w:t>Fasanerie</w:t>
            </w:r>
            <w:proofErr w:type="spellEnd"/>
            <w:r w:rsidRPr="00FC2485">
              <w:rPr>
                <w:b/>
                <w:bCs/>
                <w:sz w:val="20"/>
                <w:szCs w:val="20"/>
              </w:rPr>
              <w:t xml:space="preserve"> </w:t>
            </w:r>
            <w:proofErr w:type="spellStart"/>
            <w:r w:rsidRPr="00FC2485">
              <w:rPr>
                <w:b/>
                <w:bCs/>
                <w:sz w:val="20"/>
                <w:szCs w:val="20"/>
              </w:rPr>
              <w:t>bei</w:t>
            </w:r>
            <w:proofErr w:type="spellEnd"/>
            <w:r w:rsidRPr="00FC2485">
              <w:rPr>
                <w:b/>
                <w:bCs/>
                <w:sz w:val="20"/>
                <w:szCs w:val="20"/>
              </w:rPr>
              <w:t xml:space="preserve"> Fulda</w:t>
            </w:r>
          </w:p>
        </w:tc>
        <w:tc>
          <w:tcPr>
            <w:tcW w:w="851" w:type="dxa"/>
          </w:tcPr>
          <w:p w14:paraId="6B989155" w14:textId="10C915F4" w:rsidR="00B275C5" w:rsidRPr="00FC2485" w:rsidRDefault="00A95355">
            <w:pPr>
              <w:rPr>
                <w:sz w:val="20"/>
                <w:szCs w:val="20"/>
              </w:rPr>
            </w:pPr>
            <w:r w:rsidRPr="00FC2485">
              <w:rPr>
                <w:sz w:val="20"/>
                <w:szCs w:val="20"/>
              </w:rPr>
              <w:t xml:space="preserve">White </w:t>
            </w:r>
            <w:r w:rsidR="0085711C">
              <w:rPr>
                <w:sz w:val="20"/>
                <w:szCs w:val="20"/>
              </w:rPr>
              <w:t>m</w:t>
            </w:r>
            <w:r w:rsidRPr="00FC2485">
              <w:rPr>
                <w:sz w:val="20"/>
                <w:szCs w:val="20"/>
              </w:rPr>
              <w:t>arble</w:t>
            </w:r>
          </w:p>
        </w:tc>
        <w:tc>
          <w:tcPr>
            <w:tcW w:w="992" w:type="dxa"/>
          </w:tcPr>
          <w:p w14:paraId="570C62F6" w14:textId="2292BDFC" w:rsidR="00B275C5" w:rsidRPr="00FC2485" w:rsidRDefault="00A95355">
            <w:pPr>
              <w:rPr>
                <w:sz w:val="20"/>
                <w:szCs w:val="20"/>
              </w:rPr>
            </w:pPr>
            <w:r w:rsidRPr="00FC2485">
              <w:rPr>
                <w:sz w:val="20"/>
                <w:szCs w:val="20"/>
              </w:rPr>
              <w:t>Most likely Rome</w:t>
            </w:r>
          </w:p>
        </w:tc>
        <w:tc>
          <w:tcPr>
            <w:tcW w:w="1134" w:type="dxa"/>
          </w:tcPr>
          <w:p w14:paraId="1A52E5E7" w14:textId="77777777" w:rsidR="00B275C5" w:rsidRDefault="00A95355">
            <w:pPr>
              <w:rPr>
                <w:sz w:val="20"/>
                <w:szCs w:val="20"/>
              </w:rPr>
            </w:pPr>
            <w:r w:rsidRPr="00FC2485">
              <w:rPr>
                <w:sz w:val="20"/>
                <w:szCs w:val="20"/>
              </w:rPr>
              <w:t xml:space="preserve">FAS </w:t>
            </w:r>
            <w:proofErr w:type="spellStart"/>
            <w:r w:rsidRPr="00FC2485">
              <w:rPr>
                <w:sz w:val="20"/>
                <w:szCs w:val="20"/>
              </w:rPr>
              <w:t>AMa</w:t>
            </w:r>
            <w:proofErr w:type="spellEnd"/>
            <w:r w:rsidRPr="00FC2485">
              <w:rPr>
                <w:sz w:val="20"/>
                <w:szCs w:val="20"/>
              </w:rPr>
              <w:t xml:space="preserve"> 18</w:t>
            </w:r>
          </w:p>
          <w:p w14:paraId="4A7F2DD5" w14:textId="0EBC7F11" w:rsidR="00467A57" w:rsidRPr="00467A57" w:rsidRDefault="00467A57">
            <w:pPr>
              <w:rPr>
                <w:sz w:val="16"/>
                <w:szCs w:val="16"/>
              </w:rPr>
            </w:pPr>
            <w:hyperlink r:id="rId16" w:history="1">
              <w:r w:rsidRPr="00467A57">
                <w:rPr>
                  <w:rStyle w:val="Hyperlink"/>
                  <w:sz w:val="16"/>
                  <w:szCs w:val="16"/>
                </w:rPr>
                <w:t>https://arachne.dainst.org/project/schlossfulda/search</w:t>
              </w:r>
            </w:hyperlink>
          </w:p>
        </w:tc>
        <w:tc>
          <w:tcPr>
            <w:tcW w:w="850" w:type="dxa"/>
          </w:tcPr>
          <w:p w14:paraId="113D6597" w14:textId="3CD85EDB" w:rsidR="00B275C5" w:rsidRPr="00FC2485" w:rsidRDefault="00A95355">
            <w:pPr>
              <w:rPr>
                <w:sz w:val="20"/>
                <w:szCs w:val="20"/>
              </w:rPr>
            </w:pPr>
            <w:r w:rsidRPr="00FC2485">
              <w:rPr>
                <w:sz w:val="20"/>
                <w:szCs w:val="20"/>
              </w:rPr>
              <w:t>Mid-2nd century CE</w:t>
            </w:r>
          </w:p>
        </w:tc>
        <w:tc>
          <w:tcPr>
            <w:tcW w:w="3918" w:type="dxa"/>
          </w:tcPr>
          <w:p w14:paraId="7B6F0CBF" w14:textId="53513F32" w:rsidR="00B275C5" w:rsidRPr="00FC2485" w:rsidRDefault="00C76B94">
            <w:pPr>
              <w:rPr>
                <w:sz w:val="20"/>
                <w:szCs w:val="20"/>
              </w:rPr>
            </w:pPr>
            <w:r>
              <w:rPr>
                <w:sz w:val="20"/>
                <w:szCs w:val="20"/>
              </w:rPr>
              <w:t>Potentially the statue</w:t>
            </w:r>
            <w:r w:rsidR="00A95355" w:rsidRPr="00FC2485">
              <w:rPr>
                <w:sz w:val="20"/>
                <w:szCs w:val="20"/>
              </w:rPr>
              <w:t xml:space="preserve"> found by G. Bendinelli during his 1924–1925 excavation in </w:t>
            </w:r>
            <w:proofErr w:type="spellStart"/>
            <w:r w:rsidR="00A95355" w:rsidRPr="00FC2485">
              <w:rPr>
                <w:sz w:val="20"/>
                <w:szCs w:val="20"/>
              </w:rPr>
              <w:t>Grottarossa</w:t>
            </w:r>
            <w:proofErr w:type="spellEnd"/>
            <w:r w:rsidR="00A95355" w:rsidRPr="00FC2485">
              <w:rPr>
                <w:sz w:val="20"/>
                <w:szCs w:val="20"/>
              </w:rPr>
              <w:t>, which subsequently disappeared.</w:t>
            </w:r>
            <w:r>
              <w:rPr>
                <w:sz w:val="20"/>
                <w:szCs w:val="20"/>
              </w:rPr>
              <w:t xml:space="preserve"> </w:t>
            </w:r>
            <w:r w:rsidR="00A95355" w:rsidRPr="00FC2485">
              <w:rPr>
                <w:sz w:val="20"/>
                <w:szCs w:val="20"/>
              </w:rPr>
              <w:t xml:space="preserve">Acquired from the art market in Rome by prince Philipp von Hessen in 1929. </w:t>
            </w:r>
            <w:r w:rsidR="00A85075">
              <w:rPr>
                <w:sz w:val="20"/>
                <w:szCs w:val="20"/>
              </w:rPr>
              <w:t>T</w:t>
            </w:r>
            <w:r w:rsidR="00A95355" w:rsidRPr="00FC2485">
              <w:rPr>
                <w:sz w:val="20"/>
                <w:szCs w:val="20"/>
              </w:rPr>
              <w:t xml:space="preserve">he figure of </w:t>
            </w:r>
            <w:r w:rsidR="00A85075">
              <w:rPr>
                <w:sz w:val="20"/>
                <w:szCs w:val="20"/>
              </w:rPr>
              <w:t>the hermaphrodite</w:t>
            </w:r>
            <w:r w:rsidR="00A95355" w:rsidRPr="00FC2485">
              <w:rPr>
                <w:sz w:val="20"/>
                <w:szCs w:val="20"/>
              </w:rPr>
              <w:t xml:space="preserve"> is missing the head and neck and the big toe. Repairs include a patch on the right buttock and the original right foot and ankle, reattached together with the original left foot and ankle of the satyr. The figure is otherwise unaltered. The satyr is missing the right arm between shoulder and wrist and the penis. There are some cracks, mended with rusted iron clamps. The surface is sintered with spots and traces of roots. </w:t>
            </w:r>
          </w:p>
        </w:tc>
      </w:tr>
      <w:tr w:rsidR="0017319C" w14:paraId="5D94223E" w14:textId="77777777" w:rsidTr="0017319C">
        <w:tc>
          <w:tcPr>
            <w:tcW w:w="1271" w:type="dxa"/>
          </w:tcPr>
          <w:p w14:paraId="7F9570DC" w14:textId="4C6D2AF0" w:rsidR="00B275C5" w:rsidRPr="00FC2485" w:rsidRDefault="00A95355">
            <w:pPr>
              <w:rPr>
                <w:sz w:val="20"/>
                <w:szCs w:val="20"/>
              </w:rPr>
            </w:pPr>
            <w:r w:rsidRPr="00FC2485">
              <w:rPr>
                <w:b/>
                <w:bCs/>
                <w:sz w:val="20"/>
                <w:szCs w:val="20"/>
              </w:rPr>
              <w:t>Rome, Museo Nazionale Romano</w:t>
            </w:r>
          </w:p>
        </w:tc>
        <w:tc>
          <w:tcPr>
            <w:tcW w:w="851" w:type="dxa"/>
          </w:tcPr>
          <w:p w14:paraId="2317A248" w14:textId="12064FDD" w:rsidR="00B275C5" w:rsidRPr="00FC2485" w:rsidRDefault="00A95355">
            <w:pPr>
              <w:rPr>
                <w:sz w:val="20"/>
                <w:szCs w:val="20"/>
              </w:rPr>
            </w:pPr>
            <w:r w:rsidRPr="00FC2485">
              <w:rPr>
                <w:sz w:val="20"/>
                <w:szCs w:val="20"/>
              </w:rPr>
              <w:t>White marble</w:t>
            </w:r>
          </w:p>
        </w:tc>
        <w:tc>
          <w:tcPr>
            <w:tcW w:w="992" w:type="dxa"/>
          </w:tcPr>
          <w:p w14:paraId="5CB96F75" w14:textId="21CAABD4" w:rsidR="00B275C5" w:rsidRPr="00FC2485" w:rsidRDefault="00A95355">
            <w:pPr>
              <w:rPr>
                <w:sz w:val="20"/>
                <w:szCs w:val="20"/>
              </w:rPr>
            </w:pPr>
            <w:r w:rsidRPr="00FC2485">
              <w:rPr>
                <w:sz w:val="20"/>
                <w:szCs w:val="20"/>
              </w:rPr>
              <w:t>Tivoli, 1944</w:t>
            </w:r>
          </w:p>
        </w:tc>
        <w:tc>
          <w:tcPr>
            <w:tcW w:w="1134" w:type="dxa"/>
          </w:tcPr>
          <w:p w14:paraId="2A8C68DB" w14:textId="77777777" w:rsidR="00B275C5" w:rsidRDefault="00A95355">
            <w:pPr>
              <w:rPr>
                <w:sz w:val="20"/>
                <w:szCs w:val="20"/>
              </w:rPr>
            </w:pPr>
            <w:r w:rsidRPr="00FC2485">
              <w:rPr>
                <w:sz w:val="20"/>
                <w:szCs w:val="20"/>
              </w:rPr>
              <w:t>124502.44</w:t>
            </w:r>
          </w:p>
          <w:p w14:paraId="14DAF9D2" w14:textId="7966204E" w:rsidR="00120294" w:rsidRPr="00120294" w:rsidRDefault="00370182">
            <w:pPr>
              <w:rPr>
                <w:sz w:val="16"/>
                <w:szCs w:val="16"/>
              </w:rPr>
            </w:pPr>
            <w:r>
              <w:rPr>
                <w:sz w:val="16"/>
                <w:szCs w:val="16"/>
              </w:rPr>
              <w:t xml:space="preserve">No online catalogue available- museum website: </w:t>
            </w:r>
            <w:hyperlink r:id="rId17" w:history="1">
              <w:r w:rsidRPr="00AA14FD">
                <w:rPr>
                  <w:rStyle w:val="Hyperlink"/>
                  <w:sz w:val="16"/>
                  <w:szCs w:val="16"/>
                </w:rPr>
                <w:t>https://museonazionaleromano.it/en/palazzo-massimo/the-sculpture-gallery/</w:t>
              </w:r>
            </w:hyperlink>
            <w:r w:rsidR="00120294">
              <w:rPr>
                <w:sz w:val="16"/>
                <w:szCs w:val="16"/>
              </w:rPr>
              <w:t xml:space="preserve"> </w:t>
            </w:r>
          </w:p>
        </w:tc>
        <w:tc>
          <w:tcPr>
            <w:tcW w:w="850" w:type="dxa"/>
          </w:tcPr>
          <w:p w14:paraId="50F5CA66" w14:textId="3D9042F2" w:rsidR="00B275C5" w:rsidRPr="00FC2485" w:rsidRDefault="00A95355">
            <w:pPr>
              <w:rPr>
                <w:sz w:val="20"/>
                <w:szCs w:val="20"/>
              </w:rPr>
            </w:pPr>
            <w:r w:rsidRPr="00FC2485">
              <w:rPr>
                <w:sz w:val="20"/>
                <w:szCs w:val="20"/>
              </w:rPr>
              <w:t>1</w:t>
            </w:r>
            <w:r w:rsidRPr="00FC2485">
              <w:rPr>
                <w:sz w:val="20"/>
                <w:szCs w:val="20"/>
                <w:vertAlign w:val="superscript"/>
              </w:rPr>
              <w:t>st</w:t>
            </w:r>
            <w:r w:rsidRPr="00FC2485">
              <w:rPr>
                <w:sz w:val="20"/>
                <w:szCs w:val="20"/>
              </w:rPr>
              <w:t>-2</w:t>
            </w:r>
            <w:r w:rsidRPr="00FC2485">
              <w:rPr>
                <w:sz w:val="20"/>
                <w:szCs w:val="20"/>
                <w:vertAlign w:val="superscript"/>
              </w:rPr>
              <w:t>nd</w:t>
            </w:r>
            <w:r w:rsidRPr="00FC2485">
              <w:rPr>
                <w:sz w:val="20"/>
                <w:szCs w:val="20"/>
              </w:rPr>
              <w:t xml:space="preserve"> Century CE</w:t>
            </w:r>
          </w:p>
        </w:tc>
        <w:tc>
          <w:tcPr>
            <w:tcW w:w="3918" w:type="dxa"/>
          </w:tcPr>
          <w:p w14:paraId="00627E4E" w14:textId="00DFC341" w:rsidR="00B275C5" w:rsidRPr="00FC2485" w:rsidRDefault="00A95355">
            <w:pPr>
              <w:rPr>
                <w:sz w:val="20"/>
                <w:szCs w:val="20"/>
              </w:rPr>
            </w:pPr>
            <w:r w:rsidRPr="00FC2485">
              <w:rPr>
                <w:sz w:val="20"/>
                <w:szCs w:val="20"/>
              </w:rPr>
              <w:t xml:space="preserve">Accidentally uncovered by German troops during a military operation in the region of </w:t>
            </w:r>
            <w:r w:rsidRPr="00877832">
              <w:rPr>
                <w:sz w:val="20"/>
                <w:szCs w:val="20"/>
              </w:rPr>
              <w:t>Tivoli</w:t>
            </w:r>
            <w:r w:rsidRPr="00FC2485">
              <w:rPr>
                <w:b/>
                <w:bCs/>
                <w:sz w:val="20"/>
                <w:szCs w:val="20"/>
              </w:rPr>
              <w:t xml:space="preserve"> </w:t>
            </w:r>
            <w:r w:rsidRPr="00FC2485">
              <w:rPr>
                <w:sz w:val="20"/>
                <w:szCs w:val="20"/>
              </w:rPr>
              <w:t xml:space="preserve">in February 1944. Found on the western side of the upper terrace in the </w:t>
            </w:r>
            <w:r w:rsidRPr="00877832">
              <w:rPr>
                <w:sz w:val="20"/>
                <w:szCs w:val="20"/>
              </w:rPr>
              <w:t>Villa of Quintilius Varus.</w:t>
            </w:r>
            <w:r w:rsidRPr="00FC2485">
              <w:rPr>
                <w:sz w:val="20"/>
                <w:szCs w:val="20"/>
              </w:rPr>
              <w:t xml:space="preserve"> Lieutenant Kurt Müller, in charge of the German military outpost in Tivoli, ensured the group’s transferral to Rome and the museum in March of the same year. The satyr is missing its head and neck, the right arm with part of the shoulder and pectoral, both legs from below the knees, and the separately carved penis. The hermaphrodite is missing the left arm from above the elbow down, the right leg from the knee down and the head and neck. The right arm has been broken three times. A portion of the upper arm retaining the satyr’s thumb has been reattached while the lower arm between the elbow and wrist is missing. The surface is heavily weathered and greying.</w:t>
            </w:r>
          </w:p>
        </w:tc>
      </w:tr>
      <w:tr w:rsidR="0017319C" w14:paraId="26793FF8" w14:textId="77777777" w:rsidTr="0017319C">
        <w:tc>
          <w:tcPr>
            <w:tcW w:w="1271" w:type="dxa"/>
          </w:tcPr>
          <w:p w14:paraId="5E9EF1F3" w14:textId="5D79E03E" w:rsidR="00B275C5" w:rsidRPr="00FC2485" w:rsidRDefault="00B275C5">
            <w:pPr>
              <w:rPr>
                <w:sz w:val="20"/>
                <w:szCs w:val="20"/>
              </w:rPr>
            </w:pPr>
            <w:r w:rsidRPr="00FC2485">
              <w:rPr>
                <w:b/>
                <w:bCs/>
                <w:sz w:val="20"/>
                <w:szCs w:val="20"/>
              </w:rPr>
              <w:t xml:space="preserve">Bonn, </w:t>
            </w:r>
            <w:proofErr w:type="spellStart"/>
            <w:r w:rsidRPr="00FC2485">
              <w:rPr>
                <w:b/>
                <w:bCs/>
                <w:sz w:val="20"/>
                <w:szCs w:val="20"/>
              </w:rPr>
              <w:t>Akademisches</w:t>
            </w:r>
            <w:proofErr w:type="spellEnd"/>
            <w:r w:rsidRPr="00FC2485">
              <w:rPr>
                <w:b/>
                <w:bCs/>
                <w:sz w:val="20"/>
                <w:szCs w:val="20"/>
              </w:rPr>
              <w:t xml:space="preserve"> Kunstmuseum</w:t>
            </w:r>
          </w:p>
        </w:tc>
        <w:tc>
          <w:tcPr>
            <w:tcW w:w="851" w:type="dxa"/>
          </w:tcPr>
          <w:p w14:paraId="12B4E55A" w14:textId="70D493BD" w:rsidR="00B275C5" w:rsidRPr="00FC2485" w:rsidRDefault="00B275C5">
            <w:pPr>
              <w:rPr>
                <w:sz w:val="20"/>
                <w:szCs w:val="20"/>
              </w:rPr>
            </w:pPr>
            <w:r w:rsidRPr="00FC2485">
              <w:rPr>
                <w:sz w:val="20"/>
                <w:szCs w:val="20"/>
              </w:rPr>
              <w:t>Bronze</w:t>
            </w:r>
          </w:p>
        </w:tc>
        <w:tc>
          <w:tcPr>
            <w:tcW w:w="992" w:type="dxa"/>
          </w:tcPr>
          <w:p w14:paraId="40CF5AA7" w14:textId="110EE6B8" w:rsidR="00B275C5" w:rsidRPr="00FC2485" w:rsidRDefault="00CF4280">
            <w:pPr>
              <w:rPr>
                <w:sz w:val="20"/>
                <w:szCs w:val="20"/>
              </w:rPr>
            </w:pPr>
            <w:r>
              <w:rPr>
                <w:sz w:val="20"/>
                <w:szCs w:val="20"/>
              </w:rPr>
              <w:t>Not known</w:t>
            </w:r>
          </w:p>
        </w:tc>
        <w:tc>
          <w:tcPr>
            <w:tcW w:w="1134" w:type="dxa"/>
          </w:tcPr>
          <w:p w14:paraId="051B10DA" w14:textId="77777777" w:rsidR="00B275C5" w:rsidRDefault="00370182">
            <w:pPr>
              <w:rPr>
                <w:sz w:val="20"/>
                <w:szCs w:val="20"/>
              </w:rPr>
            </w:pPr>
            <w:r>
              <w:rPr>
                <w:sz w:val="20"/>
                <w:szCs w:val="20"/>
              </w:rPr>
              <w:t>Inv. B44</w:t>
            </w:r>
          </w:p>
          <w:p w14:paraId="75798041" w14:textId="494E85FB" w:rsidR="00323E1C" w:rsidRPr="00323E1C" w:rsidRDefault="0061382A">
            <w:pPr>
              <w:rPr>
                <w:sz w:val="16"/>
                <w:szCs w:val="16"/>
              </w:rPr>
            </w:pPr>
            <w:r>
              <w:rPr>
                <w:sz w:val="16"/>
                <w:szCs w:val="16"/>
              </w:rPr>
              <w:t xml:space="preserve">For images </w:t>
            </w:r>
            <w:r w:rsidR="00323E1C">
              <w:rPr>
                <w:sz w:val="16"/>
                <w:szCs w:val="16"/>
              </w:rPr>
              <w:t xml:space="preserve">see: </w:t>
            </w:r>
            <w:hyperlink r:id="rId18" w:history="1">
              <w:r w:rsidR="00323E1C" w:rsidRPr="00323E1C">
                <w:rPr>
                  <w:rStyle w:val="Hyperlink"/>
                  <w:sz w:val="16"/>
                  <w:szCs w:val="16"/>
                </w:rPr>
                <w:t>https://www.academia.edu/32689922/Verkehrte_Welt_Bronzene_Symplegma_Statuette_in_R_von_den_Hoff_J_A_Dickmann_Hrsg_Ansichtssac</w:t>
              </w:r>
              <w:r w:rsidR="00323E1C" w:rsidRPr="00323E1C">
                <w:rPr>
                  <w:rStyle w:val="Hyperlink"/>
                  <w:sz w:val="16"/>
                  <w:szCs w:val="16"/>
                </w:rPr>
                <w:lastRenderedPageBreak/>
                <w:t>he_Antike_Skulpturengruppen_im_Raum_Ausstellungskatalog_Freiburg_2017_232_235</w:t>
              </w:r>
            </w:hyperlink>
            <w:r w:rsidR="00323E1C" w:rsidRPr="00323E1C">
              <w:rPr>
                <w:sz w:val="16"/>
                <w:szCs w:val="16"/>
              </w:rPr>
              <w:t xml:space="preserve"> </w:t>
            </w:r>
          </w:p>
        </w:tc>
        <w:tc>
          <w:tcPr>
            <w:tcW w:w="850" w:type="dxa"/>
          </w:tcPr>
          <w:p w14:paraId="6DD591E8" w14:textId="4EDBEE9E" w:rsidR="00B275C5" w:rsidRPr="00FC2485" w:rsidRDefault="00A95355">
            <w:pPr>
              <w:rPr>
                <w:sz w:val="20"/>
                <w:szCs w:val="20"/>
              </w:rPr>
            </w:pPr>
            <w:r w:rsidRPr="00FC2485">
              <w:rPr>
                <w:sz w:val="20"/>
                <w:szCs w:val="20"/>
              </w:rPr>
              <w:lastRenderedPageBreak/>
              <w:t>Early 1</w:t>
            </w:r>
            <w:r w:rsidRPr="00FC2485">
              <w:rPr>
                <w:sz w:val="20"/>
                <w:szCs w:val="20"/>
                <w:vertAlign w:val="superscript"/>
              </w:rPr>
              <w:t>st</w:t>
            </w:r>
            <w:r w:rsidRPr="00FC2485">
              <w:rPr>
                <w:sz w:val="20"/>
                <w:szCs w:val="20"/>
              </w:rPr>
              <w:t xml:space="preserve"> Century BCE.</w:t>
            </w:r>
          </w:p>
        </w:tc>
        <w:tc>
          <w:tcPr>
            <w:tcW w:w="3918" w:type="dxa"/>
          </w:tcPr>
          <w:p w14:paraId="354B57EF" w14:textId="17EDC751" w:rsidR="00B275C5" w:rsidRPr="00FC2485" w:rsidRDefault="00B275C5">
            <w:pPr>
              <w:rPr>
                <w:sz w:val="20"/>
                <w:szCs w:val="20"/>
              </w:rPr>
            </w:pPr>
            <w:r w:rsidRPr="00FC2485">
              <w:rPr>
                <w:sz w:val="20"/>
                <w:szCs w:val="20"/>
              </w:rPr>
              <w:t>Boardman &amp; La Rocca suggests an origin in Asia Minor. From the princely collection of Isenburg-</w:t>
            </w:r>
            <w:proofErr w:type="spellStart"/>
            <w:r w:rsidRPr="00FC2485">
              <w:rPr>
                <w:sz w:val="20"/>
                <w:szCs w:val="20"/>
              </w:rPr>
              <w:t>Büdingen</w:t>
            </w:r>
            <w:proofErr w:type="spellEnd"/>
            <w:r w:rsidRPr="00FC2485">
              <w:rPr>
                <w:sz w:val="20"/>
                <w:szCs w:val="20"/>
              </w:rPr>
              <w:t>.</w:t>
            </w:r>
            <w:r w:rsidR="00877832">
              <w:rPr>
                <w:sz w:val="20"/>
                <w:szCs w:val="20"/>
              </w:rPr>
              <w:t xml:space="preserve"> We</w:t>
            </w:r>
            <w:r w:rsidRPr="00FC2485">
              <w:rPr>
                <w:sz w:val="20"/>
                <w:szCs w:val="20"/>
              </w:rPr>
              <w:t xml:space="preserve">ll-preserved, with slight scratches and corrosion to surface. </w:t>
            </w:r>
            <w:r w:rsidR="00323E1C">
              <w:rPr>
                <w:sz w:val="20"/>
                <w:szCs w:val="20"/>
              </w:rPr>
              <w:t>(NB a</w:t>
            </w:r>
            <w:r w:rsidRPr="00FC2485">
              <w:rPr>
                <w:sz w:val="20"/>
                <w:szCs w:val="20"/>
              </w:rPr>
              <w:t xml:space="preserve">dditional replica once in Prague, </w:t>
            </w:r>
            <w:proofErr w:type="spellStart"/>
            <w:r w:rsidRPr="00FC2485">
              <w:rPr>
                <w:sz w:val="20"/>
                <w:szCs w:val="20"/>
              </w:rPr>
              <w:t>Grafen</w:t>
            </w:r>
            <w:proofErr w:type="spellEnd"/>
            <w:r w:rsidRPr="00FC2485">
              <w:rPr>
                <w:sz w:val="20"/>
                <w:szCs w:val="20"/>
              </w:rPr>
              <w:t xml:space="preserve"> </w:t>
            </w:r>
            <w:proofErr w:type="spellStart"/>
            <w:r w:rsidRPr="00FC2485">
              <w:rPr>
                <w:sz w:val="20"/>
                <w:szCs w:val="20"/>
              </w:rPr>
              <w:t>Nostiz</w:t>
            </w:r>
            <w:proofErr w:type="spellEnd"/>
            <w:r w:rsidRPr="00FC2485">
              <w:rPr>
                <w:sz w:val="20"/>
                <w:szCs w:val="20"/>
              </w:rPr>
              <w:t xml:space="preserve"> collection, missing since at least 1925, location since unknown.</w:t>
            </w:r>
            <w:r w:rsidR="00323E1C">
              <w:rPr>
                <w:sz w:val="20"/>
                <w:szCs w:val="20"/>
              </w:rPr>
              <w:t>)</w:t>
            </w:r>
          </w:p>
        </w:tc>
      </w:tr>
    </w:tbl>
    <w:p w14:paraId="7E6C4DE6" w14:textId="77777777" w:rsidR="00B275C5" w:rsidRDefault="00B275C5"/>
    <w:p w14:paraId="4B5376C2" w14:textId="56657092" w:rsidR="001D55B6" w:rsidRPr="009013A9" w:rsidRDefault="001D55B6" w:rsidP="001D55B6">
      <w:pPr>
        <w:rPr>
          <w:b/>
          <w:bCs/>
        </w:rPr>
      </w:pPr>
      <w:r w:rsidRPr="009013A9">
        <w:rPr>
          <w:b/>
          <w:bCs/>
        </w:rPr>
        <w:t>Structure of the dissertation</w:t>
      </w:r>
      <w:r w:rsidR="0017319C">
        <w:rPr>
          <w:b/>
          <w:bCs/>
        </w:rPr>
        <w:t>,</w:t>
      </w:r>
      <w:r>
        <w:rPr>
          <w:b/>
          <w:bCs/>
        </w:rPr>
        <w:t xml:space="preserve"> and methodological </w:t>
      </w:r>
      <w:r w:rsidR="00C76B94">
        <w:rPr>
          <w:b/>
          <w:bCs/>
        </w:rPr>
        <w:t>issues</w:t>
      </w:r>
    </w:p>
    <w:p w14:paraId="5BFFBE7A" w14:textId="507C0AF5" w:rsidR="001D55B6" w:rsidRDefault="0017319C" w:rsidP="001D55B6">
      <w:r w:rsidRPr="0017319C">
        <w:rPr>
          <w:b/>
          <w:bCs/>
        </w:rPr>
        <w:t>Chapter two</w:t>
      </w:r>
      <w:r>
        <w:t xml:space="preserve"> </w:t>
      </w:r>
      <w:r w:rsidR="001D55B6">
        <w:t>explores the range of literature that has focused on</w:t>
      </w:r>
      <w:r>
        <w:t>,</w:t>
      </w:r>
      <w:r w:rsidR="001D55B6">
        <w:t xml:space="preserve"> or </w:t>
      </w:r>
      <w:proofErr w:type="gramStart"/>
      <w:r w:rsidR="001D55B6">
        <w:t>made reference</w:t>
      </w:r>
      <w:proofErr w:type="gramEnd"/>
      <w:r w:rsidR="001D55B6">
        <w:t xml:space="preserve"> to</w:t>
      </w:r>
      <w:r>
        <w:t>,</w:t>
      </w:r>
      <w:r w:rsidR="001D55B6">
        <w:t xml:space="preserve"> the Dresden wrestling group to date, </w:t>
      </w:r>
      <w:r w:rsidR="00CF4280">
        <w:t xml:space="preserve">including the work of Ajootian, Retzleff and Ashede mentioned above, </w:t>
      </w:r>
      <w:r w:rsidR="001D55B6">
        <w:t xml:space="preserve">noting where there are lacunae or challenges within that existing literature. </w:t>
      </w:r>
    </w:p>
    <w:p w14:paraId="7D3B2B87" w14:textId="7EFE86DF" w:rsidR="001D55B6" w:rsidRDefault="001D55B6" w:rsidP="001D55B6">
      <w:r>
        <w:t xml:space="preserve">In </w:t>
      </w:r>
      <w:r w:rsidRPr="005836F1">
        <w:rPr>
          <w:b/>
          <w:bCs/>
        </w:rPr>
        <w:t>chapter three</w:t>
      </w:r>
      <w:r>
        <w:t xml:space="preserve"> I turn to work </w:t>
      </w:r>
      <w:r w:rsidR="0017615E">
        <w:t xml:space="preserve">within the field of Ancient History </w:t>
      </w:r>
      <w:r>
        <w:t xml:space="preserve">on Roman sexuality, </w:t>
      </w:r>
      <w:r w:rsidR="0017615E">
        <w:t>and</w:t>
      </w:r>
      <w:r>
        <w:t xml:space="preserve"> construction of elite male identity through ‘othering’</w:t>
      </w:r>
      <w:r w:rsidR="0017615E">
        <w:t xml:space="preserve">, </w:t>
      </w:r>
      <w:r>
        <w:t>to situate the statue more clearly within its Roman social, cultural and religious context</w:t>
      </w:r>
      <w:r w:rsidR="00CF4280">
        <w:t>. I argue that the</w:t>
      </w:r>
      <w:r w:rsidR="0017615E" w:rsidRPr="008A2650">
        <w:t xml:space="preserve"> hermaphrodite and satyr</w:t>
      </w:r>
      <w:r w:rsidR="0017615E">
        <w:t xml:space="preserve"> </w:t>
      </w:r>
      <w:r w:rsidR="0017615E" w:rsidRPr="008A2650">
        <w:t xml:space="preserve">function </w:t>
      </w:r>
      <w:r w:rsidR="0017615E">
        <w:t xml:space="preserve">in the Dresden wrestling group statue </w:t>
      </w:r>
      <w:r w:rsidR="0017615E" w:rsidRPr="008A2650">
        <w:t xml:space="preserve">as visual </w:t>
      </w:r>
      <w:r w:rsidR="0017615E">
        <w:t>‘</w:t>
      </w:r>
      <w:r w:rsidR="0017615E" w:rsidRPr="008A2650">
        <w:t>others</w:t>
      </w:r>
      <w:r w:rsidR="0017615E">
        <w:t>’</w:t>
      </w:r>
      <w:r w:rsidR="0017615E" w:rsidRPr="008A2650">
        <w:t xml:space="preserve"> against which ideals</w:t>
      </w:r>
      <w:r w:rsidR="00CF4280">
        <w:t xml:space="preserve"> for elite Roman men</w:t>
      </w:r>
      <w:r w:rsidR="00877832">
        <w:t>,</w:t>
      </w:r>
      <w:r w:rsidR="0017615E" w:rsidRPr="008A2650">
        <w:t xml:space="preserve"> of </w:t>
      </w:r>
      <w:r w:rsidR="0017615E">
        <w:t>self-control,</w:t>
      </w:r>
      <w:r w:rsidR="0017615E" w:rsidRPr="008A2650">
        <w:t xml:space="preserve"> dominance, </w:t>
      </w:r>
      <w:r w:rsidR="0017615E">
        <w:t xml:space="preserve">sexual violence </w:t>
      </w:r>
      <w:r w:rsidR="0017615E" w:rsidRPr="008A2650">
        <w:t xml:space="preserve">and </w:t>
      </w:r>
      <w:r w:rsidR="0017615E">
        <w:t>gender</w:t>
      </w:r>
      <w:r w:rsidR="00CF4280">
        <w:t xml:space="preserve">ed boundaries </w:t>
      </w:r>
      <w:r w:rsidR="00E85637">
        <w:t>were</w:t>
      </w:r>
      <w:r w:rsidR="0017615E" w:rsidRPr="008A2650">
        <w:t xml:space="preserve"> </w:t>
      </w:r>
      <w:r w:rsidR="00CF4280">
        <w:t xml:space="preserve">explored and </w:t>
      </w:r>
      <w:r w:rsidR="0017615E" w:rsidRPr="008A2650">
        <w:t>defined.</w:t>
      </w:r>
      <w:r w:rsidR="0017615E">
        <w:t xml:space="preserve"> </w:t>
      </w:r>
    </w:p>
    <w:p w14:paraId="0ED8BBD8" w14:textId="29818DC2" w:rsidR="0017615E" w:rsidRPr="006B7442" w:rsidRDefault="001D55B6" w:rsidP="0017615E">
      <w:pPr>
        <w:rPr>
          <w:b/>
          <w:bCs/>
        </w:rPr>
      </w:pPr>
      <w:r w:rsidRPr="005836F1">
        <w:rPr>
          <w:b/>
          <w:bCs/>
        </w:rPr>
        <w:t>Chapter four</w:t>
      </w:r>
      <w:r>
        <w:t xml:space="preserve"> </w:t>
      </w:r>
      <w:r w:rsidR="006F1053">
        <w:t xml:space="preserve">argues that </w:t>
      </w:r>
      <w:r w:rsidR="0017615E">
        <w:t>an interdisciplinary approach to this statue type</w:t>
      </w:r>
      <w:r w:rsidR="006F1053">
        <w:t xml:space="preserve"> has been missing</w:t>
      </w:r>
      <w:r w:rsidR="0017615E">
        <w:t xml:space="preserve">, with Ashede’s work the notable exception. </w:t>
      </w:r>
      <w:r w:rsidR="006F1053">
        <w:t>Seeking</w:t>
      </w:r>
      <w:r w:rsidR="0017615E">
        <w:t xml:space="preserve"> to fill this gap</w:t>
      </w:r>
      <w:r w:rsidR="00E85637">
        <w:t xml:space="preserve">, </w:t>
      </w:r>
      <w:r w:rsidR="006F1053">
        <w:t>this chapter brings in</w:t>
      </w:r>
      <w:r w:rsidR="00E85637">
        <w:t xml:space="preserve"> cross-disciplinary perspectives from C20th psychology and </w:t>
      </w:r>
      <w:r w:rsidR="006F1053">
        <w:t xml:space="preserve">anthropology to open </w:t>
      </w:r>
      <w:r w:rsidR="00E85637">
        <w:t>new perspectives on how the statue functioned in Roman society.</w:t>
      </w:r>
      <w:r w:rsidR="0017615E">
        <w:t xml:space="preserve"> The Freudian concept of sublimation is used to explore how </w:t>
      </w:r>
      <w:r w:rsidR="0017615E" w:rsidRPr="008A2650">
        <w:t xml:space="preserve">aggressive and transgressive desires could be displaced into </w:t>
      </w:r>
      <w:r w:rsidR="0017615E">
        <w:t>art</w:t>
      </w:r>
      <w:r w:rsidR="0017615E" w:rsidRPr="008A2650">
        <w:t xml:space="preserve">, allowing elites to </w:t>
      </w:r>
      <w:r w:rsidR="0017615E">
        <w:t xml:space="preserve">enjoy and </w:t>
      </w:r>
      <w:r w:rsidR="0017615E" w:rsidRPr="008A2650">
        <w:t>engage with disturbing material at a psychological distance</w:t>
      </w:r>
      <w:r w:rsidR="0017615E">
        <w:t xml:space="preserve">. </w:t>
      </w:r>
      <w:r w:rsidR="0017615E" w:rsidRPr="008A2650">
        <w:t>Girard’s theory of</w:t>
      </w:r>
      <w:r w:rsidR="00E85637">
        <w:t xml:space="preserve"> sacrifice and</w:t>
      </w:r>
      <w:r w:rsidR="0017615E" w:rsidRPr="008A2650">
        <w:t xml:space="preserve"> scapegoating is used to analyse how the </w:t>
      </w:r>
      <w:r w:rsidR="0017615E">
        <w:t xml:space="preserve">statue </w:t>
      </w:r>
      <w:r w:rsidR="0017615E" w:rsidRPr="008A2650">
        <w:t xml:space="preserve">stages violence against a marginal body as a means of managing social anxiety. Central to this </w:t>
      </w:r>
      <w:r w:rsidR="0017615E">
        <w:t xml:space="preserve">Girardian </w:t>
      </w:r>
      <w:r w:rsidR="00E85637">
        <w:t>reading</w:t>
      </w:r>
      <w:r w:rsidR="0017615E" w:rsidRPr="008A2650">
        <w:t xml:space="preserve"> is </w:t>
      </w:r>
      <w:r w:rsidR="0017615E">
        <w:t>placing</w:t>
      </w:r>
      <w:r w:rsidR="0017615E" w:rsidRPr="008A2650">
        <w:t xml:space="preserve"> the statue</w:t>
      </w:r>
      <w:r w:rsidR="0017615E">
        <w:t xml:space="preserve"> type</w:t>
      </w:r>
      <w:r w:rsidR="0017615E" w:rsidRPr="008A2650">
        <w:t xml:space="preserve"> a</w:t>
      </w:r>
      <w:r w:rsidR="0017615E">
        <w:t>longside</w:t>
      </w:r>
      <w:r w:rsidR="006F1053">
        <w:t xml:space="preserve"> the contemporary</w:t>
      </w:r>
      <w:r w:rsidR="0017615E" w:rsidRPr="008A2650">
        <w:t xml:space="preserve"> treatment of hermaphrodites within the </w:t>
      </w:r>
      <w:r w:rsidR="006F1053">
        <w:t xml:space="preserve">Roman </w:t>
      </w:r>
      <w:r w:rsidR="0017615E" w:rsidRPr="008A2650">
        <w:t xml:space="preserve">prodigy system. </w:t>
      </w:r>
      <w:r w:rsidR="006B7442">
        <w:t>Whilst aesthetising and normalising sexual assault</w:t>
      </w:r>
      <w:r w:rsidR="00E85637">
        <w:t>/</w:t>
      </w:r>
      <w:r w:rsidR="006B7442">
        <w:t xml:space="preserve">othering, the statue is also recognised as ‘good to think with’ enabling elite viewers to play with ideas of gender, eroticism and sexual violence in ways that were sublimated, psychologically distanced, and therefore safely contained. </w:t>
      </w:r>
    </w:p>
    <w:p w14:paraId="7BE4F737" w14:textId="11D0A020" w:rsidR="001D55B6" w:rsidRDefault="001D55B6" w:rsidP="001D55B6">
      <w:r>
        <w:t xml:space="preserve">In </w:t>
      </w:r>
      <w:r w:rsidRPr="005836F1">
        <w:rPr>
          <w:b/>
          <w:bCs/>
        </w:rPr>
        <w:t>chapter five</w:t>
      </w:r>
      <w:r>
        <w:t xml:space="preserve"> I turn to the ethical issues surrounding display of the Dresden wrestling group statue in modern museum contexts. </w:t>
      </w:r>
      <w:r w:rsidR="00A35CAC">
        <w:t xml:space="preserve">Recognising </w:t>
      </w:r>
      <w:r>
        <w:t xml:space="preserve">the continued prevalence of sexual assault against women, men and intersex people </w:t>
      </w:r>
      <w:proofErr w:type="gramStart"/>
      <w:r>
        <w:t>in today’s society</w:t>
      </w:r>
      <w:proofErr w:type="gramEnd"/>
      <w:r w:rsidR="00A35CAC">
        <w:t>, this chapter highlights challenges from within the discipline of museum ethics, drawing attention to how sexual assault is condoned by being ‘hidden in plain sight’ in our museums.</w:t>
      </w:r>
      <w:r>
        <w:t xml:space="preserve"> </w:t>
      </w:r>
      <w:r w:rsidR="006F1053">
        <w:t xml:space="preserve">Drawing comparison with efforts to decolonise museums in response to the Black Lives Matter movement, </w:t>
      </w:r>
      <w:r w:rsidR="00A35CAC">
        <w:t>this chapter argues</w:t>
      </w:r>
      <w:r w:rsidR="006F1053">
        <w:t xml:space="preserve"> that there still a long way to go to provide an equivalent response to the </w:t>
      </w:r>
      <w:r w:rsidR="00A35CAC" w:rsidRPr="00877832">
        <w:t>#</w:t>
      </w:r>
      <w:r w:rsidR="006F1053" w:rsidRPr="00877832">
        <w:t>Me</w:t>
      </w:r>
      <w:r w:rsidR="00A35CAC" w:rsidRPr="00877832">
        <w:t>T</w:t>
      </w:r>
      <w:r w:rsidR="006F1053" w:rsidRPr="00877832">
        <w:t>oo</w:t>
      </w:r>
      <w:r w:rsidR="006F1053">
        <w:t xml:space="preserve"> movement</w:t>
      </w:r>
      <w:r w:rsidR="00A35CAC">
        <w:t>.</w:t>
      </w:r>
    </w:p>
    <w:p w14:paraId="7DB80DB9" w14:textId="45702402" w:rsidR="0017615E" w:rsidRPr="008A2650" w:rsidRDefault="001D55B6" w:rsidP="0017615E">
      <w:r w:rsidRPr="005836F1">
        <w:rPr>
          <w:b/>
          <w:bCs/>
        </w:rPr>
        <w:t>Chapter six</w:t>
      </w:r>
      <w:r>
        <w:t xml:space="preserve"> </w:t>
      </w:r>
      <w:r w:rsidR="006F1053">
        <w:t>records</w:t>
      </w:r>
      <w:r w:rsidR="006B7442" w:rsidRPr="008A2650">
        <w:t xml:space="preserve"> a live, semi-structured interview with Dr Milena Melfi, Director of the Ashmolean Cast Gallery</w:t>
      </w:r>
      <w:r w:rsidR="00E85637">
        <w:t>. Th</w:t>
      </w:r>
      <w:r w:rsidR="006F1053">
        <w:t>e interview</w:t>
      </w:r>
      <w:r w:rsidR="00E85637">
        <w:t xml:space="preserve"> </w:t>
      </w:r>
      <w:r w:rsidR="006B7442">
        <w:t>foc</w:t>
      </w:r>
      <w:r w:rsidR="00E85637">
        <w:t>ussed</w:t>
      </w:r>
      <w:r w:rsidR="006B7442">
        <w:t xml:space="preserve"> </w:t>
      </w:r>
      <w:r w:rsidR="006B7442" w:rsidRPr="008A2650">
        <w:t>on curatorial decision-making around the acquisition of the cast, choices concerning its display, observed public responses, and</w:t>
      </w:r>
      <w:r w:rsidR="006B7442">
        <w:t xml:space="preserve"> the</w:t>
      </w:r>
      <w:r w:rsidR="006B7442" w:rsidRPr="008A2650">
        <w:t xml:space="preserve"> </w:t>
      </w:r>
      <w:r w:rsidR="006B7442">
        <w:lastRenderedPageBreak/>
        <w:t xml:space="preserve">Museum’s </w:t>
      </w:r>
      <w:r w:rsidR="006B7442" w:rsidRPr="008A2650">
        <w:t>efforts to date to contextualise or engage audiences with the statue.</w:t>
      </w:r>
      <w:r w:rsidR="006B7442">
        <w:t xml:space="preserve"> </w:t>
      </w:r>
      <w:r w:rsidR="00A35CAC">
        <w:t>I use this interview as evidence</w:t>
      </w:r>
      <w:r w:rsidR="00E85637">
        <w:t xml:space="preserve"> </w:t>
      </w:r>
      <w:r w:rsidR="00877832">
        <w:t xml:space="preserve">of how </w:t>
      </w:r>
      <w:r w:rsidR="00E85637">
        <w:t>curators</w:t>
      </w:r>
      <w:r w:rsidR="006F1053">
        <w:t xml:space="preserve"> </w:t>
      </w:r>
      <w:r w:rsidR="00A35CAC">
        <w:t>understand</w:t>
      </w:r>
      <w:r w:rsidR="00E85637">
        <w:t xml:space="preserve"> the value of the statue, the issues surrounding its ownership and display, and the challenges that have been brought through audience response. </w:t>
      </w:r>
    </w:p>
    <w:p w14:paraId="34F4DCD1" w14:textId="089292C9" w:rsidR="001D55B6" w:rsidRDefault="001D55B6" w:rsidP="001D55B6">
      <w:r>
        <w:t xml:space="preserve">The </w:t>
      </w:r>
      <w:r w:rsidRPr="005836F1">
        <w:rPr>
          <w:b/>
          <w:bCs/>
        </w:rPr>
        <w:t>seventh and concluding chapter</w:t>
      </w:r>
      <w:r>
        <w:t xml:space="preserve"> draws together the findings of this research</w:t>
      </w:r>
      <w:r w:rsidR="00E85637">
        <w:t>. The dissertation</w:t>
      </w:r>
      <w:r w:rsidR="00E85637" w:rsidRPr="008A2650">
        <w:t xml:space="preserve"> explores the potential for museums to use the </w:t>
      </w:r>
      <w:r w:rsidR="00E85637">
        <w:t xml:space="preserve">statue </w:t>
      </w:r>
      <w:r w:rsidR="00E85637" w:rsidRPr="008A2650">
        <w:t xml:space="preserve">to engage audiences </w:t>
      </w:r>
      <w:r w:rsidR="00E85637">
        <w:t xml:space="preserve">more </w:t>
      </w:r>
      <w:r w:rsidR="00E85637" w:rsidRPr="008A2650">
        <w:t>critically with issues of power, gender, sexual violence, and othering in Roman culture, whil</w:t>
      </w:r>
      <w:r w:rsidR="00A35CAC">
        <w:t>st at the same time,</w:t>
      </w:r>
      <w:r w:rsidR="00E85637" w:rsidRPr="008A2650">
        <w:t xml:space="preserve"> challenging the normalisation of sexual violence today.</w:t>
      </w:r>
      <w:r w:rsidR="00810A60">
        <w:t xml:space="preserve"> </w:t>
      </w:r>
    </w:p>
    <w:p w14:paraId="6256DD03" w14:textId="77777777" w:rsidR="000765F0" w:rsidRDefault="000765F0" w:rsidP="000765F0"/>
    <w:p w14:paraId="37F5A416" w14:textId="77777777" w:rsidR="00B94ECE" w:rsidRDefault="00B94ECE" w:rsidP="00B94ECE">
      <w:pPr>
        <w:rPr>
          <w:b/>
          <w:bCs/>
        </w:rPr>
      </w:pPr>
    </w:p>
    <w:p w14:paraId="65A4A30D" w14:textId="77777777" w:rsidR="00B94ECE" w:rsidRDefault="00B94ECE" w:rsidP="00B94ECE">
      <w:pPr>
        <w:rPr>
          <w:b/>
          <w:bCs/>
        </w:rPr>
      </w:pPr>
      <w:r>
        <w:rPr>
          <w:b/>
          <w:bCs/>
        </w:rPr>
        <w:br w:type="page"/>
      </w:r>
    </w:p>
    <w:p w14:paraId="7810195D" w14:textId="7F84C0AF" w:rsidR="00B94ECE" w:rsidRPr="00EA00B7" w:rsidRDefault="00B94ECE" w:rsidP="00B94ECE">
      <w:pPr>
        <w:rPr>
          <w:b/>
          <w:bCs/>
        </w:rPr>
      </w:pPr>
      <w:r w:rsidRPr="00EA00B7">
        <w:rPr>
          <w:b/>
          <w:bCs/>
        </w:rPr>
        <w:lastRenderedPageBreak/>
        <w:t>Chapter two</w:t>
      </w:r>
      <w:r w:rsidR="00D7455E">
        <w:rPr>
          <w:b/>
          <w:bCs/>
        </w:rPr>
        <w:t xml:space="preserve"> - F</w:t>
      </w:r>
      <w:r w:rsidRPr="00EA00B7">
        <w:rPr>
          <w:b/>
          <w:bCs/>
        </w:rPr>
        <w:t xml:space="preserve">raming our understanding of the Dresden </w:t>
      </w:r>
      <w:r w:rsidR="00607C15">
        <w:rPr>
          <w:b/>
          <w:bCs/>
        </w:rPr>
        <w:t>w</w:t>
      </w:r>
      <w:r w:rsidRPr="00EA00B7">
        <w:rPr>
          <w:b/>
          <w:bCs/>
        </w:rPr>
        <w:t xml:space="preserve">restling </w:t>
      </w:r>
      <w:r w:rsidR="00607C15">
        <w:rPr>
          <w:b/>
          <w:bCs/>
        </w:rPr>
        <w:t>g</w:t>
      </w:r>
      <w:r w:rsidRPr="00EA00B7">
        <w:rPr>
          <w:b/>
          <w:bCs/>
        </w:rPr>
        <w:t>roup</w:t>
      </w:r>
    </w:p>
    <w:p w14:paraId="1CA9F75A" w14:textId="68AD8D9D" w:rsidR="00B94ECE" w:rsidRDefault="00B94ECE" w:rsidP="00B94ECE">
      <w:r>
        <w:t xml:space="preserve">In this chapter I will look first at two main ways the statue type has been </w:t>
      </w:r>
      <w:r w:rsidR="00FB6B02">
        <w:t>interpreted</w:t>
      </w:r>
      <w:r w:rsidR="00250B17">
        <w:t xml:space="preserve"> to date</w:t>
      </w:r>
      <w:r>
        <w:t xml:space="preserve"> – as an ex</w:t>
      </w:r>
      <w:r w:rsidR="00250B17">
        <w:t xml:space="preserve">ample of wider </w:t>
      </w:r>
      <w:r>
        <w:t xml:space="preserve">artistic innovation, elite culture and the display of </w:t>
      </w:r>
      <w:r w:rsidRPr="00EA00B7">
        <w:rPr>
          <w:i/>
          <w:iCs/>
        </w:rPr>
        <w:t>paideia</w:t>
      </w:r>
      <w:r>
        <w:t xml:space="preserve">; and as having apotropaic/humour value. I will then go on to unpack the key contributions of </w:t>
      </w:r>
      <w:r w:rsidR="00250B17">
        <w:t>Ajootian, Ashede and Retzleff (cited in the introduction)</w:t>
      </w:r>
      <w:r>
        <w:t xml:space="preserve"> </w:t>
      </w:r>
      <w:r w:rsidR="00250B17">
        <w:t>which</w:t>
      </w:r>
      <w:r>
        <w:t xml:space="preserve"> have focussed specifically on imagery of hermaphrodites, and </w:t>
      </w:r>
      <w:r w:rsidR="00A85075">
        <w:t xml:space="preserve">on </w:t>
      </w:r>
      <w:r>
        <w:t xml:space="preserve">the Dresden </w:t>
      </w:r>
      <w:r w:rsidR="00607C15">
        <w:t>w</w:t>
      </w:r>
      <w:r>
        <w:t xml:space="preserve">restling </w:t>
      </w:r>
      <w:r w:rsidR="00607C15">
        <w:t>g</w:t>
      </w:r>
      <w:r>
        <w:t xml:space="preserve">roup itself. </w:t>
      </w:r>
      <w:r w:rsidR="00A85075">
        <w:t>This chapter highlights</w:t>
      </w:r>
      <w:r w:rsidR="00805156">
        <w:t xml:space="preserve"> </w:t>
      </w:r>
      <w:r w:rsidR="00FB6B02">
        <w:t>where</w:t>
      </w:r>
      <w:r w:rsidR="00805156">
        <w:t xml:space="preserve"> individual </w:t>
      </w:r>
      <w:r w:rsidR="00250B17">
        <w:t>authors</w:t>
      </w:r>
      <w:r>
        <w:t xml:space="preserve"> have pushed forward the frontiers of our understanding of the statue type; and </w:t>
      </w:r>
      <w:r w:rsidR="00A85075">
        <w:t>identifies gaps in the literature to date, which I address in chapter three.</w:t>
      </w:r>
      <w:r>
        <w:t xml:space="preserve">  </w:t>
      </w:r>
    </w:p>
    <w:p w14:paraId="3F830732" w14:textId="77777777" w:rsidR="00B94ECE" w:rsidRPr="00C413CC" w:rsidRDefault="00B94ECE" w:rsidP="00B94ECE">
      <w:pPr>
        <w:rPr>
          <w:b/>
          <w:bCs/>
        </w:rPr>
      </w:pPr>
      <w:r w:rsidRPr="00C413CC">
        <w:rPr>
          <w:b/>
          <w:bCs/>
        </w:rPr>
        <w:t>Framing the statue as an example of Hellenistic art</w:t>
      </w:r>
    </w:p>
    <w:p w14:paraId="20B7D84A" w14:textId="584B0FB8" w:rsidR="00B94ECE" w:rsidRPr="00EA00B7" w:rsidRDefault="00B94ECE" w:rsidP="00B94ECE">
      <w:r>
        <w:t xml:space="preserve">A key way </w:t>
      </w:r>
      <w:r w:rsidR="00F52DA0">
        <w:t>in which</w:t>
      </w:r>
      <w:r>
        <w:t xml:space="preserve"> scholars, and </w:t>
      </w:r>
      <w:r w:rsidR="00250B17">
        <w:t>m</w:t>
      </w:r>
      <w:r>
        <w:t>useums, have framed the Dresden wrestling group, is as an example of artistic innovation in the Hellenistic period. Burn</w:t>
      </w:r>
      <w:r w:rsidR="001243F2">
        <w:t>,</w:t>
      </w:r>
      <w:r>
        <w:t xml:space="preserve"> for example, argues that while the Hellenistic period tended to be seen, both in Roman times and since, as both duplicative of, and lesser than, classical Greek art, in reality it was a period of both replicating </w:t>
      </w:r>
      <w:r w:rsidRPr="00A85075">
        <w:rPr>
          <w:i/>
          <w:iCs/>
        </w:rPr>
        <w:t>and</w:t>
      </w:r>
      <w:r>
        <w:t xml:space="preserve"> innovating </w:t>
      </w:r>
      <w:r w:rsidR="00250B17">
        <w:t>from</w:t>
      </w:r>
      <w:r w:rsidR="00471685">
        <w:t xml:space="preserve"> earlier forms</w:t>
      </w:r>
      <w:r w:rsidR="00250B17">
        <w:t>.</w:t>
      </w:r>
      <w:r>
        <w:rPr>
          <w:rStyle w:val="FootnoteReference"/>
        </w:rPr>
        <w:footnoteReference w:id="8"/>
      </w:r>
      <w:r>
        <w:t xml:space="preserve"> Through this lens, the Dresden wrestling group is seen (along</w:t>
      </w:r>
      <w:r w:rsidR="006A7D8B">
        <w:t xml:space="preserve"> with</w:t>
      </w:r>
      <w:r>
        <w:t xml:space="preserve"> images of nymphs and satyrs) as a key example of the development of </w:t>
      </w:r>
      <w:r w:rsidRPr="00EA00B7">
        <w:rPr>
          <w:i/>
          <w:iCs/>
        </w:rPr>
        <w:t xml:space="preserve">symplegma </w:t>
      </w:r>
      <w:r>
        <w:rPr>
          <w:i/>
          <w:iCs/>
        </w:rPr>
        <w:t xml:space="preserve">– </w:t>
      </w:r>
      <w:r>
        <w:t>group statuary, often with erotic content. A</w:t>
      </w:r>
      <w:r w:rsidR="00FB6B02">
        <w:t>s an</w:t>
      </w:r>
      <w:r>
        <w:t xml:space="preserve"> example of this </w:t>
      </w:r>
      <w:r w:rsidR="00250B17">
        <w:t xml:space="preserve">‘artistic innovation’ </w:t>
      </w:r>
      <w:r>
        <w:t>reading</w:t>
      </w:r>
      <w:r w:rsidR="00FB6B02">
        <w:t xml:space="preserve"> of</w:t>
      </w:r>
      <w:r>
        <w:t xml:space="preserve"> the </w:t>
      </w:r>
      <w:r w:rsidR="00250B17">
        <w:t xml:space="preserve">Dresden wrestling group </w:t>
      </w:r>
      <w:r>
        <w:t xml:space="preserve">statue type, Burn describes it as “The vigorously intertwined couple form an ambitiously complicated sculptural composition that asks to be viewed from all </w:t>
      </w:r>
      <w:r w:rsidR="00FB6B02">
        <w:t>angles and</w:t>
      </w:r>
      <w:r>
        <w:t xml:space="preserve"> indeed requires full exploration of all viewpoints for </w:t>
      </w:r>
      <w:proofErr w:type="gramStart"/>
      <w:r w:rsidR="00FB6B02">
        <w:t>its</w:t>
      </w:r>
      <w:proofErr w:type="gramEnd"/>
      <w:r>
        <w:t xml:space="preserve"> true subject to become apparent.”</w:t>
      </w:r>
      <w:r>
        <w:rPr>
          <w:rStyle w:val="FootnoteReference"/>
        </w:rPr>
        <w:footnoteReference w:id="9"/>
      </w:r>
      <w:r>
        <w:t xml:space="preserve">  </w:t>
      </w:r>
    </w:p>
    <w:p w14:paraId="47F16187" w14:textId="77777777" w:rsidR="00B94ECE" w:rsidRPr="00C413CC" w:rsidRDefault="00B94ECE" w:rsidP="00B94ECE">
      <w:pPr>
        <w:rPr>
          <w:b/>
          <w:bCs/>
        </w:rPr>
      </w:pPr>
      <w:r w:rsidRPr="00C413CC">
        <w:rPr>
          <w:b/>
          <w:bCs/>
        </w:rPr>
        <w:t>Framing the statue as holding the function of elite display</w:t>
      </w:r>
    </w:p>
    <w:p w14:paraId="588BA10D" w14:textId="770DC0CE" w:rsidR="00FB6B02" w:rsidRDefault="00B94ECE" w:rsidP="00B94ECE">
      <w:r>
        <w:t>A</w:t>
      </w:r>
      <w:r w:rsidR="00FB6B02">
        <w:t xml:space="preserve"> further</w:t>
      </w:r>
      <w:r>
        <w:t xml:space="preserve"> way the statue </w:t>
      </w:r>
      <w:r w:rsidR="0062778D">
        <w:t xml:space="preserve">type </w:t>
      </w:r>
      <w:r>
        <w:t xml:space="preserve">has been understood, linked to its find sites at Roman villas, is as an example of elite display. Stewart, for example, in his 2003 work </w:t>
      </w:r>
      <w:r>
        <w:rPr>
          <w:i/>
          <w:iCs/>
        </w:rPr>
        <w:t>Statues in Roman Society</w:t>
      </w:r>
      <w:r>
        <w:t xml:space="preserve">, argues for a deeper appreciation of the role of statues </w:t>
      </w:r>
      <w:r w:rsidR="00250B17">
        <w:t xml:space="preserve">in </w:t>
      </w:r>
      <w:r>
        <w:t xml:space="preserve">Roman society, and for statuary having </w:t>
      </w:r>
      <w:r w:rsidR="006A7D8B">
        <w:t>distinct</w:t>
      </w:r>
      <w:r>
        <w:t xml:space="preserve"> functions within Roman society, depending on content and context</w:t>
      </w:r>
      <w:r w:rsidR="00250B17">
        <w:t>.</w:t>
      </w:r>
      <w:r>
        <w:rPr>
          <w:rStyle w:val="FootnoteReference"/>
        </w:rPr>
        <w:footnoteReference w:id="10"/>
      </w:r>
      <w:r>
        <w:t xml:space="preserve"> He contrasts</w:t>
      </w:r>
      <w:r w:rsidR="00E70C38">
        <w:t>,</w:t>
      </w:r>
      <w:r>
        <w:t xml:space="preserve"> for example, the function of public honorific statuary with portraiture in domestic contexts, and with statuary used in villa contexts as a display of elite learning, culture and</w:t>
      </w:r>
      <w:r w:rsidR="00FB6B02">
        <w:t xml:space="preserve"> the display of</w:t>
      </w:r>
      <w:r>
        <w:t xml:space="preserve"> </w:t>
      </w:r>
      <w:r w:rsidRPr="0062778D">
        <w:rPr>
          <w:i/>
          <w:iCs/>
        </w:rPr>
        <w:t>paideia</w:t>
      </w:r>
      <w:r>
        <w:t xml:space="preserve">. </w:t>
      </w:r>
    </w:p>
    <w:p w14:paraId="12375F4C" w14:textId="484E4DD6" w:rsidR="00B94ECE" w:rsidRDefault="00B94ECE" w:rsidP="00B94ECE">
      <w:r>
        <w:lastRenderedPageBreak/>
        <w:t>However, despite arguing for the</w:t>
      </w:r>
      <w:r w:rsidR="00FB6B02">
        <w:t xml:space="preserve"> crucial</w:t>
      </w:r>
      <w:r>
        <w:t xml:space="preserve"> </w:t>
      </w:r>
      <w:r w:rsidRPr="00F35BB1">
        <w:rPr>
          <w:i/>
          <w:iCs/>
        </w:rPr>
        <w:t xml:space="preserve">functional </w:t>
      </w:r>
      <w:r>
        <w:t xml:space="preserve">role of statues in Roman society, Stewart </w:t>
      </w:r>
      <w:r w:rsidR="00250B17">
        <w:t>does not address</w:t>
      </w:r>
      <w:r>
        <w:t xml:space="preserve"> their </w:t>
      </w:r>
      <w:r w:rsidR="00250B17">
        <w:t xml:space="preserve">potential </w:t>
      </w:r>
      <w:r>
        <w:t xml:space="preserve">function in negotiating social tensions, including those of elite male identity and sexuality. </w:t>
      </w:r>
    </w:p>
    <w:p w14:paraId="714FA59F" w14:textId="54F753BA" w:rsidR="00B94ECE" w:rsidRDefault="00B94ECE" w:rsidP="00B94ECE">
      <w:r>
        <w:t xml:space="preserve">Kousser’s work </w:t>
      </w:r>
      <w:r w:rsidR="006A7D8B">
        <w:t>explores</w:t>
      </w:r>
      <w:r>
        <w:t xml:space="preserve"> Hellenistic and Roman statuary as an expression of Greek-influenced, but specifically Roman, culture.</w:t>
      </w:r>
      <w:r>
        <w:rPr>
          <w:rStyle w:val="FootnoteReference"/>
        </w:rPr>
        <w:footnoteReference w:id="11"/>
      </w:r>
      <w:r>
        <w:t xml:space="preserve"> </w:t>
      </w:r>
      <w:r w:rsidR="006A7D8B">
        <w:t>In this s</w:t>
      </w:r>
      <w:r>
        <w:t xml:space="preserve">he emphasises the role of patrons/audiences in the process of reception, rather than focusing on the development of artistic skill and creativity, including how statuary can be seen to reflect the particular taste of </w:t>
      </w:r>
      <w:r w:rsidR="006A7D8B">
        <w:t>specific</w:t>
      </w:r>
      <w:r>
        <w:t xml:space="preserve"> patrons (as visible at individual villas at Pompeii</w:t>
      </w:r>
      <w:r w:rsidR="00250B17">
        <w:t>)</w:t>
      </w:r>
      <w:r w:rsidR="00FB6B02">
        <w:t>;</w:t>
      </w:r>
      <w:r>
        <w:rPr>
          <w:rStyle w:val="FootnoteReference"/>
        </w:rPr>
        <w:footnoteReference w:id="12"/>
      </w:r>
      <w:r>
        <w:t xml:space="preserve"> whilst arguing for the importance of Roman sculpture in the Hellenistic period being recognised as innovative – not merely derivative, or copying</w:t>
      </w:r>
      <w:r w:rsidR="00877832">
        <w:t xml:space="preserve"> of</w:t>
      </w:r>
      <w:r>
        <w:t>, Greek originals.</w:t>
      </w:r>
      <w:r w:rsidR="00FB6B02">
        <w:rPr>
          <w:rStyle w:val="FootnoteReference"/>
        </w:rPr>
        <w:footnoteReference w:id="13"/>
      </w:r>
      <w:r>
        <w:t xml:space="preserve"> </w:t>
      </w:r>
    </w:p>
    <w:p w14:paraId="1791BBC0" w14:textId="1DA4978A" w:rsidR="00B94ECE" w:rsidRDefault="00B94ECE" w:rsidP="00B94ECE">
      <w:r>
        <w:t>While Kousser does not address the Dresden wrestling group statue</w:t>
      </w:r>
      <w:r w:rsidR="00FB6B02">
        <w:t xml:space="preserve"> directly</w:t>
      </w:r>
      <w:r>
        <w:t xml:space="preserve">, her work opens an important angle on this statue. Rather than assuming it must be a copy of a (lost) Greek original, </w:t>
      </w:r>
      <w:r w:rsidR="00FB6B02">
        <w:t>Kousser’s</w:t>
      </w:r>
      <w:r>
        <w:t xml:space="preserve"> work (and that of Ashede, </w:t>
      </w:r>
      <w:r w:rsidR="00FB6B02">
        <w:t>see</w:t>
      </w:r>
      <w:r>
        <w:t xml:space="preserve"> later in this chapter) allow</w:t>
      </w:r>
      <w:r w:rsidR="006A7D8B">
        <w:t>s</w:t>
      </w:r>
      <w:r>
        <w:t xml:space="preserve"> us to recognise the statue type as an expression of </w:t>
      </w:r>
      <w:r w:rsidRPr="00250B17">
        <w:rPr>
          <w:i/>
          <w:iCs/>
        </w:rPr>
        <w:t>Roman</w:t>
      </w:r>
      <w:r>
        <w:t xml:space="preserve"> culture (rather than a copy of a Greek original) – and therefore to situate it within </w:t>
      </w:r>
      <w:r w:rsidRPr="00FB6B02">
        <w:rPr>
          <w:i/>
          <w:iCs/>
        </w:rPr>
        <w:t>its own</w:t>
      </w:r>
      <w:r>
        <w:t xml:space="preserve"> cultural and social context – that of Roman (rather than Greek) </w:t>
      </w:r>
      <w:r w:rsidR="006A7D8B">
        <w:t>constructions of</w:t>
      </w:r>
      <w:r w:rsidR="0061382A">
        <w:t>,</w:t>
      </w:r>
      <w:r w:rsidR="006A7D8B">
        <w:t xml:space="preserve"> and attitudes towards, identity, </w:t>
      </w:r>
      <w:r>
        <w:t xml:space="preserve">gender and </w:t>
      </w:r>
      <w:r w:rsidR="00FB6B02">
        <w:t>sexuality</w:t>
      </w:r>
      <w:r>
        <w:t xml:space="preserve">. </w:t>
      </w:r>
    </w:p>
    <w:p w14:paraId="4CDC794F" w14:textId="77777777" w:rsidR="00B94ECE" w:rsidRPr="00BA09B6" w:rsidRDefault="00B94ECE" w:rsidP="00B94ECE">
      <w:pPr>
        <w:rPr>
          <w:b/>
          <w:bCs/>
        </w:rPr>
      </w:pPr>
      <w:r w:rsidRPr="00C413CC">
        <w:rPr>
          <w:b/>
          <w:bCs/>
        </w:rPr>
        <w:t>Framing the statue as having primarily apotropaic/humour value</w:t>
      </w:r>
    </w:p>
    <w:p w14:paraId="4126AD42" w14:textId="1B4C42A5" w:rsidR="00B94ECE" w:rsidRDefault="00B94ECE" w:rsidP="009A0344">
      <w:pPr>
        <w:spacing w:after="120"/>
      </w:pPr>
      <w:r>
        <w:t>A second main way that the statue has been understood is as humorous and therefore having apotropaic value</w:t>
      </w:r>
      <w:r w:rsidR="003A54F6">
        <w:t>, as well exemplified by Burn (2004)</w:t>
      </w:r>
      <w:r>
        <w:t xml:space="preserve"> (see </w:t>
      </w:r>
      <w:r w:rsidRPr="009900AF">
        <w:t>footnote</w:t>
      </w:r>
      <w:r>
        <w:t xml:space="preserve"> </w:t>
      </w:r>
      <w:r w:rsidR="00C1724A">
        <w:t>9</w:t>
      </w:r>
      <w:r>
        <w:t xml:space="preserve">). Clarke’s </w:t>
      </w:r>
      <w:r>
        <w:rPr>
          <w:i/>
          <w:iCs/>
        </w:rPr>
        <w:t xml:space="preserve">Looking at laughter </w:t>
      </w:r>
      <w:r>
        <w:t>(1998)</w:t>
      </w:r>
      <w:r>
        <w:rPr>
          <w:rStyle w:val="FootnoteReference"/>
        </w:rPr>
        <w:footnoteReference w:id="14"/>
      </w:r>
      <w:r>
        <w:t xml:space="preserve"> </w:t>
      </w:r>
      <w:r w:rsidR="00A85075">
        <w:t>also</w:t>
      </w:r>
      <w:r w:rsidR="006A7D8B">
        <w:t xml:space="preserve"> </w:t>
      </w:r>
      <w:r>
        <w:t xml:space="preserve">exemplifies this approach to the statue. Clarke </w:t>
      </w:r>
      <w:r w:rsidR="006A7D8B">
        <w:t>highlights the cultural</w:t>
      </w:r>
      <w:r>
        <w:t xml:space="preserve"> importance of laughter in distracting the Evil Eye, particularly in liminal spaces like crossroads, thresholds, and baths, where the human body is naked and therefore vulnerable. He draws attention also to the Roman propensity to laugh at disabled and deformed bodies</w:t>
      </w:r>
      <w:r w:rsidR="009900AF">
        <w:t>,</w:t>
      </w:r>
      <w:r>
        <w:rPr>
          <w:rStyle w:val="FootnoteReference"/>
        </w:rPr>
        <w:footnoteReference w:id="15"/>
      </w:r>
      <w:r>
        <w:t xml:space="preserve"> and at obscene and lewd sexual behaviour, including through the visual tropes of excess embodied by pygmies and satyrs.</w:t>
      </w:r>
      <w:r>
        <w:rPr>
          <w:rStyle w:val="FootnoteReference"/>
        </w:rPr>
        <w:footnoteReference w:id="16"/>
      </w:r>
      <w:r>
        <w:t xml:space="preserve"> Looking specifically at images of the sleeping Hermaphroditus, Clarke states that these sculptures functioned as humorous/apotropaic images, because “when the viewer circles the statue, he gets a surprise: the ‘she’ is also a ‘he’ with male genitals. Viewing the statue is a gender-bending peekaboo … instead of getting the appropriate front to go with the beautiful backside, the viewer realises he’s been duped.”</w:t>
      </w:r>
      <w:r>
        <w:rPr>
          <w:rStyle w:val="FootnoteReference"/>
        </w:rPr>
        <w:footnoteReference w:id="17"/>
      </w:r>
      <w:r>
        <w:t xml:space="preserve"> </w:t>
      </w:r>
    </w:p>
    <w:p w14:paraId="03D1837D" w14:textId="77777777" w:rsidR="00B94ECE" w:rsidRDefault="00B94ECE" w:rsidP="00B94ECE">
      <w:pPr>
        <w:spacing w:after="0"/>
      </w:pPr>
    </w:p>
    <w:p w14:paraId="6C8D5C0C" w14:textId="2164CF67" w:rsidR="009900AF" w:rsidRDefault="00B94ECE" w:rsidP="00B94ECE">
      <w:pPr>
        <w:spacing w:after="0"/>
      </w:pPr>
      <w:r>
        <w:t>Clarke recognises this as</w:t>
      </w:r>
      <w:r w:rsidR="009900AF">
        <w:t xml:space="preserve"> his description of</w:t>
      </w:r>
      <w:r>
        <w:t xml:space="preserve"> the perspective of a heterosexual </w:t>
      </w:r>
      <w:r w:rsidR="006A7D8B">
        <w:t>male but</w:t>
      </w:r>
      <w:r>
        <w:t xml:space="preserve"> fails to explore other potential readings of the statue. He goes on to mention in passing, referencing Pliny, that “Greeks and Romans feared sexually androgynous creatures – especially human babies – and often destroyed them, only gradually coming to accept them as amusing and even good luck charms.”</w:t>
      </w:r>
      <w:r>
        <w:rPr>
          <w:rStyle w:val="FootnoteReference"/>
        </w:rPr>
        <w:footnoteReference w:id="18"/>
      </w:r>
      <w:r>
        <w:t xml:space="preserve"> </w:t>
      </w:r>
      <w:r w:rsidR="00BB6A26">
        <w:t xml:space="preserve">However, </w:t>
      </w:r>
      <w:r w:rsidR="006A7D8B">
        <w:t xml:space="preserve">despite this, </w:t>
      </w:r>
      <w:r w:rsidR="00BB6A26">
        <w:t>he</w:t>
      </w:r>
      <w:r>
        <w:t xml:space="preserve"> fails to draw any further conclusions about how statues of hermaphrodites might function in a society which so profoundly feared sexual androgyny.</w:t>
      </w:r>
      <w:r>
        <w:rPr>
          <w:rStyle w:val="FootnoteReference"/>
        </w:rPr>
        <w:footnoteReference w:id="19"/>
      </w:r>
      <w:r>
        <w:t xml:space="preserve"> </w:t>
      </w:r>
    </w:p>
    <w:p w14:paraId="59E549D3" w14:textId="77777777" w:rsidR="009900AF" w:rsidRDefault="009900AF" w:rsidP="00B94ECE">
      <w:pPr>
        <w:spacing w:after="0"/>
      </w:pPr>
    </w:p>
    <w:p w14:paraId="17AE02F7" w14:textId="2DFFD5F7" w:rsidR="00B94ECE" w:rsidRDefault="00B94ECE" w:rsidP="00B94ECE">
      <w:pPr>
        <w:spacing w:after="0"/>
      </w:pPr>
      <w:r>
        <w:t>Clarke opens</w:t>
      </w:r>
      <w:r w:rsidR="009900AF">
        <w:t xml:space="preserve"> the same work,</w:t>
      </w:r>
      <w:r>
        <w:t xml:space="preserve"> </w:t>
      </w:r>
      <w:r w:rsidRPr="005126FC">
        <w:rPr>
          <w:i/>
          <w:iCs/>
        </w:rPr>
        <w:t>Looking at Laughter</w:t>
      </w:r>
      <w:r w:rsidR="009900AF">
        <w:t>, outlining</w:t>
      </w:r>
      <w:r>
        <w:t xml:space="preserve"> </w:t>
      </w:r>
      <w:r w:rsidR="006A7D8B">
        <w:t>important</w:t>
      </w:r>
      <w:r>
        <w:t xml:space="preserve"> theoretical frameworks </w:t>
      </w:r>
      <w:r w:rsidR="009900AF">
        <w:t>for</w:t>
      </w:r>
      <w:r w:rsidR="006A7D8B">
        <w:t xml:space="preserve"> understanding</w:t>
      </w:r>
      <w:r>
        <w:t xml:space="preserve"> humour, including Freud’s view that obscene jokes are an expression of shared control/triumph over an object of desire, and </w:t>
      </w:r>
      <w:r w:rsidR="006A7D8B">
        <w:t>Martineau’s</w:t>
      </w:r>
      <w:r>
        <w:t xml:space="preserve"> recognition of humour as an expression of power and control over outsiders.</w:t>
      </w:r>
      <w:r>
        <w:rPr>
          <w:rStyle w:val="FootnoteReference"/>
        </w:rPr>
        <w:footnoteReference w:id="20"/>
      </w:r>
      <w:r>
        <w:t xml:space="preserve"> However, having briefly acknowledged these theoretical frameworks, in the rest of the work, the link between humour and power is </w:t>
      </w:r>
      <w:r w:rsidR="00DF3E28">
        <w:t>ignored</w:t>
      </w:r>
      <w:r>
        <w:t>, with a reductionist argument throughout the work that all the images are primarily created as humorous/apotropaic – without deeper analysis of images as expressions of power, and power over, feared and desired ‘outsiders’. The limitations of Clarke’s approach</w:t>
      </w:r>
      <w:r w:rsidR="00877832">
        <w:t>,</w:t>
      </w:r>
      <w:r>
        <w:t xml:space="preserve"> seeing these statue types as humorous/apotropaic on the one hand, and metaphorical, on the other, </w:t>
      </w:r>
      <w:r w:rsidR="00E7557C">
        <w:t>is an approach</w:t>
      </w:r>
      <w:r>
        <w:t xml:space="preserve"> both </w:t>
      </w:r>
      <w:r w:rsidR="00A85075">
        <w:t xml:space="preserve">Linnea </w:t>
      </w:r>
      <w:r w:rsidR="00E7557C">
        <w:t>Ashede and</w:t>
      </w:r>
      <w:r>
        <w:t xml:space="preserve"> </w:t>
      </w:r>
      <w:r w:rsidR="00A85075">
        <w:t xml:space="preserve">Amy </w:t>
      </w:r>
      <w:r>
        <w:t xml:space="preserve">Richlin </w:t>
      </w:r>
      <w:r w:rsidR="00DF3E28">
        <w:t xml:space="preserve">(in relation to textual sources) </w:t>
      </w:r>
      <w:r>
        <w:t xml:space="preserve">have deliberately </w:t>
      </w:r>
      <w:r w:rsidR="009900AF">
        <w:t xml:space="preserve">set out to </w:t>
      </w:r>
      <w:r>
        <w:t>challenge</w:t>
      </w:r>
      <w:r w:rsidR="001B6167">
        <w:t xml:space="preserve"> (as addressed</w:t>
      </w:r>
      <w:r w:rsidR="00E7557C">
        <w:t xml:space="preserve"> below</w:t>
      </w:r>
      <w:r w:rsidR="00DF3E28">
        <w:t>,</w:t>
      </w:r>
      <w:r w:rsidR="00E7557C">
        <w:t xml:space="preserve"> and</w:t>
      </w:r>
      <w:r w:rsidR="001B6167">
        <w:t xml:space="preserve"> in </w:t>
      </w:r>
      <w:r w:rsidR="00E7557C">
        <w:t xml:space="preserve">the next </w:t>
      </w:r>
      <w:r w:rsidR="001B6167">
        <w:t>chapter)</w:t>
      </w:r>
      <w:r>
        <w:t xml:space="preserve">. </w:t>
      </w:r>
    </w:p>
    <w:p w14:paraId="09B48C2F" w14:textId="77777777" w:rsidR="00B94ECE" w:rsidRDefault="00B94ECE" w:rsidP="00B94ECE">
      <w:pPr>
        <w:spacing w:after="0"/>
      </w:pPr>
    </w:p>
    <w:p w14:paraId="6E72A15E" w14:textId="03F640A5" w:rsidR="00B94ECE" w:rsidRPr="00BD5A60" w:rsidRDefault="00B94ECE" w:rsidP="00B94ECE">
      <w:pPr>
        <w:rPr>
          <w:b/>
          <w:bCs/>
        </w:rPr>
      </w:pPr>
      <w:r>
        <w:rPr>
          <w:b/>
          <w:bCs/>
        </w:rPr>
        <w:t xml:space="preserve">Looking at </w:t>
      </w:r>
      <w:r w:rsidR="00DF3E28">
        <w:rPr>
          <w:b/>
          <w:bCs/>
        </w:rPr>
        <w:t>Hermaphrodite</w:t>
      </w:r>
      <w:r>
        <w:rPr>
          <w:b/>
          <w:bCs/>
        </w:rPr>
        <w:t xml:space="preserve"> figures in Ancient Art</w:t>
      </w:r>
      <w:r w:rsidRPr="00BD5A60">
        <w:rPr>
          <w:b/>
          <w:bCs/>
        </w:rPr>
        <w:t>: Ajootian’s PhD thesis</w:t>
      </w:r>
      <w:r>
        <w:rPr>
          <w:b/>
          <w:bCs/>
        </w:rPr>
        <w:t xml:space="preserve"> (1990)</w:t>
      </w:r>
    </w:p>
    <w:p w14:paraId="3EA57920" w14:textId="2C01D36B" w:rsidR="00B94ECE" w:rsidRDefault="00B94ECE" w:rsidP="00B94ECE">
      <w:r>
        <w:t xml:space="preserve">Turning now to </w:t>
      </w:r>
      <w:r w:rsidR="009900AF">
        <w:t xml:space="preserve">a brief survey of three key </w:t>
      </w:r>
      <w:r>
        <w:t xml:space="preserve">works that have looked directly or primarily at the Dresden wrestling group statue type, Aileen Ajootian’s PhD thesis </w:t>
      </w:r>
      <w:r w:rsidRPr="00064B32">
        <w:rPr>
          <w:i/>
          <w:iCs/>
        </w:rPr>
        <w:t>Natus Diformis: Hermaphrodites in Greek and Roman Art</w:t>
      </w:r>
      <w:r>
        <w:t xml:space="preserve"> (1990)</w:t>
      </w:r>
      <w:r w:rsidR="002476A1">
        <w:t xml:space="preserve"> </w:t>
      </w:r>
      <w:r>
        <w:t xml:space="preserve">surveyed examples of statues/images of hermaphrodites/Hermaphroditus in ancient art, from the first </w:t>
      </w:r>
      <w:r w:rsidRPr="00E73DA5">
        <w:rPr>
          <w:i/>
          <w:iCs/>
        </w:rPr>
        <w:t>a</w:t>
      </w:r>
      <w:r>
        <w:rPr>
          <w:i/>
          <w:iCs/>
        </w:rPr>
        <w:t>na</w:t>
      </w:r>
      <w:r w:rsidRPr="00E73DA5">
        <w:rPr>
          <w:i/>
          <w:iCs/>
        </w:rPr>
        <w:t>syromenos</w:t>
      </w:r>
      <w:r>
        <w:t xml:space="preserve"> types in Greece (dating from C4th BC), through to the complex symplegma statues of the Roman period from C2nd BC onwards.</w:t>
      </w:r>
      <w:r w:rsidR="002476A1">
        <w:rPr>
          <w:rStyle w:val="FootnoteReference"/>
        </w:rPr>
        <w:footnoteReference w:id="21"/>
      </w:r>
      <w:r>
        <w:t xml:space="preserve"> </w:t>
      </w:r>
    </w:p>
    <w:p w14:paraId="6D24A2B4" w14:textId="60C7A94D" w:rsidR="00B94ECE" w:rsidRDefault="00B94ECE" w:rsidP="00B94ECE">
      <w:r>
        <w:t>Ajootian takes an art</w:t>
      </w:r>
      <w:r w:rsidR="00E70C38">
        <w:t>-</w:t>
      </w:r>
      <w:r>
        <w:t xml:space="preserve">historical approach, </w:t>
      </w:r>
      <w:r w:rsidR="009900AF">
        <w:t xml:space="preserve">including </w:t>
      </w:r>
      <w:r>
        <w:t>providing</w:t>
      </w:r>
      <w:r w:rsidR="00E70C38">
        <w:t>,</w:t>
      </w:r>
      <w:r>
        <w:t xml:space="preserve"> in </w:t>
      </w:r>
      <w:r w:rsidR="00A85075">
        <w:t>the fourth chapter</w:t>
      </w:r>
      <w:r>
        <w:t xml:space="preserve"> </w:t>
      </w:r>
      <w:r w:rsidR="00E7557C">
        <w:t>of her PhD</w:t>
      </w:r>
      <w:r w:rsidR="00A85075">
        <w:t xml:space="preserve"> thesis</w:t>
      </w:r>
      <w:r w:rsidR="00E70C38">
        <w:t>,</w:t>
      </w:r>
      <w:r w:rsidR="00E7557C">
        <w:t xml:space="preserve"> </w:t>
      </w:r>
      <w:r>
        <w:t xml:space="preserve">a close reading of the Dresden </w:t>
      </w:r>
      <w:r w:rsidR="00DF3E28">
        <w:t xml:space="preserve">wrestling group </w:t>
      </w:r>
      <w:r>
        <w:t xml:space="preserve">statue type: “The composition is </w:t>
      </w:r>
      <w:r>
        <w:lastRenderedPageBreak/>
        <w:t>complex, with off balance poses and entangled limbs jutting into space … Hermaphrodit</w:t>
      </w:r>
      <w:r w:rsidR="009900AF">
        <w:t>o</w:t>
      </w:r>
      <w:r>
        <w:t>s, trapped between the Satyr’s legs, face</w:t>
      </w:r>
      <w:r w:rsidR="009900AF">
        <w:t>s</w:t>
      </w:r>
      <w:r>
        <w:t xml:space="preserve"> away from its attacker, but turns back to its left, toward him, attempting to push the Satyr away with its right hand against the Satyr’s face (p.127) … This complicated enta</w:t>
      </w:r>
      <w:r w:rsidR="00877832">
        <w:t>ngling</w:t>
      </w:r>
      <w:r>
        <w:t xml:space="preserve"> of arms and legs, even as it creates a scene full of spontaneous and violent action, also provides an internal system of supports for an ambitious sculptural effect.” (p.128) </w:t>
      </w:r>
    </w:p>
    <w:p w14:paraId="3182CAAD" w14:textId="7576B938" w:rsidR="00B94ECE" w:rsidRDefault="00B94ECE" w:rsidP="00B94ECE">
      <w:r>
        <w:t xml:space="preserve">She continues “But visible only from a few angles are Hermaphroditos’ male genitals. A frontal view of the torso with the outer surface of the raised right thigh conceals them. And a glance at the hermaphrodite from the back, where the attention of the viewer seems to be focused first, does not reveal its </w:t>
      </w:r>
      <w:proofErr w:type="gramStart"/>
      <w:r>
        <w:t>true identity</w:t>
      </w:r>
      <w:proofErr w:type="gramEnd"/>
      <w:r>
        <w:t xml:space="preserve"> either, since the satyr appears to have grabbed a woman.” (p.129). Ajootian goes on to consider mosaics and other painted images which depict the same scene, antecedent examples of similar statue types (e</w:t>
      </w:r>
      <w:r w:rsidR="00303526">
        <w:t>.</w:t>
      </w:r>
      <w:r>
        <w:t>g</w:t>
      </w:r>
      <w:r w:rsidR="00303526">
        <w:t>.</w:t>
      </w:r>
      <w:r>
        <w:t xml:space="preserve"> the wounded </w:t>
      </w:r>
      <w:r w:rsidR="00877832">
        <w:t>s</w:t>
      </w:r>
      <w:r>
        <w:t xml:space="preserve">atyr, satyrs assaulting nymphs) and looks at the significance of a major find site for this statue, </w:t>
      </w:r>
      <w:r w:rsidR="009900AF">
        <w:t xml:space="preserve">including the example found </w:t>
      </w:r>
      <w:r>
        <w:t xml:space="preserve">at the end of a pool at the Villa </w:t>
      </w:r>
      <w:r w:rsidR="009900AF">
        <w:t>(perhaps) of</w:t>
      </w:r>
      <w:r>
        <w:t xml:space="preserve"> Poppaea Sabina, wife of Nero, at Oplontis, arguing for a traditional,</w:t>
      </w:r>
      <w:r w:rsidR="00E70994">
        <w:t xml:space="preserve"> </w:t>
      </w:r>
      <w:r>
        <w:t>apotropaic</w:t>
      </w:r>
      <w:r w:rsidR="00877832">
        <w:t>,</w:t>
      </w:r>
      <w:r>
        <w:t xml:space="preserve"> reading of the statue in this context. </w:t>
      </w:r>
    </w:p>
    <w:p w14:paraId="01A62F49" w14:textId="6584827A" w:rsidR="00B94ECE" w:rsidRDefault="00B94ECE" w:rsidP="00B94ECE">
      <w:r>
        <w:t>Considering the symplegma involving hermaphrodite figures, including the Dresden type, she argues “</w:t>
      </w:r>
      <w:r w:rsidR="00E70C38">
        <w:t>W</w:t>
      </w:r>
      <w:r>
        <w:t>hile the absence of evidence from Greece proper cannot be proof that such groups did not appear in the Graeco-Roman sculptural repertoire, their consistent presence in Italy and Roman sites abroad suggests a predilection for this group, and probably the source of their origins as well</w:t>
      </w:r>
      <w:r w:rsidR="009900AF">
        <w:t>.</w:t>
      </w:r>
      <w:r w:rsidR="00877832">
        <w:t>”</w:t>
      </w:r>
      <w:r>
        <w:t xml:space="preserve"> (p.157)</w:t>
      </w:r>
    </w:p>
    <w:p w14:paraId="5F70AE3A" w14:textId="5D93196F" w:rsidR="00B94ECE" w:rsidRDefault="00B94ECE" w:rsidP="00B94ECE">
      <w:r>
        <w:t xml:space="preserve">Ajootian’s PhD thesis is immensely helpful in being the first serious academic work to focus entirely on images of hermaphrodites/Hermaphroditus in ancient art. She was also the first to argue that this statue type probably originated in Roman culture, rather than having a Greek original, as had previously been assumed. However, her survey focuses on careful description of the different types of statues and images, and, where known, their find sites, </w:t>
      </w:r>
      <w:r w:rsidR="009900AF">
        <w:t>whilst</w:t>
      </w:r>
      <w:r>
        <w:t xml:space="preserve"> she </w:t>
      </w:r>
      <w:r w:rsidR="009900AF">
        <w:t>avoids</w:t>
      </w:r>
      <w:r>
        <w:t xml:space="preserve"> interpretation of the statue in any detail. For example, in </w:t>
      </w:r>
      <w:r w:rsidR="0038030F">
        <w:t>her</w:t>
      </w:r>
      <w:r>
        <w:t xml:space="preserve"> concluding chapter she states that the Dresden wrestling group statue type is “clearly erotic”, and that they “engage the viewer in a voyeuristic appreciation of the action” (p.154) but does</w:t>
      </w:r>
      <w:r w:rsidR="008F25D2">
        <w:t xml:space="preserve"> not</w:t>
      </w:r>
      <w:r>
        <w:t xml:space="preserve"> take these brief observations further to analyse the statue type in </w:t>
      </w:r>
      <w:r w:rsidR="0038030F">
        <w:t xml:space="preserve">any </w:t>
      </w:r>
      <w:r w:rsidR="008F25D2">
        <w:t>greater</w:t>
      </w:r>
      <w:r w:rsidR="009900AF">
        <w:t xml:space="preserve"> depth</w:t>
      </w:r>
      <w:r>
        <w:t xml:space="preserve">, or to consider how it might have functioned in </w:t>
      </w:r>
      <w:r w:rsidR="00A85075">
        <w:t xml:space="preserve">the </w:t>
      </w:r>
      <w:r>
        <w:t xml:space="preserve">Roman society in which it was commissioned, created and displayed. </w:t>
      </w:r>
    </w:p>
    <w:p w14:paraId="00D8D572" w14:textId="1DD5A1B1" w:rsidR="00B94ECE" w:rsidRPr="00CD7416" w:rsidRDefault="00B94ECE" w:rsidP="00B94ECE">
      <w:pPr>
        <w:rPr>
          <w:b/>
          <w:bCs/>
        </w:rPr>
      </w:pPr>
      <w:r w:rsidRPr="00CD7416">
        <w:rPr>
          <w:b/>
          <w:bCs/>
        </w:rPr>
        <w:t xml:space="preserve">Taking context seriously: </w:t>
      </w:r>
      <w:r>
        <w:rPr>
          <w:b/>
          <w:bCs/>
        </w:rPr>
        <w:t xml:space="preserve">Alexandra </w:t>
      </w:r>
      <w:r w:rsidRPr="00CD7416">
        <w:rPr>
          <w:b/>
          <w:bCs/>
        </w:rPr>
        <w:t>Retzleff</w:t>
      </w:r>
      <w:r>
        <w:rPr>
          <w:b/>
          <w:bCs/>
        </w:rPr>
        <w:t xml:space="preserve"> (2007)</w:t>
      </w:r>
    </w:p>
    <w:p w14:paraId="19812459" w14:textId="3AF39464" w:rsidR="00B94ECE" w:rsidRDefault="00B94ECE" w:rsidP="00B94ECE">
      <w:r>
        <w:t xml:space="preserve">Building on Ajootian’s work, </w:t>
      </w:r>
      <w:r w:rsidR="0038030F">
        <w:t>Alexandra</w:t>
      </w:r>
      <w:r>
        <w:t xml:space="preserve"> Retzleff</w:t>
      </w:r>
      <w:r w:rsidR="00E70C38">
        <w:t>,</w:t>
      </w:r>
      <w:r>
        <w:t xml:space="preserve"> in her 2007 article (the only academic </w:t>
      </w:r>
      <w:r w:rsidR="009900AF">
        <w:t>work I am aware of</w:t>
      </w:r>
      <w:r>
        <w:t>, to focus entirely on the Dresden wrestling group statue type) looks at fragments</w:t>
      </w:r>
      <w:r w:rsidR="009900AF">
        <w:t xml:space="preserve"> </w:t>
      </w:r>
      <w:r>
        <w:t>found at theatres at Antioch and Pamphilia (both in modern day Turkey) and asks why this statue type might have been particularly appropriate for a theatre context.</w:t>
      </w:r>
      <w:r w:rsidR="0038030F">
        <w:rPr>
          <w:rStyle w:val="FootnoteReference"/>
        </w:rPr>
        <w:footnoteReference w:id="22"/>
      </w:r>
      <w:r>
        <w:t xml:space="preserve"> </w:t>
      </w:r>
    </w:p>
    <w:p w14:paraId="0A5C2B13" w14:textId="06DDDC11" w:rsidR="00B94ECE" w:rsidRDefault="00B94ECE" w:rsidP="00B94ECE">
      <w:r>
        <w:lastRenderedPageBreak/>
        <w:t xml:space="preserve">Retzleff lists a range of previous interpretations of the statue type: as an allegory of love; as an allegory of contradictions in the forces of nature; as apotropaic. Notably </w:t>
      </w:r>
      <w:r w:rsidRPr="00DE6865">
        <w:rPr>
          <w:i/>
          <w:iCs/>
        </w:rPr>
        <w:t>none</w:t>
      </w:r>
      <w:r>
        <w:t xml:space="preserve"> of the previous readings she lists takes seriously the statue as an image of sexual assault. Retzleff herself states “While each of these interpretations has their merits, it is my view that no single interpretation can be taken as the inherent meaning of the group. Rather, its meaning stem</w:t>
      </w:r>
      <w:r w:rsidR="00E70C38">
        <w:t>s</w:t>
      </w:r>
      <w:r>
        <w:t xml:space="preserve"> from the contexts of the statues</w:t>
      </w:r>
      <w:r w:rsidR="00A85075">
        <w:t>’</w:t>
      </w:r>
      <w:r>
        <w:t xml:space="preserve"> display, and the impressions of the viewers within those settings.”</w:t>
      </w:r>
      <w:r w:rsidRPr="00DE6865">
        <w:rPr>
          <w:rStyle w:val="FootnoteReference"/>
        </w:rPr>
        <w:t xml:space="preserve"> </w:t>
      </w:r>
      <w:r>
        <w:rPr>
          <w:rStyle w:val="FootnoteReference"/>
        </w:rPr>
        <w:footnoteReference w:id="23"/>
      </w:r>
      <w:r>
        <w:t xml:space="preserve"> </w:t>
      </w:r>
    </w:p>
    <w:p w14:paraId="0CED347C" w14:textId="08501AF2" w:rsidR="00B94ECE" w:rsidRDefault="00B94ECE" w:rsidP="00B94ECE">
      <w:r>
        <w:t>Looking then specifically at the theatre contexts in which the fragments were found at Antioch and Pamphilia, Retzleff goes on to suggest four dimensions for interpretation of the statue type in th</w:t>
      </w:r>
      <w:r w:rsidR="007A44EE">
        <w:t>e theatre</w:t>
      </w:r>
      <w:r>
        <w:t xml:space="preserve"> context: first</w:t>
      </w:r>
      <w:r w:rsidR="00A85075">
        <w:t>,</w:t>
      </w:r>
      <w:r>
        <w:t xml:space="preserve"> that of displaying the town’s participation in elite culture, the </w:t>
      </w:r>
      <w:r w:rsidR="0038030F">
        <w:rPr>
          <w:i/>
          <w:iCs/>
        </w:rPr>
        <w:t>p</w:t>
      </w:r>
      <w:r w:rsidRPr="007A44EE">
        <w:rPr>
          <w:i/>
          <w:iCs/>
        </w:rPr>
        <w:t>aideia</w:t>
      </w:r>
      <w:r>
        <w:t xml:space="preserve"> which articulated Roman appreciation of</w:t>
      </w:r>
      <w:r w:rsidR="007A44EE">
        <w:t>, and participation in,</w:t>
      </w:r>
      <w:r>
        <w:t xml:space="preserve"> </w:t>
      </w:r>
      <w:r w:rsidR="007A44EE">
        <w:t xml:space="preserve">wider </w:t>
      </w:r>
      <w:r>
        <w:t>Hellenic culture</w:t>
      </w:r>
      <w:r w:rsidR="007A44EE">
        <w:t>;</w:t>
      </w:r>
      <w:r>
        <w:rPr>
          <w:rStyle w:val="FootnoteReference"/>
        </w:rPr>
        <w:footnoteReference w:id="24"/>
      </w:r>
      <w:r>
        <w:t xml:space="preserve"> second</w:t>
      </w:r>
      <w:r w:rsidR="00E70C38">
        <w:t>,</w:t>
      </w:r>
      <w:r>
        <w:t xml:space="preserve"> </w:t>
      </w:r>
      <w:r w:rsidR="0038030F">
        <w:t xml:space="preserve">she argues </w:t>
      </w:r>
      <w:r>
        <w:t>the sexual ambiguity of the hermaphrodite might be particularly appropriate in theatre contexts where gender roles were blurred on stage, with the transgressive nature of satyrs also mirroring the transgression of boundaries explored on stage</w:t>
      </w:r>
      <w:r w:rsidR="007A44EE">
        <w:t>;</w:t>
      </w:r>
      <w:r>
        <w:rPr>
          <w:rStyle w:val="FootnoteReference"/>
        </w:rPr>
        <w:footnoteReference w:id="25"/>
      </w:r>
      <w:r>
        <w:t xml:space="preserve"> third</w:t>
      </w:r>
      <w:r w:rsidR="007A44EE">
        <w:t>,</w:t>
      </w:r>
      <w:r>
        <w:t xml:space="preserve"> that theatre was a place in which bodies were objectified, and where the elite audience at the theatre held a position of power over those on stage, mirrored in the satyr</w:t>
      </w:r>
      <w:r w:rsidR="007A44EE">
        <w:t>’</w:t>
      </w:r>
      <w:r>
        <w:t>s power over the hermaphrodite; and fourth</w:t>
      </w:r>
      <w:r w:rsidR="007A44EE">
        <w:t>,</w:t>
      </w:r>
      <w:r>
        <w:t xml:space="preserve"> that the statue represents conflict, a theme that ran through Greek tragedy</w:t>
      </w:r>
      <w:r w:rsidR="007A44EE">
        <w:t>.</w:t>
      </w:r>
      <w:r>
        <w:rPr>
          <w:rStyle w:val="FootnoteReference"/>
        </w:rPr>
        <w:footnoteReference w:id="26"/>
      </w:r>
      <w:r>
        <w:t xml:space="preserve"> In all these four ways, Retzleff argues, the statue type was a particularly suitable choice for the theatre context, and in the act of commissioning and displaying</w:t>
      </w:r>
      <w:r w:rsidR="0038030F">
        <w:t xml:space="preserve"> it</w:t>
      </w:r>
      <w:r>
        <w:t xml:space="preserve"> at the theatre, local elites would have demonstrated their own participation in elite culture, </w:t>
      </w:r>
      <w:r w:rsidR="007A44EE">
        <w:t xml:space="preserve">precisely </w:t>
      </w:r>
      <w:r>
        <w:t>through the</w:t>
      </w:r>
      <w:r w:rsidR="0038030F">
        <w:t>ir recognition of the</w:t>
      </w:r>
      <w:r>
        <w:t xml:space="preserve"> </w:t>
      </w:r>
      <w:r w:rsidR="007A44EE">
        <w:t>suitability</w:t>
      </w:r>
      <w:r>
        <w:t xml:space="preserve"> of the statue to its context. </w:t>
      </w:r>
    </w:p>
    <w:p w14:paraId="03033A33" w14:textId="7B465834" w:rsidR="00B94ECE" w:rsidRDefault="00B94ECE" w:rsidP="00B94ECE">
      <w:r>
        <w:t xml:space="preserve">Retzleff’s article makes a hugely important contribution to this discussion, being the only </w:t>
      </w:r>
      <w:r w:rsidR="007A44EE">
        <w:t>academic work</w:t>
      </w:r>
      <w:r>
        <w:t xml:space="preserve"> to focus entirely on the Dresden statue type, </w:t>
      </w:r>
      <w:r w:rsidR="007A44EE">
        <w:t>and</w:t>
      </w:r>
      <w:r>
        <w:t xml:space="preserve"> by </w:t>
      </w:r>
      <w:r w:rsidR="007A44EE">
        <w:t xml:space="preserve">outlining </w:t>
      </w:r>
      <w:r>
        <w:t>the range of interpretations that viewers could bring to the statue</w:t>
      </w:r>
      <w:r w:rsidR="007A44EE">
        <w:t>. Retzleff is also the first to take</w:t>
      </w:r>
      <w:r>
        <w:t xml:space="preserve"> seriously the question of </w:t>
      </w:r>
      <w:r w:rsidR="007A44EE">
        <w:t>find sites</w:t>
      </w:r>
      <w:r>
        <w:t xml:space="preserve"> in enabling us to understand the function of the statue in its </w:t>
      </w:r>
      <w:r w:rsidR="007A44EE">
        <w:t xml:space="preserve">wider </w:t>
      </w:r>
      <w:r>
        <w:t xml:space="preserve">cultural and social context. </w:t>
      </w:r>
    </w:p>
    <w:p w14:paraId="7E5DED21" w14:textId="1006A2BD" w:rsidR="00B94ECE" w:rsidRDefault="00B94ECE" w:rsidP="00B94ECE">
      <w:r>
        <w:t>However, as she focuses on fragments at two find sites, Retzleff’s analysis of the potential function and meanings of the statue is (deliberately) limited to the theatre context. Whilst nodding to the issues of power imbalance</w:t>
      </w:r>
      <w:r w:rsidR="007A44EE">
        <w:t>,</w:t>
      </w:r>
      <w:r>
        <w:t xml:space="preserve"> and the objectification of bodies in Roman theatrical contexts making the statue type particularly suitable for theatres, Retzleff also fails to </w:t>
      </w:r>
      <w:r w:rsidR="007A44EE">
        <w:t xml:space="preserve">address or </w:t>
      </w:r>
      <w:r>
        <w:t xml:space="preserve">explore in any detail the meaning and function of the statue as an image of sexual assault. </w:t>
      </w:r>
    </w:p>
    <w:p w14:paraId="745F0E39" w14:textId="5F8D8DA9" w:rsidR="00B94ECE" w:rsidRPr="004024A4" w:rsidRDefault="00B94ECE" w:rsidP="00B94ECE">
      <w:pPr>
        <w:rPr>
          <w:b/>
          <w:bCs/>
        </w:rPr>
      </w:pPr>
      <w:r w:rsidRPr="0038030F">
        <w:rPr>
          <w:b/>
          <w:bCs/>
          <w:i/>
          <w:iCs/>
        </w:rPr>
        <w:t xml:space="preserve">Is it </w:t>
      </w:r>
      <w:proofErr w:type="gramStart"/>
      <w:r w:rsidRPr="0038030F">
        <w:rPr>
          <w:b/>
          <w:bCs/>
          <w:i/>
          <w:iCs/>
        </w:rPr>
        <w:t>really funny</w:t>
      </w:r>
      <w:proofErr w:type="gramEnd"/>
      <w:r w:rsidRPr="0038030F">
        <w:rPr>
          <w:b/>
          <w:bCs/>
          <w:i/>
          <w:iCs/>
        </w:rPr>
        <w:t>?</w:t>
      </w:r>
      <w:r w:rsidR="009A0344">
        <w:rPr>
          <w:b/>
          <w:bCs/>
        </w:rPr>
        <w:t xml:space="preserve"> </w:t>
      </w:r>
      <w:r w:rsidRPr="004024A4">
        <w:rPr>
          <w:b/>
          <w:bCs/>
        </w:rPr>
        <w:t>Ashede’s key contribution</w:t>
      </w:r>
    </w:p>
    <w:p w14:paraId="7DB19345" w14:textId="3CF7D48F" w:rsidR="00B94ECE" w:rsidRDefault="00B94ECE" w:rsidP="00B94ECE">
      <w:r>
        <w:t>The third and final thinker I will consider</w:t>
      </w:r>
      <w:r w:rsidR="007A44EE">
        <w:t xml:space="preserve"> in this chapter,</w:t>
      </w:r>
      <w:r>
        <w:t xml:space="preserve"> is Linnea Ashede, whose PhD thesis </w:t>
      </w:r>
      <w:r w:rsidRPr="00DF2999">
        <w:rPr>
          <w:i/>
          <w:iCs/>
        </w:rPr>
        <w:t>Desiring Hermaphrodites: The Relationships of Hermaphroditus in Roman Group Scenes</w:t>
      </w:r>
      <w:r>
        <w:t xml:space="preserve"> </w:t>
      </w:r>
      <w:r>
        <w:lastRenderedPageBreak/>
        <w:t>(2015)</w:t>
      </w:r>
      <w:r>
        <w:rPr>
          <w:rStyle w:val="FootnoteReference"/>
        </w:rPr>
        <w:footnoteReference w:id="27"/>
      </w:r>
      <w:r>
        <w:t xml:space="preserve"> remains the most comprehensive study of group scenes</w:t>
      </w:r>
      <w:r w:rsidR="0038030F">
        <w:t xml:space="preserve"> (symplegma)</w:t>
      </w:r>
      <w:r>
        <w:t xml:space="preserve"> involving hermaphrodites/Hermaphroditus, and the only substantial work applying theory to the Dresden wrestling group statue type. </w:t>
      </w:r>
    </w:p>
    <w:p w14:paraId="206BB3EE" w14:textId="2FBBE226" w:rsidR="00B94ECE" w:rsidRDefault="00B94ECE" w:rsidP="00B94ECE">
      <w:r>
        <w:t>Ashede makes three significant contributions to the discussion. First, she questions the ‘surprise/apotropaic’ reading of the statue group through a substantial examination of the</w:t>
      </w:r>
      <w:r w:rsidR="007A44EE">
        <w:t xml:space="preserve"> highly</w:t>
      </w:r>
      <w:r>
        <w:t xml:space="preserve"> desirable</w:t>
      </w:r>
      <w:r w:rsidR="0038030F">
        <w:t>,</w:t>
      </w:r>
      <w:r>
        <w:t xml:space="preserve"> bi-gendered characteristics of the hermaphrodite figure (see below). </w:t>
      </w:r>
      <w:r w:rsidR="0038030F">
        <w:t>Second,</w:t>
      </w:r>
      <w:r>
        <w:t xml:space="preserve"> she explores the ambiguity of power in the statue type, reading it as an exploration of the (</w:t>
      </w:r>
      <w:r w:rsidR="007A44EE">
        <w:t>enfeebling</w:t>
      </w:r>
      <w:r>
        <w:t>) power of Eros, set against the power of the hermaphrodite to resist the satyr; as well as exploring the ambiguous nature of the hermaphrodite</w:t>
      </w:r>
      <w:r w:rsidR="007A44EE">
        <w:t>’</w:t>
      </w:r>
      <w:r>
        <w:t>s facial expression as (in some readings/examples) laughing at the satyr. Third</w:t>
      </w:r>
      <w:r w:rsidR="00E70C38">
        <w:t>,</w:t>
      </w:r>
      <w:r>
        <w:t xml:space="preserve"> she </w:t>
      </w:r>
      <w:r w:rsidR="007A44EE">
        <w:t>addresses</w:t>
      </w:r>
      <w:r>
        <w:t xml:space="preserve"> the overall liminality and ambiguity of the statue and how this key </w:t>
      </w:r>
      <w:r w:rsidR="0038030F">
        <w:t>attribute</w:t>
      </w:r>
      <w:r>
        <w:t xml:space="preserve"> of the statue type enabled it to provoke conversations and encourage the exploration of ideas. </w:t>
      </w:r>
    </w:p>
    <w:p w14:paraId="5EE280A9" w14:textId="5243E060" w:rsidR="00B94ECE" w:rsidRDefault="00B94ECE" w:rsidP="00B94ECE">
      <w:r>
        <w:t>I will look at each of these three ideas championed by Ashede below, then turn to her conclusions, noting that</w:t>
      </w:r>
      <w:r w:rsidR="007A44EE">
        <w:t xml:space="preserve"> </w:t>
      </w:r>
      <w:r>
        <w:t xml:space="preserve">the </w:t>
      </w:r>
      <w:proofErr w:type="gramStart"/>
      <w:r>
        <w:t>real life</w:t>
      </w:r>
      <w:proofErr w:type="gramEnd"/>
      <w:r>
        <w:t xml:space="preserve"> experience of sexual assault (against boys, girls and women) and </w:t>
      </w:r>
      <w:r w:rsidR="0038030F">
        <w:t xml:space="preserve">Roman </w:t>
      </w:r>
      <w:r>
        <w:t>fear of</w:t>
      </w:r>
      <w:r w:rsidR="0038030F">
        <w:t>, and</w:t>
      </w:r>
      <w:r>
        <w:t xml:space="preserve"> violence against</w:t>
      </w:r>
      <w:r w:rsidR="0038030F">
        <w:t>,</w:t>
      </w:r>
      <w:r>
        <w:t xml:space="preserve"> intersex bodies, is</w:t>
      </w:r>
      <w:r w:rsidR="0038030F">
        <w:t xml:space="preserve"> </w:t>
      </w:r>
      <w:r>
        <w:t xml:space="preserve">again, ignored as crucial interpretative background in Ashede’s work. </w:t>
      </w:r>
    </w:p>
    <w:p w14:paraId="326EAD03" w14:textId="38797627" w:rsidR="00B94ECE" w:rsidRDefault="00B94ECE" w:rsidP="00B94ECE">
      <w:r>
        <w:t>Ashede’s work is critical in</w:t>
      </w:r>
      <w:r w:rsidR="0062778D">
        <w:t xml:space="preserve"> challenging</w:t>
      </w:r>
      <w:r>
        <w:t xml:space="preserve"> the simplistic surprise/humour/apotropaic value reading of the statue</w:t>
      </w:r>
      <w:r w:rsidR="0038030F">
        <w:t xml:space="preserve"> type</w:t>
      </w:r>
      <w:r>
        <w:t xml:space="preserve"> – Clarke</w:t>
      </w:r>
      <w:r w:rsidR="0038030F">
        <w:t>’</w:t>
      </w:r>
      <w:r>
        <w:t>s ‘gender-bending peekaboo’ reading</w:t>
      </w:r>
      <w:r w:rsidR="00853E32">
        <w:t xml:space="preserve"> noted above</w:t>
      </w:r>
      <w:r>
        <w:t xml:space="preserve">. Ashede explores in detail the imagery and visual cues </w:t>
      </w:r>
      <w:r w:rsidR="00E70C38">
        <w:t>signalling the</w:t>
      </w:r>
      <w:r>
        <w:t xml:space="preserve"> behaviour of the </w:t>
      </w:r>
      <w:r w:rsidR="00877832">
        <w:t>h</w:t>
      </w:r>
      <w:r>
        <w:t xml:space="preserve">ermaphrodite figure across a range of group scenes, and argues that both in physical form and behaviour </w:t>
      </w:r>
      <w:r w:rsidR="0038030F">
        <w:t>“</w:t>
      </w:r>
      <w:r>
        <w:t>Hermaphroditus’ appearances encompass elements from representations of conventionally beautiful women and erotically objectified boys.”</w:t>
      </w:r>
      <w:r>
        <w:rPr>
          <w:rStyle w:val="FootnoteReference"/>
        </w:rPr>
        <w:footnoteReference w:id="28"/>
      </w:r>
      <w:r>
        <w:t xml:space="preserve"> In other words, the images of hermaphrodites are desirable (both to the viewer, and to the humanimal male figures that pursue and interact with the hermaphrodite) precisely because they combine the ‘best of both’ visually. She goes on to argue “the current scholarly consensus … of a humorous double take and erotic frustration … is (a modern) perceived naturalness of heterosexual desire … incompatible with the Roman historical context, wherein both women and (the right kind of) boys were sanctioned as objects of male desire.”</w:t>
      </w:r>
      <w:r>
        <w:rPr>
          <w:rStyle w:val="FootnoteReference"/>
        </w:rPr>
        <w:footnoteReference w:id="29"/>
      </w:r>
      <w:r>
        <w:t xml:space="preserve"> In other words, the assumption that a hermaphrodite body could not be desirable once fully seen, is based on</w:t>
      </w:r>
      <w:r w:rsidR="009C1644">
        <w:t xml:space="preserve"> an</w:t>
      </w:r>
      <w:r>
        <w:t xml:space="preserve"> a-historical </w:t>
      </w:r>
      <w:r w:rsidR="007A44EE">
        <w:t xml:space="preserve">and </w:t>
      </w:r>
      <w:r>
        <w:t xml:space="preserve">hetero-normative assumption about male sexuality. </w:t>
      </w:r>
    </w:p>
    <w:p w14:paraId="5AF008DB" w14:textId="46043FC9" w:rsidR="00B94ECE" w:rsidRDefault="00B94ECE" w:rsidP="00B94ECE">
      <w:r>
        <w:t>A second area in which Ashede brings</w:t>
      </w:r>
      <w:r w:rsidR="007A44EE">
        <w:t xml:space="preserve"> a</w:t>
      </w:r>
      <w:r>
        <w:t xml:space="preserve"> new reading</w:t>
      </w:r>
      <w:r w:rsidR="007A44EE">
        <w:t xml:space="preserve"> of</w:t>
      </w:r>
      <w:r>
        <w:t xml:space="preserve"> the statue</w:t>
      </w:r>
      <w:r w:rsidR="007A44EE">
        <w:t>,</w:t>
      </w:r>
      <w:r>
        <w:t xml:space="preserve"> is in highlighting the ambiguity of power relationships in the statue – both in the role of Eros, and in the power of the hermaphrodite to resist the satyr. Ashede argues that rather than reading the hermaphrodite solely as the victim in the statue, and the satyr as aggressor, the statue can be read as an allegory o</w:t>
      </w:r>
      <w:r w:rsidR="009C1644">
        <w:t>f</w:t>
      </w:r>
      <w:r>
        <w:t xml:space="preserve"> the power of Eros, itself a force which overpowers. Ashede argues that </w:t>
      </w:r>
      <w:r w:rsidR="003F6916">
        <w:t>while on the one hand the hermaphrodite is the victim of the satyr’s assault, on the other</w:t>
      </w:r>
      <w:r>
        <w:t xml:space="preserve"> hand</w:t>
      </w:r>
      <w:r w:rsidR="003F6916">
        <w:t>,</w:t>
      </w:r>
      <w:r>
        <w:t xml:space="preserve"> the satyr is </w:t>
      </w:r>
      <w:r w:rsidR="003F6916">
        <w:lastRenderedPageBreak/>
        <w:t xml:space="preserve">himself </w:t>
      </w:r>
      <w:r>
        <w:t xml:space="preserve">the victim of Eros, who in his pursuit of the hermaphrodite is </w:t>
      </w:r>
      <w:r w:rsidR="003F6916">
        <w:t>also</w:t>
      </w:r>
      <w:r>
        <w:t xml:space="preserve"> made vulnerable and at risk of rejection. At the same time, she argues a further aspect of the hermaphrodite’s ambiguity is that </w:t>
      </w:r>
      <w:r w:rsidR="003F6916">
        <w:t>it</w:t>
      </w:r>
      <w:r>
        <w:t xml:space="preserve"> is both hard and soft simultaneously – displaying unexpected strength and firmness in resisting the satyr. She argues Hermaphroditus is precisely “soft-but-occasionally-hard-and-no-less-lovely-for-it” – confounding the gendered binary of Roman norms of softness and hardness, but potentially </w:t>
      </w:r>
      <w:proofErr w:type="gramStart"/>
      <w:r>
        <w:t>all the more</w:t>
      </w:r>
      <w:proofErr w:type="gramEnd"/>
      <w:r>
        <w:t xml:space="preserve"> desirable </w:t>
      </w:r>
      <w:r w:rsidR="00DA6B33">
        <w:t xml:space="preserve">because of </w:t>
      </w:r>
      <w:r>
        <w:t>it.</w:t>
      </w:r>
      <w:r>
        <w:rPr>
          <w:rStyle w:val="FootnoteReference"/>
        </w:rPr>
        <w:footnoteReference w:id="30"/>
      </w:r>
    </w:p>
    <w:p w14:paraId="6ADCEAB2" w14:textId="418E3B51" w:rsidR="00E7557C" w:rsidRDefault="00B94ECE" w:rsidP="00B94ECE">
      <w:r>
        <w:t xml:space="preserve">Ashede makes a further point about laughter as part of the ambiguity of the Dresden statue type, arguing that in the example at Liverpool </w:t>
      </w:r>
      <w:r w:rsidR="00DA6B33">
        <w:t xml:space="preserve">World </w:t>
      </w:r>
      <w:r>
        <w:t>Museum the Hermaphrodite appears to be laughing at the satyr.</w:t>
      </w:r>
      <w:r w:rsidR="003F6916" w:rsidRPr="003F6916">
        <w:rPr>
          <w:rStyle w:val="FootnoteReference"/>
        </w:rPr>
        <w:t xml:space="preserve"> </w:t>
      </w:r>
      <w:r w:rsidR="003F6916">
        <w:rPr>
          <w:rStyle w:val="FootnoteReference"/>
        </w:rPr>
        <w:footnoteReference w:id="31"/>
      </w:r>
      <w:r>
        <w:t xml:space="preserve"> However, the</w:t>
      </w:r>
      <w:r w:rsidR="00E7557C">
        <w:t xml:space="preserve"> example at the</w:t>
      </w:r>
      <w:r>
        <w:t xml:space="preserve"> Liverpool </w:t>
      </w:r>
      <w:r w:rsidR="00E7557C">
        <w:t xml:space="preserve">World </w:t>
      </w:r>
      <w:r w:rsidR="00DA6B33">
        <w:t>Museum is heavily</w:t>
      </w:r>
      <w:r>
        <w:t xml:space="preserve"> restored; </w:t>
      </w:r>
      <w:r w:rsidR="00E7557C">
        <w:t xml:space="preserve">whereas in </w:t>
      </w:r>
      <w:r w:rsidR="00DA6B33">
        <w:t xml:space="preserve">another (entirely </w:t>
      </w:r>
      <w:r>
        <w:t>unrestored) example of the statue type at Oplontis</w:t>
      </w:r>
      <w:r w:rsidR="00E7557C">
        <w:t>,</w:t>
      </w:r>
      <w:r w:rsidR="00E7557C">
        <w:rPr>
          <w:rStyle w:val="FootnoteReference"/>
        </w:rPr>
        <w:footnoteReference w:id="32"/>
      </w:r>
      <w:r w:rsidR="00E7557C">
        <w:t xml:space="preserve"> the hermaphrodite </w:t>
      </w:r>
      <w:r>
        <w:t>has a</w:t>
      </w:r>
      <w:r w:rsidR="00E7557C">
        <w:t xml:space="preserve"> </w:t>
      </w:r>
      <w:r>
        <w:t xml:space="preserve">more ambiguous </w:t>
      </w:r>
      <w:r w:rsidR="00E7557C">
        <w:t>expression</w:t>
      </w:r>
      <w:r>
        <w:t xml:space="preserve"> – while other examples (where the face is restored, but dates unclear) show fear – for example, in the </w:t>
      </w:r>
      <w:r w:rsidR="00DA6B33">
        <w:t xml:space="preserve">face of the </w:t>
      </w:r>
      <w:r>
        <w:t>eponymous Dresden statue itself</w:t>
      </w:r>
      <w:r w:rsidR="00E7557C">
        <w:t>.</w:t>
      </w:r>
    </w:p>
    <w:p w14:paraId="6E033B7D" w14:textId="77777777" w:rsidR="009F4C97" w:rsidRDefault="009F4C97" w:rsidP="00B94ECE"/>
    <w:p w14:paraId="77C3C12E" w14:textId="77777777" w:rsidR="00D832E3" w:rsidRPr="00D832E3" w:rsidRDefault="00D832E3" w:rsidP="00D832E3"/>
    <w:p w14:paraId="72F299DB" w14:textId="77777777" w:rsidR="00D832E3" w:rsidRPr="00D832E3" w:rsidRDefault="00D832E3" w:rsidP="00D832E3"/>
    <w:p w14:paraId="4B272E72" w14:textId="77777777" w:rsidR="00D832E3" w:rsidRPr="00D832E3" w:rsidRDefault="00D832E3" w:rsidP="00D832E3"/>
    <w:p w14:paraId="26632936" w14:textId="77777777" w:rsidR="00D832E3" w:rsidRPr="00D832E3" w:rsidRDefault="00D832E3" w:rsidP="00D832E3"/>
    <w:p w14:paraId="7A2D9FE0" w14:textId="77777777" w:rsidR="00D832E3" w:rsidRPr="00D832E3" w:rsidRDefault="00D832E3" w:rsidP="00D832E3"/>
    <w:p w14:paraId="2197A5CA" w14:textId="77777777" w:rsidR="00D832E3" w:rsidRPr="00D832E3" w:rsidRDefault="00D832E3" w:rsidP="00D832E3"/>
    <w:p w14:paraId="4B8102D3" w14:textId="77777777" w:rsidR="00D832E3" w:rsidRPr="00D832E3" w:rsidRDefault="00D832E3" w:rsidP="00D832E3"/>
    <w:p w14:paraId="1A152F5A" w14:textId="77777777" w:rsidR="00D832E3" w:rsidRDefault="00D832E3" w:rsidP="00D832E3"/>
    <w:p w14:paraId="07A6CE2B" w14:textId="253FECCA" w:rsidR="00D832E3" w:rsidRPr="00D832E3" w:rsidRDefault="00D832E3" w:rsidP="00D832E3">
      <w:pPr>
        <w:tabs>
          <w:tab w:val="left" w:pos="4220"/>
        </w:tabs>
      </w:pPr>
      <w:r>
        <w:tab/>
      </w:r>
    </w:p>
    <w:p w14:paraId="52E058F5" w14:textId="0917C55C" w:rsidR="009F4C97" w:rsidRPr="009F4C97" w:rsidRDefault="00493BC8" w:rsidP="009F4C97">
      <w:pPr>
        <w:jc w:val="center"/>
      </w:pPr>
      <w:r w:rsidRPr="00493BC8">
        <w:rPr>
          <w:noProof/>
        </w:rPr>
        <w:lastRenderedPageBreak/>
        <w:drawing>
          <wp:inline distT="0" distB="0" distL="0" distR="0" wp14:anchorId="035A81A5" wp14:editId="35A5AA79">
            <wp:extent cx="2889250" cy="3689460"/>
            <wp:effectExtent l="0" t="0" r="6350" b="6350"/>
            <wp:docPr id="18807806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00640" cy="3704004"/>
                    </a:xfrm>
                    <a:prstGeom prst="rect">
                      <a:avLst/>
                    </a:prstGeom>
                    <a:noFill/>
                    <a:ln>
                      <a:noFill/>
                    </a:ln>
                  </pic:spPr>
                </pic:pic>
              </a:graphicData>
            </a:graphic>
          </wp:inline>
        </w:drawing>
      </w:r>
      <w:r w:rsidR="009F4C97" w:rsidRPr="009F4C97">
        <w:rPr>
          <w:rFonts w:ascii="Times New Roman" w:eastAsia="Times New Roman" w:hAnsi="Times New Roman" w:cs="Times New Roman"/>
          <w:kern w:val="0"/>
          <w:lang w:eastAsia="en-GB"/>
          <w14:ligatures w14:val="none"/>
        </w:rPr>
        <w:t xml:space="preserve"> </w:t>
      </w:r>
      <w:r w:rsidR="009F4C97" w:rsidRPr="009F4C97">
        <w:rPr>
          <w:noProof/>
        </w:rPr>
        <w:drawing>
          <wp:inline distT="0" distB="0" distL="0" distR="0" wp14:anchorId="23E2E7B9" wp14:editId="03F0BE11">
            <wp:extent cx="2640142" cy="3689350"/>
            <wp:effectExtent l="0" t="0" r="8255" b="6350"/>
            <wp:docPr id="6198202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56725" cy="3712523"/>
                    </a:xfrm>
                    <a:prstGeom prst="rect">
                      <a:avLst/>
                    </a:prstGeom>
                    <a:noFill/>
                    <a:ln>
                      <a:noFill/>
                    </a:ln>
                  </pic:spPr>
                </pic:pic>
              </a:graphicData>
            </a:graphic>
          </wp:inline>
        </w:drawing>
      </w:r>
    </w:p>
    <w:p w14:paraId="06BCFFA8" w14:textId="0A5A24F8" w:rsidR="00493BC8" w:rsidRPr="00493BC8" w:rsidRDefault="009F4C97" w:rsidP="009F4C97">
      <w:pPr>
        <w:jc w:val="center"/>
        <w:rPr>
          <w:noProof/>
          <w:sz w:val="20"/>
          <w:szCs w:val="20"/>
        </w:rPr>
      </w:pPr>
      <w:r w:rsidRPr="009F4C97">
        <w:rPr>
          <w:i/>
          <w:iCs/>
          <w:sz w:val="20"/>
          <w:szCs w:val="20"/>
        </w:rPr>
        <w:t xml:space="preserve">The face of the hermaphrodite figure from the cast of the Dresden statue at the Ashmolean (left, photograph </w:t>
      </w:r>
      <w:r w:rsidR="003F6916">
        <w:rPr>
          <w:i/>
          <w:iCs/>
          <w:sz w:val="20"/>
          <w:szCs w:val="20"/>
        </w:rPr>
        <w:t xml:space="preserve">the </w:t>
      </w:r>
      <w:r w:rsidRPr="009F4C97">
        <w:rPr>
          <w:i/>
          <w:iCs/>
          <w:sz w:val="20"/>
          <w:szCs w:val="20"/>
        </w:rPr>
        <w:t>author’s own) and of the Oplontis statue excavated in 1977, so least restored (right, from the Oplontis excavation website</w:t>
      </w:r>
      <w:r w:rsidR="003F6916">
        <w:rPr>
          <w:i/>
          <w:iCs/>
          <w:sz w:val="20"/>
          <w:szCs w:val="20"/>
        </w:rPr>
        <w:t>)</w:t>
      </w:r>
      <w:r w:rsidRPr="009F4C97">
        <w:rPr>
          <w:i/>
          <w:iCs/>
          <w:sz w:val="20"/>
          <w:szCs w:val="20"/>
        </w:rPr>
        <w:t xml:space="preserve">: neither example can be seen unambiguously as smiling. </w:t>
      </w:r>
    </w:p>
    <w:p w14:paraId="45909F50" w14:textId="4D8FBF07" w:rsidR="00B94ECE" w:rsidRDefault="00B94ECE" w:rsidP="00B94ECE">
      <w:r>
        <w:t xml:space="preserve">Ashede acknowledges that this statue type varies across a wide range of details. Given the range of potential facial expressions – or possibly </w:t>
      </w:r>
      <w:r w:rsidR="003F6916">
        <w:t xml:space="preserve">the </w:t>
      </w:r>
      <w:r>
        <w:t xml:space="preserve">deliberate ambiguity of the facial expression – Ashede’s analysis </w:t>
      </w:r>
      <w:r w:rsidR="00DA6B33">
        <w:t>of the ambiguity of the statue where it</w:t>
      </w:r>
      <w:r>
        <w:t xml:space="preserve"> rests</w:t>
      </w:r>
      <w:r w:rsidR="009F4C97">
        <w:t xml:space="preserve"> specifically</w:t>
      </w:r>
      <w:r>
        <w:t xml:space="preserve"> on the idea of the hermaphrodite laughing at the satyr is speculative – whereas her arguments relating to ambiguity </w:t>
      </w:r>
      <w:r w:rsidR="003F6916">
        <w:t>in</w:t>
      </w:r>
      <w:r>
        <w:t xml:space="preserve"> the outcome of the struggle, and in the power balance between the two figures, due to the disabling power of Eros (over the satyr) met with </w:t>
      </w:r>
      <w:r w:rsidR="009F4C97">
        <w:t xml:space="preserve">powerful </w:t>
      </w:r>
      <w:r>
        <w:t xml:space="preserve">resistance from the hermaphrodite, are </w:t>
      </w:r>
      <w:r w:rsidR="009F4C97">
        <w:t xml:space="preserve">far </w:t>
      </w:r>
      <w:r>
        <w:t xml:space="preserve">more convincing. </w:t>
      </w:r>
    </w:p>
    <w:p w14:paraId="583C8D2A" w14:textId="45D60D62" w:rsidR="00B94ECE" w:rsidRDefault="00B94ECE" w:rsidP="00B94ECE">
      <w:r>
        <w:t>Third, Ashede explores further what the point of this deliberate ambiguity in the statue might be, arguing that it created a ‘thought piece’ appropriate to the gender role reversal enacted in a theatre context (</w:t>
      </w:r>
      <w:r w:rsidR="00877832">
        <w:t xml:space="preserve">following </w:t>
      </w:r>
      <w:r>
        <w:t>Retzleff</w:t>
      </w:r>
      <w:r w:rsidR="003F6916">
        <w:t xml:space="preserve">, </w:t>
      </w:r>
      <w:r w:rsidR="00877832">
        <w:t>see above</w:t>
      </w:r>
      <w:r>
        <w:t xml:space="preserve">) and equally, as appropriate to the context of elite </w:t>
      </w:r>
      <w:r w:rsidRPr="00361FA9">
        <w:rPr>
          <w:i/>
          <w:iCs/>
        </w:rPr>
        <w:t>ambulatio</w:t>
      </w:r>
      <w:r>
        <w:t xml:space="preserve"> around the villa of a garden. She argues that aside from elite display of </w:t>
      </w:r>
      <w:r w:rsidRPr="003F6916">
        <w:rPr>
          <w:i/>
          <w:iCs/>
        </w:rPr>
        <w:t>paideia</w:t>
      </w:r>
      <w:r>
        <w:t>, one of the key functions of statuary in the villa garden context was “to generate sensory, emotional and cognitive experiences … providing aesthetic enjoyment, visceral titillation, and/or intellectual challenge”</w:t>
      </w:r>
      <w:r>
        <w:rPr>
          <w:rStyle w:val="FootnoteReference"/>
        </w:rPr>
        <w:footnoteReference w:id="33"/>
      </w:r>
      <w:r>
        <w:t xml:space="preserve"> as a prompt to discussion. Linked to the deliberate ambiguity of the statue, including the deliberate open-ended ambiguity as to the conclusion of the struggle, the statue function</w:t>
      </w:r>
      <w:r w:rsidR="00DA6B33">
        <w:t>ed</w:t>
      </w:r>
      <w:r>
        <w:t xml:space="preserve"> as an instrument of reflection and as a conversation piece. </w:t>
      </w:r>
    </w:p>
    <w:p w14:paraId="682A6DB3" w14:textId="5B7913CA" w:rsidR="00DA6B33" w:rsidRDefault="00B94ECE" w:rsidP="00B94ECE">
      <w:r>
        <w:lastRenderedPageBreak/>
        <w:t xml:space="preserve">Ashede concludes her PhD thesis </w:t>
      </w:r>
      <w:r w:rsidR="003F6916">
        <w:t>by asking</w:t>
      </w:r>
      <w:r>
        <w:t xml:space="preserve"> whether these images of Hermaphroditus could be seen as unsettling or upholding the gendered binaries of Roman society; </w:t>
      </w:r>
      <w:r w:rsidR="003F6916">
        <w:t xml:space="preserve">arguing for </w:t>
      </w:r>
      <w:r>
        <w:t xml:space="preserve">the distancing effect of fantasy/mythology </w:t>
      </w:r>
      <w:r w:rsidR="003F6916">
        <w:t xml:space="preserve">in </w:t>
      </w:r>
      <w:r>
        <w:t xml:space="preserve">enabling Romans to ‘play’ visually with dangerous ideas; and noting that the fading away of this statue type coincided with erotic objectification of boys becoming less socially acceptable from the C2nd AD onwards. </w:t>
      </w:r>
    </w:p>
    <w:p w14:paraId="26005A94" w14:textId="6761B608" w:rsidR="00B94ECE" w:rsidRDefault="00B94ECE" w:rsidP="00B94ECE">
      <w:r>
        <w:t xml:space="preserve">Ashede’s </w:t>
      </w:r>
      <w:r w:rsidR="00DA6B33">
        <w:t xml:space="preserve">PhD </w:t>
      </w:r>
      <w:r>
        <w:t>thesis is unique in challenging so effectively the simplistic humour/apotropaic reading of the statue,</w:t>
      </w:r>
      <w:r w:rsidR="00DA6B33">
        <w:t xml:space="preserve"> drawing attention to the ambiguity of the power struggle,</w:t>
      </w:r>
      <w:r>
        <w:t xml:space="preserve"> and in taking seriously the wider social context </w:t>
      </w:r>
      <w:r w:rsidR="00DA6B33">
        <w:t xml:space="preserve">(including the sexual desirability of boys, for adult men) </w:t>
      </w:r>
      <w:r>
        <w:t xml:space="preserve">and </w:t>
      </w:r>
      <w:r w:rsidR="00877832">
        <w:t xml:space="preserve">its </w:t>
      </w:r>
      <w:r>
        <w:t xml:space="preserve">implications </w:t>
      </w:r>
      <w:r w:rsidR="00877832">
        <w:t xml:space="preserve">for </w:t>
      </w:r>
      <w:r>
        <w:t xml:space="preserve">this statue type. However, as with the other key authors above, Ashede fails to address how the statue functioned in a context in which gendered power imbalances underpinned the widespread practice of sexual assault, </w:t>
      </w:r>
      <w:r w:rsidR="00877832">
        <w:t xml:space="preserve">nor does she </w:t>
      </w:r>
      <w:r w:rsidR="00DA6B33">
        <w:t>situat</w:t>
      </w:r>
      <w:r w:rsidR="00877832">
        <w:t>e</w:t>
      </w:r>
      <w:r w:rsidR="00DA6B33">
        <w:t xml:space="preserve"> it alongside</w:t>
      </w:r>
      <w:r>
        <w:t xml:space="preserve"> the fear and othering of real intersex bodies and ritualised violence against them. </w:t>
      </w:r>
    </w:p>
    <w:p w14:paraId="769F9CD4" w14:textId="0ED53445" w:rsidR="00B94ECE" w:rsidRDefault="001C2CD9" w:rsidP="00B94ECE">
      <w:r>
        <w:t>Gender and sexual violence are critical to understanding the social</w:t>
      </w:r>
      <w:r w:rsidR="00DA6B33">
        <w:t xml:space="preserve"> context of the statue type</w:t>
      </w:r>
      <w:r>
        <w:t>. Therefore, i</w:t>
      </w:r>
      <w:r w:rsidR="00B94ECE">
        <w:t xml:space="preserve">n the next chapter I will look </w:t>
      </w:r>
      <w:r>
        <w:t xml:space="preserve">both </w:t>
      </w:r>
      <w:r w:rsidR="00B94ECE">
        <w:t xml:space="preserve">at </w:t>
      </w:r>
      <w:r w:rsidR="00DA6B33">
        <w:t xml:space="preserve">the </w:t>
      </w:r>
      <w:r w:rsidR="00B94ECE">
        <w:t xml:space="preserve">construction of </w:t>
      </w:r>
      <w:r w:rsidR="009F4C97">
        <w:t xml:space="preserve">gender, </w:t>
      </w:r>
      <w:r w:rsidR="00B94ECE">
        <w:t xml:space="preserve">and </w:t>
      </w:r>
      <w:r>
        <w:t xml:space="preserve">at the routine, </w:t>
      </w:r>
      <w:r w:rsidR="009F4C97">
        <w:t>whilst</w:t>
      </w:r>
      <w:r>
        <w:t xml:space="preserve"> socially constrained, practice of sexual violence</w:t>
      </w:r>
      <w:r w:rsidR="009F4C97">
        <w:t>,</w:t>
      </w:r>
      <w:r>
        <w:t xml:space="preserve"> in Roman society. Key authors in the field have identified </w:t>
      </w:r>
      <w:r w:rsidR="00B94ECE">
        <w:t xml:space="preserve">how the construction of the </w:t>
      </w:r>
      <w:r w:rsidR="009F4C97">
        <w:rPr>
          <w:i/>
          <w:iCs/>
        </w:rPr>
        <w:t>v</w:t>
      </w:r>
      <w:r w:rsidR="00B94ECE" w:rsidRPr="005D42FC">
        <w:rPr>
          <w:i/>
          <w:iCs/>
        </w:rPr>
        <w:t>ir</w:t>
      </w:r>
      <w:r w:rsidR="00B94ECE">
        <w:t xml:space="preserve"> was articulated through contrast with a series of constructed ‘others’</w:t>
      </w:r>
      <w:r>
        <w:t xml:space="preserve"> – and</w:t>
      </w:r>
      <w:r w:rsidR="003F6916">
        <w:t>,</w:t>
      </w:r>
      <w:r>
        <w:t xml:space="preserve"> I will argue, this work is key to </w:t>
      </w:r>
      <w:r w:rsidR="00B94ECE">
        <w:t>understanding the function of the Dresden wrestling group</w:t>
      </w:r>
      <w:r>
        <w:t>.</w:t>
      </w:r>
      <w:r w:rsidR="00B94ECE">
        <w:t xml:space="preserve"> </w:t>
      </w:r>
    </w:p>
    <w:p w14:paraId="645072A4" w14:textId="77777777" w:rsidR="00B94ECE" w:rsidRDefault="00B94ECE" w:rsidP="00B94ECE">
      <w:r>
        <w:br w:type="page"/>
      </w:r>
    </w:p>
    <w:p w14:paraId="7D4AE0B4" w14:textId="0600C564" w:rsidR="00B94ECE" w:rsidRPr="00EF27D5" w:rsidRDefault="00B94ECE" w:rsidP="00B94ECE">
      <w:pPr>
        <w:rPr>
          <w:b/>
          <w:bCs/>
        </w:rPr>
      </w:pPr>
      <w:r w:rsidRPr="00EF27D5">
        <w:rPr>
          <w:b/>
          <w:bCs/>
        </w:rPr>
        <w:lastRenderedPageBreak/>
        <w:t>Chapter 3</w:t>
      </w:r>
      <w:r w:rsidR="00D7455E">
        <w:rPr>
          <w:b/>
          <w:bCs/>
        </w:rPr>
        <w:t xml:space="preserve"> -</w:t>
      </w:r>
      <w:r w:rsidRPr="00EF27D5">
        <w:rPr>
          <w:b/>
          <w:bCs/>
        </w:rPr>
        <w:t xml:space="preserve"> Othering and violence in the construction of elite male identity</w:t>
      </w:r>
    </w:p>
    <w:p w14:paraId="3C9B6582" w14:textId="1E62A680" w:rsidR="00B94ECE" w:rsidRDefault="00B94ECE" w:rsidP="00B94ECE">
      <w:r>
        <w:t xml:space="preserve">A key aim of this dissertation is to bring together discrete elements of study, </w:t>
      </w:r>
      <w:r w:rsidR="003F16D7">
        <w:t xml:space="preserve">both </w:t>
      </w:r>
      <w:r>
        <w:t xml:space="preserve">from within and </w:t>
      </w:r>
      <w:r w:rsidR="003F16D7">
        <w:t xml:space="preserve">from </w:t>
      </w:r>
      <w:r>
        <w:t>outside the fields of Ancient History/Art History, where these</w:t>
      </w:r>
      <w:r w:rsidR="003F16D7">
        <w:t xml:space="preserve"> have the potential to</w:t>
      </w:r>
      <w:r>
        <w:t xml:space="preserve"> shed new light on </w:t>
      </w:r>
      <w:r w:rsidR="00877832">
        <w:t xml:space="preserve">our </w:t>
      </w:r>
      <w:r>
        <w:t>understanding</w:t>
      </w:r>
      <w:r w:rsidR="00201F86">
        <w:t xml:space="preserve"> of</w:t>
      </w:r>
      <w:r>
        <w:t xml:space="preserve"> the Dresden wrestling group statue type. </w:t>
      </w:r>
    </w:p>
    <w:p w14:paraId="745626D2" w14:textId="66A0B1C8" w:rsidR="003F16D7" w:rsidRDefault="00B94ECE" w:rsidP="00B94ECE">
      <w:r>
        <w:t>To give some initial examples</w:t>
      </w:r>
      <w:r w:rsidR="003F16D7">
        <w:t xml:space="preserve"> where existing work within the field of Ancient History ha</w:t>
      </w:r>
      <w:r w:rsidR="00201F86">
        <w:t>s</w:t>
      </w:r>
      <w:r w:rsidR="003F16D7">
        <w:t xml:space="preserve"> not been ‘read across’ to the Dresden wresting group:</w:t>
      </w:r>
    </w:p>
    <w:p w14:paraId="41E96D6F" w14:textId="536A0D8D" w:rsidR="003F16D7" w:rsidRDefault="00B94ECE" w:rsidP="003F16D7">
      <w:pPr>
        <w:pStyle w:val="ListParagraph"/>
        <w:numPr>
          <w:ilvl w:val="0"/>
          <w:numId w:val="2"/>
        </w:numPr>
      </w:pPr>
      <w:r>
        <w:t>the functionality of statues in Roman society has been recognised, but the functionality of the Dresden wrestling group statue</w:t>
      </w:r>
      <w:r w:rsidR="00356568">
        <w:t xml:space="preserve"> type specifically</w:t>
      </w:r>
      <w:r>
        <w:t xml:space="preserve">, has not yet been fully explored. </w:t>
      </w:r>
    </w:p>
    <w:p w14:paraId="38EB2669" w14:textId="58D4870B" w:rsidR="003F16D7" w:rsidRDefault="003F16D7" w:rsidP="003F16D7">
      <w:pPr>
        <w:pStyle w:val="ListParagraph"/>
        <w:numPr>
          <w:ilvl w:val="0"/>
          <w:numId w:val="2"/>
        </w:numPr>
      </w:pPr>
      <w:r>
        <w:t>t</w:t>
      </w:r>
      <w:r w:rsidR="00B94ECE">
        <w:t xml:space="preserve">he construction of elite male identity in opposition to constructed </w:t>
      </w:r>
      <w:r>
        <w:t>‘</w:t>
      </w:r>
      <w:r w:rsidR="00B94ECE">
        <w:t>others</w:t>
      </w:r>
      <w:r>
        <w:t>’</w:t>
      </w:r>
      <w:r w:rsidR="00B94ECE">
        <w:t xml:space="preserve"> has been recognised, but the role of the hermaphrodite as ‘other’ has not been explored. </w:t>
      </w:r>
    </w:p>
    <w:p w14:paraId="0E1109A3" w14:textId="36B4AD81" w:rsidR="003F16D7" w:rsidRDefault="003F16D7" w:rsidP="003F16D7">
      <w:pPr>
        <w:pStyle w:val="ListParagraph"/>
        <w:numPr>
          <w:ilvl w:val="0"/>
          <w:numId w:val="2"/>
        </w:numPr>
      </w:pPr>
      <w:r>
        <w:t>i</w:t>
      </w:r>
      <w:r w:rsidR="00B94ECE">
        <w:t xml:space="preserve">t has been recognised that this statue type most likely originated in Roman culture, without a Greek original; but the visual trope of the beautiful hermaphrodite resisting assault has not been put alongside the simultaneous Roman practice of destroying hermaphrodite (intersex) bodies in the Roman </w:t>
      </w:r>
      <w:r w:rsidR="00877832">
        <w:t xml:space="preserve">religious </w:t>
      </w:r>
      <w:r w:rsidR="00B94ECE">
        <w:t>prodigy system</w:t>
      </w:r>
      <w:r>
        <w:t>.</w:t>
      </w:r>
    </w:p>
    <w:p w14:paraId="37D5FC94" w14:textId="0DA87ACC" w:rsidR="003F16D7" w:rsidRDefault="00B94ECE" w:rsidP="003F16D7">
      <w:pPr>
        <w:pStyle w:val="ListParagraph"/>
        <w:numPr>
          <w:ilvl w:val="0"/>
          <w:numId w:val="2"/>
        </w:numPr>
      </w:pPr>
      <w:r>
        <w:t xml:space="preserve">it is widely accepted that sexual violence (within carefully prescribed norms) was a routine part of Roman culture and lived experience, but this has not been </w:t>
      </w:r>
      <w:r w:rsidR="003F16D7">
        <w:t>set</w:t>
      </w:r>
      <w:r>
        <w:t xml:space="preserve"> alongside </w:t>
      </w:r>
      <w:r w:rsidR="003F16D7">
        <w:t xml:space="preserve">the prevalence of </w:t>
      </w:r>
      <w:r>
        <w:t xml:space="preserve">aestheticised visual representations of sexual assault. </w:t>
      </w:r>
    </w:p>
    <w:p w14:paraId="6B1CA192" w14:textId="38792859" w:rsidR="00B94ECE" w:rsidRDefault="00B94ECE" w:rsidP="003F16D7">
      <w:r>
        <w:t xml:space="preserve">The aim of this chapter is to look at two areas of existing scholarship – the construction of elite male identity, the </w:t>
      </w:r>
      <w:r w:rsidR="00365477" w:rsidRPr="00365477">
        <w:rPr>
          <w:i/>
          <w:iCs/>
        </w:rPr>
        <w:t>vir</w:t>
      </w:r>
      <w:r>
        <w:t xml:space="preserve">, in opposition to a series of </w:t>
      </w:r>
      <w:r w:rsidR="007B56A6">
        <w:t>constructed</w:t>
      </w:r>
      <w:r>
        <w:t xml:space="preserve"> </w:t>
      </w:r>
      <w:r w:rsidR="00365477">
        <w:t>‘</w:t>
      </w:r>
      <w:r>
        <w:t>others</w:t>
      </w:r>
      <w:r w:rsidR="00365477">
        <w:t>’</w:t>
      </w:r>
      <w:r>
        <w:t xml:space="preserve">, and the routine practice of rape/sexual assault in Roman society, along with the ways it was ‘hidden in plain sight’ in art, literature and satire. </w:t>
      </w:r>
      <w:r w:rsidR="00F642B0">
        <w:t>In doing so, this chapter situates</w:t>
      </w:r>
      <w:r>
        <w:t xml:space="preserve"> the Dresden wrestling group statue </w:t>
      </w:r>
      <w:r w:rsidRPr="003F16D7">
        <w:rPr>
          <w:i/>
          <w:iCs/>
        </w:rPr>
        <w:t xml:space="preserve">within </w:t>
      </w:r>
      <w:r>
        <w:t xml:space="preserve">and </w:t>
      </w:r>
      <w:r w:rsidRPr="003F16D7">
        <w:rPr>
          <w:i/>
          <w:iCs/>
        </w:rPr>
        <w:t>alongside</w:t>
      </w:r>
      <w:r>
        <w:t xml:space="preserve"> each of these areas of study, in ways that haven’t yet been done.   </w:t>
      </w:r>
    </w:p>
    <w:p w14:paraId="446F5F97" w14:textId="77777777" w:rsidR="00B94ECE" w:rsidRPr="00326C0F" w:rsidRDefault="00B94ECE" w:rsidP="00B94ECE">
      <w:pPr>
        <w:rPr>
          <w:b/>
          <w:bCs/>
        </w:rPr>
      </w:pPr>
      <w:r w:rsidRPr="00326C0F">
        <w:rPr>
          <w:b/>
          <w:bCs/>
        </w:rPr>
        <w:t>The construction of elite male identity</w:t>
      </w:r>
    </w:p>
    <w:p w14:paraId="7FB2FFF0" w14:textId="57874A68" w:rsidR="00B94ECE" w:rsidRDefault="00B94ECE" w:rsidP="00B94ECE">
      <w:r>
        <w:t xml:space="preserve">Recent scholarship recognises that both gender and sexuality are constructs that are culturally defined. The Roman construction of the </w:t>
      </w:r>
      <w:r>
        <w:rPr>
          <w:i/>
          <w:iCs/>
        </w:rPr>
        <w:t>v</w:t>
      </w:r>
      <w:r w:rsidRPr="00B4765F">
        <w:rPr>
          <w:i/>
          <w:iCs/>
        </w:rPr>
        <w:t>ir</w:t>
      </w:r>
      <w:r>
        <w:t xml:space="preserve"> – the Roman ideal of elite manliness – does not translate onto our concept ‘man’ (a male slave, or foreigner, could not be a </w:t>
      </w:r>
      <w:r>
        <w:rPr>
          <w:i/>
          <w:iCs/>
        </w:rPr>
        <w:t>v</w:t>
      </w:r>
      <w:r w:rsidRPr="00B4765F">
        <w:rPr>
          <w:i/>
          <w:iCs/>
        </w:rPr>
        <w:t>ir</w:t>
      </w:r>
      <w:r>
        <w:t xml:space="preserve">, despite being male). Certain characteristics were seen as pertaining to the </w:t>
      </w:r>
      <w:r>
        <w:rPr>
          <w:i/>
          <w:iCs/>
        </w:rPr>
        <w:t>v</w:t>
      </w:r>
      <w:r w:rsidRPr="00B4765F">
        <w:rPr>
          <w:i/>
          <w:iCs/>
        </w:rPr>
        <w:t>ir</w:t>
      </w:r>
      <w:r>
        <w:t xml:space="preserve">, including a performative sexuality which does not map on to modern categories of hetero- homo- or bi-sexuality (the focus of these constructs of sexuality being on the sex of the desired persons). Instead, the construction of the </w:t>
      </w:r>
      <w:r w:rsidRPr="00F0375B">
        <w:rPr>
          <w:i/>
          <w:iCs/>
        </w:rPr>
        <w:t>vir</w:t>
      </w:r>
      <w:r>
        <w:t xml:space="preserve"> rested on a series of dualities</w:t>
      </w:r>
      <w:r w:rsidR="00365477">
        <w:t>:</w:t>
      </w:r>
      <w:r w:rsidR="00D271F4">
        <w:t xml:space="preserve"> </w:t>
      </w:r>
      <w:r>
        <w:t>control of others and self-control (as opposed to being controlled, or losing one’s self control); dominance and submission;</w:t>
      </w:r>
      <w:r w:rsidR="00D271F4" w:rsidRPr="00D271F4">
        <w:rPr>
          <w:rStyle w:val="FootnoteReference"/>
        </w:rPr>
        <w:t xml:space="preserve"> </w:t>
      </w:r>
      <w:r w:rsidR="00D271F4">
        <w:rPr>
          <w:rStyle w:val="FootnoteReference"/>
        </w:rPr>
        <w:footnoteReference w:id="34"/>
      </w:r>
      <w:r>
        <w:t xml:space="preserve"> of hard (masculine) versus soft (feminine); and crucially (linked to maintaining the bodily integrity which rested on being in control) on being the active, penetrating partner in any sexual </w:t>
      </w:r>
      <w:r>
        <w:lastRenderedPageBreak/>
        <w:t>encounter, regardless of the sex of the person being penetrated.</w:t>
      </w:r>
      <w:r>
        <w:rPr>
          <w:rStyle w:val="FootnoteReference"/>
        </w:rPr>
        <w:footnoteReference w:id="35"/>
      </w:r>
      <w:r>
        <w:t xml:space="preserve"> Within this framework sexual assault and rape (non-consensual sex) were an admired and normal part of elite male sexuality – within certain</w:t>
      </w:r>
      <w:r w:rsidR="00365477">
        <w:t xml:space="preserve"> </w:t>
      </w:r>
      <w:r>
        <w:t xml:space="preserve">social constraints (see later in this chapter) – whereas to be the passive, receptive partner in any sexual encounter was profoundly shameful, and incompatible with the character of the </w:t>
      </w:r>
      <w:r>
        <w:rPr>
          <w:i/>
          <w:iCs/>
        </w:rPr>
        <w:t>v</w:t>
      </w:r>
      <w:r w:rsidRPr="00B4765F">
        <w:rPr>
          <w:i/>
          <w:iCs/>
        </w:rPr>
        <w:t>ir</w:t>
      </w:r>
      <w:r>
        <w:t>. As Walters argues, the ability to prevent one’s own body from being penetrated, and the entire penetrator/penetrated duality, was fundamentally about power relationships – those with power penetrate those without.</w:t>
      </w:r>
      <w:r w:rsidR="0081637A">
        <w:rPr>
          <w:rStyle w:val="FootnoteReference"/>
        </w:rPr>
        <w:footnoteReference w:id="36"/>
      </w:r>
      <w:r>
        <w:t xml:space="preserve"> </w:t>
      </w:r>
    </w:p>
    <w:p w14:paraId="1111A376" w14:textId="262C38DF" w:rsidR="00B94ECE" w:rsidRDefault="00B94ECE" w:rsidP="00B94ECE">
      <w:r>
        <w:t>Crucial for this study</w:t>
      </w:r>
      <w:r w:rsidR="0081637A">
        <w:t>,</w:t>
      </w:r>
      <w:r>
        <w:t xml:space="preserve"> and for our understanding </w:t>
      </w:r>
      <w:r w:rsidR="00201F86">
        <w:t xml:space="preserve">of </w:t>
      </w:r>
      <w:r>
        <w:t>the function of the Dresden wrestling group statue in Roman society, is the role of constructed ‘others’</w:t>
      </w:r>
      <w:r w:rsidR="00365477">
        <w:t xml:space="preserve"> </w:t>
      </w:r>
      <w:r>
        <w:t>in the construction of male identity.</w:t>
      </w:r>
      <w:r w:rsidR="00365477">
        <w:rPr>
          <w:rStyle w:val="FootnoteReference"/>
        </w:rPr>
        <w:footnoteReference w:id="37"/>
      </w:r>
      <w:r>
        <w:t xml:space="preserve"> The </w:t>
      </w:r>
      <w:r w:rsidRPr="00F0375B">
        <w:rPr>
          <w:i/>
          <w:iCs/>
        </w:rPr>
        <w:t>vir</w:t>
      </w:r>
      <w:r>
        <w:t xml:space="preserve"> was constructed </w:t>
      </w:r>
      <w:r>
        <w:rPr>
          <w:i/>
          <w:iCs/>
        </w:rPr>
        <w:t>by</w:t>
      </w:r>
      <w:r w:rsidRPr="000E2A72">
        <w:rPr>
          <w:i/>
          <w:iCs/>
        </w:rPr>
        <w:t xml:space="preserve"> contrast with</w:t>
      </w:r>
      <w:r>
        <w:t xml:space="preserve"> the range of other potential and inferior ways that men could behave, particularly sexually, with men who were willing to be the passive/penetrated partner in any sexual encounter – derided as a </w:t>
      </w:r>
      <w:r w:rsidRPr="00DF71AE">
        <w:rPr>
          <w:i/>
          <w:iCs/>
        </w:rPr>
        <w:t>cinaedus</w:t>
      </w:r>
      <w:r>
        <w:t>.</w:t>
      </w:r>
      <w:r>
        <w:rPr>
          <w:rStyle w:val="FootnoteReference"/>
        </w:rPr>
        <w:footnoteReference w:id="38"/>
      </w:r>
      <w:r>
        <w:t xml:space="preserve"> Alongside men who were willing to be passive sexually, foreign men, and </w:t>
      </w:r>
      <w:r w:rsidR="00365477">
        <w:t>in particular,</w:t>
      </w:r>
      <w:r>
        <w:t xml:space="preserve"> the castrated priests of the cult of the magna mater, were held up as the antithesis of the </w:t>
      </w:r>
      <w:r w:rsidRPr="00443438">
        <w:rPr>
          <w:i/>
          <w:iCs/>
        </w:rPr>
        <w:t xml:space="preserve">vir </w:t>
      </w:r>
      <w:r>
        <w:t>in inve</w:t>
      </w:r>
      <w:r w:rsidR="009E77C7">
        <w:t>c</w:t>
      </w:r>
      <w:r>
        <w:t>tive and satire.</w:t>
      </w:r>
      <w:r w:rsidR="0062778D">
        <w:rPr>
          <w:rStyle w:val="FootnoteReference"/>
        </w:rPr>
        <w:footnoteReference w:id="39"/>
      </w:r>
      <w:r>
        <w:t xml:space="preserve"> A further constructed ‘other’ against which the </w:t>
      </w:r>
      <w:r>
        <w:rPr>
          <w:i/>
          <w:iCs/>
        </w:rPr>
        <w:t>v</w:t>
      </w:r>
      <w:r w:rsidRPr="00F0375B">
        <w:rPr>
          <w:i/>
          <w:iCs/>
        </w:rPr>
        <w:t xml:space="preserve">ir </w:t>
      </w:r>
      <w:r>
        <w:t>was defined, was the category of woman – not as a simple man/woman binary, but</w:t>
      </w:r>
      <w:r w:rsidR="0081637A">
        <w:t>,</w:t>
      </w:r>
      <w:r>
        <w:t xml:space="preserve"> as Skinner has argued, with ideal manhood “calibrated by degrees of separation from what is female, effete, enslaved, and foreign.”</w:t>
      </w:r>
      <w:r>
        <w:rPr>
          <w:rStyle w:val="FootnoteReference"/>
        </w:rPr>
        <w:footnoteReference w:id="40"/>
      </w:r>
    </w:p>
    <w:p w14:paraId="6CB89059" w14:textId="2F538124" w:rsidR="00B94ECE" w:rsidRDefault="00B94ECE" w:rsidP="00B94ECE">
      <w:r>
        <w:t>Mythological creatures could also serve as ‘others’ against which Roman manhood could be defined. Winkler, for example</w:t>
      </w:r>
      <w:r w:rsidR="0081637A">
        <w:t>,</w:t>
      </w:r>
      <w:r>
        <w:t xml:space="preserve"> has argued that the trope of the </w:t>
      </w:r>
      <w:r w:rsidR="00365477">
        <w:t>s</w:t>
      </w:r>
      <w:r>
        <w:t xml:space="preserve">atyr in ancient Greece served to define Greek manhood around control of self and others – with the Satyr as the ‘other’ personified – neither in control of himself </w:t>
      </w:r>
      <w:r w:rsidR="00365477">
        <w:t>n</w:t>
      </w:r>
      <w:r>
        <w:t>or of his sexual goals/targets.</w:t>
      </w:r>
      <w:r>
        <w:rPr>
          <w:rStyle w:val="FootnoteReference"/>
        </w:rPr>
        <w:footnoteReference w:id="41"/>
      </w:r>
      <w:r>
        <w:t xml:space="preserve"> The </w:t>
      </w:r>
      <w:r w:rsidR="00365477">
        <w:t>s</w:t>
      </w:r>
      <w:r>
        <w:t xml:space="preserve">atyr is both </w:t>
      </w:r>
      <w:r w:rsidR="00365477">
        <w:t>laughable/</w:t>
      </w:r>
      <w:r>
        <w:t xml:space="preserve">despicable, and at the same time, serves as male fantasy –  </w:t>
      </w:r>
      <w:r w:rsidR="00365477">
        <w:t>s</w:t>
      </w:r>
      <w:r>
        <w:t xml:space="preserve">atyrs inhabit a world turned upside down </w:t>
      </w:r>
      <w:r w:rsidR="0081637A">
        <w:t>in which</w:t>
      </w:r>
      <w:r>
        <w:t xml:space="preserve"> male humanimals can give in to desire and </w:t>
      </w:r>
      <w:r w:rsidR="00365477">
        <w:t>pursue it however</w:t>
      </w:r>
      <w:r>
        <w:t xml:space="preserve"> they want.</w:t>
      </w:r>
      <w:r>
        <w:rPr>
          <w:rStyle w:val="FootnoteReference"/>
        </w:rPr>
        <w:footnoteReference w:id="42"/>
      </w:r>
      <w:r>
        <w:t xml:space="preserve"> </w:t>
      </w:r>
    </w:p>
    <w:p w14:paraId="7F86A628" w14:textId="192E2501" w:rsidR="00B94ECE" w:rsidRDefault="00B94ECE" w:rsidP="00B94ECE">
      <w:r>
        <w:lastRenderedPageBreak/>
        <w:t>While the mythological character of the satyr has been recognised and analysed as one of the many constructed ‘others’ that helped define Greek and then Roman ideal manhood, no such analysis has been applied to the hermaphrodite figure. As Retzleff argues (see chapter two</w:t>
      </w:r>
      <w:r w:rsidR="0081637A">
        <w:t>, above</w:t>
      </w:r>
      <w:r>
        <w:t xml:space="preserve">) various highly abstract, metaphorical readings have been read into the image of the hermaphrodite </w:t>
      </w:r>
      <w:r w:rsidR="0081637A">
        <w:t xml:space="preserve">body </w:t>
      </w:r>
      <w:r>
        <w:t xml:space="preserve">by art historians. However, none of the readings so far have interrogated the hermaphrodite as ‘other’ to the ideal </w:t>
      </w:r>
      <w:r w:rsidRPr="0091138D">
        <w:rPr>
          <w:i/>
          <w:iCs/>
        </w:rPr>
        <w:t>vir</w:t>
      </w:r>
      <w:r>
        <w:t xml:space="preserve">. </w:t>
      </w:r>
    </w:p>
    <w:p w14:paraId="6BA1483C" w14:textId="044BA9DF" w:rsidR="00B94ECE" w:rsidRDefault="00B94ECE" w:rsidP="00B94ECE">
      <w:r>
        <w:t xml:space="preserve">The mythological character of Hermaphroditus – in Ovid’s telling, a boy who merged with the nymph Salmacis to become both male and female, can – as with the satyr – be understood as provoking both fear and fascination. Policing the boundary of what was masculine was critical to Roman society – as with the satyr, Hermaphroditus holds out both the terrifying possibility of gendered boundaries being blurred, the risk, </w:t>
      </w:r>
      <w:r w:rsidR="00365477">
        <w:t xml:space="preserve">and </w:t>
      </w:r>
      <w:r>
        <w:t>the fascination and temptation</w:t>
      </w:r>
      <w:r w:rsidR="00365477">
        <w:t>,</w:t>
      </w:r>
      <w:r>
        <w:t xml:space="preserve"> of a bi-gendered body personifying everything the Roman </w:t>
      </w:r>
      <w:r w:rsidRPr="00443438">
        <w:rPr>
          <w:i/>
          <w:iCs/>
        </w:rPr>
        <w:t>vir</w:t>
      </w:r>
      <w:r>
        <w:t xml:space="preserve"> had to fight against.</w:t>
      </w:r>
      <w:r>
        <w:rPr>
          <w:rStyle w:val="FootnoteReference"/>
        </w:rPr>
        <w:footnoteReference w:id="43"/>
      </w:r>
      <w:r>
        <w:t xml:space="preserve"> </w:t>
      </w:r>
    </w:p>
    <w:p w14:paraId="255D21CE" w14:textId="7DBAEBF5" w:rsidR="00B94ECE" w:rsidRDefault="00B94ECE" w:rsidP="00B94ECE">
      <w:r>
        <w:t xml:space="preserve">I would argue therefore that both the satyr and the hermaphrodite can be understood as constructed ‘others’ to the ideal of </w:t>
      </w:r>
      <w:r w:rsidR="0081637A">
        <w:t xml:space="preserve">manliness encapsulated in </w:t>
      </w:r>
      <w:r>
        <w:t xml:space="preserve">the </w:t>
      </w:r>
      <w:r w:rsidRPr="0081637A">
        <w:rPr>
          <w:i/>
          <w:iCs/>
        </w:rPr>
        <w:t>vir</w:t>
      </w:r>
      <w:r>
        <w:t>, and</w:t>
      </w:r>
      <w:r w:rsidR="00365477">
        <w:t xml:space="preserve"> therefore,</w:t>
      </w:r>
      <w:r>
        <w:t xml:space="preserve"> that the Dresden wrestling group statue can be read in its entirety as an </w:t>
      </w:r>
      <w:r w:rsidR="00365477">
        <w:t>expression of</w:t>
      </w:r>
      <w:r>
        <w:t xml:space="preserve"> male anxiety</w:t>
      </w:r>
      <w:r w:rsidR="00365477">
        <w:t xml:space="preserve"> and the thrill of peril. The statue encapsulates the </w:t>
      </w:r>
      <w:r>
        <w:t xml:space="preserve">tension, contestation, and challenges of male identity in Roman society – the constant fear of failure and giving in to excess on the one hand, and of the allure and danger of effeminacy on the other. The popularity of the statue type may well </w:t>
      </w:r>
      <w:r w:rsidR="00365477">
        <w:t xml:space="preserve">have rested </w:t>
      </w:r>
      <w:r>
        <w:t>on the way in which it portrays and plays with the contested boundaries that formed the mainstay and un</w:t>
      </w:r>
      <w:r w:rsidR="00201F86">
        <w:t>der</w:t>
      </w:r>
      <w:r>
        <w:t xml:space="preserve">current of elite male life and competition in Roman society. </w:t>
      </w:r>
    </w:p>
    <w:p w14:paraId="7963D894" w14:textId="068CB5B6" w:rsidR="00365477" w:rsidRDefault="00B94ECE" w:rsidP="00B94ECE">
      <w:r>
        <w:t>If the statue did also provoke humour - alongside fear, attraction, desire, repulsion - perhaps th</w:t>
      </w:r>
      <w:r w:rsidR="00365477">
        <w:t>is</w:t>
      </w:r>
      <w:r>
        <w:t xml:space="preserve"> was not in the way that Clarke and others </w:t>
      </w:r>
      <w:r w:rsidR="00365477">
        <w:t xml:space="preserve">have </w:t>
      </w:r>
      <w:r>
        <w:t xml:space="preserve">assumed (Clarke’s </w:t>
      </w:r>
      <w:r w:rsidR="00365477">
        <w:t>“</w:t>
      </w:r>
      <w:r>
        <w:t>gender-bending peekaboo</w:t>
      </w:r>
      <w:r w:rsidR="00365477">
        <w:t>”</w:t>
      </w:r>
      <w:r>
        <w:t>) – but more the comedic impact when shared fears are named and put out on display – the laughter that follows on from ‘I can’t believe he just said that out loud’.  As Skinner has argued, masculinity at Rome was an “achieved state”, always inherently fragile.</w:t>
      </w:r>
      <w:r>
        <w:rPr>
          <w:rStyle w:val="FootnoteReference"/>
        </w:rPr>
        <w:footnoteReference w:id="44"/>
      </w:r>
      <w:r>
        <w:t xml:space="preserve"> In a context where elite Roman men were constantly having to keep up their guard, the Dresden wrestling group may have been thrilling, precisely because so many of their worst-case scenarios were </w:t>
      </w:r>
      <w:r w:rsidR="00365477">
        <w:t>on display</w:t>
      </w:r>
      <w:r>
        <w:t xml:space="preserve">, right in front of their eyes. </w:t>
      </w:r>
    </w:p>
    <w:p w14:paraId="5E43D823" w14:textId="16806918" w:rsidR="00B94ECE" w:rsidRPr="00326C0F" w:rsidRDefault="0081637A" w:rsidP="00B94ECE">
      <w:pPr>
        <w:rPr>
          <w:b/>
          <w:bCs/>
        </w:rPr>
      </w:pPr>
      <w:r>
        <w:rPr>
          <w:b/>
          <w:bCs/>
        </w:rPr>
        <w:t>The</w:t>
      </w:r>
      <w:r w:rsidR="00B94ECE" w:rsidRPr="00326C0F">
        <w:rPr>
          <w:b/>
          <w:bCs/>
        </w:rPr>
        <w:t xml:space="preserve"> practice of sexual assault </w:t>
      </w:r>
      <w:r>
        <w:rPr>
          <w:b/>
          <w:bCs/>
        </w:rPr>
        <w:t>-</w:t>
      </w:r>
      <w:r w:rsidR="00B94ECE" w:rsidRPr="00326C0F">
        <w:rPr>
          <w:b/>
          <w:bCs/>
        </w:rPr>
        <w:t xml:space="preserve"> both routine</w:t>
      </w:r>
      <w:r>
        <w:rPr>
          <w:b/>
          <w:bCs/>
        </w:rPr>
        <w:t xml:space="preserve"> and </w:t>
      </w:r>
      <w:r w:rsidR="00B94ECE" w:rsidRPr="00326C0F">
        <w:rPr>
          <w:b/>
          <w:bCs/>
        </w:rPr>
        <w:t xml:space="preserve">normalised </w:t>
      </w:r>
      <w:r>
        <w:rPr>
          <w:b/>
          <w:bCs/>
        </w:rPr>
        <w:t xml:space="preserve">- </w:t>
      </w:r>
      <w:r w:rsidR="00B94ECE" w:rsidRPr="00326C0F">
        <w:rPr>
          <w:b/>
          <w:bCs/>
        </w:rPr>
        <w:t xml:space="preserve">and constrained. </w:t>
      </w:r>
    </w:p>
    <w:p w14:paraId="6BC793BC" w14:textId="3B88EE59" w:rsidR="00B94ECE" w:rsidRDefault="00B94ECE" w:rsidP="00B94ECE">
      <w:r>
        <w:t>In the same way that the ‘other’ of the hermaphrodite body</w:t>
      </w:r>
      <w:r w:rsidR="0081637A">
        <w:t xml:space="preserve">, and how it </w:t>
      </w:r>
      <w:r>
        <w:t>operate</w:t>
      </w:r>
      <w:r w:rsidR="00365477">
        <w:t>d</w:t>
      </w:r>
      <w:r>
        <w:t xml:space="preserve"> in the construction of </w:t>
      </w:r>
      <w:r w:rsidR="0081637A">
        <w:t xml:space="preserve">elite </w:t>
      </w:r>
      <w:r>
        <w:t>male identity</w:t>
      </w:r>
      <w:r w:rsidR="0081637A">
        <w:t>,</w:t>
      </w:r>
      <w:r>
        <w:t xml:space="preserve"> has been overlooked, similarly, scholarship on the Dresden wrestling group has entirely ignored the fact that the statue is an image of sexual assault, in a society in which sexual assault was both routine, and heavily constrained. </w:t>
      </w:r>
    </w:p>
    <w:p w14:paraId="627B93B9" w14:textId="77777777" w:rsidR="00B94ECE" w:rsidRDefault="00B94ECE" w:rsidP="00B94ECE">
      <w:r>
        <w:lastRenderedPageBreak/>
        <w:t>Sexual violence against slaves and non-citizens, male and female, was routine. Whilst citizen status protected both young men and citizen women from sexual assault, the corollary was that citizen men had free reign with their own slaves and non-citizens, who had little recourse to the law. As Witzke has argued, looking at literary sources: “Readers of Latin elegy (much like the viewers of Roman comedy) are given a glimpse of [the] common violence against non-citizen women in a domestic space.”</w:t>
      </w:r>
      <w:r>
        <w:rPr>
          <w:rStyle w:val="FootnoteReference"/>
        </w:rPr>
        <w:footnoteReference w:id="45"/>
      </w:r>
      <w:r>
        <w:t xml:space="preserve"> She concludes “Status protected a woman from violence or ensured that she was susceptible to it … non-citizen and slave women were institutionally subject to physical and sexual violence that occurred regularly and in private.”</w:t>
      </w:r>
      <w:r>
        <w:rPr>
          <w:rStyle w:val="FootnoteReference"/>
        </w:rPr>
        <w:footnoteReference w:id="46"/>
      </w:r>
    </w:p>
    <w:p w14:paraId="1AC2D96A" w14:textId="0B042C2C" w:rsidR="0081637A" w:rsidRDefault="00B94ECE" w:rsidP="00B94ECE">
      <w:r>
        <w:t xml:space="preserve">Against this historical background, evidenced across legal, rhetorical, comedic and elegiac texts, </w:t>
      </w:r>
      <w:r w:rsidR="005226C1">
        <w:t xml:space="preserve">why is it that </w:t>
      </w:r>
      <w:r>
        <w:t xml:space="preserve">images of sexual assault in statuary been ‘read’ </w:t>
      </w:r>
      <w:r w:rsidR="0081637A">
        <w:t xml:space="preserve">primarily </w:t>
      </w:r>
      <w:r>
        <w:t xml:space="preserve">as metaphorical in art historical </w:t>
      </w:r>
      <w:r w:rsidR="0081637A">
        <w:t>analysis</w:t>
      </w:r>
      <w:r>
        <w:t xml:space="preserve">? Feminist theory applied to </w:t>
      </w:r>
      <w:r w:rsidR="0081637A">
        <w:t xml:space="preserve">the </w:t>
      </w:r>
      <w:r>
        <w:t>classics has identified similar processes in relation both to the teaching and analysis of texts and art</w:t>
      </w:r>
      <w:r w:rsidR="0081637A">
        <w:t xml:space="preserve"> works</w:t>
      </w:r>
      <w:r>
        <w:t xml:space="preserve">. </w:t>
      </w:r>
    </w:p>
    <w:p w14:paraId="39DF06EF" w14:textId="7B7D8E23" w:rsidR="00B94ECE" w:rsidRDefault="00B94ECE" w:rsidP="00B94ECE">
      <w:r>
        <w:t xml:space="preserve">In her seminal work on the academic </w:t>
      </w:r>
      <w:r w:rsidR="005226C1">
        <w:t>discussion</w:t>
      </w:r>
      <w:r>
        <w:t xml:space="preserve"> of Ovid’s rape scenes</w:t>
      </w:r>
      <w:r w:rsidR="0081637A">
        <w:t>,</w:t>
      </w:r>
      <w:r>
        <w:t xml:space="preserve"> both </w:t>
      </w:r>
      <w:r w:rsidR="0081637A">
        <w:t xml:space="preserve">in the </w:t>
      </w:r>
      <w:r w:rsidRPr="005226C1">
        <w:rPr>
          <w:i/>
          <w:iCs/>
        </w:rPr>
        <w:t>Metamorphoses</w:t>
      </w:r>
      <w:r>
        <w:t xml:space="preserve"> and the </w:t>
      </w:r>
      <w:r w:rsidRPr="005226C1">
        <w:rPr>
          <w:i/>
          <w:iCs/>
        </w:rPr>
        <w:t>Fasti</w:t>
      </w:r>
      <w:r>
        <w:t>, Richlin points out that critics have “ignored them, or traced their literary origins, or said they stood for something else.”</w:t>
      </w:r>
      <w:r>
        <w:rPr>
          <w:rStyle w:val="FootnoteReference"/>
        </w:rPr>
        <w:footnoteReference w:id="47"/>
      </w:r>
      <w:r>
        <w:t xml:space="preserve"> </w:t>
      </w:r>
      <w:r w:rsidR="005226C1">
        <w:t>The</w:t>
      </w:r>
      <w:r>
        <w:t xml:space="preserve"> same could be said of the academic literature on the Dresden wrestling group statue type. Richlin goes on to argue “Content is never arbitrary or trivial … a text about rape may also be about something else, but it is still a text of rape … stylistic analysis does not replace content analysis and, in fact, leaves us to explain what that style is doing on that content, like a bow on a slaughterhouse.”</w:t>
      </w:r>
      <w:r>
        <w:rPr>
          <w:rStyle w:val="FootnoteReference"/>
        </w:rPr>
        <w:footnoteReference w:id="48"/>
      </w:r>
    </w:p>
    <w:p w14:paraId="3C19D9CA" w14:textId="536ECCE7" w:rsidR="00B94ECE" w:rsidRDefault="00B94ECE" w:rsidP="00B94ECE">
      <w:r>
        <w:t xml:space="preserve">In Ovid’s texts, the focus is on the pursuit, and the rape itself is implicit rather than explicit, substituted (Richlin argues) with close attention to the detail of the metamorphoses instead. In the Dresden wrestling group </w:t>
      </w:r>
      <w:r w:rsidR="009E77C7">
        <w:t>statue,</w:t>
      </w:r>
      <w:r w:rsidR="0081637A">
        <w:t xml:space="preserve"> </w:t>
      </w:r>
      <w:r>
        <w:t xml:space="preserve">a similar process is on display – we see the struggle but not its outcome, and through the beauty of the figures in the statue are drawn to dwell on the aesthetic details – the violence and </w:t>
      </w:r>
      <w:r w:rsidR="00D832E3">
        <w:t>its</w:t>
      </w:r>
      <w:r>
        <w:t xml:space="preserve"> outcome remain implicit. </w:t>
      </w:r>
    </w:p>
    <w:p w14:paraId="56801AA1" w14:textId="77777777" w:rsidR="005226C1" w:rsidRDefault="00B94ECE" w:rsidP="00B94ECE">
      <w:r>
        <w:t xml:space="preserve">Looking at depictions of abduction in ancient Greek art, Ada Cohen points out that both in the art of the period, and </w:t>
      </w:r>
      <w:r w:rsidR="005226C1">
        <w:t xml:space="preserve">in </w:t>
      </w:r>
      <w:r>
        <w:t xml:space="preserve">subsequent commentary on it, the euphemism of abduction hides the brutal reality of rape. </w:t>
      </w:r>
    </w:p>
    <w:p w14:paraId="46C4E17D" w14:textId="108E5842" w:rsidR="00B94ECE" w:rsidRDefault="00B94ECE" w:rsidP="00B94ECE">
      <w:r>
        <w:t xml:space="preserve">To give a concrete example, she argues “portrayals of the abduction of Persephone have [had multiple] religious interpretations, usually associated with Eleusinian belief and ritual and addressing questions of fertility and regeneration. Often missing in this rich multiplicity of approaches is the obvious: discussion of the images </w:t>
      </w:r>
      <w:proofErr w:type="gramStart"/>
      <w:r>
        <w:t>in light of</w:t>
      </w:r>
      <w:proofErr w:type="gramEnd"/>
      <w:r>
        <w:t xml:space="preserve"> rape. Instead, the identification </w:t>
      </w:r>
      <w:r>
        <w:lastRenderedPageBreak/>
        <w:t>of an image as abduction/rape evokes discussion of it as metaphor.”</w:t>
      </w:r>
      <w:r>
        <w:rPr>
          <w:rStyle w:val="FootnoteReference"/>
        </w:rPr>
        <w:footnoteReference w:id="49"/>
      </w:r>
      <w:r>
        <w:t xml:space="preserve"> Cohen argues that both in ancient art – and in modern interpretations of the same artworks – there was an unwillingness to depict/acknowledge the sexual and physical reality of rape. “Rape tends to disappear, and so does the woman’s experience of it.”</w:t>
      </w:r>
      <w:r>
        <w:rPr>
          <w:rStyle w:val="FootnoteReference"/>
        </w:rPr>
        <w:footnoteReference w:id="50"/>
      </w:r>
      <w:r>
        <w:t xml:space="preserve"> As Cohen has argued</w:t>
      </w:r>
      <w:r w:rsidR="008865D9">
        <w:t>, when</w:t>
      </w:r>
      <w:r>
        <w:t xml:space="preserve"> considering these ‘abduction’ scenes in </w:t>
      </w:r>
      <w:r w:rsidR="00BF4A7B">
        <w:t>ancient</w:t>
      </w:r>
      <w:r>
        <w:t xml:space="preserve"> art, </w:t>
      </w:r>
      <w:r w:rsidR="008865D9">
        <w:t>as</w:t>
      </w:r>
      <w:r>
        <w:t xml:space="preserve"> with the Dresden wrestling group statue type</w:t>
      </w:r>
      <w:r w:rsidR="008865D9">
        <w:t>, r</w:t>
      </w:r>
      <w:r>
        <w:t xml:space="preserve">ape is both there in front of our </w:t>
      </w:r>
      <w:proofErr w:type="gramStart"/>
      <w:r w:rsidR="009E77C7">
        <w:t>eyes, and</w:t>
      </w:r>
      <w:proofErr w:type="gramEnd"/>
      <w:r>
        <w:t xml:space="preserve"> simultaneously hidden in plain sight. </w:t>
      </w:r>
    </w:p>
    <w:p w14:paraId="0A0B60B7" w14:textId="376D27C7" w:rsidR="00B94ECE" w:rsidRDefault="00B94ECE" w:rsidP="00B94ECE">
      <w:r>
        <w:t xml:space="preserve">What is going on here, and </w:t>
      </w:r>
      <w:r w:rsidR="005226C1">
        <w:t>how might these perspectives explain why</w:t>
      </w:r>
      <w:r>
        <w:t xml:space="preserve"> the Dresden wrestling group statue first appear</w:t>
      </w:r>
      <w:r w:rsidR="005226C1">
        <w:t>s</w:t>
      </w:r>
      <w:r>
        <w:t xml:space="preserve">, and then become a popular statue type, in Roman culture? </w:t>
      </w:r>
    </w:p>
    <w:p w14:paraId="7189F9F6" w14:textId="494631BB" w:rsidR="00B94ECE" w:rsidRDefault="00B94ECE" w:rsidP="00B94ECE">
      <w:r>
        <w:t>As Richlin has argued, rape is not primarily about sex, but about the expression of power and domination, in a profoundly hierarchical society. Roman society glorified violence in numerous ways – including in the expression of male sexuality.</w:t>
      </w:r>
      <w:r>
        <w:rPr>
          <w:rStyle w:val="FootnoteReference"/>
        </w:rPr>
        <w:footnoteReference w:id="51"/>
      </w:r>
      <w:r>
        <w:t xml:space="preserve"> Goad cites the modern concept of ‘toxic masculinity’ </w:t>
      </w:r>
      <w:r w:rsidR="00BF4A7B">
        <w:t xml:space="preserve">as </w:t>
      </w:r>
      <w:r>
        <w:t>defined by Marcotte</w:t>
      </w:r>
      <w:r w:rsidR="00BF4A7B">
        <w:t>:</w:t>
      </w:r>
      <w:r>
        <w:t xml:space="preserve"> “a specific model of manhood, geared towards dominance and control … [which] sees sex as an act not of affection but of domination, and which valorises violence as the way to prove one’s self to the world” as a framing of a particular version of masculinity, that can easily read across, from today’s society</w:t>
      </w:r>
      <w:r w:rsidR="00BF4A7B">
        <w:t>,</w:t>
      </w:r>
      <w:r>
        <w:t xml:space="preserve"> to</w:t>
      </w:r>
      <w:r w:rsidR="005226C1">
        <w:t xml:space="preserve"> the construction of masculinity in</w:t>
      </w:r>
      <w:r>
        <w:t xml:space="preserve"> Ancient Rome.</w:t>
      </w:r>
      <w:r>
        <w:rPr>
          <w:rStyle w:val="FootnoteReference"/>
        </w:rPr>
        <w:footnoteReference w:id="52"/>
      </w:r>
      <w:r>
        <w:t xml:space="preserve"> As Masterson points out, across Roman invective, rhetoric and poetry, we see threats of oral and anal rape against other men used as ways to bolster the speaker’s masculinity.</w:t>
      </w:r>
      <w:r>
        <w:rPr>
          <w:rStyle w:val="FootnoteReference"/>
        </w:rPr>
        <w:footnoteReference w:id="53"/>
      </w:r>
      <w:r>
        <w:t xml:space="preserve"> Sexual violence</w:t>
      </w:r>
      <w:r w:rsidR="00BF4A7B">
        <w:t>,</w:t>
      </w:r>
      <w:r>
        <w:t xml:space="preserve"> </w:t>
      </w:r>
      <w:r w:rsidR="00BF4A7B">
        <w:t>as an expression of power over others, was</w:t>
      </w:r>
      <w:r>
        <w:t xml:space="preserve"> interwoven with the construction of elite Roman male identity. </w:t>
      </w:r>
    </w:p>
    <w:p w14:paraId="55473605" w14:textId="1C24E374" w:rsidR="00B94ECE" w:rsidRDefault="00B94ECE" w:rsidP="00B94ECE">
      <w:r>
        <w:t>Richlin and Cohen’s work in the early 1990s sought to put the content of rape centre stage in considering ancient texts and image</w:t>
      </w:r>
      <w:r w:rsidR="00BF4A7B">
        <w:t>ry</w:t>
      </w:r>
      <w:r>
        <w:t xml:space="preserve"> of rape/abduction. And yet modern scholarship</w:t>
      </w:r>
      <w:r w:rsidR="0098407A">
        <w:t xml:space="preserve"> </w:t>
      </w:r>
      <w:r w:rsidR="00201F86">
        <w:t xml:space="preserve">of </w:t>
      </w:r>
      <w:r>
        <w:t xml:space="preserve">the Dresden wrestling group has continued to ignore this crucial dimension of the statue group – that we are looking </w:t>
      </w:r>
      <w:r w:rsidR="005226C1">
        <w:t xml:space="preserve">straight </w:t>
      </w:r>
      <w:r>
        <w:t>at an image of sexual violence.</w:t>
      </w:r>
    </w:p>
    <w:p w14:paraId="27F04E23" w14:textId="1CFFA39C" w:rsidR="00B94ECE" w:rsidRDefault="00B94ECE" w:rsidP="00B94ECE">
      <w:r>
        <w:t xml:space="preserve">The Dresden wrestling group statue type was popular in Roman society </w:t>
      </w:r>
      <w:r w:rsidR="005226C1">
        <w:t xml:space="preserve">perhaps </w:t>
      </w:r>
      <w:r>
        <w:t>precisely because it encapsulated fear, desire and violence – displayed at the safe distance of fantasy, mythology and aestheticised bodies. The Dresden wrest</w:t>
      </w:r>
      <w:r w:rsidR="00201F86">
        <w:t>l</w:t>
      </w:r>
      <w:r>
        <w:t xml:space="preserve">ing group statue type ‘worked’ for the elite citizens who commissioned and displayed it precisely because it walked the high wire of taboo – the frisson of simultaneous fear/disgust and desirability of a body which is both female </w:t>
      </w:r>
      <w:r>
        <w:lastRenderedPageBreak/>
        <w:t xml:space="preserve">and male,  and the depiction of sexual violence that was hardwired into male sexuality, </w:t>
      </w:r>
      <w:r w:rsidR="00BF4A7B">
        <w:t xml:space="preserve">required of the </w:t>
      </w:r>
      <w:r w:rsidR="00BF4A7B" w:rsidRPr="00BF4A7B">
        <w:rPr>
          <w:i/>
          <w:iCs/>
        </w:rPr>
        <w:t>vir</w:t>
      </w:r>
      <w:r w:rsidR="00BF4A7B">
        <w:t>,</w:t>
      </w:r>
      <w:r>
        <w:t xml:space="preserve"> routine, and </w:t>
      </w:r>
      <w:r w:rsidR="005226C1">
        <w:t xml:space="preserve">simultaneously </w:t>
      </w:r>
      <w:r>
        <w:t xml:space="preserve">hidden from view. </w:t>
      </w:r>
    </w:p>
    <w:p w14:paraId="50CD46C3" w14:textId="00247944" w:rsidR="005226C1" w:rsidRDefault="00B94ECE" w:rsidP="00B94ECE">
      <w:r>
        <w:t xml:space="preserve">As argued in the introduction – this chapter has illustrated how two key strands of scholarship in ancient history (the study of othering in the construction of male identity, and the </w:t>
      </w:r>
      <w:r w:rsidR="005226C1">
        <w:t xml:space="preserve">study of the </w:t>
      </w:r>
      <w:r>
        <w:t xml:space="preserve">quotidien reality of sexual violence) have failed to be read across to, and integrated with, art historical understandings of the Dresden wrestling group. </w:t>
      </w:r>
    </w:p>
    <w:p w14:paraId="48F252E8" w14:textId="2ABFBC6C" w:rsidR="00B94ECE" w:rsidRDefault="00B94ECE" w:rsidP="00B94ECE">
      <w:r>
        <w:t>At the same time this statue has remained under</w:t>
      </w:r>
      <w:r w:rsidR="00BF4A7B">
        <w:t>-</w:t>
      </w:r>
      <w:r>
        <w:t xml:space="preserve">theorised – our understanding of it </w:t>
      </w:r>
      <w:r w:rsidR="00BF4A7B">
        <w:t>un</w:t>
      </w:r>
      <w:r>
        <w:t>informed by 20</w:t>
      </w:r>
      <w:r w:rsidRPr="0027022B">
        <w:rPr>
          <w:vertAlign w:val="superscript"/>
        </w:rPr>
        <w:t>th</w:t>
      </w:r>
      <w:r>
        <w:t xml:space="preserve"> Century psychoanalysis and anthropology. In the next (fourth) chapter I will look at what Freudian and Girardian theory </w:t>
      </w:r>
      <w:proofErr w:type="gramStart"/>
      <w:r>
        <w:t>opens up</w:t>
      </w:r>
      <w:proofErr w:type="gramEnd"/>
      <w:r>
        <w:t xml:space="preserve"> about this statue and the role the hermaphrodite/intersex body played in Roman society – </w:t>
      </w:r>
      <w:r w:rsidR="002E62F9">
        <w:t>specifically,</w:t>
      </w:r>
      <w:r>
        <w:t xml:space="preserve"> taking the </w:t>
      </w:r>
      <w:r w:rsidRPr="00326C0F">
        <w:rPr>
          <w:i/>
          <w:iCs/>
        </w:rPr>
        <w:t>functionality</w:t>
      </w:r>
      <w:r>
        <w:t xml:space="preserve"> of this statue type in Roman society far more seriously, through the work of Freud and Girard. </w:t>
      </w:r>
    </w:p>
    <w:p w14:paraId="13635EFB" w14:textId="3BA1C7F1" w:rsidR="00B94ECE" w:rsidRDefault="00B94ECE" w:rsidP="00B94ECE"/>
    <w:p w14:paraId="4E730300" w14:textId="77777777" w:rsidR="009A0344" w:rsidRDefault="009A0344">
      <w:pPr>
        <w:rPr>
          <w:b/>
          <w:bCs/>
        </w:rPr>
      </w:pPr>
      <w:r>
        <w:rPr>
          <w:b/>
          <w:bCs/>
        </w:rPr>
        <w:br w:type="page"/>
      </w:r>
    </w:p>
    <w:p w14:paraId="663F8EB6" w14:textId="1C6AF62E" w:rsidR="00B94ECE" w:rsidRPr="000D6F94" w:rsidRDefault="00B94ECE" w:rsidP="00B94ECE">
      <w:pPr>
        <w:rPr>
          <w:b/>
          <w:bCs/>
        </w:rPr>
      </w:pPr>
      <w:r w:rsidRPr="000D6F94">
        <w:rPr>
          <w:b/>
          <w:bCs/>
        </w:rPr>
        <w:lastRenderedPageBreak/>
        <w:t>Chapter four – Freudian and Girardian perspectives on the Dresden wrestling group</w:t>
      </w:r>
    </w:p>
    <w:p w14:paraId="2F52B98E" w14:textId="139AF3E1" w:rsidR="00B94ECE" w:rsidRDefault="00B94ECE" w:rsidP="00B94ECE">
      <w:r>
        <w:t xml:space="preserve">As outlined in the </w:t>
      </w:r>
      <w:r w:rsidR="005226C1">
        <w:t xml:space="preserve">introductory </w:t>
      </w:r>
      <w:r>
        <w:t xml:space="preserve">chapter, the Dresden wrestling group statue has been overlooked and under-theorised, with existing work on the statue often failing to read it in the light of wider existing scholarship on the construction of gender </w:t>
      </w:r>
      <w:r w:rsidR="00F642B0">
        <w:t xml:space="preserve">and sexual violence </w:t>
      </w:r>
      <w:r>
        <w:t xml:space="preserve">in Roman society, and (with the exception of Ashede’s work) failing to read it in the light of wider theory. This chapter seeks to address the second of these gaps, bringing the ideas of two key thinkers of the C20th (Freud and Girard) to bear on our understanding of how the statue functioned in Roman society. </w:t>
      </w:r>
    </w:p>
    <w:p w14:paraId="13A54379" w14:textId="57CB65E7" w:rsidR="00B94ECE" w:rsidRDefault="00B94ECE" w:rsidP="00B94ECE">
      <w:r>
        <w:t xml:space="preserve">Turning first to Freud, his argument in </w:t>
      </w:r>
      <w:r>
        <w:rPr>
          <w:i/>
          <w:iCs/>
        </w:rPr>
        <w:t xml:space="preserve">Civilisation and its discontents </w:t>
      </w:r>
      <w:r>
        <w:t>(1930) was that</w:t>
      </w:r>
      <w:r w:rsidR="00C77A87">
        <w:t>,</w:t>
      </w:r>
      <w:r>
        <w:t xml:space="preserve"> </w:t>
      </w:r>
      <w:r w:rsidR="00C77A87">
        <w:t>for</w:t>
      </w:r>
      <w:r>
        <w:t xml:space="preserve"> societies to function, the instincts, drives and desires of individuals need to be controlled. In the same way that</w:t>
      </w:r>
      <w:r w:rsidR="00FE075D">
        <w:t>,</w:t>
      </w:r>
      <w:r>
        <w:t xml:space="preserve"> within the individual</w:t>
      </w:r>
      <w:r w:rsidR="00FE075D">
        <w:t>,</w:t>
      </w:r>
      <w:r>
        <w:t xml:space="preserve"> desires that are </w:t>
      </w:r>
      <w:r w:rsidR="00C77A87">
        <w:t xml:space="preserve">socially </w:t>
      </w:r>
      <w:r>
        <w:t>unacceptable are repressed, the societal level equivalent he term</w:t>
      </w:r>
      <w:r w:rsidR="00C77A87">
        <w:t>s</w:t>
      </w:r>
      <w:r>
        <w:t xml:space="preserve"> </w:t>
      </w:r>
      <w:r w:rsidRPr="008A2D44">
        <w:rPr>
          <w:i/>
          <w:iCs/>
        </w:rPr>
        <w:t>sublimation</w:t>
      </w:r>
      <w:r>
        <w:t>. His argument is that as human beings come together to form societies and build a culture/civilisation (the attempt to regulate social relations), sublimation is the process that enables</w:t>
      </w:r>
      <w:r w:rsidR="00FE075D">
        <w:t xml:space="preserve"> civilisation</w:t>
      </w:r>
      <w:r>
        <w:t xml:space="preserve"> to happen, and the cost we must pay. He argues: “Sublimation of the drives is a particularly striking feature of cultural development, which makes it possible for the higher mental activities – scientific, artistic and ideological – to play such a significant role in civilised life … sublimation is a fate that civilisation imposes on the drives.”</w:t>
      </w:r>
      <w:r>
        <w:rPr>
          <w:rStyle w:val="FootnoteReference"/>
        </w:rPr>
        <w:footnoteReference w:id="54"/>
      </w:r>
    </w:p>
    <w:p w14:paraId="461A25FD" w14:textId="6AB92756" w:rsidR="00B94ECE" w:rsidRDefault="00B94ECE" w:rsidP="00B94ECE">
      <w:r>
        <w:t>Freud argues that works of art are the process and the product of sublimation – that they allow for the expression and appreciation in art of instincts that are otherwise unacceptable. While being an essential precondition of living within a culture/society, the process of sublimation is costly – Freud argues this process of sublimation leads to a constant sense of discontent within society. He argues “</w:t>
      </w:r>
      <w:r w:rsidR="00C77A87">
        <w:t>i</w:t>
      </w:r>
      <w:r>
        <w:t xml:space="preserve">f civilisation imposes such great sacrifices not only on man’s sexuality but also on his aggressivity, we are in a better position to understand why it is so hard for him to feel happy in it </w:t>
      </w:r>
      <w:r w:rsidR="00C77A87">
        <w:t>[</w:t>
      </w:r>
      <w:r>
        <w:t>i</w:t>
      </w:r>
      <w:r w:rsidR="002964AC">
        <w:t>.</w:t>
      </w:r>
      <w:r>
        <w:t>e</w:t>
      </w:r>
      <w:r w:rsidR="002964AC">
        <w:t>.,</w:t>
      </w:r>
      <w:r>
        <w:t xml:space="preserve"> within civilisation</w:t>
      </w:r>
      <w:r w:rsidR="00C77A87">
        <w:t>]</w:t>
      </w:r>
      <w:r>
        <w:t xml:space="preserve"> … civilised man has traded in a portion of his chances of happiness for a certain measure of security.”</w:t>
      </w:r>
      <w:r>
        <w:rPr>
          <w:rStyle w:val="FootnoteReference"/>
        </w:rPr>
        <w:footnoteReference w:id="55"/>
      </w:r>
    </w:p>
    <w:p w14:paraId="74303B1D" w14:textId="4AC8162C" w:rsidR="00B94ECE" w:rsidRDefault="00B94ECE" w:rsidP="00B94ECE">
      <w:r>
        <w:t>He goes on to argue that this tension between the desire to fulfil one</w:t>
      </w:r>
      <w:r w:rsidR="0038788B">
        <w:t>’</w:t>
      </w:r>
      <w:r>
        <w:t>s own drives, sexual and aggressive, versus the desire to live in safety alongside others, represents the essential struggle of all of life – and that culture exists to hold these two needs together. “</w:t>
      </w:r>
      <w:proofErr w:type="gramStart"/>
      <w:r w:rsidR="00D271F4">
        <w:t>t</w:t>
      </w:r>
      <w:r>
        <w:t>he</w:t>
      </w:r>
      <w:proofErr w:type="gramEnd"/>
      <w:r>
        <w:t xml:space="preserve"> meaning of the development of civilisation … </w:t>
      </w:r>
      <w:r w:rsidR="00D271F4">
        <w:t>is</w:t>
      </w:r>
      <w:r>
        <w:t xml:space="preserve"> the struggle between the life drive and the drive for destruction, as it is played out in </w:t>
      </w:r>
      <w:proofErr w:type="gramStart"/>
      <w:r>
        <w:t>the human race</w:t>
      </w:r>
      <w:proofErr w:type="gramEnd"/>
      <w:r>
        <w:t>. This struggle is the essential content of all life; hence the development of civilisation may be described simply as humanity’s struggle for existence.”</w:t>
      </w:r>
      <w:r>
        <w:rPr>
          <w:rStyle w:val="FootnoteReference"/>
        </w:rPr>
        <w:footnoteReference w:id="56"/>
      </w:r>
    </w:p>
    <w:p w14:paraId="7958D06D" w14:textId="32D49A1A" w:rsidR="00B94ECE" w:rsidRDefault="00B94ECE" w:rsidP="00B94ECE">
      <w:r>
        <w:t xml:space="preserve">There are three key ways in which Freud’s insights from </w:t>
      </w:r>
      <w:r w:rsidRPr="004547DC">
        <w:rPr>
          <w:i/>
          <w:iCs/>
        </w:rPr>
        <w:t>Civilisation and its discontents</w:t>
      </w:r>
      <w:r>
        <w:t xml:space="preserve"> can be applied to help understand the function of the Dresden wrestling group statue</w:t>
      </w:r>
      <w:r w:rsidR="00F655E0">
        <w:t>:</w:t>
      </w:r>
      <w:r>
        <w:t xml:space="preserve"> </w:t>
      </w:r>
    </w:p>
    <w:p w14:paraId="5F40E067" w14:textId="67DE5118" w:rsidR="00B94ECE" w:rsidRDefault="00B94ECE" w:rsidP="0062778D">
      <w:pPr>
        <w:pStyle w:val="ListParagraph"/>
        <w:numPr>
          <w:ilvl w:val="0"/>
          <w:numId w:val="3"/>
        </w:numPr>
      </w:pPr>
      <w:r>
        <w:lastRenderedPageBreak/>
        <w:t xml:space="preserve">First is his understanding </w:t>
      </w:r>
      <w:r w:rsidR="00FE075D">
        <w:t>of art as an</w:t>
      </w:r>
      <w:r>
        <w:t xml:space="preserve"> expression of sublimation. Artistic creation is one of </w:t>
      </w:r>
      <w:proofErr w:type="gramStart"/>
      <w:r>
        <w:t>the means by which</w:t>
      </w:r>
      <w:proofErr w:type="gramEnd"/>
      <w:r>
        <w:t xml:space="preserve"> instinctual drives are managed and expressed in a socially safe way</w:t>
      </w:r>
      <w:r w:rsidR="005106DA">
        <w:t>,</w:t>
      </w:r>
      <w:r>
        <w:t xml:space="preserve"> with artworks in turn becoming part of culture</w:t>
      </w:r>
      <w:r w:rsidR="005106DA">
        <w:t xml:space="preserve">. </w:t>
      </w:r>
      <w:r w:rsidR="00D271F4">
        <w:t>Art, according to Freud, is a means of civilising and controlling</w:t>
      </w:r>
      <w:r>
        <w:t xml:space="preserve"> the expression of desire. The Dresden wrestling group statue type, and others depicting sexual violence, allowed sexual violence to be expressed safely, and constrained culturally, through the medium of art. </w:t>
      </w:r>
    </w:p>
    <w:p w14:paraId="56EDC488" w14:textId="51B2904E" w:rsidR="00B94ECE" w:rsidRDefault="00B94ECE" w:rsidP="0062778D">
      <w:pPr>
        <w:pStyle w:val="ListParagraph"/>
        <w:numPr>
          <w:ilvl w:val="0"/>
          <w:numId w:val="3"/>
        </w:numPr>
      </w:pPr>
      <w:r>
        <w:t>A second key insight is that art – including this specific statue</w:t>
      </w:r>
      <w:r w:rsidR="00C77A87">
        <w:t xml:space="preserve"> type</w:t>
      </w:r>
      <w:r>
        <w:t xml:space="preserve"> – enables the expression specifically of sexual and violent desires which can</w:t>
      </w:r>
      <w:r w:rsidR="00FE075D">
        <w:t>no</w:t>
      </w:r>
      <w:r>
        <w:t xml:space="preserve">t be </w:t>
      </w:r>
      <w:r w:rsidR="00FE075D">
        <w:t>acted on</w:t>
      </w:r>
      <w:r>
        <w:t xml:space="preserve"> – so these desires and urges are p</w:t>
      </w:r>
      <w:r w:rsidR="00C77A87">
        <w:t>laced</w:t>
      </w:r>
      <w:r>
        <w:t xml:space="preserve"> (through art) outside of </w:t>
      </w:r>
      <w:proofErr w:type="gramStart"/>
      <w:r>
        <w:t>ourselves</w:t>
      </w:r>
      <w:proofErr w:type="gramEnd"/>
      <w:r>
        <w:t>, to look at.</w:t>
      </w:r>
      <w:r w:rsidR="00D271F4">
        <w:t xml:space="preserve"> </w:t>
      </w:r>
      <w:r>
        <w:t>Art (and the Dresden wrestling group statue specifically) thus function</w:t>
      </w:r>
      <w:r w:rsidR="00C77A87">
        <w:t>ed</w:t>
      </w:r>
      <w:r>
        <w:t xml:space="preserve"> as a release valve for desires and tensions which otherwise risk</w:t>
      </w:r>
      <w:r w:rsidR="00FE075D">
        <w:t>ed</w:t>
      </w:r>
      <w:r>
        <w:t xml:space="preserve"> destabilising society.</w:t>
      </w:r>
      <w:r w:rsidR="00D271F4" w:rsidRPr="00D271F4">
        <w:rPr>
          <w:rStyle w:val="FootnoteReference"/>
        </w:rPr>
        <w:t xml:space="preserve"> </w:t>
      </w:r>
      <w:r w:rsidR="00D271F4">
        <w:rPr>
          <w:rStyle w:val="FootnoteReference"/>
        </w:rPr>
        <w:footnoteReference w:id="57"/>
      </w:r>
      <w:r>
        <w:t xml:space="preserve"> </w:t>
      </w:r>
    </w:p>
    <w:p w14:paraId="7A996B92" w14:textId="534445F4" w:rsidR="00B94ECE" w:rsidRDefault="00FE075D" w:rsidP="0062778D">
      <w:pPr>
        <w:pStyle w:val="ListParagraph"/>
        <w:numPr>
          <w:ilvl w:val="0"/>
          <w:numId w:val="3"/>
        </w:numPr>
      </w:pPr>
      <w:r>
        <w:t>Third is Freud’s</w:t>
      </w:r>
      <w:r w:rsidR="00B94ECE">
        <w:t xml:space="preserve"> recognition that the tension between the desire to express these sexual and violent urges and the need to contain them is at the heart of humanity’s struggle</w:t>
      </w:r>
      <w:r>
        <w:t>. A</w:t>
      </w:r>
      <w:r w:rsidR="00B94ECE">
        <w:t>t a metaphorical level</w:t>
      </w:r>
      <w:r>
        <w:t>,</w:t>
      </w:r>
      <w:r w:rsidR="00B94ECE">
        <w:t xml:space="preserve"> the Dresden wrestling group statue can also be read as encapsulating/representing precisely Roman society’s tension between the chaos of violence and sexual desire (embodied particularly in the trope of the satyr) and the need to resist and contain it. </w:t>
      </w:r>
    </w:p>
    <w:p w14:paraId="6AC0BBE5" w14:textId="41BC5C54" w:rsidR="00B94ECE" w:rsidRDefault="00B94ECE" w:rsidP="00B94ECE">
      <w:r>
        <w:t xml:space="preserve">Freud’s concept of sublimation is therefore key to </w:t>
      </w:r>
      <w:proofErr w:type="gramStart"/>
      <w:r w:rsidR="00FE075D">
        <w:t>open</w:t>
      </w:r>
      <w:r w:rsidR="00C77A87">
        <w:t>ing up</w:t>
      </w:r>
      <w:proofErr w:type="gramEnd"/>
      <w:r w:rsidR="00FE075D">
        <w:t xml:space="preserve"> our </w:t>
      </w:r>
      <w:r>
        <w:t xml:space="preserve">understanding how and why the Dresden wrestling group statue type functioned in Roman society. As the product of </w:t>
      </w:r>
      <w:r w:rsidR="00C77A87">
        <w:t>sublimation,</w:t>
      </w:r>
      <w:r>
        <w:t xml:space="preserve"> it allowed elite Roman men to express and to ‘play’ visually with unacceptable (uncontrolled) sexual and aggressive urges – whilst keeping them safely contained in ‘art’.</w:t>
      </w:r>
      <w:r>
        <w:rPr>
          <w:rStyle w:val="FootnoteReference"/>
        </w:rPr>
        <w:footnoteReference w:id="58"/>
      </w:r>
      <w:r>
        <w:t xml:space="preserve"> </w:t>
      </w:r>
    </w:p>
    <w:p w14:paraId="39485CD0" w14:textId="2DED4AA0" w:rsidR="00FE075D" w:rsidRDefault="00B94ECE" w:rsidP="00FE075D">
      <w:r>
        <w:t xml:space="preserve">A second key </w:t>
      </w:r>
      <w:r w:rsidR="00F642B0">
        <w:t>theory, from</w:t>
      </w:r>
      <w:r w:rsidR="00C77A87">
        <w:t xml:space="preserve"> Freud’s earlier work </w:t>
      </w:r>
      <w:proofErr w:type="gramStart"/>
      <w:r w:rsidR="00C77A87" w:rsidRPr="009F7EA9">
        <w:rPr>
          <w:i/>
          <w:iCs/>
        </w:rPr>
        <w:t>The</w:t>
      </w:r>
      <w:proofErr w:type="gramEnd"/>
      <w:r w:rsidR="00C77A87" w:rsidRPr="009F7EA9">
        <w:rPr>
          <w:i/>
          <w:iCs/>
        </w:rPr>
        <w:t xml:space="preserve"> joke and its relation to the unconscious</w:t>
      </w:r>
      <w:r w:rsidR="00C77A87">
        <w:t xml:space="preserve"> (1905)</w:t>
      </w:r>
      <w:r w:rsidR="006F5317">
        <w:t>,</w:t>
      </w:r>
      <w:r w:rsidR="00C77A87">
        <w:t xml:space="preserve"> </w:t>
      </w:r>
      <w:r>
        <w:t xml:space="preserve">which </w:t>
      </w:r>
      <w:r w:rsidR="006F5317">
        <w:t xml:space="preserve">also </w:t>
      </w:r>
      <w:r>
        <w:t>enables us to read the Dresden wrestling group more clearly</w:t>
      </w:r>
      <w:r w:rsidR="006F5317">
        <w:t>,</w:t>
      </w:r>
      <w:r>
        <w:t xml:space="preserve"> is his theory of how humour works. </w:t>
      </w:r>
      <w:r w:rsidR="00C77A87">
        <w:t>Freud</w:t>
      </w:r>
      <w:r w:rsidR="00FE075D">
        <w:t xml:space="preserve"> argues that jokes function by creating a triad between the person ‘telling the joke’, the audience, and the object of the joke. Freud goes on to analyse hostile and obscene jokes, arguing that the purpose of this type of humour is to subject the object/victim of the joke, and create complicity in the act with the audience/person who hears/receives the </w:t>
      </w:r>
      <w:r w:rsidR="00FE075D">
        <w:lastRenderedPageBreak/>
        <w:t>joke</w:t>
      </w:r>
      <w:r w:rsidR="006F5317">
        <w:t>. He comments:</w:t>
      </w:r>
      <w:r w:rsidR="00FE075D">
        <w:t xml:space="preserve"> “Anyone who laughs at the bawdy talk (obscene joke) they have just heard, is laughing like a spectator at an act of sexual aggression.”</w:t>
      </w:r>
      <w:r w:rsidR="00FE075D">
        <w:rPr>
          <w:rStyle w:val="FootnoteReference"/>
        </w:rPr>
        <w:footnoteReference w:id="59"/>
      </w:r>
    </w:p>
    <w:p w14:paraId="7EF523C5" w14:textId="79E4567B" w:rsidR="00B94ECE" w:rsidRDefault="00FE075D" w:rsidP="00B94ECE">
      <w:r>
        <w:t>Whilst the</w:t>
      </w:r>
      <w:r w:rsidR="00B94ECE">
        <w:t xml:space="preserve"> Dresden wrestling group statue type has in previous academic literature been read as humorous, termed a “gender-bending peekaboo” by Clarke</w:t>
      </w:r>
      <w:r w:rsidR="006F5317">
        <w:t xml:space="preserve"> </w:t>
      </w:r>
      <w:r w:rsidR="00B94ECE">
        <w:t>(</w:t>
      </w:r>
      <w:r>
        <w:t>see chapter two</w:t>
      </w:r>
      <w:r w:rsidR="00B94ECE">
        <w:t>)</w:t>
      </w:r>
      <w:r w:rsidR="006F5317">
        <w:t>,</w:t>
      </w:r>
      <w:r w:rsidR="00B94ECE">
        <w:t xml:space="preserve"> seeing the humour as resting on the (presumed) surprise of the satyr to discover the hermaphrodite</w:t>
      </w:r>
      <w:r>
        <w:t>’</w:t>
      </w:r>
      <w:r w:rsidR="00B94ECE">
        <w:t>s male genitalia</w:t>
      </w:r>
      <w:r>
        <w:t xml:space="preserve">, Freudian </w:t>
      </w:r>
      <w:r w:rsidR="00F642B0">
        <w:t>insight into</w:t>
      </w:r>
      <w:r>
        <w:t xml:space="preserve"> the structure and purposes of humour has not been read across to the statue type. </w:t>
      </w:r>
    </w:p>
    <w:p w14:paraId="0C37AAF2" w14:textId="4A56D41B" w:rsidR="00B94ECE" w:rsidRDefault="00FE075D" w:rsidP="00B94ECE">
      <w:r>
        <w:t>Amy</w:t>
      </w:r>
      <w:r w:rsidR="00B94ECE">
        <w:t xml:space="preserve"> Richlin </w:t>
      </w:r>
      <w:r>
        <w:t>argues that</w:t>
      </w:r>
      <w:r w:rsidR="00B94ECE">
        <w:t xml:space="preserve"> Freud’s theory of how humour works has great explanatory power when looking at the structure of Roman satire.</w:t>
      </w:r>
      <w:r w:rsidR="00B94ECE">
        <w:rPr>
          <w:rStyle w:val="FootnoteReference"/>
        </w:rPr>
        <w:footnoteReference w:id="60"/>
      </w:r>
      <w:r w:rsidR="00B94ECE">
        <w:t xml:space="preserve"> </w:t>
      </w:r>
      <w:r>
        <w:t>Followin</w:t>
      </w:r>
      <w:r w:rsidR="00B94ECE">
        <w:t xml:space="preserve">g Freud’s structural analysis of humour, </w:t>
      </w:r>
      <w:r w:rsidR="00C83E44">
        <w:t xml:space="preserve">Richlin demonstrates </w:t>
      </w:r>
      <w:r w:rsidR="00B94ECE">
        <w:t>that much of Roman satire worked the same way and thus also as a means of social control. She states: “the function of satire as defender of the status quo [can be seen in the chosen targets of satire]  … women who behave like men, homosexuals who behave like women, cripples, foreigners</w:t>
      </w:r>
      <w:r w:rsidR="00D271F4">
        <w:t>,</w:t>
      </w:r>
      <w:r w:rsidR="00B94ECE">
        <w:t xml:space="preserve"> those whose behaviour is in any way extreme … all embody the “other”, those whom the satirist wishes to differentiate from his own “normal” self.”</w:t>
      </w:r>
      <w:r w:rsidR="00B94ECE">
        <w:rPr>
          <w:rStyle w:val="FootnoteReference"/>
        </w:rPr>
        <w:footnoteReference w:id="61"/>
      </w:r>
    </w:p>
    <w:p w14:paraId="4EA5B81E" w14:textId="0013EC80" w:rsidR="00B94ECE" w:rsidRDefault="00B94ECE" w:rsidP="00B94ECE">
      <w:r>
        <w:t xml:space="preserve">Richlin goes on to explore the linked phenomenon of rites of reversal (for example, in Roman society, the Saturnalia, the </w:t>
      </w:r>
      <w:r w:rsidRPr="00434615">
        <w:rPr>
          <w:i/>
          <w:iCs/>
        </w:rPr>
        <w:t xml:space="preserve">Ludi </w:t>
      </w:r>
      <w:proofErr w:type="spellStart"/>
      <w:r w:rsidRPr="00434615">
        <w:rPr>
          <w:i/>
          <w:iCs/>
        </w:rPr>
        <w:t>Florales</w:t>
      </w:r>
      <w:proofErr w:type="spellEnd"/>
      <w:r>
        <w:t xml:space="preserve"> etc)</w:t>
      </w:r>
      <w:r w:rsidR="00FE075D">
        <w:t xml:space="preserve"> all of</w:t>
      </w:r>
      <w:r>
        <w:t xml:space="preserve"> which can be understood anthropologically as cathartic of sexual and aggressive impulses, with obscene humour providing release of tensions around social categories/inequalities and enabling the catharsis of hostile feelings.</w:t>
      </w:r>
      <w:r>
        <w:rPr>
          <w:rStyle w:val="FootnoteReference"/>
        </w:rPr>
        <w:footnoteReference w:id="62"/>
      </w:r>
      <w:r>
        <w:t xml:space="preserve">  She goes on to look specifically at the way threats of rape are woven into obscene humour in Roman satire, citing </w:t>
      </w:r>
      <w:r w:rsidR="006F5317">
        <w:t xml:space="preserve">also </w:t>
      </w:r>
      <w:r>
        <w:t>feminist theorists such as Robin Morgan who called rape “the ultimate metaphor for domination, violence, subjugation and possession” in a “phallocentric culture.”</w:t>
      </w:r>
      <w:r>
        <w:rPr>
          <w:rStyle w:val="FootnoteReference"/>
        </w:rPr>
        <w:footnoteReference w:id="63"/>
      </w:r>
    </w:p>
    <w:p w14:paraId="0E674AD4" w14:textId="77777777" w:rsidR="00C83E44" w:rsidRDefault="00B94ECE" w:rsidP="00B94ECE">
      <w:r>
        <w:t xml:space="preserve">Freud’s analysis of the structure of humour, specifically hostile and obscene humour, as applied by Richlin to analyse the structure and function of Roman satire, can equally be applied to illuminate our understanding of the function of the Dresden wrestling group statue type. </w:t>
      </w:r>
    </w:p>
    <w:p w14:paraId="46952533" w14:textId="5C26795A" w:rsidR="00B94ECE" w:rsidRDefault="00B94ECE" w:rsidP="00B94ECE">
      <w:r>
        <w:t xml:space="preserve">If and insofar as it functioned as humour -  this was not simply at the superficial, “gender-bending peekaboo” level (‘ha </w:t>
      </w:r>
      <w:proofErr w:type="spellStart"/>
      <w:r>
        <w:t>ha</w:t>
      </w:r>
      <w:proofErr w:type="spellEnd"/>
      <w:r>
        <w:t xml:space="preserve">, ‘she’ has a penis, gotcha!’) although this may have been part of how it worked </w:t>
      </w:r>
      <w:r w:rsidR="00FE075D">
        <w:t>–</w:t>
      </w:r>
      <w:r>
        <w:t xml:space="preserve"> but</w:t>
      </w:r>
      <w:r w:rsidR="00FE075D">
        <w:t xml:space="preserve"> using</w:t>
      </w:r>
      <w:r>
        <w:t xml:space="preserve"> humour as Freud analysed it, to create complicity (between content creator and audience) in the subjection of the victim/target of the humour – in this </w:t>
      </w:r>
      <w:r>
        <w:lastRenderedPageBreak/>
        <w:t xml:space="preserve">case </w:t>
      </w:r>
      <w:r w:rsidR="006F5317">
        <w:t xml:space="preserve">creating </w:t>
      </w:r>
      <w:r>
        <w:t xml:space="preserve">complicity between elite </w:t>
      </w:r>
      <w:r w:rsidR="00201F86">
        <w:t>R</w:t>
      </w:r>
      <w:r>
        <w:t>oman male patrons</w:t>
      </w:r>
      <w:r w:rsidR="006F5317">
        <w:t xml:space="preserve"> </w:t>
      </w:r>
      <w:r>
        <w:t xml:space="preserve">and the elite audience, in laughing together at the violence inflicted on/resisted by the hermaphrodite body. </w:t>
      </w:r>
    </w:p>
    <w:p w14:paraId="62C0E83F" w14:textId="77777777" w:rsidR="00B94ECE" w:rsidRDefault="00B94ECE" w:rsidP="00B94ECE">
      <w:r>
        <w:t xml:space="preserve">Richlin’s exploration of how the metaphor of rape and threats of rape is woven through Roman satire can further be applied to read the Dresden wrestling group statue as an image of sexual subjugation, ‘funny’ in the sense that humour can be used (in Roman culture as in any other) to oppress and humiliate its victims, maintaining the power of those at the top of any hierarchy to laugh at those beneath them. </w:t>
      </w:r>
    </w:p>
    <w:p w14:paraId="1D9AA71C" w14:textId="7F148227" w:rsidR="00B94ECE" w:rsidRDefault="00B94ECE" w:rsidP="00B94ECE">
      <w:r>
        <w:t>Through a Freudian lens, the Dresden wrestling group can be understood both as sublimating the (constrained) Roman male desire for sexual violence through art, and at the same time, as enabling elite Roman men to externalise and thus</w:t>
      </w:r>
      <w:r w:rsidR="00C83E44">
        <w:t xml:space="preserve"> to</w:t>
      </w:r>
      <w:r>
        <w:t xml:space="preserve"> laugh together at (re-state their power over) two things they most feared: </w:t>
      </w:r>
      <w:r w:rsidRPr="00F5000A">
        <w:rPr>
          <w:i/>
          <w:iCs/>
        </w:rPr>
        <w:t>liminal gender boundaries, and loss of control</w:t>
      </w:r>
      <w:r>
        <w:t xml:space="preserve"> (as embodied in the ‘others’ of the hermaphrodite and of the satyr). </w:t>
      </w:r>
    </w:p>
    <w:p w14:paraId="781B952C" w14:textId="397EEDD1" w:rsidR="00B94ECE" w:rsidRDefault="00F642B0" w:rsidP="00B94ECE">
      <w:r>
        <w:t>A</w:t>
      </w:r>
      <w:r w:rsidR="00B94ECE">
        <w:t xml:space="preserve"> second major C20th theorist whose work has yet to be applied to the Dresden wrestling group statue, or to art more broadly, is </w:t>
      </w:r>
      <w:r w:rsidR="00B94ECE" w:rsidRPr="008D270D">
        <w:t>René</w:t>
      </w:r>
      <w:r w:rsidR="00B94ECE">
        <w:t xml:space="preserve"> Girard. </w:t>
      </w:r>
      <w:r w:rsidR="00D64861">
        <w:t xml:space="preserve"> </w:t>
      </w:r>
      <w:r w:rsidR="00B94ECE">
        <w:t>Girard’s work was based in anthropology, and in analysis of the structure of texts, mythology, religious and ritual practices</w:t>
      </w:r>
      <w:r w:rsidR="006F5317">
        <w:t>,</w:t>
      </w:r>
      <w:r w:rsidR="00B94ECE">
        <w:t xml:space="preserve"> across cultures. His argument, articulated most fully in </w:t>
      </w:r>
      <w:r w:rsidR="00B94ECE" w:rsidRPr="007D3134">
        <w:rPr>
          <w:i/>
          <w:iCs/>
        </w:rPr>
        <w:t>Violence and the Sacred</w:t>
      </w:r>
      <w:r w:rsidR="00B94ECE">
        <w:t xml:space="preserve"> (1972), in short is this: human beings learn what to desire through </w:t>
      </w:r>
      <w:r w:rsidR="00B94ECE" w:rsidRPr="00E512F9">
        <w:rPr>
          <w:i/>
          <w:iCs/>
        </w:rPr>
        <w:t xml:space="preserve">mimesis </w:t>
      </w:r>
      <w:r w:rsidR="00B94ECE">
        <w:t>– copying/imitation of other human beings. This mimetic process leads inevitably to</w:t>
      </w:r>
      <w:r w:rsidR="006F5317">
        <w:t xml:space="preserve"> competition and</w:t>
      </w:r>
      <w:r w:rsidR="00B94ECE">
        <w:t xml:space="preserve"> the escalation of conflict and violence within communities, which, Girard argues, across cultures, is avoided and resolved through scapegoating. Girard suggests that at moments of threat, tension, conflict and crisis, the community – through a non-rational process – selects a victim to blame all the troubles of the community on; that victim is usually a marginal figure, someone already on the edge of society; they are sacrificed/killed, and the tension and conflict within the community is resolved – the scapegoat (</w:t>
      </w:r>
      <w:r w:rsidR="00B94ECE" w:rsidRPr="00DD301E">
        <w:rPr>
          <w:i/>
          <w:iCs/>
        </w:rPr>
        <w:t>pharmakos</w:t>
      </w:r>
      <w:r w:rsidR="00B94ECE">
        <w:t xml:space="preserve"> in Greek) acting as a release valve and substitute for wider communal violence.</w:t>
      </w:r>
      <w:r w:rsidR="00B94ECE">
        <w:rPr>
          <w:rStyle w:val="FootnoteReference"/>
        </w:rPr>
        <w:footnoteReference w:id="64"/>
      </w:r>
      <w:r w:rsidR="00B94ECE">
        <w:t xml:space="preserve"> In Girard’s words: “the function of violence [against the scapegoat] is to ‘purify’ violence; that is, to ‘trick’ violence into expending itself on victims whose death will not provoke reprisals.”</w:t>
      </w:r>
      <w:r w:rsidR="00B94ECE">
        <w:rPr>
          <w:rStyle w:val="FootnoteReference"/>
        </w:rPr>
        <w:footnoteReference w:id="65"/>
      </w:r>
      <w:r w:rsidR="00B94ECE">
        <w:t xml:space="preserve"> </w:t>
      </w:r>
    </w:p>
    <w:p w14:paraId="5536A062" w14:textId="6B0E19E7" w:rsidR="00B94ECE" w:rsidRDefault="00B94ECE" w:rsidP="00B94ECE">
      <w:r>
        <w:t xml:space="preserve">Ancient Historians have already noted how Girardian theory illuminates our understanding of the function of the role and treatment of both vestal virgins and </w:t>
      </w:r>
      <w:r w:rsidR="00577020">
        <w:t>hermaphrodites</w:t>
      </w:r>
      <w:r>
        <w:t xml:space="preserve"> in the Roman </w:t>
      </w:r>
      <w:r>
        <w:lastRenderedPageBreak/>
        <w:t>prodigy system.</w:t>
      </w:r>
      <w:r w:rsidRPr="00246558">
        <w:rPr>
          <w:rStyle w:val="FootnoteReference"/>
        </w:rPr>
        <w:footnoteReference w:id="66"/>
      </w:r>
      <w:r w:rsidRPr="00246558">
        <w:t xml:space="preserve"> </w:t>
      </w:r>
      <w:r>
        <w:t xml:space="preserve">In the system of Roman </w:t>
      </w:r>
      <w:r w:rsidRPr="004C5A17">
        <w:rPr>
          <w:i/>
          <w:iCs/>
        </w:rPr>
        <w:t>religio</w:t>
      </w:r>
      <w:r>
        <w:t>, prodigies</w:t>
      </w:r>
      <w:r>
        <w:rPr>
          <w:rStyle w:val="FootnoteReference"/>
        </w:rPr>
        <w:footnoteReference w:id="67"/>
      </w:r>
      <w:r>
        <w:t xml:space="preserve"> were un-natural occurrences, seen as messages of divine displeasure, requiring </w:t>
      </w:r>
      <w:r w:rsidRPr="00ED3FF4">
        <w:rPr>
          <w:i/>
          <w:iCs/>
        </w:rPr>
        <w:t>expiation</w:t>
      </w:r>
      <w:r>
        <w:t xml:space="preserve"> – an appropriate human response to assuage the anger of the gods.</w:t>
      </w:r>
      <w:r>
        <w:rPr>
          <w:rStyle w:val="FootnoteReference"/>
        </w:rPr>
        <w:footnoteReference w:id="68"/>
      </w:r>
    </w:p>
    <w:p w14:paraId="4E7CD88E" w14:textId="77777777" w:rsidR="00C83E44" w:rsidRDefault="00B94ECE" w:rsidP="00B94ECE">
      <w:r>
        <w:t>Hermaphrodite (intersex) bodies – were perceived as prodigious - an expression of divine displeasure, throughout the Republican era. When a hermaphrodite was discovered - at birth, as a child or as an adult -  the ‘solution’ in the Roman prodigy system was drowning or exposure on water.</w:t>
      </w:r>
      <w:r>
        <w:rPr>
          <w:rStyle w:val="FootnoteReference"/>
        </w:rPr>
        <w:footnoteReference w:id="69"/>
      </w:r>
      <w:r>
        <w:t xml:space="preserve"> The hermaphrodite body – transgressive in its bi-sexed attributes – was </w:t>
      </w:r>
      <w:r w:rsidR="00C83E44">
        <w:t>perceived as</w:t>
      </w:r>
      <w:r>
        <w:t xml:space="preserve"> so threatening to the community as to require both explanation (as prodigy) and expiation (elimination through exposure/drowning) to protect the Roman state, without the stain of murder falling on the community itself, or on Roman soil. </w:t>
      </w:r>
    </w:p>
    <w:p w14:paraId="2BB3C2EB" w14:textId="0C4B1D37" w:rsidR="00B94ECE" w:rsidRDefault="00B94ECE" w:rsidP="00B94ECE">
      <w:r>
        <w:t>Although Holt Parker note</w:t>
      </w:r>
      <w:r w:rsidR="00C83E44">
        <w:t>d</w:t>
      </w:r>
      <w:r>
        <w:t xml:space="preserve"> in his 2004 article the parallel between hermaphrodites and vestal virgins, he did not explore in further detail the hermaphrodite body as a perfect ex</w:t>
      </w:r>
      <w:r w:rsidR="00C83E44">
        <w:t>ample</w:t>
      </w:r>
      <w:r>
        <w:t xml:space="preserve"> of the </w:t>
      </w:r>
      <w:r w:rsidR="009A0344">
        <w:t>Girardian</w:t>
      </w:r>
      <w:r>
        <w:t xml:space="preserve"> </w:t>
      </w:r>
      <w:r w:rsidRPr="00FA1702">
        <w:rPr>
          <w:i/>
          <w:iCs/>
        </w:rPr>
        <w:t>pharmako</w:t>
      </w:r>
      <w:r w:rsidR="008860FC">
        <w:rPr>
          <w:i/>
          <w:iCs/>
        </w:rPr>
        <w:t>s</w:t>
      </w:r>
      <w:r>
        <w:t xml:space="preserve"> – </w:t>
      </w:r>
      <w:r w:rsidR="008860FC">
        <w:t xml:space="preserve">usually </w:t>
      </w:r>
      <w:r>
        <w:t xml:space="preserve">a liminal figure already at the margins, whose destruction secures the safety of the community. In his essay ‘Violence and Religion, cause or effect?’ Girard wrote “Another highly revealing clue is the physical impairment of the victims </w:t>
      </w:r>
      <w:r w:rsidR="008860FC">
        <w:t xml:space="preserve">… </w:t>
      </w:r>
      <w:r>
        <w:t>these handicaps suggest how mobs really select their victims. Animal predators select visibly abnormal prey because they are easier to spot and to catch. Something similar happens, it seems, in the human world: visibly ‘damaged’ individuals attract the attention of mobs.”</w:t>
      </w:r>
      <w:r>
        <w:rPr>
          <w:rStyle w:val="FootnoteReference"/>
        </w:rPr>
        <w:footnoteReference w:id="70"/>
      </w:r>
      <w:r>
        <w:t xml:space="preserve"> </w:t>
      </w:r>
    </w:p>
    <w:p w14:paraId="5FD0A66C" w14:textId="3CC01E9E" w:rsidR="00B94ECE" w:rsidRDefault="00C83E44" w:rsidP="00B94ECE">
      <w:r>
        <w:t xml:space="preserve">Girard’s </w:t>
      </w:r>
      <w:r w:rsidR="008860FC">
        <w:t>work</w:t>
      </w:r>
      <w:r>
        <w:t xml:space="preserve"> </w:t>
      </w:r>
      <w:r w:rsidR="008860FC">
        <w:t>is</w:t>
      </w:r>
      <w:r w:rsidR="00B94ECE">
        <w:t xml:space="preserve"> of particular </w:t>
      </w:r>
      <w:r w:rsidR="008860FC">
        <w:t>importance</w:t>
      </w:r>
      <w:r w:rsidR="00B94ECE">
        <w:t xml:space="preserve"> to this study of the Dresden Wrestling Group statue type. </w:t>
      </w:r>
      <w:r w:rsidR="008860FC">
        <w:t>It enables a deeper understand of</w:t>
      </w:r>
      <w:r w:rsidR="00B94ECE">
        <w:t xml:space="preserve"> the depth of the threat perceived by (real) hermaphrodite bodies to the Roman state. Whilst a wolf in the city can readily be understood </w:t>
      </w:r>
      <w:r w:rsidR="00B94ECE">
        <w:lastRenderedPageBreak/>
        <w:t>as prodigious (</w:t>
      </w:r>
      <w:r w:rsidR="00866DF4">
        <w:t>i.e.</w:t>
      </w:r>
      <w:r w:rsidR="00B94ECE">
        <w:t xml:space="preserve"> threatening) what was it about hermaphrodite bodies that was so profoundly threatening as to require their destruction – if not their direct challenge to the patriarchal bi-gendered model on which the entire construction of Roman masculinity relied? Understanding the place of hermaphrodite bodies in the Roman prodigy system through a Girardian lens, allows us to see that the crisis that hermaphrodite bodies presented was not simply that of divine displeasure – nor of increasing communal tension, conflict and violence – but a threat precisely to the order of Roman society which was predicated on knowing who was a man, and who was ‘other’ than manly.</w:t>
      </w:r>
      <w:r w:rsidR="00C1724A" w:rsidRPr="00C1724A">
        <w:rPr>
          <w:rStyle w:val="FootnoteReference"/>
        </w:rPr>
        <w:t xml:space="preserve"> </w:t>
      </w:r>
      <w:r w:rsidR="00C1724A">
        <w:rPr>
          <w:rStyle w:val="FootnoteReference"/>
        </w:rPr>
        <w:footnoteReference w:id="71"/>
      </w:r>
      <w:r w:rsidR="00B94ECE">
        <w:t xml:space="preserve"> The hermaphrodite body de-stabilised the gendered construction of society – so had to be destroyed. </w:t>
      </w:r>
    </w:p>
    <w:p w14:paraId="547DDBA9" w14:textId="77777777" w:rsidR="00C83E44" w:rsidRDefault="00B94ECE" w:rsidP="00B94ECE">
      <w:r>
        <w:t>Why then</w:t>
      </w:r>
      <w:r w:rsidR="00C83E44">
        <w:t xml:space="preserve"> - </w:t>
      </w:r>
      <w:r>
        <w:t xml:space="preserve">while Romans feared and loathed real hermaphrodite bodies so much as to require their destruction in the Roman prodigy system – did the elite commission sculpture of idealised hermaphrodite bodies to adorn their villas </w:t>
      </w:r>
      <w:r w:rsidRPr="00003F9D">
        <w:rPr>
          <w:i/>
          <w:iCs/>
        </w:rPr>
        <w:t>at the precise same time</w:t>
      </w:r>
      <w:r>
        <w:t xml:space="preserve">? Freud’s concept of sublimated desire may give us part of the answer – that hermaphrodite bodies were thrilling precisely </w:t>
      </w:r>
      <w:r w:rsidRPr="00C83E44">
        <w:rPr>
          <w:i/>
          <w:iCs/>
        </w:rPr>
        <w:t>because</w:t>
      </w:r>
      <w:r>
        <w:t xml:space="preserve"> they were transgressive/dangerous. </w:t>
      </w:r>
    </w:p>
    <w:p w14:paraId="636C2469" w14:textId="7DEFEC18" w:rsidR="00B94ECE" w:rsidRDefault="00B94ECE" w:rsidP="00B94ECE">
      <w:r>
        <w:t>Two key answers are further suggested by Girard’s own work. Girard argues that across societies, people cannot acknowledge the real drivers of the scapegoating process – the need to control and contain the community’s violence against itself. The scapegoat is seen as answering the problem through religious/ritual practice</w:t>
      </w:r>
      <w:r w:rsidR="00C06BD4">
        <w:t xml:space="preserve">, </w:t>
      </w:r>
      <w:r>
        <w:t xml:space="preserve">and </w:t>
      </w:r>
      <w:r w:rsidR="00C06BD4">
        <w:t xml:space="preserve">- </w:t>
      </w:r>
      <w:r>
        <w:t>across many myths and religions, Girard argu</w:t>
      </w:r>
      <w:r w:rsidR="00D271F4">
        <w:t>es</w:t>
      </w:r>
      <w:r w:rsidR="005C3CFE">
        <w:t xml:space="preserve"> that</w:t>
      </w:r>
      <w:r>
        <w:t xml:space="preserve"> the scapegoat is then deified – their seeming ‘magical’ ability to resolve the community’s sense of threat and tension being explained by their divine nature.</w:t>
      </w:r>
      <w:r>
        <w:rPr>
          <w:rStyle w:val="FootnoteReference"/>
        </w:rPr>
        <w:footnoteReference w:id="72"/>
      </w:r>
      <w:r>
        <w:t xml:space="preserve"> </w:t>
      </w:r>
    </w:p>
    <w:p w14:paraId="46BDAACF" w14:textId="02F42B85" w:rsidR="00B94ECE" w:rsidRDefault="00B94ECE" w:rsidP="00B94ECE">
      <w:r>
        <w:t>Applying this element of Girard’s thinking to the Dresden Wrestling Group statue, one argument could be that the statue represents not real-life hermaphrodite bodies (those that were feared</w:t>
      </w:r>
      <w:r w:rsidR="008860FC">
        <w:t xml:space="preserve">, </w:t>
      </w:r>
      <w:r>
        <w:t>loathed</w:t>
      </w:r>
      <w:r w:rsidR="008860FC">
        <w:t xml:space="preserve"> and destroyed</w:t>
      </w:r>
      <w:r>
        <w:t xml:space="preserve">) – but the idealised, divinised body of the Greek God, Hermaphroditus. In other words, the reason why the statue functioned as </w:t>
      </w:r>
      <w:r w:rsidR="00C83E44">
        <w:t xml:space="preserve">desirable </w:t>
      </w:r>
      <w:r>
        <w:t xml:space="preserve">art in </w:t>
      </w:r>
      <w:r w:rsidR="00C83E44">
        <w:t>the same</w:t>
      </w:r>
      <w:r>
        <w:t xml:space="preserve"> Roman society which feared </w:t>
      </w:r>
      <w:r w:rsidR="008860FC">
        <w:t xml:space="preserve">and </w:t>
      </w:r>
      <w:r>
        <w:t>destroyed real-life hermaphrodites, is precisely because</w:t>
      </w:r>
      <w:r w:rsidR="00C83E44">
        <w:t xml:space="preserve"> -</w:t>
      </w:r>
      <w:r>
        <w:t xml:space="preserve"> </w:t>
      </w:r>
      <w:r w:rsidRPr="00003F9D">
        <w:rPr>
          <w:i/>
          <w:iCs/>
        </w:rPr>
        <w:t xml:space="preserve">pace </w:t>
      </w:r>
      <w:r>
        <w:t xml:space="preserve">Girard – what is represented in the Dresden Wrestling Group is not real hermaphrodites, but a divinised and idealised version of the sacrificial hermaphrodites, now worshipped as the divinised Hermaphroditus. </w:t>
      </w:r>
    </w:p>
    <w:p w14:paraId="754E98CB" w14:textId="7D520438" w:rsidR="00B94ECE" w:rsidRDefault="008860FC" w:rsidP="00B94ECE">
      <w:r>
        <w:t>An</w:t>
      </w:r>
      <w:r w:rsidR="00B94ECE">
        <w:t xml:space="preserve"> alternative and equally Girardian interpretation is </w:t>
      </w:r>
      <w:r w:rsidR="00C06BD4">
        <w:t>also</w:t>
      </w:r>
      <w:r w:rsidR="00B94ECE">
        <w:t xml:space="preserve"> possible. In a society in which hermaphrodite bodies were destroyed, we can read the Dresden Wrestling Group through </w:t>
      </w:r>
      <w:r w:rsidR="00B94ECE">
        <w:lastRenderedPageBreak/>
        <w:t xml:space="preserve">Girardian theory, as a further example of sacrifice. Just as hermaphrodite bodies were destroyed through the (distanced) violence of drowning or exposure – the </w:t>
      </w:r>
      <w:r w:rsidR="00577020">
        <w:t>hermaphrodite</w:t>
      </w:r>
      <w:r w:rsidR="00B94ECE">
        <w:t xml:space="preserve"> body in the Dresden Wrestling Group statue type is sacrificed to the sexual violence of the satyr, in this case with the sacrificial mechanism taking place right in front of us, but distanced </w:t>
      </w:r>
      <w:r>
        <w:t>in this instance,</w:t>
      </w:r>
      <w:r w:rsidR="00B94ECE">
        <w:t xml:space="preserve"> through the medium of art. </w:t>
      </w:r>
    </w:p>
    <w:p w14:paraId="63489C87" w14:textId="0119981B" w:rsidR="00B94ECE" w:rsidRDefault="00B94ECE" w:rsidP="00B94ECE">
      <w:r>
        <w:t>While Girard himself applied his understanding of how the scapegoat mechanism functioned anthropologically to a wide range of texts (including Shakespeare’s plays and the Christan gospels), and further Girardian scholarship has continued to focus on the scapegoat mechanism in text</w:t>
      </w:r>
      <w:r w:rsidR="00C83E44">
        <w:t>,</w:t>
      </w:r>
      <w:r>
        <w:rPr>
          <w:rStyle w:val="FootnoteReference"/>
        </w:rPr>
        <w:footnoteReference w:id="73"/>
      </w:r>
      <w:r>
        <w:t xml:space="preserve"> little attention has been paid as to how art can also function as sacrifice – in other words how watching/visualising violence against the ‘other’ in art serves a parallel ‘cathartic’ process to that of destroying the ‘other’ through actual physical violence. </w:t>
      </w:r>
    </w:p>
    <w:p w14:paraId="73A9DFC0" w14:textId="094F76F9" w:rsidR="000D25C0" w:rsidRDefault="00B94ECE" w:rsidP="00B94ECE">
      <w:r>
        <w:t xml:space="preserve">In a society which routinely destroyed actual, real life hermaphrodite (intersex) bodies, and more generally routinely enjoyed spectacles of violence against all kinds of marginalised victims in the amphitheatre, I would like to suggest that this is the most likely function of the Dresden Wrestling Group statue type: that it functioned as visual sacrifice of the bi-gendered ‘other’ – externalised and distanced as ‘art’ – to </w:t>
      </w:r>
      <w:r w:rsidR="00C83E44">
        <w:t xml:space="preserve">enable and </w:t>
      </w:r>
      <w:r>
        <w:t xml:space="preserve">uphold (save) hegemonic Roman masculinity and the </w:t>
      </w:r>
      <w:r w:rsidR="00C83E44">
        <w:t xml:space="preserve">fundamentally </w:t>
      </w:r>
      <w:r>
        <w:t xml:space="preserve">gendered construction of society. </w:t>
      </w:r>
    </w:p>
    <w:p w14:paraId="4893DBDD" w14:textId="77777777" w:rsidR="000D25C0" w:rsidRDefault="000D25C0">
      <w:r>
        <w:br w:type="page"/>
      </w:r>
    </w:p>
    <w:p w14:paraId="6B4D8A9C" w14:textId="77777777" w:rsidR="000D25C0" w:rsidRDefault="000D25C0" w:rsidP="000D25C0">
      <w:pPr>
        <w:rPr>
          <w:b/>
          <w:bCs/>
        </w:rPr>
      </w:pPr>
      <w:r>
        <w:rPr>
          <w:b/>
          <w:bCs/>
        </w:rPr>
        <w:lastRenderedPageBreak/>
        <w:t>Chapter five – Hidden in plain sight (part 1)</w:t>
      </w:r>
    </w:p>
    <w:p w14:paraId="18CB7085" w14:textId="4FC6CD8A" w:rsidR="000D25C0" w:rsidRPr="000E4827" w:rsidRDefault="000D25C0" w:rsidP="000D25C0">
      <w:r>
        <w:t>This chapter turns to look at the display of the Dresden wrestling group statue type in modern museum contexts. Drawing on reception studies and grounded in the framework of museum ethics, this chapter interrogates the ethical issues and implications of displaying the statue</w:t>
      </w:r>
      <w:r w:rsidR="008E504D">
        <w:t xml:space="preserve"> type</w:t>
      </w:r>
      <w:r w:rsidR="001753E3">
        <w:t>. It compares</w:t>
      </w:r>
      <w:r>
        <w:t xml:space="preserve"> the profound and innovative changes museums have made to decolonise their collections and practice in recent years, with the</w:t>
      </w:r>
      <w:r w:rsidR="008E504D">
        <w:t>ir far</w:t>
      </w:r>
      <w:r>
        <w:t xml:space="preserve"> more limited and sporadic response to the issues raised by </w:t>
      </w:r>
      <w:r w:rsidR="00F642B0">
        <w:t>#MeToo</w:t>
      </w:r>
      <w:r>
        <w:t>. The chapter concludes by looking at the prevalence of sexual assault in England and Wales</w:t>
      </w:r>
      <w:r w:rsidR="008E504D">
        <w:t xml:space="preserve"> today</w:t>
      </w:r>
      <w:r>
        <w:t xml:space="preserve"> and </w:t>
      </w:r>
      <w:r w:rsidR="008E504D">
        <w:t>applying</w:t>
      </w:r>
      <w:r>
        <w:t xml:space="preserve"> th</w:t>
      </w:r>
      <w:r w:rsidR="008E504D">
        <w:t>e</w:t>
      </w:r>
      <w:r>
        <w:t xml:space="preserve"> data to </w:t>
      </w:r>
      <w:r w:rsidR="008E504D">
        <w:t>calculate</w:t>
      </w:r>
      <w:r>
        <w:t xml:space="preserve"> the number and proportion of visitors to the Ashmolean Museum who have experienced sexual assault, who might encounter the Dresden wrestling group </w:t>
      </w:r>
      <w:r w:rsidR="008E504D">
        <w:t xml:space="preserve">cast </w:t>
      </w:r>
      <w:proofErr w:type="gramStart"/>
      <w:r>
        <w:t>in a given year</w:t>
      </w:r>
      <w:proofErr w:type="gramEnd"/>
      <w:r>
        <w:t xml:space="preserve">. The following chapter (six) reflects on a live interview with the Director of the cast gallery in December 2025 as part of </w:t>
      </w:r>
      <w:r w:rsidRPr="000E4827">
        <w:t xml:space="preserve">the research for this dissertation. </w:t>
      </w:r>
    </w:p>
    <w:p w14:paraId="4FA85CE2" w14:textId="6C6E3C1C" w:rsidR="000D25C0" w:rsidRPr="000E4827" w:rsidRDefault="000D25C0" w:rsidP="000D25C0">
      <w:pPr>
        <w:rPr>
          <w:b/>
          <w:bCs/>
        </w:rPr>
      </w:pPr>
      <w:r w:rsidRPr="00916765">
        <w:rPr>
          <w:b/>
          <w:bCs/>
        </w:rPr>
        <w:t xml:space="preserve">Modern </w:t>
      </w:r>
      <w:r w:rsidR="008E504D">
        <w:rPr>
          <w:b/>
          <w:bCs/>
        </w:rPr>
        <w:t>m</w:t>
      </w:r>
      <w:r w:rsidRPr="00916765">
        <w:rPr>
          <w:b/>
          <w:bCs/>
        </w:rPr>
        <w:t>useum ethics – key issues</w:t>
      </w:r>
    </w:p>
    <w:p w14:paraId="09001748" w14:textId="33B8916D" w:rsidR="000D25C0" w:rsidRPr="00876DD8" w:rsidRDefault="009C1644" w:rsidP="000D25C0">
      <w:r>
        <w:t xml:space="preserve">Museum ethics as a discipline has moved beyond a focus on Codes of Ethics, towards innovative practices </w:t>
      </w:r>
      <w:r w:rsidR="001753E3">
        <w:t>of</w:t>
      </w:r>
      <w:r>
        <w:t xml:space="preserve"> community consultation and engagement, </w:t>
      </w:r>
      <w:proofErr w:type="gramStart"/>
      <w:r>
        <w:t>opening up</w:t>
      </w:r>
      <w:proofErr w:type="gramEnd"/>
      <w:r>
        <w:t xml:space="preserve"> decision-making and recognising the legal right of indigenous communities to decide about the location and display of items taken from their communities centuries ago. Museums have experimented with allowing activist groups and audiences to re-label exhibits, inviting theatre groups to create works that challenge audience perceptions of the objects in the museum, and </w:t>
      </w:r>
      <w:r w:rsidR="001753E3">
        <w:t>pioneering</w:t>
      </w:r>
      <w:r>
        <w:t xml:space="preserve"> local consultation </w:t>
      </w:r>
      <w:r w:rsidR="001753E3">
        <w:t>to help set museum priorities</w:t>
      </w:r>
      <w:r>
        <w:t xml:space="preserve">. At the heart of all of this, is a recognition that museums can no longer see themselves as ‘neutral’ repositories of collections with an objective/agreed value, telling a single, factual story. </w:t>
      </w:r>
      <w:r w:rsidRPr="00876DD8">
        <w:t xml:space="preserve">The new International Council of Museums </w:t>
      </w:r>
      <w:r w:rsidR="001753E3">
        <w:t xml:space="preserve">(ICOM) </w:t>
      </w:r>
      <w:r w:rsidRPr="00876DD8">
        <w:t>definition of a museum, adopted in August 2022, reflects these shifts in how museum</w:t>
      </w:r>
      <w:r>
        <w:t xml:space="preserve">s </w:t>
      </w:r>
      <w:r w:rsidR="001753E3">
        <w:t>understand</w:t>
      </w:r>
      <w:r w:rsidRPr="00876DD8">
        <w:t xml:space="preserve"> themselves and their role in society</w:t>
      </w:r>
      <w:r w:rsidR="00536C87" w:rsidRPr="00876DD8">
        <w:t>.</w:t>
      </w:r>
      <w:r w:rsidR="00536C87" w:rsidRPr="00876DD8">
        <w:rPr>
          <w:rStyle w:val="FootnoteReference"/>
        </w:rPr>
        <w:footnoteReference w:id="74"/>
      </w:r>
      <w:r w:rsidR="00536C87" w:rsidRPr="00876DD8">
        <w:t xml:space="preserve"> </w:t>
      </w:r>
    </w:p>
    <w:p w14:paraId="6389DC14" w14:textId="32180F9F" w:rsidR="000D25C0" w:rsidRDefault="00536C87" w:rsidP="000D25C0">
      <w:r>
        <w:t>As</w:t>
      </w:r>
      <w:r w:rsidR="000D25C0">
        <w:t xml:space="preserve"> Hein has argued, museums must recognise themselves as ethical actors, rooted in the practice of representation</w:t>
      </w:r>
      <w:r w:rsidR="00822857">
        <w:t>:</w:t>
      </w:r>
      <w:r w:rsidR="000D25C0">
        <w:t xml:space="preserve"> “museums, at the core their being, are ethical entities. This is not a consequence of their social activism nor of their endorsement of specific moral causes; it is, rather, entailed by … the ethical impulse that animates all representation.”</w:t>
      </w:r>
      <w:r w:rsidR="000D25C0">
        <w:rPr>
          <w:rStyle w:val="FootnoteReference"/>
        </w:rPr>
        <w:footnoteReference w:id="75"/>
      </w:r>
      <w:r w:rsidR="000D25C0">
        <w:t xml:space="preserve"> In other words, the identity of the museum as an ethical actor is essential, not tangential, to its identity as a museum. The consequence of this is the recognition that no decision about collection, display, or narratives surrounding objects is neutral</w:t>
      </w:r>
      <w:r w:rsidR="009C1644">
        <w:t xml:space="preserve">, </w:t>
      </w:r>
      <w:r w:rsidR="000D25C0">
        <w:t xml:space="preserve">or uncontested. Therefore, modern museum </w:t>
      </w:r>
      <w:r w:rsidR="000D25C0">
        <w:lastRenderedPageBreak/>
        <w:t>ethics rests on a recognition of a plurality of perspectives, of social justice as central to the role of museums, and necessitates taking risks with transparency, to enable socially inclusive discourse</w:t>
      </w:r>
      <w:r w:rsidR="00822857">
        <w:t>s</w:t>
      </w:r>
      <w:r w:rsidR="000D25C0">
        <w:t xml:space="preserve"> and nurture shared authority.</w:t>
      </w:r>
      <w:r w:rsidR="000D25C0">
        <w:rPr>
          <w:rStyle w:val="FootnoteReference"/>
        </w:rPr>
        <w:footnoteReference w:id="76"/>
      </w:r>
      <w:r w:rsidR="000D25C0">
        <w:t xml:space="preserve"> The extent which museums are</w:t>
      </w:r>
      <w:r w:rsidR="00822857">
        <w:t xml:space="preserve"> </w:t>
      </w:r>
      <w:r w:rsidR="000D25C0">
        <w:t xml:space="preserve">operating </w:t>
      </w:r>
      <w:r w:rsidR="001753E3">
        <w:t>as</w:t>
      </w:r>
      <w:r w:rsidR="000D25C0">
        <w:t xml:space="preserve"> academic work on museum ethics</w:t>
      </w:r>
      <w:r w:rsidR="001753E3">
        <w:t>, and the new ICOM definition,</w:t>
      </w:r>
      <w:r w:rsidR="000D25C0">
        <w:t xml:space="preserve"> impl</w:t>
      </w:r>
      <w:r w:rsidR="001753E3">
        <w:t>y</w:t>
      </w:r>
      <w:r w:rsidR="000D25C0">
        <w:t xml:space="preserve">, is open to question.  </w:t>
      </w:r>
    </w:p>
    <w:p w14:paraId="3ACCCA93" w14:textId="77777777" w:rsidR="000D25C0" w:rsidRPr="000E4827" w:rsidRDefault="000D25C0" w:rsidP="000D25C0">
      <w:pPr>
        <w:rPr>
          <w:b/>
          <w:bCs/>
        </w:rPr>
      </w:pPr>
      <w:r>
        <w:rPr>
          <w:b/>
          <w:bCs/>
        </w:rPr>
        <w:t>Feminist critique, 1995 to 2022</w:t>
      </w:r>
    </w:p>
    <w:p w14:paraId="5D84450A" w14:textId="57C2158B" w:rsidR="000D25C0" w:rsidRDefault="000D25C0" w:rsidP="000D25C0">
      <w:r>
        <w:t>Over the past nearly 30 years, feminist thinkers have provided a profound critique of Museum practice both in objectifying women for the male gaze</w:t>
      </w:r>
      <w:r>
        <w:rPr>
          <w:rStyle w:val="FootnoteReference"/>
        </w:rPr>
        <w:footnoteReference w:id="77"/>
      </w:r>
      <w:r>
        <w:t xml:space="preserve"> and </w:t>
      </w:r>
      <w:r w:rsidR="00822857">
        <w:t>in the continued display of</w:t>
      </w:r>
      <w:r>
        <w:t xml:space="preserve"> sexual assault imagery.</w:t>
      </w:r>
      <w:r>
        <w:rPr>
          <w:rStyle w:val="FootnoteReference"/>
        </w:rPr>
        <w:footnoteReference w:id="78"/>
      </w:r>
      <w:r>
        <w:t xml:space="preserve"> Carol Duncan’s seminal work </w:t>
      </w:r>
      <w:r>
        <w:rPr>
          <w:i/>
          <w:iCs/>
        </w:rPr>
        <w:t>Civilizing Rituals</w:t>
      </w:r>
      <w:r>
        <w:t xml:space="preserve"> (1995) argued that museums </w:t>
      </w:r>
      <w:r w:rsidR="00344A14">
        <w:t xml:space="preserve">(including art galleries) </w:t>
      </w:r>
      <w:r>
        <w:t>can be understood as ‘gendered ritual spaces’</w:t>
      </w:r>
      <w:r w:rsidR="00344A14">
        <w:t xml:space="preserve">, whilst </w:t>
      </w:r>
      <w:r>
        <w:t xml:space="preserve">art history as a discipline has failed to </w:t>
      </w:r>
      <w:r w:rsidR="00344A14">
        <w:t>acknowledge their</w:t>
      </w:r>
      <w:r>
        <w:t xml:space="preserve"> “intense preoccupation with sexually available female bodies.”</w:t>
      </w:r>
      <w:r>
        <w:rPr>
          <w:rStyle w:val="FootnoteReference"/>
        </w:rPr>
        <w:footnoteReference w:id="79"/>
      </w:r>
      <w:r>
        <w:t xml:space="preserve"> She continues “this job of gendering falls largely to the museum’s many images of female bodies. Silently and surreptitiously, they specify the museum’s ritual as a male spiritual quest, just as the mark the project of modern art in general as a male endeavour, built on male fears, fantasies, and aspirations.”</w:t>
      </w:r>
      <w:r>
        <w:rPr>
          <w:rStyle w:val="FootnoteReference"/>
        </w:rPr>
        <w:footnoteReference w:id="80"/>
      </w:r>
      <w:r>
        <w:t xml:space="preserve"> She points to the work of modern artists like de Kooning  exercising a patriarchal privilege of celebrating male sexual fantasy, framed and endorsed as public high culture – and argues that </w:t>
      </w:r>
      <w:r w:rsidR="00344A14">
        <w:t>this work</w:t>
      </w:r>
      <w:r>
        <w:t xml:space="preserve"> serves the same purpose as pornography, objectifying the female body as an exercise of power. She concludes by arguing for museums to create a more open culture in which </w:t>
      </w:r>
      <w:r w:rsidR="009C1644">
        <w:t>they</w:t>
      </w:r>
      <w:r>
        <w:t xml:space="preserve"> can operate as “an arena in which a community may test, examine and imaginatively live both older truths and possibilities for new ones.”</w:t>
      </w:r>
      <w:r>
        <w:rPr>
          <w:rStyle w:val="FootnoteReference"/>
        </w:rPr>
        <w:footnoteReference w:id="81"/>
      </w:r>
    </w:p>
    <w:p w14:paraId="36597018" w14:textId="07DA0E0D" w:rsidR="000D25C0" w:rsidRDefault="000D25C0" w:rsidP="000D25C0">
      <w:r>
        <w:t xml:space="preserve">Helen Hein’s work in the early 2000s built on Duncan’s work, arguing for a feminist approach to museum ethics, which she characterised not simply as being about gendered norms, but as an approach which enables museums to move away from the idea of a single authoritative perspective, and </w:t>
      </w:r>
      <w:r w:rsidR="00344A14">
        <w:t xml:space="preserve">away from </w:t>
      </w:r>
      <w:r>
        <w:t>hierarchical models of authority, towards recognition of the validity of a plurality of perspectives and non-hierarchical engagement with communities inside and outside the museum. Part of a feminist approach to the role of the museum, she argued, is that of enabling a different kind of conversation across divides</w:t>
      </w:r>
      <w:r w:rsidR="00344A14">
        <w:t xml:space="preserve">: </w:t>
      </w:r>
      <w:r>
        <w:t>“Museums could be tantalizing sites of reconciliation where contrast and discord join in a protected environment that cultivates sympathy and reflection.”</w:t>
      </w:r>
      <w:r>
        <w:rPr>
          <w:rStyle w:val="FootnoteReference"/>
        </w:rPr>
        <w:footnoteReference w:id="82"/>
      </w:r>
    </w:p>
    <w:p w14:paraId="6E680231" w14:textId="6CC14F7E" w:rsidR="00344A14" w:rsidRDefault="000D25C0" w:rsidP="000D25C0">
      <w:r>
        <w:t>Almost 30 years after Duncan, Perry and Krasny’s 2022 article addresse</w:t>
      </w:r>
      <w:r w:rsidR="00344A14">
        <w:t>s</w:t>
      </w:r>
      <w:r>
        <w:t xml:space="preserve"> not just </w:t>
      </w:r>
      <w:r w:rsidR="00344A14">
        <w:t xml:space="preserve">the </w:t>
      </w:r>
      <w:r>
        <w:t>objectification of women</w:t>
      </w:r>
      <w:r w:rsidR="00344A14">
        <w:t>,</w:t>
      </w:r>
      <w:r>
        <w:t xml:space="preserve"> or feminist theory, but</w:t>
      </w:r>
      <w:r w:rsidR="00344A14">
        <w:t xml:space="preserve"> looks specifically</w:t>
      </w:r>
      <w:r>
        <w:t xml:space="preserve"> at</w:t>
      </w:r>
      <w:r w:rsidR="00344A14">
        <w:t xml:space="preserve"> the prevalence of</w:t>
      </w:r>
      <w:r>
        <w:t xml:space="preserve"> images </w:t>
      </w:r>
      <w:r>
        <w:lastRenderedPageBreak/>
        <w:t xml:space="preserve">of sexual assault. Opening </w:t>
      </w:r>
      <w:r w:rsidR="001753E3">
        <w:t>with</w:t>
      </w:r>
      <w:r>
        <w:t xml:space="preserve"> </w:t>
      </w:r>
      <w:r w:rsidR="00344A14">
        <w:t xml:space="preserve">activist group </w:t>
      </w:r>
      <w:r w:rsidR="001753E3">
        <w:t>T</w:t>
      </w:r>
      <w:r>
        <w:t>he Guerilla Girls question from 1989</w:t>
      </w:r>
      <w:r w:rsidR="00344A14">
        <w:t>:</w:t>
      </w:r>
      <w:r>
        <w:t xml:space="preserve"> “</w:t>
      </w:r>
      <w:r w:rsidRPr="006A1812">
        <w:rPr>
          <w:i/>
          <w:iCs/>
        </w:rPr>
        <w:t>Do women have to be naked to get into the Met Museum?</w:t>
      </w:r>
      <w:r>
        <w:t>” they argue “all museums are sexist museums which require critical scrutiny … to identify the ways in which they enact sexist norms including [...] the normalization of sexual violence … art museums in particular feature or rehearse […] sexual violence without due recognition that they clearly relate to the perpetration of actual sexual violence.”</w:t>
      </w:r>
      <w:r>
        <w:rPr>
          <w:rStyle w:val="FootnoteReference"/>
        </w:rPr>
        <w:footnoteReference w:id="83"/>
      </w:r>
      <w:r>
        <w:t xml:space="preserve"> </w:t>
      </w:r>
    </w:p>
    <w:p w14:paraId="554648A6" w14:textId="12965203" w:rsidR="009A0344" w:rsidRDefault="000D25C0" w:rsidP="000D25C0">
      <w:r>
        <w:t xml:space="preserve">They cite the </w:t>
      </w:r>
      <w:r w:rsidR="001753E3">
        <w:t xml:space="preserve">2021 </w:t>
      </w:r>
      <w:r>
        <w:t>work of Macushla Robinson</w:t>
      </w:r>
      <w:r w:rsidR="001753E3">
        <w:t xml:space="preserve">, which </w:t>
      </w:r>
      <w:r>
        <w:t>catalogued 181 images of rape in the Met Museum, arguing that despite this prevalence, there has been a lack of critical examination of the role of museums as “visual perpetrators of sexualised violence.”</w:t>
      </w:r>
      <w:r>
        <w:rPr>
          <w:rStyle w:val="FootnoteReference"/>
        </w:rPr>
        <w:footnoteReference w:id="84"/>
      </w:r>
      <w:r>
        <w:t xml:space="preserve"> They argue that even where museums have acknowledged the content of imagery as rape, including for example in the Isabella Stewart Gardner</w:t>
      </w:r>
      <w:r w:rsidR="00344A14">
        <w:t xml:space="preserve"> Museum</w:t>
      </w:r>
      <w:r>
        <w:t xml:space="preserve">’s display of Titian’s </w:t>
      </w:r>
      <w:r>
        <w:rPr>
          <w:i/>
          <w:iCs/>
        </w:rPr>
        <w:t>The rape of Europa</w:t>
      </w:r>
      <w:r>
        <w:t xml:space="preserve"> (see bullet point below)</w:t>
      </w:r>
      <w:r>
        <w:rPr>
          <w:i/>
          <w:iCs/>
        </w:rPr>
        <w:t xml:space="preserve"> </w:t>
      </w:r>
      <w:r>
        <w:t>“what remains absent … is an acknowledgement of the wider cultural implications of the exhibition continuing to reify sexual violence as aesthetic pleasure</w:t>
      </w:r>
      <w:r w:rsidR="00344A14">
        <w:t>.</w:t>
      </w:r>
      <w:r>
        <w:t>”</w:t>
      </w:r>
      <w:r>
        <w:rPr>
          <w:rStyle w:val="FootnoteReference"/>
        </w:rPr>
        <w:footnoteReference w:id="85"/>
      </w:r>
      <w:r w:rsidR="00344A14">
        <w:t xml:space="preserve"> T</w:t>
      </w:r>
      <w:r>
        <w:t>hey further highlight, more broadly, the way museum labelling “conceals the social implications, power injustices, harmfulness and trauma of what is shown, by focussing on the formal analysis.”</w:t>
      </w:r>
      <w:r>
        <w:rPr>
          <w:rStyle w:val="FootnoteReference"/>
        </w:rPr>
        <w:footnoteReference w:id="86"/>
      </w:r>
      <w:r w:rsidR="009A0344">
        <w:t xml:space="preserve"> </w:t>
      </w:r>
    </w:p>
    <w:p w14:paraId="218C80AE" w14:textId="51131D74" w:rsidR="000D25C0" w:rsidRPr="0008121B" w:rsidRDefault="000D25C0" w:rsidP="000D25C0">
      <w:r>
        <w:t>Despite this longstanding</w:t>
      </w:r>
      <w:r w:rsidR="00D271F4">
        <w:t xml:space="preserve"> and recent</w:t>
      </w:r>
      <w:r>
        <w:t xml:space="preserve"> feminist analysis and critique of museum practice, the disparity between museum efforts towards decolonisation on the one hand, and the much weaker response to feminist critique and the 2017 #MeToo movement, is striking. </w:t>
      </w:r>
    </w:p>
    <w:p w14:paraId="2631572C" w14:textId="1865288E" w:rsidR="000D25C0" w:rsidRPr="000E4827" w:rsidRDefault="000D25C0" w:rsidP="000D25C0">
      <w:pPr>
        <w:rPr>
          <w:b/>
          <w:bCs/>
        </w:rPr>
      </w:pPr>
      <w:r w:rsidRPr="000E4827">
        <w:rPr>
          <w:b/>
          <w:bCs/>
        </w:rPr>
        <w:t xml:space="preserve">Decolonisation </w:t>
      </w:r>
      <w:r w:rsidR="009536B5">
        <w:rPr>
          <w:b/>
          <w:bCs/>
        </w:rPr>
        <w:t>of museums, recent examples</w:t>
      </w:r>
    </w:p>
    <w:p w14:paraId="4DEA0328" w14:textId="33ACE95A" w:rsidR="000D25C0" w:rsidRPr="000E4827" w:rsidRDefault="000D25C0" w:rsidP="000D25C0">
      <w:r w:rsidRPr="000E4827">
        <w:t>Decolonising museums involves restructuring how collections are acquired, displayed, and managed, shifting power to source communities and marginali</w:t>
      </w:r>
      <w:r>
        <w:t>s</w:t>
      </w:r>
      <w:r w:rsidRPr="000E4827">
        <w:t xml:space="preserve">ed perspectives. </w:t>
      </w:r>
      <w:r>
        <w:t>Recent museum practice has included radical repatriation, sharing untold stories, renaming</w:t>
      </w:r>
      <w:r w:rsidR="009536B5">
        <w:t>,</w:t>
      </w:r>
      <w:r>
        <w:t xml:space="preserve"> and sharing decision making </w:t>
      </w:r>
      <w:r w:rsidR="00D271F4">
        <w:t>over</w:t>
      </w:r>
      <w:r>
        <w:t xml:space="preserve"> Museum collections and displays. Some of the most </w:t>
      </w:r>
      <w:r w:rsidRPr="000E4827">
        <w:t>innovative examples of decolonising museums</w:t>
      </w:r>
      <w:r>
        <w:t xml:space="preserve"> include:</w:t>
      </w:r>
    </w:p>
    <w:p w14:paraId="2587FD02" w14:textId="6F9148ED" w:rsidR="000D25C0" w:rsidRPr="000E4827" w:rsidRDefault="000D25C0" w:rsidP="000D25C0">
      <w:pPr>
        <w:numPr>
          <w:ilvl w:val="0"/>
          <w:numId w:val="6"/>
        </w:numPr>
      </w:pPr>
      <w:r w:rsidRPr="000E4827">
        <w:rPr>
          <w:b/>
          <w:bCs/>
        </w:rPr>
        <w:t>Manchester Museum (UK):</w:t>
      </w:r>
      <w:r w:rsidRPr="000E4827">
        <w:t xml:space="preserve"> This museum has returned dozens of stolen items, including 174 cultural heritage items to the Anindilyakwa community in Australia and 43 items to the Aranda people. They </w:t>
      </w:r>
      <w:r w:rsidR="009536B5">
        <w:t>created</w:t>
      </w:r>
      <w:r w:rsidRPr="000E4827">
        <w:t xml:space="preserve"> a </w:t>
      </w:r>
      <w:r w:rsidRPr="000E4827">
        <w:rPr>
          <w:b/>
          <w:bCs/>
        </w:rPr>
        <w:t>D</w:t>
      </w:r>
      <w:r>
        <w:rPr>
          <w:b/>
          <w:bCs/>
        </w:rPr>
        <w:t>eco</w:t>
      </w:r>
      <w:r w:rsidRPr="000E4827">
        <w:rPr>
          <w:b/>
          <w:bCs/>
        </w:rPr>
        <w:t xml:space="preserve">lonise! </w:t>
      </w:r>
      <w:r>
        <w:rPr>
          <w:b/>
          <w:bCs/>
        </w:rPr>
        <w:t>t</w:t>
      </w:r>
      <w:r w:rsidRPr="000E4827">
        <w:rPr>
          <w:b/>
          <w:bCs/>
        </w:rPr>
        <w:t>rail</w:t>
      </w:r>
      <w:r>
        <w:rPr>
          <w:b/>
          <w:bCs/>
        </w:rPr>
        <w:t xml:space="preserve"> </w:t>
      </w:r>
      <w:r w:rsidRPr="000E4827">
        <w:t xml:space="preserve">that invites visitors to critically engage with how the museum’s collection was formed and </w:t>
      </w:r>
      <w:r w:rsidR="00D271F4">
        <w:t>encourages</w:t>
      </w:r>
      <w:r w:rsidRPr="000E4827">
        <w:t xml:space="preserve"> community members to curate their own stories.</w:t>
      </w:r>
    </w:p>
    <w:p w14:paraId="449E7CF0" w14:textId="77777777" w:rsidR="00D832E3" w:rsidRDefault="000D25C0" w:rsidP="00D832E3">
      <w:pPr>
        <w:numPr>
          <w:ilvl w:val="0"/>
          <w:numId w:val="6"/>
        </w:numPr>
      </w:pPr>
      <w:r w:rsidRPr="000E4827">
        <w:rPr>
          <w:b/>
          <w:bCs/>
        </w:rPr>
        <w:t>Pitt Rivers Museum (Oxford, UK):</w:t>
      </w:r>
      <w:r w:rsidRPr="000E4827">
        <w:t xml:space="preserve"> A pioneering example in removing human remains from public view, the museum has removed thousands of items to engage in repatriation talks with source communities. They have re-labelled displays to reveal </w:t>
      </w:r>
      <w:r w:rsidR="009536B5">
        <w:t xml:space="preserve">the </w:t>
      </w:r>
      <w:r w:rsidRPr="000E4827">
        <w:lastRenderedPageBreak/>
        <w:t>colonial violence behind acquisitions and now emphasize the "living" nature of indigenous objects</w:t>
      </w:r>
      <w:r w:rsidR="009536B5">
        <w:t>,</w:t>
      </w:r>
      <w:r w:rsidRPr="000E4827">
        <w:t xml:space="preserve"> rather than treating them as ethnographic relics.</w:t>
      </w:r>
    </w:p>
    <w:p w14:paraId="0238E992" w14:textId="2BD5E563" w:rsidR="000D25C0" w:rsidRPr="000E4827" w:rsidRDefault="000D25C0" w:rsidP="00D832E3">
      <w:pPr>
        <w:numPr>
          <w:ilvl w:val="0"/>
          <w:numId w:val="6"/>
        </w:numPr>
      </w:pPr>
      <w:r w:rsidRPr="00D832E3">
        <w:rPr>
          <w:b/>
          <w:bCs/>
        </w:rPr>
        <w:t>The Smithsonian National Museum of African Art (</w:t>
      </w:r>
      <w:r w:rsidR="001753E3">
        <w:rPr>
          <w:b/>
          <w:bCs/>
        </w:rPr>
        <w:t xml:space="preserve">Washington, </w:t>
      </w:r>
      <w:r w:rsidRPr="00D832E3">
        <w:rPr>
          <w:b/>
          <w:bCs/>
        </w:rPr>
        <w:t>USA):</w:t>
      </w:r>
      <w:r w:rsidRPr="000E4827">
        <w:t xml:space="preserve"> the museum transferred ownership of 29 Benin Bronzes to Nigeria in 2023, showcasing </w:t>
      </w:r>
      <w:r w:rsidR="009536B5">
        <w:t>their</w:t>
      </w:r>
      <w:r w:rsidRPr="000E4827">
        <w:t xml:space="preserve"> commitment to removing stolen artifacts from American collections. </w:t>
      </w:r>
    </w:p>
    <w:p w14:paraId="5C65256F" w14:textId="000E61A9" w:rsidR="000D25C0" w:rsidRPr="000E4827" w:rsidRDefault="000D25C0" w:rsidP="000D25C0">
      <w:pPr>
        <w:numPr>
          <w:ilvl w:val="0"/>
          <w:numId w:val="7"/>
        </w:numPr>
      </w:pPr>
      <w:r w:rsidRPr="000E4827">
        <w:rPr>
          <w:b/>
          <w:bCs/>
        </w:rPr>
        <w:t>The Museum of Us (San Diego, USA):</w:t>
      </w:r>
      <w:r w:rsidRPr="000E4827">
        <w:t xml:space="preserve"> Formerly the San Diego Museum of Man, the institution rebranded itself to better reflect a commitment to a "decolonial" process, focusing on overlooked narratives. They have implemented a policy to ask for permission from Indigenous communities regarding the </w:t>
      </w:r>
      <w:r w:rsidR="009536B5">
        <w:t xml:space="preserve">ongoing </w:t>
      </w:r>
      <w:r w:rsidRPr="000E4827">
        <w:t>display or treatment of 5,000–8,000 human remains in their possession.</w:t>
      </w:r>
    </w:p>
    <w:p w14:paraId="2F59F14A" w14:textId="42C5381B" w:rsidR="000D25C0" w:rsidRDefault="000D25C0" w:rsidP="000D25C0">
      <w:pPr>
        <w:numPr>
          <w:ilvl w:val="0"/>
          <w:numId w:val="7"/>
        </w:numPr>
      </w:pPr>
      <w:r w:rsidRPr="000E4827">
        <w:rPr>
          <w:b/>
          <w:bCs/>
        </w:rPr>
        <w:t>Tropenmuseum (Amsterdam, Netherlands):</w:t>
      </w:r>
      <w:r>
        <w:rPr>
          <w:b/>
          <w:bCs/>
        </w:rPr>
        <w:t xml:space="preserve"> </w:t>
      </w:r>
      <w:r w:rsidRPr="000E4827">
        <w:t>As a former colonial museum, the Tropenmuseum (now part of the National Museum of World Cultures) actively invites activist groups to place critical "counter-texts" beside traditional colonial narratives. They have collaborated with activists to rewrite labels that previously ignored colonial violence, focusing on how objects were stolen</w:t>
      </w:r>
      <w:r w:rsidR="009536B5">
        <w:t>.</w:t>
      </w:r>
    </w:p>
    <w:p w14:paraId="288A65D2" w14:textId="04034E7C" w:rsidR="000D25C0" w:rsidRPr="000E4827" w:rsidRDefault="000D25C0" w:rsidP="000D25C0">
      <w:pPr>
        <w:rPr>
          <w:b/>
          <w:bCs/>
        </w:rPr>
      </w:pPr>
      <w:r w:rsidRPr="000E4827">
        <w:rPr>
          <w:b/>
          <w:bCs/>
        </w:rPr>
        <w:t>Museum responses to</w:t>
      </w:r>
      <w:r>
        <w:rPr>
          <w:b/>
          <w:bCs/>
        </w:rPr>
        <w:t xml:space="preserve"> the</w:t>
      </w:r>
      <w:r w:rsidRPr="000E4827">
        <w:rPr>
          <w:b/>
          <w:bCs/>
        </w:rPr>
        <w:t xml:space="preserve"> </w:t>
      </w:r>
      <w:r>
        <w:rPr>
          <w:b/>
          <w:bCs/>
        </w:rPr>
        <w:t>#</w:t>
      </w:r>
      <w:r w:rsidRPr="000E4827">
        <w:rPr>
          <w:b/>
          <w:bCs/>
        </w:rPr>
        <w:t>Me</w:t>
      </w:r>
      <w:r>
        <w:rPr>
          <w:b/>
          <w:bCs/>
        </w:rPr>
        <w:t>T</w:t>
      </w:r>
      <w:r w:rsidRPr="000E4827">
        <w:rPr>
          <w:b/>
          <w:bCs/>
        </w:rPr>
        <w:t xml:space="preserve">oo </w:t>
      </w:r>
      <w:r>
        <w:rPr>
          <w:b/>
          <w:bCs/>
        </w:rPr>
        <w:t xml:space="preserve">movement </w:t>
      </w:r>
    </w:p>
    <w:p w14:paraId="6070FD22" w14:textId="5CEADD85" w:rsidR="000D25C0" w:rsidRDefault="000D25C0" w:rsidP="000D25C0">
      <w:r>
        <w:t>By contrast, despite the longstanding feminist critique and analysis outlined above, Museum responses to #Me</w:t>
      </w:r>
      <w:r w:rsidR="009536B5">
        <w:t>T</w:t>
      </w:r>
      <w:r>
        <w:t xml:space="preserve">oo have been </w:t>
      </w:r>
      <w:r w:rsidR="00D271F4">
        <w:t xml:space="preserve">limited, </w:t>
      </w:r>
      <w:r>
        <w:t>sporadic and piecemeal, rather than reflecting the root and branch approach that has been taken to decolonise museums. Some key examples internationally include:</w:t>
      </w:r>
    </w:p>
    <w:p w14:paraId="69ABE501" w14:textId="39F31C0B" w:rsidR="000D25C0" w:rsidRPr="004A7FD2" w:rsidRDefault="000D25C0" w:rsidP="000D25C0">
      <w:pPr>
        <w:numPr>
          <w:ilvl w:val="0"/>
          <w:numId w:val="8"/>
        </w:numPr>
      </w:pPr>
      <w:r w:rsidRPr="004A7FD2">
        <w:rPr>
          <w:b/>
          <w:bCs/>
        </w:rPr>
        <w:t>The Guerrilla Girls</w:t>
      </w:r>
      <w:r w:rsidR="001753E3">
        <w:rPr>
          <w:b/>
          <w:bCs/>
        </w:rPr>
        <w:t xml:space="preserve"> (USA)</w:t>
      </w:r>
      <w:r w:rsidRPr="004A7FD2">
        <w:rPr>
          <w:b/>
          <w:bCs/>
        </w:rPr>
        <w:t>:</w:t>
      </w:r>
      <w:r w:rsidRPr="004A7FD2">
        <w:t xml:space="preserve"> This </w:t>
      </w:r>
      <w:r>
        <w:t xml:space="preserve">anonymous </w:t>
      </w:r>
      <w:r w:rsidRPr="004A7FD2">
        <w:t xml:space="preserve">feminist activist group created a series of "alternative" wall labels for museums struggling with how to display works by accused artists. </w:t>
      </w:r>
      <w:r w:rsidR="00D271F4">
        <w:t>At</w:t>
      </w:r>
      <w:r w:rsidRPr="004A7FD2">
        <w:t xml:space="preserve"> the </w:t>
      </w:r>
      <w:r>
        <w:t xml:space="preserve">National Portrait Gallery in Washington DC, </w:t>
      </w:r>
      <w:r w:rsidRPr="004A7FD2">
        <w:t>they redesigned labels for Chuck Close’s portrait of Bill Clinton to explicitly name the sexual misconduct allegations against both the artist and the subject.</w:t>
      </w:r>
    </w:p>
    <w:p w14:paraId="027D4789" w14:textId="1C4BC185" w:rsidR="000D25C0" w:rsidRPr="004A7FD2" w:rsidRDefault="000D25C0" w:rsidP="000D25C0">
      <w:pPr>
        <w:numPr>
          <w:ilvl w:val="0"/>
          <w:numId w:val="8"/>
        </w:numPr>
        <w:rPr>
          <w:b/>
          <w:bCs/>
        </w:rPr>
      </w:pPr>
      <w:r w:rsidRPr="004A7FD2">
        <w:rPr>
          <w:b/>
          <w:bCs/>
        </w:rPr>
        <w:t>The Isabella Stewar</w:t>
      </w:r>
      <w:r w:rsidR="001753E3">
        <w:rPr>
          <w:b/>
          <w:bCs/>
        </w:rPr>
        <w:t>t</w:t>
      </w:r>
      <w:r w:rsidRPr="004A7FD2">
        <w:rPr>
          <w:b/>
          <w:bCs/>
        </w:rPr>
        <w:t xml:space="preserve"> Gar</w:t>
      </w:r>
      <w:r w:rsidR="001753E3">
        <w:rPr>
          <w:b/>
          <w:bCs/>
        </w:rPr>
        <w:t>d</w:t>
      </w:r>
      <w:r w:rsidRPr="004A7FD2">
        <w:rPr>
          <w:b/>
          <w:bCs/>
        </w:rPr>
        <w:t>ner Museum (</w:t>
      </w:r>
      <w:r w:rsidR="001753E3">
        <w:rPr>
          <w:b/>
          <w:bCs/>
        </w:rPr>
        <w:t xml:space="preserve">Boston, </w:t>
      </w:r>
      <w:r w:rsidRPr="004A7FD2">
        <w:rPr>
          <w:b/>
          <w:bCs/>
        </w:rPr>
        <w:t>USA):</w:t>
      </w:r>
      <w:r w:rsidRPr="004A7FD2">
        <w:t> In the</w:t>
      </w:r>
      <w:r>
        <w:t>ir</w:t>
      </w:r>
      <w:r w:rsidRPr="004A7FD2">
        <w:t xml:space="preserve"> 2021 exhibition </w:t>
      </w:r>
      <w:r w:rsidRPr="004A7FD2">
        <w:rPr>
          <w:i/>
          <w:iCs/>
        </w:rPr>
        <w:t>Titian: Women, Myth and Power</w:t>
      </w:r>
      <w:r w:rsidRPr="004A7FD2">
        <w:t>, the museum used its central exhibit, </w:t>
      </w:r>
      <w:r w:rsidRPr="004A7FD2">
        <w:rPr>
          <w:i/>
          <w:iCs/>
        </w:rPr>
        <w:t>The Rape of Europa</w:t>
      </w:r>
      <w:r w:rsidRPr="004A7FD2">
        <w:t xml:space="preserve">, to address themes of sexual violence and rape rather than </w:t>
      </w:r>
      <w:r w:rsidR="009536B5">
        <w:t>focusing only on the</w:t>
      </w:r>
      <w:r w:rsidRPr="004A7FD2">
        <w:t xml:space="preserve"> aesthetic </w:t>
      </w:r>
      <w:r w:rsidR="009536B5">
        <w:t>value of the painting.</w:t>
      </w:r>
      <w:r w:rsidRPr="004A7FD2">
        <w:t> </w:t>
      </w:r>
    </w:p>
    <w:p w14:paraId="1B2E0307" w14:textId="16E06234" w:rsidR="000D25C0" w:rsidRPr="004A7FD2" w:rsidRDefault="000D25C0" w:rsidP="000D25C0">
      <w:pPr>
        <w:numPr>
          <w:ilvl w:val="0"/>
          <w:numId w:val="8"/>
        </w:numPr>
        <w:rPr>
          <w:b/>
          <w:bCs/>
        </w:rPr>
      </w:pPr>
      <w:r>
        <w:rPr>
          <w:b/>
          <w:bCs/>
        </w:rPr>
        <w:t>Manchester</w:t>
      </w:r>
      <w:r w:rsidR="009C37AA">
        <w:rPr>
          <w:b/>
          <w:bCs/>
        </w:rPr>
        <w:t xml:space="preserve"> Museum</w:t>
      </w:r>
      <w:r>
        <w:rPr>
          <w:b/>
          <w:bCs/>
        </w:rPr>
        <w:t xml:space="preserve"> Art Gallery</w:t>
      </w:r>
      <w:r w:rsidR="001753E3">
        <w:rPr>
          <w:b/>
          <w:bCs/>
        </w:rPr>
        <w:t xml:space="preserve"> (UK)</w:t>
      </w:r>
      <w:r>
        <w:rPr>
          <w:b/>
          <w:bCs/>
        </w:rPr>
        <w:t xml:space="preserve">: </w:t>
      </w:r>
      <w:r w:rsidRPr="004A7FD2">
        <w:t>In 2018, curators temporarily removed J.W. Waterhouse's </w:t>
      </w:r>
      <w:r w:rsidRPr="004A7FD2">
        <w:rPr>
          <w:i/>
          <w:iCs/>
        </w:rPr>
        <w:t>Hylas and the Nymphs</w:t>
      </w:r>
      <w:r w:rsidRPr="004A7FD2">
        <w:t xml:space="preserve">. </w:t>
      </w:r>
      <w:r w:rsidR="009536B5">
        <w:t xml:space="preserve">The </w:t>
      </w:r>
      <w:r w:rsidRPr="004A7FD2">
        <w:t xml:space="preserve">empty space was used to prompt public debate, with visitors leaving post-it notes to discuss how </w:t>
      </w:r>
      <w:r w:rsidR="009536B5">
        <w:t xml:space="preserve">museum </w:t>
      </w:r>
      <w:r w:rsidRPr="004A7FD2">
        <w:t xml:space="preserve">depiction of </w:t>
      </w:r>
      <w:r w:rsidR="009536B5">
        <w:t xml:space="preserve">nude </w:t>
      </w:r>
      <w:r w:rsidRPr="004A7FD2">
        <w:t xml:space="preserve">women should be </w:t>
      </w:r>
      <w:r w:rsidR="009536B5">
        <w:t>approached</w:t>
      </w:r>
      <w:r w:rsidRPr="004A7FD2">
        <w:t xml:space="preserve"> in a post-#MeToo world.</w:t>
      </w:r>
    </w:p>
    <w:p w14:paraId="21D04A92" w14:textId="1B264270" w:rsidR="009A0344" w:rsidRPr="00876DD8" w:rsidRDefault="006B137F" w:rsidP="000D25C0">
      <w:r w:rsidRPr="00876DD8">
        <w:t>The Manchester Museum</w:t>
      </w:r>
      <w:r w:rsidR="009C37AA" w:rsidRPr="00876DD8">
        <w:t xml:space="preserve"> Art Gallery</w:t>
      </w:r>
      <w:r w:rsidRPr="00876DD8">
        <w:t xml:space="preserve"> removal of Waterhouse’s painting provoked an immediate backlash</w:t>
      </w:r>
      <w:r w:rsidR="009C1644">
        <w:t>. The</w:t>
      </w:r>
      <w:r w:rsidRPr="00876DD8">
        <w:t xml:space="preserve"> Museum failed to explain that this was a temporary removal as part of an artist ‘takeover’; </w:t>
      </w:r>
      <w:r w:rsidR="00BE5816" w:rsidRPr="00876DD8">
        <w:t>stat</w:t>
      </w:r>
      <w:r w:rsidR="00D271F4">
        <w:t>ed</w:t>
      </w:r>
      <w:r w:rsidR="009C37AA" w:rsidRPr="00876DD8">
        <w:t xml:space="preserve"> publicly</w:t>
      </w:r>
      <w:r w:rsidRPr="00876DD8">
        <w:t xml:space="preserve"> that they wanted to provoke a debate</w:t>
      </w:r>
      <w:r w:rsidR="009C37AA" w:rsidRPr="00876DD8">
        <w:t>,</w:t>
      </w:r>
      <w:r w:rsidRPr="00876DD8">
        <w:t xml:space="preserve"> but then failed to engage and respond adequately to the backlash online</w:t>
      </w:r>
      <w:r w:rsidR="009C1D09">
        <w:t>; and</w:t>
      </w:r>
      <w:r w:rsidR="00BE5816" w:rsidRPr="00876DD8">
        <w:t xml:space="preserve"> failed to give a</w:t>
      </w:r>
      <w:r w:rsidRPr="00876DD8">
        <w:t xml:space="preserve"> clear indication of how the </w:t>
      </w:r>
      <w:r w:rsidRPr="00876DD8">
        <w:lastRenderedPageBreak/>
        <w:t>responses to the</w:t>
      </w:r>
      <w:r w:rsidR="009C37AA" w:rsidRPr="00876DD8">
        <w:t xml:space="preserve"> painting’s</w:t>
      </w:r>
      <w:r w:rsidRPr="00876DD8">
        <w:t xml:space="preserve"> removal would be considered longer term. After two days of profound criticism, the Museum backtracked and reinstalled the painting.</w:t>
      </w:r>
      <w:r w:rsidRPr="00876DD8">
        <w:rPr>
          <w:rStyle w:val="FootnoteReference"/>
        </w:rPr>
        <w:footnoteReference w:id="87"/>
      </w:r>
    </w:p>
    <w:p w14:paraId="119B75B0" w14:textId="74ED33B2" w:rsidR="006B137F" w:rsidRPr="00876DD8" w:rsidRDefault="006B137F" w:rsidP="000D25C0">
      <w:r w:rsidRPr="00876DD8">
        <w:t xml:space="preserve">As James Harrison </w:t>
      </w:r>
      <w:r w:rsidR="009C37AA" w:rsidRPr="00876DD8">
        <w:t>has argued</w:t>
      </w:r>
      <w:r w:rsidRPr="00876DD8">
        <w:t xml:space="preserve">, the Museum’s rationale in this instance was unclear, </w:t>
      </w:r>
      <w:r w:rsidR="00F47F82" w:rsidRPr="00876DD8">
        <w:t xml:space="preserve">and the argument for the </w:t>
      </w:r>
      <w:r w:rsidR="009C37AA" w:rsidRPr="00876DD8">
        <w:t xml:space="preserve">artist’s </w:t>
      </w:r>
      <w:r w:rsidR="00F47F82" w:rsidRPr="00876DD8">
        <w:t xml:space="preserve">action was a-historical, </w:t>
      </w:r>
      <w:r w:rsidR="009C37AA" w:rsidRPr="00876DD8">
        <w:t>ignoring</w:t>
      </w:r>
      <w:r w:rsidR="00F47F82" w:rsidRPr="00876DD8">
        <w:t xml:space="preserve"> the historical evidence of the context in which Waterhouse was painting.</w:t>
      </w:r>
      <w:r w:rsidR="00F47F82" w:rsidRPr="00876DD8">
        <w:rPr>
          <w:rStyle w:val="FootnoteReference"/>
        </w:rPr>
        <w:t xml:space="preserve"> </w:t>
      </w:r>
      <w:r w:rsidR="00F47F82" w:rsidRPr="00876DD8">
        <w:rPr>
          <w:rStyle w:val="FootnoteReference"/>
        </w:rPr>
        <w:footnoteReference w:id="88"/>
      </w:r>
      <w:r w:rsidR="00F47F82" w:rsidRPr="00876DD8">
        <w:t xml:space="preserve"> As Harrison argues “With a few years retrospect, the Waterhouse incident carries an air of pre-pandemic complacency with regard to … publicly owned artworks, especially in regions where publicly owned artworks are more sparsely distributed … although the performance was not literally censorship … [it] is an invocation of the aesthetics of censorship that</w:t>
      </w:r>
      <w:r w:rsidR="009C37AA" w:rsidRPr="00876DD8">
        <w:t xml:space="preserve"> at</w:t>
      </w:r>
      <w:r w:rsidR="00F47F82" w:rsidRPr="00876DD8">
        <w:t xml:space="preserve"> least dares critics to apply the term.”</w:t>
      </w:r>
      <w:r w:rsidR="00F47F82" w:rsidRPr="00876DD8">
        <w:rPr>
          <w:rStyle w:val="FootnoteReference"/>
        </w:rPr>
        <w:footnoteReference w:id="89"/>
      </w:r>
    </w:p>
    <w:p w14:paraId="05C1450C" w14:textId="381B2C59" w:rsidR="000D25C0" w:rsidRDefault="009536B5" w:rsidP="000D25C0">
      <w:r w:rsidRPr="00876DD8">
        <w:t>Overall,</w:t>
      </w:r>
      <w:r w:rsidR="000D25C0" w:rsidRPr="00876DD8">
        <w:t xml:space="preserve"> museum response to misogyny, the objectification of women, and depictions of sexual violence still lack the "top-to-bottom” deep-seated challenge and reform seen in efforts at decolonisation. </w:t>
      </w:r>
      <w:r w:rsidR="00B7744E" w:rsidRPr="00876DD8">
        <w:t xml:space="preserve">As seen </w:t>
      </w:r>
      <w:r w:rsidR="006C048E" w:rsidRPr="00876DD8">
        <w:t>with</w:t>
      </w:r>
      <w:r w:rsidR="00B7744E" w:rsidRPr="00876DD8">
        <w:t xml:space="preserve"> the Manchester </w:t>
      </w:r>
      <w:r w:rsidR="009C37AA" w:rsidRPr="00876DD8">
        <w:t xml:space="preserve">Museum </w:t>
      </w:r>
      <w:r w:rsidR="00B7744E" w:rsidRPr="00876DD8">
        <w:t>Art Gallery example, short term, ill thought-through actions</w:t>
      </w:r>
      <w:r w:rsidR="009C1D09">
        <w:t>,</w:t>
      </w:r>
      <w:r w:rsidR="00B7744E" w:rsidRPr="00876DD8">
        <w:t xml:space="preserve"> </w:t>
      </w:r>
      <w:r w:rsidR="006C048E" w:rsidRPr="00876DD8">
        <w:t>risk</w:t>
      </w:r>
      <w:r w:rsidR="00B7744E" w:rsidRPr="00876DD8">
        <w:t xml:space="preserve"> causing more harm to public perceptions than good. </w:t>
      </w:r>
      <w:r w:rsidR="009C1644">
        <w:t>D</w:t>
      </w:r>
      <w:r w:rsidR="000D25C0" w:rsidRPr="00876DD8">
        <w:t xml:space="preserve">ecolonisation of museums is </w:t>
      </w:r>
      <w:r w:rsidRPr="00876DD8">
        <w:t>recognised and treated as a core</w:t>
      </w:r>
      <w:r w:rsidR="00B7744E" w:rsidRPr="00876DD8">
        <w:t xml:space="preserve"> strategic and</w:t>
      </w:r>
      <w:r w:rsidRPr="00876DD8">
        <w:t xml:space="preserve"> structural issue facing museums, at the </w:t>
      </w:r>
      <w:r w:rsidR="00B7744E" w:rsidRPr="00876DD8">
        <w:t>heart</w:t>
      </w:r>
      <w:r w:rsidRPr="00876DD8">
        <w:t xml:space="preserve"> of the institutional legitimacy, and </w:t>
      </w:r>
      <w:r w:rsidR="000D25C0" w:rsidRPr="00876DD8">
        <w:t>embedded in national policies, repatriation laws, and global standards</w:t>
      </w:r>
      <w:r w:rsidR="009C1644">
        <w:t>. D</w:t>
      </w:r>
      <w:r w:rsidR="000D25C0" w:rsidRPr="00876DD8">
        <w:t xml:space="preserve">espite #MeToo and years of feminist </w:t>
      </w:r>
      <w:r w:rsidR="000D25C0">
        <w:t xml:space="preserve">work, </w:t>
      </w:r>
      <w:r>
        <w:t xml:space="preserve">the response to </w:t>
      </w:r>
      <w:r w:rsidR="000D25C0">
        <w:t xml:space="preserve">sexual violence </w:t>
      </w:r>
      <w:r>
        <w:t>remains ad hoc</w:t>
      </w:r>
      <w:r w:rsidR="00B7744E">
        <w:t xml:space="preserve"> and</w:t>
      </w:r>
      <w:r>
        <w:t xml:space="preserve">, </w:t>
      </w:r>
      <w:r w:rsidR="000D25C0">
        <w:t xml:space="preserve">treated as a thematic issue that </w:t>
      </w:r>
      <w:r w:rsidR="00B7744E">
        <w:t>might</w:t>
      </w:r>
      <w:r w:rsidR="000D25C0">
        <w:t xml:space="preserve"> be the focus of a specific exhibition</w:t>
      </w:r>
      <w:r>
        <w:t xml:space="preserve"> or painting</w:t>
      </w:r>
      <w:r w:rsidR="000D25C0">
        <w:t xml:space="preserve"> (as at the Isabella Steward Gardner) rather than as a reason to fundamentally rethink the collection</w:t>
      </w:r>
      <w:r>
        <w:t>. Images</w:t>
      </w:r>
      <w:r w:rsidR="000D25C0">
        <w:t xml:space="preserve"> of sexual assault </w:t>
      </w:r>
      <w:r>
        <w:t xml:space="preserve">are primarily </w:t>
      </w:r>
      <w:r w:rsidR="000D25C0">
        <w:t xml:space="preserve">still treated as ‘art’ rather than as encoding, reflecting or enabling real world harm. </w:t>
      </w:r>
      <w:r>
        <w:t>There</w:t>
      </w:r>
      <w:r w:rsidR="000D25C0" w:rsidRPr="004C3447">
        <w:t xml:space="preserve"> is no </w:t>
      </w:r>
      <w:r w:rsidR="000D25C0">
        <w:t xml:space="preserve">equivalent </w:t>
      </w:r>
      <w:r w:rsidR="001753E3">
        <w:t>anywhere globally</w:t>
      </w:r>
      <w:r w:rsidR="000D25C0">
        <w:t xml:space="preserve"> to the US</w:t>
      </w:r>
      <w:r w:rsidR="000D25C0" w:rsidRPr="004C3447">
        <w:t xml:space="preserve"> </w:t>
      </w:r>
      <w:r w:rsidR="000D25C0">
        <w:t>NAGPRA (</w:t>
      </w:r>
      <w:r w:rsidR="000D25C0" w:rsidRPr="004C3447">
        <w:t xml:space="preserve">Native American Graves Protection and Repatriation Act) </w:t>
      </w:r>
      <w:r w:rsidR="000D25C0">
        <w:t xml:space="preserve">addressing </w:t>
      </w:r>
      <w:r w:rsidR="000D25C0" w:rsidRPr="004C3447">
        <w:t>m</w:t>
      </w:r>
      <w:r w:rsidR="000D25C0">
        <w:t>isogyny and sexual violence in museum display.</w:t>
      </w:r>
      <w:r w:rsidR="000D25C0">
        <w:rPr>
          <w:rStyle w:val="FootnoteReference"/>
        </w:rPr>
        <w:footnoteReference w:id="90"/>
      </w:r>
    </w:p>
    <w:p w14:paraId="62829268" w14:textId="4A2E8D23" w:rsidR="000D25C0" w:rsidRPr="00EF7D6A" w:rsidRDefault="000D25C0" w:rsidP="000D25C0">
      <w:pPr>
        <w:rPr>
          <w:b/>
          <w:bCs/>
        </w:rPr>
      </w:pPr>
      <w:r w:rsidRPr="00EF7D6A">
        <w:rPr>
          <w:b/>
          <w:bCs/>
        </w:rPr>
        <w:t>Prevalence of sexual assault in England and Wales</w:t>
      </w:r>
    </w:p>
    <w:p w14:paraId="463790B3" w14:textId="186CB4D9" w:rsidR="000D25C0" w:rsidRPr="00CD092D" w:rsidRDefault="000D25C0" w:rsidP="000D25C0">
      <w:pPr>
        <w:rPr>
          <w:b/>
          <w:bCs/>
        </w:rPr>
      </w:pPr>
      <w:r>
        <w:t xml:space="preserve">The latest Office for National Statistics findings from 2025 shows that </w:t>
      </w:r>
      <w:r w:rsidR="009C1644">
        <w:t>r</w:t>
      </w:r>
      <w:r w:rsidRPr="00CD092D">
        <w:t>oughly 15.9% of adults</w:t>
      </w:r>
      <w:r w:rsidR="009536B5">
        <w:t xml:space="preserve"> in England and Wales</w:t>
      </w:r>
      <w:r w:rsidRPr="00CD092D">
        <w:t xml:space="preserve"> (7.7 million people) have experienced sexual assault since </w:t>
      </w:r>
      <w:r w:rsidR="009C1644">
        <w:t xml:space="preserve">the </w:t>
      </w:r>
      <w:r w:rsidRPr="00CD092D">
        <w:t>age</w:t>
      </w:r>
      <w:r w:rsidR="009C1644">
        <w:t xml:space="preserve"> of</w:t>
      </w:r>
      <w:r w:rsidRPr="00CD092D">
        <w:t xml:space="preserve"> 16</w:t>
      </w:r>
      <w:r>
        <w:t xml:space="preserve">, with </w:t>
      </w:r>
      <w:r w:rsidRPr="00CD092D">
        <w:t>the lifetime risk of experiencing sexual assault differ</w:t>
      </w:r>
      <w:r>
        <w:t>ing</w:t>
      </w:r>
      <w:r w:rsidRPr="00CD092D">
        <w:t xml:space="preserve"> significantly between genders</w:t>
      </w:r>
      <w:r>
        <w:t>.</w:t>
      </w:r>
      <w:r>
        <w:rPr>
          <w:rStyle w:val="FootnoteReference"/>
        </w:rPr>
        <w:footnoteReference w:id="91"/>
      </w:r>
      <w:r>
        <w:t xml:space="preserve"> </w:t>
      </w:r>
      <w:r w:rsidR="009536B5">
        <w:t>For</w:t>
      </w:r>
      <w:r>
        <w:t xml:space="preserve"> women over the age of 16, </w:t>
      </w:r>
      <w:r w:rsidR="009536B5">
        <w:t xml:space="preserve">the lifetime risk of experiencing sexual assault </w:t>
      </w:r>
      <w:r>
        <w:t>is 25.6% (approximately 1 in 4)</w:t>
      </w:r>
      <w:r w:rsidR="000F68AA">
        <w:t>,</w:t>
      </w:r>
      <w:r>
        <w:t xml:space="preserve"> </w:t>
      </w:r>
      <w:r w:rsidR="000F68AA">
        <w:t>with</w:t>
      </w:r>
      <w:r>
        <w:t xml:space="preserve"> the lifetime risk for men </w:t>
      </w:r>
      <w:r w:rsidR="000F68AA">
        <w:t>at</w:t>
      </w:r>
      <w:r>
        <w:t xml:space="preserve"> 5.9% (approximately 1 in 17). Looking </w:t>
      </w:r>
      <w:r>
        <w:lastRenderedPageBreak/>
        <w:t xml:space="preserve">only at more severe forms of sexual assault, rape and attempted rape, women are </w:t>
      </w:r>
      <w:r w:rsidR="000F68AA">
        <w:t>far</w:t>
      </w:r>
      <w:r>
        <w:t xml:space="preserve"> more likely to experience this over the course of their lifetime: 7.3% of women have experienced rape or attempted rape since the age of 16, as compared with 0.5% of men. </w:t>
      </w:r>
    </w:p>
    <w:p w14:paraId="5CB6F29A" w14:textId="4B635993" w:rsidR="000D25C0" w:rsidRPr="00EF7D6A" w:rsidRDefault="000D25C0" w:rsidP="000D25C0">
      <w:r>
        <w:t>There is no directly comparable or equally robust dataset for the risk of sexual assault for intersex people in England and Wales, but a</w:t>
      </w:r>
      <w:r w:rsidRPr="00EF7D6A">
        <w:t>ccording to the</w:t>
      </w:r>
      <w:r>
        <w:t xml:space="preserve"> European Union Agency for Fundamental Rights</w:t>
      </w:r>
      <w:r w:rsidRPr="00EF7D6A">
        <w:t>  2025 report </w:t>
      </w:r>
      <w:r w:rsidRPr="00EF7D6A">
        <w:rPr>
          <w:i/>
          <w:iCs/>
        </w:rPr>
        <w:t>Being Intersex in the EU</w:t>
      </w:r>
      <w:r>
        <w:t xml:space="preserve">, 34% (1 in 3) of </w:t>
      </w:r>
      <w:r w:rsidRPr="00EF7D6A">
        <w:t>intersex people</w:t>
      </w:r>
      <w:r>
        <w:t xml:space="preserve"> across the EU </w:t>
      </w:r>
      <w:r w:rsidR="000F68AA">
        <w:t>were</w:t>
      </w:r>
      <w:r>
        <w:t xml:space="preserve"> either physically or sexually assaulted in the previous five years.</w:t>
      </w:r>
      <w:r>
        <w:rPr>
          <w:rStyle w:val="FootnoteReference"/>
        </w:rPr>
        <w:footnoteReference w:id="92"/>
      </w:r>
      <w:r w:rsidRPr="00EF7D6A">
        <w:rPr>
          <w:b/>
          <w:bCs/>
        </w:rPr>
        <w:t xml:space="preserve"> </w:t>
      </w:r>
    </w:p>
    <w:p w14:paraId="7185D409" w14:textId="77777777" w:rsidR="000D25C0" w:rsidRDefault="000D25C0" w:rsidP="000D25C0">
      <w:r>
        <w:t>There is no agreed definition of ‘intersex’ so the estimates of prevalence in the population vary from at the highest end 1.7% (including a wide range of forms of hormonal variation) to a far more conservative 0.018% when considering only visible differences in sexual anatomy.</w:t>
      </w:r>
      <w:r>
        <w:rPr>
          <w:rStyle w:val="FootnoteReference"/>
        </w:rPr>
        <w:footnoteReference w:id="93"/>
      </w:r>
    </w:p>
    <w:p w14:paraId="36245229" w14:textId="38F54829" w:rsidR="000D25C0" w:rsidRDefault="000D25C0" w:rsidP="000D25C0">
      <w:r>
        <w:t>Over one million people visited the Ashmolean Museum in 2025. If we assume 49.25% of the visitors were men, and 50.25% were women (based on the 2021 Census data),</w:t>
      </w:r>
      <w:r>
        <w:rPr>
          <w:rStyle w:val="FootnoteReference"/>
        </w:rPr>
        <w:footnoteReference w:id="94"/>
      </w:r>
      <w:r>
        <w:t xml:space="preserve"> and assuming a mid-range (from the estimates above) proportion of the population that are intersex (0.5%), and that sexual assault on intersex people in England and Wales is in line with the EU average,</w:t>
      </w:r>
      <w:r>
        <w:rPr>
          <w:rStyle w:val="FootnoteReference"/>
        </w:rPr>
        <w:footnoteReference w:id="95"/>
      </w:r>
      <w:r>
        <w:t xml:space="preserve"> we can estimate </w:t>
      </w:r>
      <w:r w:rsidRPr="00577020">
        <w:t>that around 158,547 people (15.85% of the total visitors to the Museum in a single year) will</w:t>
      </w:r>
      <w:r w:rsidRPr="00F80E94">
        <w:t xml:space="preserve"> have experienced sexual assault</w:t>
      </w:r>
      <w:r>
        <w:rPr>
          <w:rStyle w:val="FootnoteReference"/>
        </w:rPr>
        <w:footnoteReference w:id="96"/>
      </w:r>
      <w:r>
        <w:t xml:space="preserve"> of which </w:t>
      </w:r>
      <w:r w:rsidRPr="000319AF">
        <w:rPr>
          <w:b/>
          <w:bCs/>
        </w:rPr>
        <w:t xml:space="preserve">38,578 </w:t>
      </w:r>
      <w:r w:rsidR="00577020">
        <w:rPr>
          <w:b/>
          <w:bCs/>
        </w:rPr>
        <w:t xml:space="preserve">visitors each year </w:t>
      </w:r>
      <w:r w:rsidRPr="000319AF">
        <w:rPr>
          <w:b/>
          <w:bCs/>
        </w:rPr>
        <w:t xml:space="preserve">are likely to have </w:t>
      </w:r>
      <w:r>
        <w:rPr>
          <w:b/>
          <w:bCs/>
        </w:rPr>
        <w:t>experienced rape or attempted rape</w:t>
      </w:r>
      <w:r>
        <w:t xml:space="preserve">, amounting to </w:t>
      </w:r>
      <w:r w:rsidRPr="000319AF">
        <w:rPr>
          <w:b/>
          <w:bCs/>
        </w:rPr>
        <w:t xml:space="preserve">105 visitors to the </w:t>
      </w:r>
      <w:r w:rsidR="000F68AA">
        <w:rPr>
          <w:b/>
          <w:bCs/>
        </w:rPr>
        <w:t xml:space="preserve">Ashmolean </w:t>
      </w:r>
      <w:r w:rsidRPr="000319AF">
        <w:rPr>
          <w:b/>
          <w:bCs/>
        </w:rPr>
        <w:t>museu</w:t>
      </w:r>
      <w:r w:rsidR="000F68AA">
        <w:rPr>
          <w:b/>
          <w:bCs/>
        </w:rPr>
        <w:t>m</w:t>
      </w:r>
      <w:r w:rsidRPr="000319AF">
        <w:rPr>
          <w:b/>
          <w:bCs/>
        </w:rPr>
        <w:t xml:space="preserve"> e</w:t>
      </w:r>
      <w:r>
        <w:rPr>
          <w:b/>
          <w:bCs/>
        </w:rPr>
        <w:t>very</w:t>
      </w:r>
      <w:r w:rsidRPr="000319AF">
        <w:rPr>
          <w:b/>
          <w:bCs/>
        </w:rPr>
        <w:t xml:space="preserve"> day</w:t>
      </w:r>
      <w:r>
        <w:t>.</w:t>
      </w:r>
      <w:r>
        <w:rPr>
          <w:rStyle w:val="FootnoteReference"/>
        </w:rPr>
        <w:footnoteReference w:id="97"/>
      </w:r>
    </w:p>
    <w:p w14:paraId="78A1A798" w14:textId="77777777" w:rsidR="009E77C7" w:rsidRDefault="009E77C7" w:rsidP="009E77C7">
      <w:r>
        <w:lastRenderedPageBreak/>
        <w:t>All these visitors might encounter the Dresden Wrestling Group statue in the Ashmolean Cast Gallery – an image of sexual assault – and yet there is nothing to warn, contextualise, recognise or problematise the statue group.</w:t>
      </w:r>
    </w:p>
    <w:p w14:paraId="139553F7" w14:textId="6CA757AB" w:rsidR="00577020" w:rsidRDefault="009E77C7" w:rsidP="009E77C7">
      <w:r>
        <w:t>The label on the base of the statue group cast at the Ashmolean reads: “</w:t>
      </w:r>
      <w:r w:rsidRPr="003B1203">
        <w:rPr>
          <w:b/>
          <w:bCs/>
        </w:rPr>
        <w:t>Satyr and Hermaphrodite, 1</w:t>
      </w:r>
      <w:r w:rsidRPr="003B1203">
        <w:rPr>
          <w:b/>
          <w:bCs/>
          <w:vertAlign w:val="superscript"/>
        </w:rPr>
        <w:t>st</w:t>
      </w:r>
      <w:r w:rsidRPr="003B1203">
        <w:rPr>
          <w:b/>
          <w:bCs/>
        </w:rPr>
        <w:t>-2</w:t>
      </w:r>
      <w:r w:rsidRPr="003B1203">
        <w:rPr>
          <w:b/>
          <w:bCs/>
          <w:vertAlign w:val="superscript"/>
        </w:rPr>
        <w:t>nd</w:t>
      </w:r>
      <w:r w:rsidRPr="003B1203">
        <w:rPr>
          <w:b/>
          <w:bCs/>
        </w:rPr>
        <w:t xml:space="preserve"> Century AD</w:t>
      </w:r>
      <w:r>
        <w:t>. A satyr sits on a rock, seizing a Hermaphrodite from behind. The composition has a ‘front’ view presenting the nymph-like Hermaphrodite from behind, and a ‘back’ view showing its female chest and male genitals. Since satyrs normally assault nymphs, the coupling was intended as a surprise for the satyr and viewer alike. The group was a famous Hellenistic work replicated in some 20 full-scale versions in Roman villas and theatres.”</w:t>
      </w:r>
    </w:p>
    <w:p w14:paraId="6CE1F5D4" w14:textId="07D1BD54" w:rsidR="00577020" w:rsidRPr="00577020" w:rsidRDefault="00577020" w:rsidP="00577020">
      <w:pPr>
        <w:jc w:val="center"/>
      </w:pPr>
      <w:r w:rsidRPr="00577020">
        <w:rPr>
          <w:noProof/>
        </w:rPr>
        <w:drawing>
          <wp:inline distT="0" distB="0" distL="0" distR="0" wp14:anchorId="55A6F704" wp14:editId="5CF979DB">
            <wp:extent cx="4933950" cy="6150219"/>
            <wp:effectExtent l="0" t="0" r="0" b="3175"/>
            <wp:docPr id="3154866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65808" cy="6189931"/>
                    </a:xfrm>
                    <a:prstGeom prst="rect">
                      <a:avLst/>
                    </a:prstGeom>
                    <a:noFill/>
                    <a:ln>
                      <a:noFill/>
                    </a:ln>
                  </pic:spPr>
                </pic:pic>
              </a:graphicData>
            </a:graphic>
          </wp:inline>
        </w:drawing>
      </w:r>
    </w:p>
    <w:p w14:paraId="1E2BB2CF" w14:textId="05966418" w:rsidR="00577020" w:rsidRPr="00D7455E" w:rsidRDefault="00577020" w:rsidP="009C1D09">
      <w:pPr>
        <w:jc w:val="center"/>
        <w:rPr>
          <w:sz w:val="20"/>
          <w:szCs w:val="20"/>
        </w:rPr>
      </w:pPr>
      <w:r w:rsidRPr="00D7455E">
        <w:rPr>
          <w:i/>
          <w:iCs/>
          <w:sz w:val="20"/>
          <w:szCs w:val="20"/>
        </w:rPr>
        <w:t>Ashmolean Museum cast gallery, photograph taken by the author</w:t>
      </w:r>
      <w:r w:rsidRPr="00D7455E">
        <w:rPr>
          <w:sz w:val="20"/>
          <w:szCs w:val="20"/>
        </w:rPr>
        <w:br w:type="page"/>
      </w:r>
    </w:p>
    <w:p w14:paraId="0691C227" w14:textId="77777777" w:rsidR="00816046" w:rsidRPr="00577020" w:rsidRDefault="00816046" w:rsidP="00816046">
      <w:r w:rsidRPr="004F677B">
        <w:rPr>
          <w:b/>
          <w:bCs/>
        </w:rPr>
        <w:lastRenderedPageBreak/>
        <w:t>Chapter six – Hidden in plain sight (</w:t>
      </w:r>
      <w:r>
        <w:rPr>
          <w:b/>
          <w:bCs/>
        </w:rPr>
        <w:t xml:space="preserve">part </w:t>
      </w:r>
      <w:r w:rsidRPr="004F677B">
        <w:rPr>
          <w:b/>
          <w:bCs/>
        </w:rPr>
        <w:t>2)</w:t>
      </w:r>
    </w:p>
    <w:p w14:paraId="20D1F490" w14:textId="77777777" w:rsidR="00816046" w:rsidRDefault="00816046" w:rsidP="00816046">
      <w:r>
        <w:t>This chapter records an interview with the Director of the Cast Gallery at the Ashmolean Museum, Dr Milena Melfi on 8</w:t>
      </w:r>
      <w:r w:rsidRPr="00D5670C">
        <w:rPr>
          <w:vertAlign w:val="superscript"/>
        </w:rPr>
        <w:t>th</w:t>
      </w:r>
      <w:r>
        <w:t xml:space="preserve"> December 2025, followed by reflections upon it. As I had permission from Dr Melfi to record and cite her directly in this dissertation, I include full verbatim quotes from the interview as direct source material in this chapter.</w:t>
      </w:r>
      <w:r>
        <w:rPr>
          <w:rStyle w:val="FootnoteReference"/>
        </w:rPr>
        <w:footnoteReference w:id="98"/>
      </w:r>
      <w:r>
        <w:t xml:space="preserve"> </w:t>
      </w:r>
    </w:p>
    <w:p w14:paraId="319FFA1A" w14:textId="05811AF1" w:rsidR="00816046" w:rsidRPr="00876DD8" w:rsidRDefault="00816046" w:rsidP="00816046">
      <w:r w:rsidRPr="00876DD8">
        <w:t>Expert interviews as an approach to qualitative research is grounded in strong methodological frameworks, which treat the production of data as a social process.</w:t>
      </w:r>
      <w:r w:rsidRPr="00876DD8">
        <w:rPr>
          <w:rStyle w:val="FootnoteReference"/>
        </w:rPr>
        <w:footnoteReference w:id="99"/>
      </w:r>
      <w:r w:rsidRPr="00876DD8">
        <w:t xml:space="preserve"> Bognor and Menz argue “The expert interview owes its prominence in empirical social research … to its function as an exploratory tool.”</w:t>
      </w:r>
      <w:r w:rsidRPr="00876DD8">
        <w:rPr>
          <w:rStyle w:val="FootnoteReference"/>
        </w:rPr>
        <w:footnoteReference w:id="100"/>
      </w:r>
      <w:r w:rsidRPr="00876DD8">
        <w:t xml:space="preserve"> </w:t>
      </w:r>
      <w:r>
        <w:t>Bognor and Menz</w:t>
      </w:r>
      <w:r w:rsidRPr="00876DD8">
        <w:t xml:space="preserve"> outline a range of approaches to expert interviewing, as well as analysing the importance of the relationship set up between the expert and the interviewer. Where the interviewer is seen as an ‘accomplice’ coming from the same normative framework, they argue that “the interviewer is seen as a comrade-in-arms … particularly worthy of trust, so that concealed strategies will be explained, and confidential information will be revealed.”</w:t>
      </w:r>
      <w:r w:rsidRPr="00876DD8">
        <w:rPr>
          <w:rStyle w:val="FootnoteReference"/>
        </w:rPr>
        <w:footnoteReference w:id="101"/>
      </w:r>
    </w:p>
    <w:p w14:paraId="614A7D5A" w14:textId="512E61D9" w:rsidR="00816046" w:rsidRPr="00876DD8" w:rsidRDefault="00816046" w:rsidP="00816046">
      <w:r w:rsidRPr="00876DD8">
        <w:t xml:space="preserve">While not </w:t>
      </w:r>
      <w:r w:rsidR="001753E3">
        <w:t>seeking</w:t>
      </w:r>
      <w:r w:rsidRPr="00876DD8">
        <w:t xml:space="preserve"> to be seen as an ‘accomplice’ I was transparent </w:t>
      </w:r>
      <w:r w:rsidR="00A81A34">
        <w:t xml:space="preserve">about the purpose of my interview </w:t>
      </w:r>
      <w:r w:rsidRPr="00876DD8">
        <w:t>with Dr Melfi</w:t>
      </w:r>
      <w:r w:rsidR="001753E3">
        <w:t>,</w:t>
      </w:r>
      <w:r w:rsidRPr="00876DD8">
        <w:t xml:space="preserve"> including </w:t>
      </w:r>
      <w:r w:rsidR="00A81A34">
        <w:t>being clear that</w:t>
      </w:r>
      <w:r w:rsidRPr="00876DD8">
        <w:t xml:space="preserve"> I came from an academic rather than an activist background. I asked open questions, shared with her </w:t>
      </w:r>
      <w:r w:rsidR="00A81A34">
        <w:t xml:space="preserve">by email </w:t>
      </w:r>
      <w:r w:rsidRPr="00876DD8">
        <w:t>in advance, and sought her permission for a semi-structured interview style – enabling me to ask open questions, to repeat back information for clarity, and to follow up with further unplanned questions to probe for detail.</w:t>
      </w:r>
      <w:r w:rsidRPr="00876DD8">
        <w:rPr>
          <w:rStyle w:val="FootnoteReference"/>
        </w:rPr>
        <w:footnoteReference w:id="102"/>
      </w:r>
      <w:r w:rsidRPr="00876DD8">
        <w:t xml:space="preserve"> </w:t>
      </w:r>
    </w:p>
    <w:p w14:paraId="01B7D199" w14:textId="77777777" w:rsidR="00816046" w:rsidRDefault="00816046" w:rsidP="00816046">
      <w:r>
        <w:t xml:space="preserve">The online interview covered three main areas – first why and how the decision was made to purchase the cast in 2013; second the factors that went into making that decision, and whether the content of the statue/cast as an image of sexual assault was a factor; and third what audience response to the statue has been, and how the Museum has made efforts to situate the statue/cast in its Roman context and/or to engage with audiences around it. </w:t>
      </w:r>
    </w:p>
    <w:p w14:paraId="03F07D47" w14:textId="77777777" w:rsidR="00816046" w:rsidRDefault="00816046" w:rsidP="00816046">
      <w:pPr>
        <w:rPr>
          <w:b/>
          <w:bCs/>
        </w:rPr>
      </w:pPr>
    </w:p>
    <w:p w14:paraId="3C02C418" w14:textId="77777777" w:rsidR="00816046" w:rsidRDefault="00816046" w:rsidP="00816046">
      <w:r w:rsidRPr="0059700C">
        <w:rPr>
          <w:b/>
          <w:bCs/>
        </w:rPr>
        <w:t>The decision to purchase the cast in 2013</w:t>
      </w:r>
    </w:p>
    <w:p w14:paraId="51299923" w14:textId="77777777" w:rsidR="00816046" w:rsidRDefault="00816046" w:rsidP="00816046">
      <w:r>
        <w:t>I started our discussion, after confirming I had Dr Melfi’s consent to proceed, and to record and quote her in the dissertation, by asking about how the decision was made to purchase the cast in 2013. Dr Melfi responded:</w:t>
      </w:r>
    </w:p>
    <w:p w14:paraId="43E4A8C2" w14:textId="77777777" w:rsidR="00816046" w:rsidRPr="00E940AD" w:rsidRDefault="00816046" w:rsidP="00816046">
      <w:pPr>
        <w:ind w:left="720"/>
        <w:rPr>
          <w:b/>
          <w:bCs/>
        </w:rPr>
      </w:pPr>
      <w:r>
        <w:t>“</w:t>
      </w:r>
      <w:r w:rsidRPr="00E940AD">
        <w:t xml:space="preserve">It was 2013, so a few years ago. And I was at the time the assistant curator. </w:t>
      </w:r>
      <w:r>
        <w:t>T</w:t>
      </w:r>
      <w:r w:rsidRPr="00E940AD">
        <w:t>he</w:t>
      </w:r>
      <w:r>
        <w:t xml:space="preserve"> </w:t>
      </w:r>
      <w:r w:rsidRPr="00E940AD">
        <w:t xml:space="preserve">decision was taken by my predecessor Bert Smith. And it's a very unusual story </w:t>
      </w:r>
      <w:r>
        <w:t>because Bert was contacted</w:t>
      </w:r>
      <w:r w:rsidRPr="00E940AD">
        <w:t xml:space="preserve"> directly by an artist </w:t>
      </w:r>
      <w:r>
        <w:t xml:space="preserve">who </w:t>
      </w:r>
      <w:r w:rsidRPr="00E940AD">
        <w:t>was trying to sell this cast to pay his bills</w:t>
      </w:r>
      <w:r>
        <w:t>,</w:t>
      </w:r>
      <w:r w:rsidRPr="00E940AD">
        <w:t xml:space="preserve"> and they were very good quality casts </w:t>
      </w:r>
      <w:r>
        <w:t>that he had</w:t>
      </w:r>
      <w:r w:rsidRPr="00E940AD">
        <w:t xml:space="preserve"> commission</w:t>
      </w:r>
      <w:r>
        <w:t>ed</w:t>
      </w:r>
      <w:r w:rsidRPr="00E940AD">
        <w:t xml:space="preserve"> </w:t>
      </w:r>
      <w:r>
        <w:t>especially</w:t>
      </w:r>
      <w:r w:rsidRPr="00E940AD">
        <w:t xml:space="preserve"> </w:t>
      </w:r>
      <w:r>
        <w:t>from Dresden.</w:t>
      </w:r>
      <w:r w:rsidRPr="00E940AD">
        <w:t xml:space="preserve"> It's obviously a coincidence. Bert made a choice at that point</w:t>
      </w:r>
      <w:r>
        <w:t>,</w:t>
      </w:r>
      <w:r w:rsidRPr="00E940AD">
        <w:t xml:space="preserve"> and he went for </w:t>
      </w:r>
      <w:r>
        <w:t>the symplegma</w:t>
      </w:r>
      <w:r w:rsidRPr="00E940AD">
        <w:t xml:space="preserve"> because it was </w:t>
      </w:r>
      <w:r>
        <w:t xml:space="preserve">offered at a good price, and </w:t>
      </w:r>
      <w:r w:rsidRPr="00E940AD">
        <w:t>something we didn't have</w:t>
      </w:r>
      <w:r>
        <w:t xml:space="preserve">. We </w:t>
      </w:r>
      <w:r w:rsidRPr="00E940AD">
        <w:t>were trying to acquire</w:t>
      </w:r>
      <w:r>
        <w:t xml:space="preserve"> later stuff,</w:t>
      </w:r>
      <w:r w:rsidRPr="00E940AD">
        <w:t xml:space="preserve"> things that were not necessarily within the</w:t>
      </w:r>
      <w:r>
        <w:t xml:space="preserve"> </w:t>
      </w:r>
      <w:r w:rsidRPr="00E940AD">
        <w:t xml:space="preserve">classical choice of </w:t>
      </w:r>
      <w:r>
        <w:t>casts</w:t>
      </w:r>
      <w:r w:rsidRPr="00E940AD">
        <w:t xml:space="preserve">. </w:t>
      </w:r>
      <w:r>
        <w:t>So</w:t>
      </w:r>
      <w:r w:rsidRPr="00E940AD">
        <w:t xml:space="preserve"> that's why I think I think he went for this</w:t>
      </w:r>
      <w:r>
        <w:t xml:space="preserve"> one,</w:t>
      </w:r>
      <w:r w:rsidRPr="00E940AD">
        <w:t xml:space="preserve"> but it was</w:t>
      </w:r>
      <w:r>
        <w:t xml:space="preserve"> </w:t>
      </w:r>
      <w:r w:rsidRPr="00E940AD">
        <w:t xml:space="preserve">his decision. I was </w:t>
      </w:r>
      <w:proofErr w:type="gramStart"/>
      <w:r w:rsidRPr="00E940AD">
        <w:t>there</w:t>
      </w:r>
      <w:proofErr w:type="gramEnd"/>
      <w:r w:rsidRPr="00E940AD">
        <w:t xml:space="preserve"> sort of </w:t>
      </w:r>
      <w:proofErr w:type="gramStart"/>
      <w:r w:rsidRPr="00E940AD">
        <w:t>helping out</w:t>
      </w:r>
      <w:proofErr w:type="gramEnd"/>
      <w:r w:rsidRPr="00E940AD">
        <w:t xml:space="preserve">. I remember </w:t>
      </w:r>
      <w:r>
        <w:t>being</w:t>
      </w:r>
      <w:r w:rsidRPr="00E940AD">
        <w:t xml:space="preserve"> part of this conversation</w:t>
      </w:r>
      <w:r>
        <w:t>,</w:t>
      </w:r>
      <w:r w:rsidRPr="00E940AD">
        <w:t xml:space="preserve"> </w:t>
      </w:r>
      <w:r>
        <w:t>but I</w:t>
      </w:r>
      <w:r w:rsidRPr="00E940AD">
        <w:t xml:space="preserve"> didn't take the decision</w:t>
      </w:r>
      <w:r>
        <w:t>. It was about rounding out the collection.”</w:t>
      </w:r>
    </w:p>
    <w:p w14:paraId="362AFA89" w14:textId="77777777" w:rsidR="00816046" w:rsidRDefault="00816046" w:rsidP="00816046">
      <w:r>
        <w:t>I went on to ask Dr Melfi, if she could remember whether there were any complexities around the decision to purchase the cast, other than completing the breadth of the cast collection, the price point, and the quality of the cast (which she had already mentioned were the key considerations). Dr Melfi responded:</w:t>
      </w:r>
    </w:p>
    <w:p w14:paraId="29DA2E5E" w14:textId="77777777" w:rsidR="00816046" w:rsidRDefault="00816046" w:rsidP="00816046">
      <w:pPr>
        <w:ind w:left="720"/>
      </w:pPr>
      <w:r>
        <w:t>“</w:t>
      </w:r>
      <w:r w:rsidRPr="00E940AD">
        <w:t xml:space="preserve">Not really. I think it was quite straightforward. Um I mean it was a good cast. It was good quality </w:t>
      </w:r>
      <w:r>
        <w:t>and it was</w:t>
      </w:r>
      <w:r w:rsidRPr="00E940AD">
        <w:t xml:space="preserve"> available</w:t>
      </w:r>
      <w:r>
        <w:t>. This</w:t>
      </w:r>
      <w:r w:rsidRPr="00E940AD">
        <w:t xml:space="preserve"> was one major thing. </w:t>
      </w:r>
      <w:r>
        <w:t>You</w:t>
      </w:r>
      <w:r w:rsidRPr="00E940AD">
        <w:t xml:space="preserve"> know sometimes you</w:t>
      </w:r>
      <w:r>
        <w:t xml:space="preserve"> </w:t>
      </w:r>
      <w:r w:rsidRPr="00E940AD">
        <w:t>get offers of cast</w:t>
      </w:r>
      <w:r>
        <w:t>s</w:t>
      </w:r>
      <w:r w:rsidRPr="00E940AD">
        <w:t xml:space="preserve"> that are </w:t>
      </w:r>
      <w:r>
        <w:t xml:space="preserve">of </w:t>
      </w:r>
      <w:r w:rsidRPr="00E940AD">
        <w:t xml:space="preserve">lesser quality. </w:t>
      </w:r>
      <w:r>
        <w:t>Bu</w:t>
      </w:r>
      <w:r w:rsidRPr="00E940AD">
        <w:t xml:space="preserve">t this was a very good quality </w:t>
      </w:r>
      <w:r>
        <w:t>cast, and</w:t>
      </w:r>
      <w:r w:rsidRPr="00E940AD">
        <w:t xml:space="preserve"> I think this made the differen</w:t>
      </w:r>
      <w:r>
        <w:t>ce</w:t>
      </w:r>
      <w:r w:rsidRPr="00E940AD">
        <w:t xml:space="preserve"> because I think Bert went to see it</w:t>
      </w:r>
      <w:r>
        <w:t>.”</w:t>
      </w:r>
    </w:p>
    <w:p w14:paraId="32318266" w14:textId="7E54828A" w:rsidR="00816046" w:rsidRPr="00E940AD" w:rsidRDefault="00816046" w:rsidP="00816046">
      <w:r>
        <w:t xml:space="preserve">Probing further, I asked, were there any factors that were different about this purchase, given the subject matter, </w:t>
      </w:r>
      <w:r w:rsidR="00201F86">
        <w:t xml:space="preserve">i.e. </w:t>
      </w:r>
      <w:r>
        <w:t>that it is a hermaphrodite being wrestled with or sexually assaulted by, and repelling a satyr? Dr Melfi responded:</w:t>
      </w:r>
    </w:p>
    <w:p w14:paraId="30644A03" w14:textId="77777777" w:rsidR="00816046" w:rsidRPr="00E940AD" w:rsidRDefault="00816046" w:rsidP="00816046">
      <w:pPr>
        <w:ind w:left="720"/>
      </w:pPr>
      <w:r>
        <w:rPr>
          <w:b/>
          <w:bCs/>
        </w:rPr>
        <w:t>“</w:t>
      </w:r>
      <w:r w:rsidRPr="00E940AD">
        <w:t>I must say no</w:t>
      </w:r>
      <w:r>
        <w:t xml:space="preserve">, no we </w:t>
      </w:r>
      <w:r w:rsidRPr="00E940AD">
        <w:t>did not have any</w:t>
      </w:r>
      <w:r>
        <w:t xml:space="preserve"> </w:t>
      </w:r>
      <w:r w:rsidRPr="00E940AD">
        <w:t>concern but it's often like this</w:t>
      </w:r>
      <w:r>
        <w:t>,</w:t>
      </w:r>
      <w:r w:rsidRPr="00E940AD">
        <w:t xml:space="preserve"> because from our point of view we always see the statues in the ancient context</w:t>
      </w:r>
      <w:r>
        <w:t>,</w:t>
      </w:r>
      <w:r w:rsidRPr="00E940AD">
        <w:t xml:space="preserve"> so sometimes it's after discussion with other colleagues who are more aware of</w:t>
      </w:r>
      <w:r>
        <w:t xml:space="preserve"> </w:t>
      </w:r>
      <w:r w:rsidRPr="00E940AD">
        <w:t>this we think of these issues</w:t>
      </w:r>
      <w:r>
        <w:t>,</w:t>
      </w:r>
      <w:r w:rsidRPr="00E940AD">
        <w:t xml:space="preserve"> but it's not necessarily</w:t>
      </w:r>
      <w:r>
        <w:t xml:space="preserve"> </w:t>
      </w:r>
      <w:r w:rsidRPr="00E940AD">
        <w:t>something we discuss as a main factor in acquisition</w:t>
      </w:r>
      <w:r>
        <w:t>. It was more the idea of Hellenistic groups that show entangled figures – it could have been a satyr and nymph, or two wrestlers, you know. It’s just the symplegma itself, a group of two people fighting, was the issue, more than the gender.”</w:t>
      </w:r>
    </w:p>
    <w:p w14:paraId="12782F75" w14:textId="77777777" w:rsidR="00816046" w:rsidRDefault="00816046" w:rsidP="00816046">
      <w:r>
        <w:t>I went on to ask Dr Melfi, what factors had been considered when deciding how to display the cast in the Cast Gallery? She responded:</w:t>
      </w:r>
    </w:p>
    <w:p w14:paraId="27C1513B" w14:textId="77777777" w:rsidR="00816046" w:rsidRDefault="00816046" w:rsidP="00816046">
      <w:pPr>
        <w:ind w:left="720"/>
      </w:pPr>
      <w:r>
        <w:t>“It</w:t>
      </w:r>
      <w:r w:rsidRPr="00E940AD">
        <w:t xml:space="preserve"> was displayed where we felt it belonged chronologically</w:t>
      </w:r>
      <w:r>
        <w:t xml:space="preserve">. It </w:t>
      </w:r>
      <w:r w:rsidRPr="00E940AD">
        <w:t>was placed where it was</w:t>
      </w:r>
      <w:r>
        <w:t xml:space="preserve"> </w:t>
      </w:r>
      <w:r w:rsidRPr="00E940AD">
        <w:t xml:space="preserve">because it fitted the theme. The issue </w:t>
      </w:r>
      <w:r>
        <w:t>of</w:t>
      </w:r>
      <w:r w:rsidRPr="00E940AD">
        <w:t xml:space="preserve"> display was problematic in a way because</w:t>
      </w:r>
      <w:r>
        <w:t xml:space="preserve"> </w:t>
      </w:r>
      <w:r w:rsidRPr="00E940AD">
        <w:t xml:space="preserve">it's </w:t>
      </w:r>
      <w:r w:rsidRPr="00E940AD">
        <w:lastRenderedPageBreak/>
        <w:t>very low</w:t>
      </w:r>
      <w:r>
        <w:t>,</w:t>
      </w:r>
      <w:r w:rsidRPr="00E940AD">
        <w:t xml:space="preserve"> with limbs</w:t>
      </w:r>
      <w:r>
        <w:t xml:space="preserve"> </w:t>
      </w:r>
      <w:r w:rsidRPr="00E940AD">
        <w:t xml:space="preserve">and bits coming out. </w:t>
      </w:r>
      <w:r>
        <w:t>T</w:t>
      </w:r>
      <w:r w:rsidRPr="00E940AD">
        <w:t xml:space="preserve">here was a real issue </w:t>
      </w:r>
      <w:r>
        <w:t>of</w:t>
      </w:r>
      <w:r w:rsidRPr="00E940AD">
        <w:t xml:space="preserve"> protecting it</w:t>
      </w:r>
      <w:r>
        <w:t>,</w:t>
      </w:r>
      <w:r w:rsidRPr="00E940AD">
        <w:t xml:space="preserve"> and that's why it was one of the first </w:t>
      </w:r>
      <w:r>
        <w:t>to be given</w:t>
      </w:r>
      <w:r w:rsidRPr="00E940AD">
        <w:t xml:space="preserve"> a barrier around it</w:t>
      </w:r>
      <w:r>
        <w:t xml:space="preserve">, </w:t>
      </w:r>
      <w:r w:rsidRPr="00E940AD">
        <w:t xml:space="preserve">but it still recently lost </w:t>
      </w:r>
      <w:r>
        <w:t>a</w:t>
      </w:r>
      <w:r w:rsidRPr="00E940AD">
        <w:t xml:space="preserve"> toe for example </w:t>
      </w:r>
      <w:r>
        <w:t>because casts</w:t>
      </w:r>
      <w:r w:rsidRPr="00E940AD">
        <w:t xml:space="preserve"> are very</w:t>
      </w:r>
      <w:r>
        <w:t xml:space="preserve"> </w:t>
      </w:r>
      <w:r w:rsidRPr="00E940AD">
        <w:t>fragile</w:t>
      </w:r>
      <w:r>
        <w:t xml:space="preserve">. </w:t>
      </w:r>
      <w:proofErr w:type="gramStart"/>
      <w:r>
        <w:t>So</w:t>
      </w:r>
      <w:proofErr w:type="gramEnd"/>
      <w:r>
        <w:t xml:space="preserve"> if anything, </w:t>
      </w:r>
      <w:r w:rsidRPr="00E940AD">
        <w:t>the issues were about the safety of the of the piece itself</w:t>
      </w:r>
      <w:r>
        <w:t>,</w:t>
      </w:r>
      <w:r w:rsidRPr="00E940AD">
        <w:t xml:space="preserve"> and </w:t>
      </w:r>
      <w:r>
        <w:t xml:space="preserve">how to </w:t>
      </w:r>
      <w:r w:rsidRPr="00E940AD">
        <w:t>allow circulation</w:t>
      </w:r>
      <w:r>
        <w:t>,</w:t>
      </w:r>
      <w:r w:rsidRPr="00E940AD">
        <w:t xml:space="preserve"> because you need to go around otherwise you don't get </w:t>
      </w:r>
      <w:r>
        <w:t xml:space="preserve">it – and </w:t>
      </w:r>
      <w:r w:rsidRPr="00E940AD">
        <w:t xml:space="preserve">at the same time </w:t>
      </w:r>
      <w:r>
        <w:t>protecting it. It’s a very common injury in casts, fingers, toes, legs. It was very strange because we didn’t find the missing toe for months, and then at one point it was found. It was like a mystery.”</w:t>
      </w:r>
    </w:p>
    <w:p w14:paraId="3E5600FA" w14:textId="77777777" w:rsidR="00816046" w:rsidRDefault="00816046" w:rsidP="00816046">
      <w:pPr>
        <w:ind w:left="720"/>
        <w:jc w:val="center"/>
      </w:pPr>
      <w:r>
        <w:rPr>
          <w:noProof/>
        </w:rPr>
        <w:drawing>
          <wp:inline distT="0" distB="0" distL="0" distR="0" wp14:anchorId="5E17A9C3" wp14:editId="4CD8797A">
            <wp:extent cx="4146550" cy="4127256"/>
            <wp:effectExtent l="0" t="0" r="6350" b="6985"/>
            <wp:docPr id="699927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27015" name="Picture 699927015"/>
                    <pic:cNvPicPr/>
                  </pic:nvPicPr>
                  <pic:blipFill>
                    <a:blip r:embed="rId22">
                      <a:extLst>
                        <a:ext uri="{28A0092B-C50C-407E-A947-70E740481C1C}">
                          <a14:useLocalDpi xmlns:a14="http://schemas.microsoft.com/office/drawing/2010/main" val="0"/>
                        </a:ext>
                      </a:extLst>
                    </a:blip>
                    <a:stretch>
                      <a:fillRect/>
                    </a:stretch>
                  </pic:blipFill>
                  <pic:spPr>
                    <a:xfrm>
                      <a:off x="0" y="0"/>
                      <a:ext cx="4183136" cy="4163671"/>
                    </a:xfrm>
                    <a:prstGeom prst="rect">
                      <a:avLst/>
                    </a:prstGeom>
                  </pic:spPr>
                </pic:pic>
              </a:graphicData>
            </a:graphic>
          </wp:inline>
        </w:drawing>
      </w:r>
    </w:p>
    <w:p w14:paraId="047047AC" w14:textId="77777777" w:rsidR="00816046" w:rsidRPr="00A81A34" w:rsidRDefault="00816046" w:rsidP="00816046">
      <w:pPr>
        <w:ind w:left="720"/>
        <w:jc w:val="center"/>
        <w:rPr>
          <w:i/>
          <w:iCs/>
          <w:sz w:val="20"/>
          <w:szCs w:val="20"/>
        </w:rPr>
      </w:pPr>
      <w:r w:rsidRPr="00A81A34">
        <w:rPr>
          <w:i/>
          <w:iCs/>
          <w:sz w:val="20"/>
          <w:szCs w:val="20"/>
        </w:rPr>
        <w:t>The missing toe mentioned by Dr Melfi in the interview, photograph taken by the author at the Ashmolean Museum, February 2026.</w:t>
      </w:r>
    </w:p>
    <w:p w14:paraId="627A4495" w14:textId="77777777" w:rsidR="00816046" w:rsidRDefault="00816046" w:rsidP="00816046">
      <w:r>
        <w:t>I went on to ask what kind of response the cast has received from visitors since it was put on display? Dr Melfi replied:</w:t>
      </w:r>
    </w:p>
    <w:p w14:paraId="07A603B0" w14:textId="77777777" w:rsidR="00816046" w:rsidRPr="00E940AD" w:rsidRDefault="00816046" w:rsidP="00816046">
      <w:pPr>
        <w:ind w:left="720"/>
      </w:pPr>
      <w:r>
        <w:t>“S</w:t>
      </w:r>
      <w:r w:rsidRPr="00E940AD">
        <w:t>ince we didn't consider the sort of</w:t>
      </w:r>
      <w:r>
        <w:t xml:space="preserve"> </w:t>
      </w:r>
      <w:r w:rsidRPr="00E940AD">
        <w:t xml:space="preserve">slightly controversial aspect of </w:t>
      </w:r>
      <w:proofErr w:type="gramStart"/>
      <w:r w:rsidRPr="00E940AD">
        <w:t>it</w:t>
      </w:r>
      <w:proofErr w:type="gramEnd"/>
      <w:r w:rsidRPr="00E940AD">
        <w:t xml:space="preserve"> we didn't expect the type of responses. </w:t>
      </w:r>
      <w:r>
        <w:t xml:space="preserve">The </w:t>
      </w:r>
      <w:r w:rsidRPr="00E940AD">
        <w:t>responses were huge. It's always one of the favo</w:t>
      </w:r>
      <w:r>
        <w:t>u</w:t>
      </w:r>
      <w:r w:rsidRPr="00E940AD">
        <w:t>rite cast</w:t>
      </w:r>
      <w:r>
        <w:t>s</w:t>
      </w:r>
      <w:r w:rsidRPr="00E940AD">
        <w:t xml:space="preserve"> when discussing gender, of course, when discussing</w:t>
      </w:r>
      <w:r>
        <w:t xml:space="preserve"> violence as well. </w:t>
      </w:r>
      <w:proofErr w:type="gramStart"/>
      <w:r>
        <w:t>So</w:t>
      </w:r>
      <w:proofErr w:type="gramEnd"/>
      <w:r>
        <w:t xml:space="preserve"> it was part of </w:t>
      </w:r>
      <w:proofErr w:type="gramStart"/>
      <w:r>
        <w:t>a number of</w:t>
      </w:r>
      <w:proofErr w:type="gramEnd"/>
      <w:r>
        <w:t xml:space="preserve"> student or community projects </w:t>
      </w:r>
      <w:proofErr w:type="gramStart"/>
      <w:r>
        <w:t>recently</w:t>
      </w:r>
      <w:proofErr w:type="gramEnd"/>
      <w:r>
        <w:t xml:space="preserve"> I think. There have been lots of activities around that specific cast. And it surprised us because we didn’t really expect it. One of the most interesting meetings I had about the cast was with a martial arts expert who was making videos for women to teach them specific ways of defending themselves, and he wanted </w:t>
      </w:r>
      <w:r w:rsidRPr="00E940AD">
        <w:t xml:space="preserve">to ask me </w:t>
      </w:r>
      <w:r>
        <w:t xml:space="preserve">about it, because he noticed that the position is so correct in the way a woman would defend herself in a similar situation. He noticed </w:t>
      </w:r>
      <w:r>
        <w:lastRenderedPageBreak/>
        <w:t xml:space="preserve">the foot that blocks the satyr on one side, and the hand that goes straight for the eyes. The satyr is basically completely blocked. </w:t>
      </w:r>
      <w:r w:rsidRPr="00E940AD">
        <w:t xml:space="preserve"> </w:t>
      </w:r>
      <w:r>
        <w:t>He took photos and wanted to use it for something … it was a way a way of seeing it in real life.”</w:t>
      </w:r>
    </w:p>
    <w:p w14:paraId="06E83E93" w14:textId="77777777" w:rsidR="00816046" w:rsidRPr="00E940AD" w:rsidRDefault="00816046" w:rsidP="00816046">
      <w:r>
        <w:t xml:space="preserve">I asked if Dr Melfi could remember any of the other examples of how community groups have engaged with the statue? She responded: </w:t>
      </w:r>
    </w:p>
    <w:p w14:paraId="16B53365" w14:textId="77777777" w:rsidR="00816046" w:rsidRDefault="00816046" w:rsidP="00816046">
      <w:pPr>
        <w:ind w:left="720"/>
      </w:pPr>
      <w:r>
        <w:t>“There was a project that</w:t>
      </w:r>
      <w:r w:rsidRPr="00E940AD">
        <w:t xml:space="preserve"> encouraged young people to select objects within the museum</w:t>
      </w:r>
      <w:r>
        <w:t xml:space="preserve"> and</w:t>
      </w:r>
      <w:r w:rsidRPr="00E940AD">
        <w:t xml:space="preserve"> explain </w:t>
      </w:r>
      <w:r>
        <w:t>what</w:t>
      </w:r>
      <w:r w:rsidRPr="00E940AD">
        <w:t xml:space="preserve"> they felt they expressed</w:t>
      </w:r>
      <w:r>
        <w:t>, and that was one of the most popular objects, for the usual reasons around gender fluidity and so on.”</w:t>
      </w:r>
    </w:p>
    <w:p w14:paraId="408160B0" w14:textId="77777777" w:rsidR="00816046" w:rsidRDefault="00816046" w:rsidP="00816046">
      <w:r>
        <w:t xml:space="preserve">I asked whether, other than a video linking the statue to </w:t>
      </w:r>
      <w:hyperlink r:id="rId23" w:history="1">
        <w:r w:rsidRPr="00D619AD">
          <w:rPr>
            <w:rStyle w:val="Hyperlink"/>
          </w:rPr>
          <w:t xml:space="preserve">the ability of </w:t>
        </w:r>
        <w:r>
          <w:rPr>
            <w:rStyle w:val="Hyperlink"/>
          </w:rPr>
          <w:t xml:space="preserve">a </w:t>
        </w:r>
        <w:r w:rsidRPr="00D619AD">
          <w:rPr>
            <w:rStyle w:val="Hyperlink"/>
          </w:rPr>
          <w:t>species of worms to change gender on the Ashmolean Museum website</w:t>
        </w:r>
      </w:hyperlink>
      <w:r>
        <w:t>, the museum had made any other content to help views to understand and contextualise it? Dr Melfi replied:</w:t>
      </w:r>
    </w:p>
    <w:p w14:paraId="3E672637" w14:textId="77777777" w:rsidR="00816046" w:rsidRDefault="00816046" w:rsidP="00816046">
      <w:pPr>
        <w:ind w:left="720"/>
      </w:pPr>
      <w:r>
        <w:t>“This video, I didn’t know it existed.</w:t>
      </w:r>
      <w:r w:rsidRPr="007153E1">
        <w:rPr>
          <w:rStyle w:val="FootnoteReference"/>
        </w:rPr>
        <w:t xml:space="preserve"> </w:t>
      </w:r>
      <w:r>
        <w:rPr>
          <w:rStyle w:val="FootnoteReference"/>
        </w:rPr>
        <w:footnoteReference w:id="103"/>
      </w:r>
      <w:r>
        <w:t xml:space="preserve"> I wasn’t consulted. Maybe the engagement and learning department will know more than I do about that … It’s difficult, those few times when I was consulted or met students about this, it’s difficult to make people understand that the hermaphrodite is a mythological creature, and [they bring] </w:t>
      </w:r>
      <w:r w:rsidRPr="00E940AD">
        <w:t xml:space="preserve">all the nuances of </w:t>
      </w:r>
      <w:r>
        <w:t>the</w:t>
      </w:r>
      <w:r w:rsidRPr="00E940AD">
        <w:t xml:space="preserve"> problem of gender related nuances. But </w:t>
      </w:r>
      <w:r>
        <w:t>it [the cast] is</w:t>
      </w:r>
      <w:r w:rsidRPr="00E940AD">
        <w:t xml:space="preserve"> </w:t>
      </w:r>
      <w:r>
        <w:t>not</w:t>
      </w:r>
      <w:r w:rsidRPr="00E940AD">
        <w:t xml:space="preserve"> saying </w:t>
      </w:r>
      <w:r>
        <w:t>there is</w:t>
      </w:r>
      <w:r w:rsidRPr="00E940AD">
        <w:t xml:space="preserve"> a choice </w:t>
      </w:r>
      <w:r>
        <w:t>or</w:t>
      </w:r>
      <w:r w:rsidRPr="00E940AD">
        <w:t xml:space="preserve"> an assertion of something ideological as often </w:t>
      </w:r>
      <w:r>
        <w:t>it is</w:t>
      </w:r>
      <w:r w:rsidRPr="00E940AD">
        <w:t xml:space="preserve"> used as</w:t>
      </w:r>
      <w:r>
        <w:t xml:space="preserve"> [today]. </w:t>
      </w:r>
      <w:r w:rsidRPr="00E940AD">
        <w:t>Unfortunately, I think it's from the point of view of</w:t>
      </w:r>
      <w:r>
        <w:t xml:space="preserve"> the Hellenistic Roman world it’s more an issue of the monstrous, the strange, the diverse, something which makes you think, as well as laugh.”</w:t>
      </w:r>
    </w:p>
    <w:p w14:paraId="38C336C9" w14:textId="7D60FB33" w:rsidR="00944B00" w:rsidRDefault="00816046" w:rsidP="00816046">
      <w:r>
        <w:t>Following our interview, Dr Melfi remembered another project that she had been contacted about by the learning and engagement department, at the very last moment and with no time to engage with, or influence, the content. This was an audio recording linked to the cast, which could be accessed via a QR code on the plinth.</w:t>
      </w:r>
      <w:r>
        <w:rPr>
          <w:rStyle w:val="FootnoteReference"/>
        </w:rPr>
        <w:footnoteReference w:id="104"/>
      </w:r>
      <w:r>
        <w:t xml:space="preserve"> The internal email exchange shared with me by Dr Melfi revealed that she expressed concern that the content of the script for the audio recording was profoundly inaccurate, whilst the learning department responded that they had</w:t>
      </w:r>
    </w:p>
    <w:p w14:paraId="1631E380" w14:textId="1C3BAF5D" w:rsidR="00816046" w:rsidRDefault="00816046" w:rsidP="00816046">
      <w:r>
        <w:lastRenderedPageBreak/>
        <w:t>tried to make it accurate, but there was no time to change the script due to AHRC funding deadlines.</w:t>
      </w:r>
      <w:r>
        <w:rPr>
          <w:rStyle w:val="FootnoteReference"/>
        </w:rPr>
        <w:footnoteReference w:id="105"/>
      </w:r>
    </w:p>
    <w:p w14:paraId="50D53625" w14:textId="77777777" w:rsidR="00816046" w:rsidRPr="00D73165" w:rsidRDefault="00816046" w:rsidP="00816046">
      <w:pPr>
        <w:rPr>
          <w:b/>
          <w:bCs/>
        </w:rPr>
      </w:pPr>
      <w:r w:rsidRPr="00D73165">
        <w:rPr>
          <w:b/>
          <w:bCs/>
        </w:rPr>
        <w:t>Four reflections on the interview</w:t>
      </w:r>
    </w:p>
    <w:p w14:paraId="41E9AA62" w14:textId="77777777" w:rsidR="00AB2F9A" w:rsidRDefault="00816046" w:rsidP="00816046">
      <w:r>
        <w:t xml:space="preserve">Whilst recognising that this interview with Dr Melfi represents the views and experiences of a single curator, four things in this interview stood out. </w:t>
      </w:r>
    </w:p>
    <w:p w14:paraId="584E58B4" w14:textId="07D2ED63" w:rsidR="00816046" w:rsidRPr="0051241A" w:rsidRDefault="00816046" w:rsidP="00816046">
      <w:r w:rsidRPr="00D73165">
        <w:rPr>
          <w:b/>
          <w:bCs/>
        </w:rPr>
        <w:t xml:space="preserve">First – despite the feminist critique of museums </w:t>
      </w:r>
      <w:r>
        <w:rPr>
          <w:b/>
          <w:bCs/>
        </w:rPr>
        <w:t>since the 1980s</w:t>
      </w:r>
      <w:r w:rsidRPr="00D73165">
        <w:rPr>
          <w:b/>
          <w:bCs/>
        </w:rPr>
        <w:t>, th</w:t>
      </w:r>
      <w:r>
        <w:rPr>
          <w:b/>
          <w:bCs/>
        </w:rPr>
        <w:t>e ethical implications of purchasing a cast depicting sexual violence</w:t>
      </w:r>
      <w:r w:rsidRPr="00D73165">
        <w:rPr>
          <w:b/>
          <w:bCs/>
        </w:rPr>
        <w:t xml:space="preserve"> </w:t>
      </w:r>
      <w:r>
        <w:rPr>
          <w:b/>
          <w:bCs/>
        </w:rPr>
        <w:t>played no part in</w:t>
      </w:r>
      <w:r w:rsidRPr="00D73165">
        <w:rPr>
          <w:b/>
          <w:bCs/>
        </w:rPr>
        <w:t xml:space="preserve"> the decision-making </w:t>
      </w:r>
      <w:r>
        <w:rPr>
          <w:b/>
          <w:bCs/>
        </w:rPr>
        <w:t>process,</w:t>
      </w:r>
      <w:r w:rsidRPr="00D73165">
        <w:rPr>
          <w:b/>
          <w:bCs/>
        </w:rPr>
        <w:t xml:space="preserve"> as recently as 2013. </w:t>
      </w:r>
      <w:r>
        <w:t xml:space="preserve">As Milena Melfi made clear, the desire to complete the cast collection with an example of a symplegma statue type, the cost, and quality of the cast, were the key considerations. The fact that this cast depicts sexual assault, specifically assault on an intersex body (whether mythologised or not), was not seen as a consideration. </w:t>
      </w:r>
    </w:p>
    <w:p w14:paraId="50ADD651" w14:textId="77777777" w:rsidR="00816046" w:rsidRDefault="00816046" w:rsidP="00816046">
      <w:r w:rsidRPr="00D73165">
        <w:rPr>
          <w:b/>
          <w:bCs/>
        </w:rPr>
        <w:t xml:space="preserve">Second – in </w:t>
      </w:r>
      <w:r>
        <w:rPr>
          <w:b/>
          <w:bCs/>
        </w:rPr>
        <w:t xml:space="preserve">curatorial </w:t>
      </w:r>
      <w:r w:rsidRPr="00D73165">
        <w:rPr>
          <w:b/>
          <w:bCs/>
        </w:rPr>
        <w:t xml:space="preserve">thinking about display of the cast, issues about its content were </w:t>
      </w:r>
      <w:r>
        <w:rPr>
          <w:b/>
          <w:bCs/>
        </w:rPr>
        <w:t xml:space="preserve">again </w:t>
      </w:r>
      <w:r w:rsidRPr="00D73165">
        <w:rPr>
          <w:b/>
          <w:bCs/>
        </w:rPr>
        <w:t xml:space="preserve">entirely absent. </w:t>
      </w:r>
      <w:r>
        <w:t xml:space="preserve">Again, the interview makes clear that from a curatorial perspective, the issues around display were primarily around chronology within the cast gallery and protecting the cast whilst enabling audiences to move around it. How the cast might impact audiences was not a consideration. </w:t>
      </w:r>
    </w:p>
    <w:p w14:paraId="3803D4F7" w14:textId="6A063496" w:rsidR="00816046" w:rsidRDefault="00816046" w:rsidP="00816046">
      <w:r w:rsidRPr="00D73165">
        <w:rPr>
          <w:b/>
          <w:bCs/>
        </w:rPr>
        <w:t xml:space="preserve">Third – the </w:t>
      </w:r>
      <w:r w:rsidR="00A81A34">
        <w:rPr>
          <w:b/>
          <w:bCs/>
        </w:rPr>
        <w:t>m</w:t>
      </w:r>
      <w:r w:rsidRPr="00D73165">
        <w:rPr>
          <w:b/>
          <w:bCs/>
        </w:rPr>
        <w:t>useum and curatorial staff were surprised by the level of audience response to the statue</w:t>
      </w:r>
      <w:r>
        <w:rPr>
          <w:b/>
          <w:bCs/>
        </w:rPr>
        <w:t>. In these discussions,</w:t>
      </w:r>
      <w:r w:rsidRPr="00D73165">
        <w:rPr>
          <w:b/>
          <w:bCs/>
        </w:rPr>
        <w:t xml:space="preserve"> the curatorial team were usually responsive </w:t>
      </w:r>
      <w:r>
        <w:rPr>
          <w:b/>
          <w:bCs/>
        </w:rPr>
        <w:t xml:space="preserve">to internal and external requests, </w:t>
      </w:r>
      <w:r w:rsidRPr="00D73165">
        <w:rPr>
          <w:b/>
          <w:bCs/>
        </w:rPr>
        <w:t>rather than leading efforts to enable the public to understand and contextualise the statue. Conversations when they did happen were experienced as difficult</w:t>
      </w:r>
      <w:r>
        <w:rPr>
          <w:b/>
          <w:bCs/>
        </w:rPr>
        <w:t xml:space="preserve">, with a lack of joined up efforts </w:t>
      </w:r>
      <w:r w:rsidR="00A81A34">
        <w:rPr>
          <w:b/>
          <w:bCs/>
        </w:rPr>
        <w:t>to bring</w:t>
      </w:r>
      <w:r>
        <w:rPr>
          <w:b/>
          <w:bCs/>
        </w:rPr>
        <w:t xml:space="preserve"> together curatorial expertise with the engagement side of the Museum. </w:t>
      </w:r>
      <w:r>
        <w:t xml:space="preserve">From the interview and internal email exchanges shared with me by Milena Melfi, it was clear that the learning and engagement team were led by funder and other priorities. Providing clear and historically accurate contextualisation of the statue was not </w:t>
      </w:r>
      <w:r w:rsidR="00A81A34">
        <w:t>the</w:t>
      </w:r>
      <w:r>
        <w:t xml:space="preserve"> priority, leading to tensions within the Museum.</w:t>
      </w:r>
    </w:p>
    <w:p w14:paraId="7926E359" w14:textId="34979D64" w:rsidR="00944B00" w:rsidRDefault="00816046" w:rsidP="00944B00">
      <w:r w:rsidRPr="00D73165">
        <w:rPr>
          <w:b/>
          <w:bCs/>
        </w:rPr>
        <w:t xml:space="preserve">Fourth – efforts to contextualise the statue to date </w:t>
      </w:r>
      <w:r w:rsidR="00A81A34">
        <w:rPr>
          <w:b/>
          <w:bCs/>
        </w:rPr>
        <w:t>include</w:t>
      </w:r>
      <w:r w:rsidRPr="00D73165">
        <w:rPr>
          <w:b/>
          <w:bCs/>
        </w:rPr>
        <w:t xml:space="preserve"> a video about the ability of worms to change gender, and an audio recording </w:t>
      </w:r>
      <w:r w:rsidR="00A81A34">
        <w:rPr>
          <w:b/>
          <w:bCs/>
        </w:rPr>
        <w:t>focusing on</w:t>
      </w:r>
      <w:r w:rsidRPr="00D73165">
        <w:rPr>
          <w:b/>
          <w:bCs/>
        </w:rPr>
        <w:t xml:space="preserve"> the experience of intersex pe</w:t>
      </w:r>
      <w:r>
        <w:rPr>
          <w:b/>
          <w:bCs/>
        </w:rPr>
        <w:t>ople</w:t>
      </w:r>
      <w:r w:rsidRPr="00D73165">
        <w:rPr>
          <w:b/>
          <w:bCs/>
        </w:rPr>
        <w:t xml:space="preserve"> today and the value today of intersex bodies being visible in history. There have been no proactive efforts to explain the statue in its Roman context, nor to proactively engage with the statue/cast as an image of sexual violence. </w:t>
      </w:r>
      <w:r>
        <w:t xml:space="preserve">Despite the work of feminist authors outlined in the previous chapter, there has been no proactive engagement by the </w:t>
      </w:r>
      <w:r>
        <w:lastRenderedPageBreak/>
        <w:t xml:space="preserve">learning and engagement team to confront the cast as an image of sexual violence. This crucial content of the piece remains ‘hidden in plain sight’ within the museum. </w:t>
      </w:r>
    </w:p>
    <w:p w14:paraId="24CF0895" w14:textId="751146DB" w:rsidR="0051241A" w:rsidRDefault="0051241A" w:rsidP="00816046">
      <w:r>
        <w:br w:type="page"/>
      </w:r>
    </w:p>
    <w:p w14:paraId="60E079E9" w14:textId="7D30CC8E" w:rsidR="000D25C0" w:rsidRPr="0051241A" w:rsidRDefault="0051241A" w:rsidP="000D25C0">
      <w:pPr>
        <w:rPr>
          <w:b/>
          <w:bCs/>
        </w:rPr>
      </w:pPr>
      <w:r w:rsidRPr="0051241A">
        <w:rPr>
          <w:b/>
          <w:bCs/>
        </w:rPr>
        <w:lastRenderedPageBreak/>
        <w:t>Chapter 7</w:t>
      </w:r>
      <w:r w:rsidR="00C24E31">
        <w:rPr>
          <w:b/>
          <w:bCs/>
        </w:rPr>
        <w:t xml:space="preserve"> -</w:t>
      </w:r>
      <w:r w:rsidRPr="0051241A">
        <w:rPr>
          <w:b/>
          <w:bCs/>
        </w:rPr>
        <w:t xml:space="preserve"> </w:t>
      </w:r>
      <w:r w:rsidR="00A81A34">
        <w:rPr>
          <w:b/>
          <w:bCs/>
        </w:rPr>
        <w:t>W</w:t>
      </w:r>
      <w:r w:rsidRPr="0051241A">
        <w:rPr>
          <w:b/>
          <w:bCs/>
        </w:rPr>
        <w:t>hat’s in a name?</w:t>
      </w:r>
    </w:p>
    <w:p w14:paraId="2E119734" w14:textId="77777777" w:rsidR="000765CD" w:rsidRDefault="0051241A" w:rsidP="000D25C0">
      <w:r>
        <w:t xml:space="preserve">As stated in the introduction to this dissertation, the Dresden wrestling group statue type remains under-theorised in the existing art historical/ancient historical discourse on the statue, where this exists. </w:t>
      </w:r>
    </w:p>
    <w:p w14:paraId="3474C3C5" w14:textId="7FD28EE1" w:rsidR="0051241A" w:rsidRDefault="0051241A" w:rsidP="000D25C0">
      <w:r>
        <w:t xml:space="preserve">Key </w:t>
      </w:r>
      <w:r w:rsidR="000765CD">
        <w:t xml:space="preserve">art historical </w:t>
      </w:r>
      <w:r>
        <w:t xml:space="preserve">authors </w:t>
      </w:r>
      <w:r w:rsidR="000765CD">
        <w:t>(as for example,</w:t>
      </w:r>
      <w:r>
        <w:t xml:space="preserve"> John Clarke</w:t>
      </w:r>
      <w:r w:rsidR="000765CD">
        <w:t>)</w:t>
      </w:r>
      <w:r>
        <w:t xml:space="preserve"> who have written about this statue type, have failed to apply theory to it, even </w:t>
      </w:r>
      <w:r w:rsidR="00784905">
        <w:t>across the content</w:t>
      </w:r>
      <w:r>
        <w:t xml:space="preserve"> of their own works</w:t>
      </w:r>
      <w:r w:rsidR="00784905">
        <w:t xml:space="preserve">. </w:t>
      </w:r>
      <w:r w:rsidR="000765CD">
        <w:t>Critical</w:t>
      </w:r>
      <w:r w:rsidR="00784905">
        <w:t xml:space="preserve"> thinking within the field of Ancient History around the construction of gender identity, </w:t>
      </w:r>
      <w:r w:rsidR="00A81A34">
        <w:t xml:space="preserve">the treatment of hermaphrodites in the Roman prodigy system, </w:t>
      </w:r>
      <w:r w:rsidR="00784905">
        <w:t xml:space="preserve">the quotidien reality of sexual violence, and the use of humour to demean others (including through joking about sexual violence) have not been read across to the Dresden wrestling group statue type. At the same time, the work of key thinkers from fields outside ancient and art history – specifically psychology and anthropology – have yet to be read across in academic thinking on this statue type, to understand it’s function in Roman society. This dissertation has attempted to fill this gap. </w:t>
      </w:r>
    </w:p>
    <w:p w14:paraId="26BBA0F6" w14:textId="4BC04566" w:rsidR="000765CD" w:rsidRDefault="00784905" w:rsidP="000D25C0">
      <w:r>
        <w:t xml:space="preserve">Simultaneously, profound gaps exist in modern museum thinking and practice around the display of this statue type. As addressed in chapters five and six, despite feminist thinking and critique over the past three decades, and the ongoing prevalence of sexual violence against women, men and intersex people, museum practice around the display of sexual violence has been limited to a few ad hoc exhibitions or curatorial experiments – the Isabella Gardner Museum exhibition and Manchester Museum art gallery temporarily removing a painting (see chapter 5) being the only examples I could find online. </w:t>
      </w:r>
    </w:p>
    <w:p w14:paraId="1B26ABB1" w14:textId="6FAD505B" w:rsidR="000765CD" w:rsidRDefault="00784905" w:rsidP="000D25C0">
      <w:r>
        <w:t xml:space="preserve">The interview with Milena Melfi </w:t>
      </w:r>
      <w:r w:rsidR="000765CD">
        <w:t xml:space="preserve">(chapter 6) </w:t>
      </w:r>
      <w:r>
        <w:t xml:space="preserve">revealed how little impact feminist thinking and critique has had on the </w:t>
      </w:r>
      <w:r w:rsidR="00E4201B">
        <w:t>day-to-day</w:t>
      </w:r>
      <w:r>
        <w:t xml:space="preserve"> realities of curatorial decision making and internal museum discussion around the display of</w:t>
      </w:r>
      <w:r w:rsidR="000765CD">
        <w:t>,</w:t>
      </w:r>
      <w:r>
        <w:t xml:space="preserve"> </w:t>
      </w:r>
      <w:r w:rsidR="000765CD">
        <w:t xml:space="preserve">and engagement with, </w:t>
      </w:r>
      <w:r>
        <w:t>the Dresden wrestling group cast. Both in the academic literature discussed in chapters 2-4, and in modern museum display, discussed in chapters 5-6</w:t>
      </w:r>
      <w:r w:rsidR="000765CD">
        <w:t>,</w:t>
      </w:r>
      <w:r>
        <w:t xml:space="preserve"> the content of the statue as an image of sexual violence – how that functioned in Roman society, and how it functions in our own, remains hidden in plain sight.</w:t>
      </w:r>
      <w:r w:rsidR="00D012B7">
        <w:t xml:space="preserve"> </w:t>
      </w:r>
      <w:r>
        <w:t>Why is this</w:t>
      </w:r>
      <w:r w:rsidR="00FA08CA">
        <w:t xml:space="preserve">, when issues of decolonisation have </w:t>
      </w:r>
      <w:r w:rsidR="000765CD">
        <w:t>received a far</w:t>
      </w:r>
      <w:r w:rsidR="00FA08CA">
        <w:t xml:space="preserve"> more robust and comprehensive response </w:t>
      </w:r>
      <w:r w:rsidR="000765CD">
        <w:t>from</w:t>
      </w:r>
      <w:r w:rsidR="00FA08CA">
        <w:t xml:space="preserve"> the museum sector? </w:t>
      </w:r>
    </w:p>
    <w:p w14:paraId="16F509AA" w14:textId="04258D90" w:rsidR="00784905" w:rsidRDefault="00FA08CA" w:rsidP="000D25C0">
      <w:r>
        <w:t xml:space="preserve">Perry and Krasny, looking across the </w:t>
      </w:r>
      <w:r w:rsidR="000765CD">
        <w:t xml:space="preserve">art gallery and museum </w:t>
      </w:r>
      <w:r>
        <w:t xml:space="preserve">sector, </w:t>
      </w:r>
      <w:r w:rsidR="000765CD">
        <w:t>rather than</w:t>
      </w:r>
      <w:r>
        <w:t xml:space="preserve"> specifically at the Dresden wrestling group statue type</w:t>
      </w:r>
      <w:r w:rsidR="000765CD">
        <w:t>, argue their work serves to</w:t>
      </w:r>
      <w:r>
        <w:t xml:space="preserve"> “raise the alarm that despite the changes that are taking place to transform museum practices, there is still a continuance, and even cultural and civilisational justification of sexual violence, which manifests in museums.”</w:t>
      </w:r>
      <w:r>
        <w:rPr>
          <w:rStyle w:val="FootnoteReference"/>
        </w:rPr>
        <w:footnoteReference w:id="106"/>
      </w:r>
      <w:r>
        <w:t xml:space="preserve"> </w:t>
      </w:r>
      <w:r w:rsidR="00E4201B">
        <w:t xml:space="preserve">They go on to argue that “the limitations of museums’ strategies for dealing with the implications of sexual and other forms of violence … have been exposed by new developments in social justice movements that are more than ever concerned with the relationship between symbolic and actual violence … </w:t>
      </w:r>
      <w:r w:rsidR="000765CD">
        <w:t xml:space="preserve">that </w:t>
      </w:r>
      <w:r w:rsidR="00E4201B">
        <w:t xml:space="preserve">there are scant existing models for </w:t>
      </w:r>
      <w:r w:rsidR="00E4201B">
        <w:lastRenderedPageBreak/>
        <w:t>most museums to manage their own histories of violence</w:t>
      </w:r>
      <w:r w:rsidR="000765CD">
        <w:t>,</w:t>
      </w:r>
      <w:r w:rsidR="00E4201B">
        <w:t xml:space="preserve"> and potential for causing harm to audiences</w:t>
      </w:r>
      <w:r w:rsidR="000765CD">
        <w:t>,</w:t>
      </w:r>
      <w:r w:rsidR="00E4201B">
        <w:t xml:space="preserve"> is increasingly evident.”</w:t>
      </w:r>
      <w:r w:rsidR="00E4201B">
        <w:rPr>
          <w:rStyle w:val="FootnoteReference"/>
        </w:rPr>
        <w:footnoteReference w:id="107"/>
      </w:r>
    </w:p>
    <w:p w14:paraId="6E2EBF27" w14:textId="09F9E7B4" w:rsidR="00FA08CA" w:rsidRDefault="00FA08CA" w:rsidP="000D25C0">
      <w:r>
        <w:t xml:space="preserve">Two </w:t>
      </w:r>
      <w:r w:rsidR="00E4201B">
        <w:t xml:space="preserve">key dynamics may explain </w:t>
      </w:r>
      <w:r w:rsidR="000765CD">
        <w:t>current praxis of</w:t>
      </w:r>
      <w:r w:rsidR="00E4201B">
        <w:t xml:space="preserve"> museum </w:t>
      </w:r>
      <w:r w:rsidR="000765CD">
        <w:t xml:space="preserve">curation and </w:t>
      </w:r>
      <w:r w:rsidR="00E4201B">
        <w:t>display of the Dresden wrestling group statue type</w:t>
      </w:r>
      <w:r>
        <w:t>. First, as</w:t>
      </w:r>
      <w:r w:rsidR="00803CB2">
        <w:t xml:space="preserve"> Duncan</w:t>
      </w:r>
      <w:r>
        <w:t xml:space="preserve"> argued back in 199</w:t>
      </w:r>
      <w:r w:rsidR="00803CB2">
        <w:t>5 (see chapter 5)</w:t>
      </w:r>
      <w:r>
        <w:t xml:space="preserve"> the pleasure derived from looking at naked bodies, objectifying the body, and framing it as art, is at the heart of the western </w:t>
      </w:r>
      <w:r w:rsidR="00803CB2">
        <w:t>construct</w:t>
      </w:r>
      <w:r>
        <w:t xml:space="preserve"> of art. Remove that objectifying gaze, and the whole construct of art collapses. As Freud argued, civilisation rests on the sublimation of desires into art</w:t>
      </w:r>
      <w:r w:rsidR="000765CD">
        <w:t xml:space="preserve"> and other ‘civilised’ pursuits</w:t>
      </w:r>
      <w:r>
        <w:t xml:space="preserve"> </w:t>
      </w:r>
      <w:r w:rsidR="00803CB2">
        <w:t xml:space="preserve">(see chapter 4) </w:t>
      </w:r>
      <w:r>
        <w:t xml:space="preserve">– </w:t>
      </w:r>
      <w:r w:rsidR="00803CB2">
        <w:t xml:space="preserve">so </w:t>
      </w:r>
      <w:r>
        <w:t xml:space="preserve">to seriously critique and question the praxis of </w:t>
      </w:r>
      <w:r w:rsidR="000765CD">
        <w:t xml:space="preserve">objectifying and </w:t>
      </w:r>
      <w:r>
        <w:t xml:space="preserve">viewing the naked body as art, would be to pull at the seams of the </w:t>
      </w:r>
      <w:r w:rsidR="000765CD">
        <w:t xml:space="preserve">western </w:t>
      </w:r>
      <w:r w:rsidR="00E4201B">
        <w:t xml:space="preserve">cultural </w:t>
      </w:r>
      <w:r>
        <w:t>construct</w:t>
      </w:r>
      <w:r w:rsidR="00E4201B">
        <w:t>ion</w:t>
      </w:r>
      <w:r>
        <w:t xml:space="preserve"> of art galleries and museums. </w:t>
      </w:r>
    </w:p>
    <w:p w14:paraId="354B0CED" w14:textId="79AA9869" w:rsidR="00FA08CA" w:rsidRDefault="00803CB2" w:rsidP="000D25C0">
      <w:r>
        <w:t>Second, a</w:t>
      </w:r>
      <w:r w:rsidR="00FA08CA">
        <w:t xml:space="preserve">s writers like Richlin and </w:t>
      </w:r>
      <w:r>
        <w:t>Cohen have argued (see chapter 2)</w:t>
      </w:r>
      <w:r w:rsidR="00FA08CA">
        <w:t xml:space="preserve">, what we call things matter. If we refer to the rape scenes in ancient texts and art as ‘abductions’ rather than naming them as sexual violence, we hide what we are reading or viewing from ourselves, in discourse, </w:t>
      </w:r>
      <w:r w:rsidR="000765CD">
        <w:t xml:space="preserve">in </w:t>
      </w:r>
      <w:r w:rsidR="00FA08CA">
        <w:t xml:space="preserve">museum and gallery depictions, and in teaching. </w:t>
      </w:r>
      <w:r>
        <w:t xml:space="preserve">Euphemism </w:t>
      </w:r>
      <w:r w:rsidR="00FA08CA">
        <w:t>allows us to hide</w:t>
      </w:r>
      <w:r w:rsidR="004F0E15">
        <w:t>, rather than confront</w:t>
      </w:r>
      <w:r>
        <w:t>,</w:t>
      </w:r>
      <w:r w:rsidR="00FA08CA">
        <w:t xml:space="preserve"> </w:t>
      </w:r>
      <w:r>
        <w:t>sexual violence</w:t>
      </w:r>
      <w:r w:rsidR="00FA08CA">
        <w:t>.</w:t>
      </w:r>
      <w:r w:rsidR="00E4201B">
        <w:rPr>
          <w:rStyle w:val="FootnoteReference"/>
        </w:rPr>
        <w:footnoteReference w:id="108"/>
      </w:r>
    </w:p>
    <w:p w14:paraId="600D28B0" w14:textId="4D95F88C" w:rsidR="004F0E15" w:rsidRDefault="004F0E15" w:rsidP="000D25C0">
      <w:r>
        <w:t xml:space="preserve">As </w:t>
      </w:r>
      <w:r w:rsidR="000765CD">
        <w:t>we consider carefully</w:t>
      </w:r>
      <w:r>
        <w:t xml:space="preserve"> the Dresden wrestling group it becomes</w:t>
      </w:r>
      <w:r w:rsidR="000765CD">
        <w:t xml:space="preserve"> ever clearer</w:t>
      </w:r>
      <w:r>
        <w:t xml:space="preserve"> that the name itself is a misnomer. The statue type has nothing to do with Dresden; nor are the hermaphrodite and satyr simply wrestling. Calling the statue type by this name allows it to continue to function in our own society, hiding sexual violence in plain sight. </w:t>
      </w:r>
      <w:r w:rsidR="000E2BD3">
        <w:t>This practice</w:t>
      </w:r>
      <w:r>
        <w:t xml:space="preserve"> throws the burden of responding to the statue back on to victims and survivors of sexual assault who encounter it, absolving the museum of responsibility. </w:t>
      </w:r>
    </w:p>
    <w:p w14:paraId="6D0CDD91" w14:textId="786AEF9E" w:rsidR="000E2BD3" w:rsidRDefault="006E73E3" w:rsidP="000D25C0">
      <w:r>
        <w:t>Museums can</w:t>
      </w:r>
      <w:r w:rsidR="004F0E15">
        <w:t xml:space="preserve"> do things differently, as </w:t>
      </w:r>
      <w:r>
        <w:t>the profound movement</w:t>
      </w:r>
      <w:r w:rsidR="000E2BD3">
        <w:t xml:space="preserve"> to</w:t>
      </w:r>
      <w:r w:rsidR="004F0E15">
        <w:t xml:space="preserve"> decolonis</w:t>
      </w:r>
      <w:r w:rsidR="000E2BD3">
        <w:t>e</w:t>
      </w:r>
      <w:r w:rsidR="004F0E15">
        <w:t xml:space="preserve"> museums makes clear. There is huge potential for this </w:t>
      </w:r>
      <w:r w:rsidR="000E2BD3">
        <w:t xml:space="preserve">specific </w:t>
      </w:r>
      <w:r w:rsidR="004F0E15">
        <w:t xml:space="preserve">statue type to form the basis for much deeper </w:t>
      </w:r>
      <w:r w:rsidR="000E2BD3">
        <w:t xml:space="preserve">museum teaching, </w:t>
      </w:r>
      <w:r w:rsidR="004F0E15">
        <w:t xml:space="preserve">learning and engagement around Roman constructions of gender, </w:t>
      </w:r>
      <w:r>
        <w:t xml:space="preserve">related and </w:t>
      </w:r>
      <w:r w:rsidR="004F0E15">
        <w:t xml:space="preserve">routine practices of sexual violence, and the othering and destruction of intersex bodies. </w:t>
      </w:r>
    </w:p>
    <w:p w14:paraId="40090F29" w14:textId="41156A4A" w:rsidR="00A6239C" w:rsidRPr="00876DD8" w:rsidRDefault="009C1D09" w:rsidP="000D25C0">
      <w:r>
        <w:t>T</w:t>
      </w:r>
      <w:r w:rsidR="00A6239C" w:rsidRPr="00876DD8">
        <w:t xml:space="preserve">here is a profound need to go beyond </w:t>
      </w:r>
      <w:r w:rsidR="00BF58DF" w:rsidRPr="00876DD8">
        <w:t>displaying the Dresden wrestling group statue in a museum context and leaving visitors to make of it what they will – both because of the potential for harm, and because, as Clark-Smith argue</w:t>
      </w:r>
      <w:r>
        <w:t>d</w:t>
      </w:r>
      <w:r w:rsidR="00BF58DF" w:rsidRPr="00876DD8">
        <w:t xml:space="preserve"> “We need active interpreters, because without such intervention, our audiences are apt to see what they have been taught to see and to remain blind to what they have been taught to ignore.”</w:t>
      </w:r>
      <w:r w:rsidR="00BF58DF" w:rsidRPr="00876DD8">
        <w:rPr>
          <w:rStyle w:val="FootnoteReference"/>
        </w:rPr>
        <w:footnoteReference w:id="109"/>
      </w:r>
    </w:p>
    <w:p w14:paraId="60EC2647" w14:textId="68FD7FCE" w:rsidR="00BF58DF" w:rsidRDefault="004F0E15" w:rsidP="000D25C0">
      <w:r>
        <w:lastRenderedPageBreak/>
        <w:t xml:space="preserve">At the same time museums can use this piece to confront the ongoing reality of sexual violence and othering in society today. </w:t>
      </w:r>
    </w:p>
    <w:p w14:paraId="6F1822E8" w14:textId="2B30AE2B" w:rsidR="00803CB2" w:rsidRPr="00876DD8" w:rsidRDefault="004F0E15" w:rsidP="000D25C0">
      <w:r>
        <w:t xml:space="preserve">The work of the </w:t>
      </w:r>
      <w:r w:rsidR="000E2BD3">
        <w:t>M Shed Museum in Bristol</w:t>
      </w:r>
      <w:r>
        <w:t xml:space="preserve"> using the </w:t>
      </w:r>
      <w:r w:rsidR="000E2BD3">
        <w:t xml:space="preserve">toppled statue of slaver </w:t>
      </w:r>
      <w:r w:rsidR="000552CD">
        <w:t>Edward</w:t>
      </w:r>
      <w:r w:rsidR="000E2BD3">
        <w:t xml:space="preserve"> Colston</w:t>
      </w:r>
      <w:r>
        <w:t xml:space="preserve"> to create a profound and interactive display around </w:t>
      </w:r>
      <w:r w:rsidR="000E2BD3">
        <w:t>the history of protest, how the profits of slavery</w:t>
      </w:r>
      <w:r>
        <w:t xml:space="preserve"> built </w:t>
      </w:r>
      <w:r w:rsidR="000E2BD3">
        <w:t xml:space="preserve">the </w:t>
      </w:r>
      <w:r>
        <w:t xml:space="preserve">institutions of Bristol today, and </w:t>
      </w:r>
      <w:r w:rsidR="000E2BD3">
        <w:t xml:space="preserve">the ongoing reality of </w:t>
      </w:r>
      <w:r>
        <w:t>modern slavery, is an example of how statues can be used</w:t>
      </w:r>
      <w:r w:rsidR="000E2BD3">
        <w:t xml:space="preserve"> in museum display</w:t>
      </w:r>
      <w:r>
        <w:t>, not to</w:t>
      </w:r>
      <w:r w:rsidR="00937C22">
        <w:t xml:space="preserve"> censor,</w:t>
      </w:r>
      <w:r>
        <w:t xml:space="preserve"> hide </w:t>
      </w:r>
      <w:r w:rsidR="00937C22">
        <w:t>or</w:t>
      </w:r>
      <w:r>
        <w:t xml:space="preserve"> reify abusive power structures, but to create transparent</w:t>
      </w:r>
      <w:r w:rsidR="000E2BD3">
        <w:t>, community-led</w:t>
      </w:r>
      <w:r>
        <w:t xml:space="preserve"> and challenging discussions around them.</w:t>
      </w:r>
      <w:r w:rsidR="000E2BD3">
        <w:rPr>
          <w:rStyle w:val="FootnoteReference"/>
        </w:rPr>
        <w:footnoteReference w:id="110"/>
      </w:r>
      <w:r>
        <w:t xml:space="preserve"> </w:t>
      </w:r>
      <w:r w:rsidR="00937C22" w:rsidRPr="00876DD8">
        <w:t xml:space="preserve">Recent work </w:t>
      </w:r>
      <w:r w:rsidR="009C1D09">
        <w:t xml:space="preserve">with survivors of domestic violence </w:t>
      </w:r>
      <w:r w:rsidR="00937C22" w:rsidRPr="00876DD8">
        <w:t>at the National Gallery of Ireland makes clear the potential for museums</w:t>
      </w:r>
      <w:r w:rsidR="009C37AA" w:rsidRPr="00876DD8">
        <w:t xml:space="preserve"> both</w:t>
      </w:r>
      <w:r w:rsidR="00937C22" w:rsidRPr="00876DD8">
        <w:t xml:space="preserve"> to </w:t>
      </w:r>
      <w:r w:rsidR="009C37AA" w:rsidRPr="00876DD8">
        <w:t>understand</w:t>
      </w:r>
      <w:r w:rsidR="00937C22" w:rsidRPr="00876DD8">
        <w:t xml:space="preserve"> themselves as, and </w:t>
      </w:r>
      <w:r w:rsidR="009E77C7" w:rsidRPr="00876DD8">
        <w:t>to become</w:t>
      </w:r>
      <w:r w:rsidR="00937C22" w:rsidRPr="00876DD8">
        <w:t xml:space="preserve">, spaces of healing, including for </w:t>
      </w:r>
      <w:r w:rsidR="009C1D09">
        <w:t>people</w:t>
      </w:r>
      <w:r w:rsidR="00937C22" w:rsidRPr="00876DD8">
        <w:t xml:space="preserve"> who have experienced profound trauma.</w:t>
      </w:r>
      <w:r w:rsidR="00937C22" w:rsidRPr="00876DD8">
        <w:rPr>
          <w:rStyle w:val="FootnoteReference"/>
        </w:rPr>
        <w:footnoteReference w:id="111"/>
      </w:r>
      <w:r w:rsidR="00937C22" w:rsidRPr="00876DD8">
        <w:t xml:space="preserve"> </w:t>
      </w:r>
    </w:p>
    <w:p w14:paraId="305D3E0A" w14:textId="5EF4AD7A" w:rsidR="006E73E3" w:rsidRDefault="004F0E15">
      <w:r>
        <w:t xml:space="preserve">Re-naming the Dresden wrestling group statue type </w:t>
      </w:r>
      <w:r w:rsidR="000E2BD3">
        <w:t>within the academic literature</w:t>
      </w:r>
      <w:r w:rsidR="00803CB2">
        <w:t>, and in museum display,</w:t>
      </w:r>
      <w:r w:rsidR="000E2BD3">
        <w:t xml:space="preserve"> </w:t>
      </w:r>
      <w:r>
        <w:t>as ‘Hermaphrodite resisting sexual assault</w:t>
      </w:r>
      <w:r w:rsidR="000E2BD3">
        <w:t xml:space="preserve"> by a satyr</w:t>
      </w:r>
      <w:r>
        <w:t xml:space="preserve">’ would be a </w:t>
      </w:r>
      <w:r w:rsidR="000E2BD3">
        <w:t>simple, yet profound,</w:t>
      </w:r>
      <w:r>
        <w:t xml:space="preserve"> first step. </w:t>
      </w:r>
    </w:p>
    <w:p w14:paraId="4DA69111" w14:textId="77777777" w:rsidR="00AB2F9A" w:rsidRDefault="00AB2F9A"/>
    <w:p w14:paraId="56EC45A7" w14:textId="77777777" w:rsidR="00AB2F9A" w:rsidRDefault="00AB2F9A"/>
    <w:p w14:paraId="1EBB2315" w14:textId="2B862527" w:rsidR="00DC21DB" w:rsidRDefault="009C1D09">
      <w:r>
        <w:t>1</w:t>
      </w:r>
      <w:r w:rsidR="00A81A34">
        <w:t>6</w:t>
      </w:r>
      <w:r w:rsidR="00D012B7">
        <w:t xml:space="preserve"> June 2026</w:t>
      </w:r>
    </w:p>
    <w:p w14:paraId="6743683E" w14:textId="0DC0BC16" w:rsidR="00AB2F9A" w:rsidRDefault="00AB2F9A" w:rsidP="00AB2F9A">
      <w:r>
        <w:t>15,2</w:t>
      </w:r>
      <w:r w:rsidR="00A81A34">
        <w:t>17</w:t>
      </w:r>
      <w:r>
        <w:t xml:space="preserve"> words</w:t>
      </w:r>
    </w:p>
    <w:p w14:paraId="41C96C10" w14:textId="77777777" w:rsidR="00AB2F9A" w:rsidRDefault="00AB2F9A"/>
    <w:p w14:paraId="6BB0050C" w14:textId="77777777" w:rsidR="006E73E3" w:rsidRDefault="006E73E3">
      <w:r>
        <w:br w:type="page"/>
      </w:r>
    </w:p>
    <w:p w14:paraId="5ABE947E" w14:textId="77777777" w:rsidR="006E73E3" w:rsidRPr="006E73E3" w:rsidRDefault="006E73E3" w:rsidP="006E73E3">
      <w:pPr>
        <w:rPr>
          <w:b/>
          <w:bCs/>
        </w:rPr>
      </w:pPr>
      <w:r w:rsidRPr="006E73E3">
        <w:rPr>
          <w:b/>
          <w:bCs/>
        </w:rPr>
        <w:lastRenderedPageBreak/>
        <w:t>Bibliography</w:t>
      </w:r>
    </w:p>
    <w:p w14:paraId="62A53549" w14:textId="35E28CAB" w:rsidR="005A0B06" w:rsidRDefault="005A0B06" w:rsidP="005A0B06">
      <w:r w:rsidRPr="005A0B06">
        <w:t xml:space="preserve">Ajootian, A. (1990) </w:t>
      </w:r>
      <w:r w:rsidRPr="005A0B06">
        <w:rPr>
          <w:i/>
          <w:iCs/>
        </w:rPr>
        <w:t xml:space="preserve">Natus </w:t>
      </w:r>
      <w:proofErr w:type="spellStart"/>
      <w:r w:rsidRPr="005A0B06">
        <w:rPr>
          <w:i/>
          <w:iCs/>
        </w:rPr>
        <w:t>diformis</w:t>
      </w:r>
      <w:proofErr w:type="spellEnd"/>
      <w:r w:rsidRPr="005A0B06">
        <w:rPr>
          <w:i/>
          <w:iCs/>
        </w:rPr>
        <w:t>: Hermaphrodites in Greek and Roman art</w:t>
      </w:r>
      <w:r w:rsidRPr="005A0B06">
        <w:t>. PhD thesis. Bryn Mawr College.</w:t>
      </w:r>
    </w:p>
    <w:p w14:paraId="5C92D693" w14:textId="69A00EF4" w:rsidR="00EC5825" w:rsidRPr="005A0B06" w:rsidRDefault="00EC5825" w:rsidP="005A0B06">
      <w:r w:rsidRPr="00C65D95">
        <w:t xml:space="preserve">Aldhouse Green, M. (2001) </w:t>
      </w:r>
      <w:r w:rsidRPr="00C65D95">
        <w:rPr>
          <w:i/>
          <w:iCs/>
        </w:rPr>
        <w:t>Dying for the Gods: Human Sacrifice in Iron Age and Roman Europe</w:t>
      </w:r>
      <w:r w:rsidRPr="00C65D95">
        <w:t>. Stroud: Tempus.</w:t>
      </w:r>
    </w:p>
    <w:p w14:paraId="68618674" w14:textId="198E9F8A" w:rsidR="006B137F" w:rsidRPr="006B137F" w:rsidRDefault="006B137F" w:rsidP="006B137F">
      <w:pPr>
        <w:pStyle w:val="FootnoteText"/>
        <w:rPr>
          <w:sz w:val="24"/>
          <w:szCs w:val="24"/>
        </w:rPr>
      </w:pPr>
      <w:r w:rsidRPr="006B137F">
        <w:rPr>
          <w:sz w:val="24"/>
          <w:szCs w:val="24"/>
        </w:rPr>
        <w:t xml:space="preserve">Arias, M.P. (2020) 'From takeover to debacle: An analysis of the </w:t>
      </w:r>
      <w:proofErr w:type="spellStart"/>
      <w:r w:rsidRPr="006B137F">
        <w:rPr>
          <w:sz w:val="24"/>
          <w:szCs w:val="24"/>
        </w:rPr>
        <w:t>Nymp</w:t>
      </w:r>
      <w:r w:rsidR="00D7455E">
        <w:rPr>
          <w:sz w:val="24"/>
          <w:szCs w:val="24"/>
        </w:rPr>
        <w:t>hg</w:t>
      </w:r>
      <w:r w:rsidRPr="006B137F">
        <w:rPr>
          <w:sz w:val="24"/>
          <w:szCs w:val="24"/>
        </w:rPr>
        <w:t>ate</w:t>
      </w:r>
      <w:proofErr w:type="spellEnd"/>
      <w:r w:rsidRPr="006B137F">
        <w:rPr>
          <w:sz w:val="24"/>
          <w:szCs w:val="24"/>
        </w:rPr>
        <w:t xml:space="preserve"> network using Twitter data', </w:t>
      </w:r>
      <w:r w:rsidRPr="006B137F">
        <w:rPr>
          <w:i/>
          <w:iCs/>
          <w:sz w:val="24"/>
          <w:szCs w:val="24"/>
        </w:rPr>
        <w:t>Museums and Society</w:t>
      </w:r>
      <w:r w:rsidRPr="006B137F">
        <w:rPr>
          <w:sz w:val="24"/>
          <w:szCs w:val="24"/>
        </w:rPr>
        <w:t xml:space="preserve">, vol. 18, no. 2, pp. 132-150. </w:t>
      </w:r>
      <w:r>
        <w:rPr>
          <w:sz w:val="24"/>
          <w:szCs w:val="24"/>
        </w:rPr>
        <w:t xml:space="preserve">Available at: </w:t>
      </w:r>
      <w:hyperlink r:id="rId24" w:history="1">
        <w:r w:rsidRPr="006B137F">
          <w:rPr>
            <w:rStyle w:val="Hyperlink"/>
            <w:sz w:val="24"/>
            <w:szCs w:val="24"/>
          </w:rPr>
          <w:t>https://journals.le.ac.uk/ojs1/index.php/mas/article/view/3275/3131</w:t>
        </w:r>
      </w:hyperlink>
      <w:r>
        <w:rPr>
          <w:sz w:val="24"/>
          <w:szCs w:val="24"/>
        </w:rPr>
        <w:t xml:space="preserve"> (Accessed 26 May 2026)</w:t>
      </w:r>
    </w:p>
    <w:p w14:paraId="636411D7" w14:textId="77777777" w:rsidR="006B137F" w:rsidRDefault="006B137F" w:rsidP="006B137F">
      <w:pPr>
        <w:pStyle w:val="FootnoteText"/>
      </w:pPr>
    </w:p>
    <w:p w14:paraId="76FA2834" w14:textId="77777777" w:rsidR="005A0B06" w:rsidRPr="005A0B06" w:rsidRDefault="005A0B06" w:rsidP="005A0B06">
      <w:r w:rsidRPr="005A0B06">
        <w:t xml:space="preserve">Ashede, L. (2015) </w:t>
      </w:r>
      <w:r w:rsidRPr="005A0B06">
        <w:rPr>
          <w:i/>
          <w:iCs/>
        </w:rPr>
        <w:t>Desiring hermaphrodites: The relationships of Hermaphroditus in Roman group scenes</w:t>
      </w:r>
      <w:r w:rsidRPr="005A0B06">
        <w:t>. PhD thesis. University of Gothenburg.</w:t>
      </w:r>
    </w:p>
    <w:p w14:paraId="50758560" w14:textId="77777777" w:rsidR="00673B1D" w:rsidRDefault="00673B1D" w:rsidP="005A0B06">
      <w:r w:rsidRPr="00673B1D">
        <w:t xml:space="preserve">Bogner, A. and Menz, W. (2009) 'The Theory-Generating Expert Interview: Epistemological Interest, Forms of Knowledge, Interaction', in Bogner, A., </w:t>
      </w:r>
      <w:proofErr w:type="spellStart"/>
      <w:r w:rsidRPr="00673B1D">
        <w:t>Littig</w:t>
      </w:r>
      <w:proofErr w:type="spellEnd"/>
      <w:r w:rsidRPr="00673B1D">
        <w:t xml:space="preserve">, B. and Menz, W. (eds.) </w:t>
      </w:r>
      <w:r w:rsidRPr="00673B1D">
        <w:rPr>
          <w:i/>
          <w:iCs/>
        </w:rPr>
        <w:t>Interviewing Experts</w:t>
      </w:r>
      <w:r w:rsidRPr="00673B1D">
        <w:t>. Basingstoke: Palgrave Macmillan, pp. 43–80.</w:t>
      </w:r>
    </w:p>
    <w:p w14:paraId="75E5484D" w14:textId="32DFD830" w:rsidR="005A0B06" w:rsidRPr="005A0B06" w:rsidRDefault="005A0B06" w:rsidP="005A0B06">
      <w:r w:rsidRPr="005A0B06">
        <w:t xml:space="preserve">Burn, L. (2004) </w:t>
      </w:r>
      <w:r w:rsidRPr="005A0B06">
        <w:rPr>
          <w:i/>
          <w:iCs/>
        </w:rPr>
        <w:t>Hellenistic art: From Alexander the Great to Augustus</w:t>
      </w:r>
      <w:r w:rsidRPr="005A0B06">
        <w:t>. London: British Museum Press.</w:t>
      </w:r>
    </w:p>
    <w:p w14:paraId="31F78C4F" w14:textId="030FC0B6" w:rsidR="00BF58DF" w:rsidRPr="00BF58DF" w:rsidRDefault="00BF58DF" w:rsidP="00BF58DF">
      <w:r w:rsidRPr="00BF58DF">
        <w:t xml:space="preserve">Clark-Smith, B. (2010) ‘A woman’s audience: a case study of applied feminist theories’, in Levin, A. K. (ed.) </w:t>
      </w:r>
      <w:r w:rsidRPr="00BF58DF">
        <w:rPr>
          <w:i/>
          <w:iCs/>
        </w:rPr>
        <w:t>Gender, sexuality, and museums: a Routledge reader</w:t>
      </w:r>
      <w:r w:rsidRPr="00BF58DF">
        <w:t>. London: Routledge, pp. 60–69.</w:t>
      </w:r>
    </w:p>
    <w:p w14:paraId="7BF438C3" w14:textId="77777777" w:rsidR="005C7FA7" w:rsidRDefault="005C7FA7" w:rsidP="005A0B06">
      <w:r w:rsidRPr="005C7FA7">
        <w:t xml:space="preserve">Clarke, J. R. (1998) </w:t>
      </w:r>
      <w:r w:rsidRPr="005C7FA7">
        <w:rPr>
          <w:i/>
          <w:iCs/>
        </w:rPr>
        <w:t>Looking at Lovemaking: Constructions of Sexuality in Roman Art 100 B.C.–A.D. 250</w:t>
      </w:r>
      <w:r w:rsidRPr="005C7FA7">
        <w:t>. Berkeley: University of California Press.</w:t>
      </w:r>
    </w:p>
    <w:p w14:paraId="7813A416" w14:textId="58B6E822" w:rsidR="005A0B06" w:rsidRPr="005A0B06" w:rsidRDefault="005A0B06" w:rsidP="005A0B06">
      <w:r w:rsidRPr="005A0B06">
        <w:t xml:space="preserve">Clarke, J.R. (2007) </w:t>
      </w:r>
      <w:r w:rsidRPr="005A0B06">
        <w:rPr>
          <w:i/>
          <w:iCs/>
        </w:rPr>
        <w:t>Looking at laughter: Humour, power and transgression in Roman visual culture, 100 BC–AD 250</w:t>
      </w:r>
      <w:r w:rsidRPr="005A0B06">
        <w:t>. Berkeley: University of California Press.</w:t>
      </w:r>
    </w:p>
    <w:p w14:paraId="248AD269" w14:textId="77777777" w:rsidR="005A0B06" w:rsidRPr="005A0B06" w:rsidRDefault="005A0B06" w:rsidP="005A0B06">
      <w:r w:rsidRPr="005A0B06">
        <w:t xml:space="preserve">Cohen, A. (1996) ‘Portraits of abduction in Greek art’, in Kampen, N.B. (ed.) </w:t>
      </w:r>
      <w:r w:rsidRPr="005A0B06">
        <w:rPr>
          <w:i/>
          <w:iCs/>
        </w:rPr>
        <w:t>Sexuality in ancient art</w:t>
      </w:r>
      <w:r w:rsidRPr="005A0B06">
        <w:t>. Cambridge: Cambridge University Press.</w:t>
      </w:r>
    </w:p>
    <w:p w14:paraId="7CB6C7B4" w14:textId="77777777" w:rsidR="005A0B06" w:rsidRPr="005A0B06" w:rsidRDefault="005A0B06" w:rsidP="005A0B06">
      <w:r w:rsidRPr="005A0B06">
        <w:t xml:space="preserve">Corbeill, A. (1997) ‘Dining deviants in Roman political invective’, in Hallett, J. and Skinner, M. (eds.) </w:t>
      </w:r>
      <w:r w:rsidRPr="005A0B06">
        <w:rPr>
          <w:i/>
          <w:iCs/>
        </w:rPr>
        <w:t>Roman sexualities</w:t>
      </w:r>
      <w:r w:rsidRPr="005A0B06">
        <w:t>. Princeton: Princeton University Press.</w:t>
      </w:r>
    </w:p>
    <w:p w14:paraId="0B184220" w14:textId="77777777" w:rsidR="005A0B06" w:rsidRPr="005A0B06" w:rsidRDefault="005A0B06" w:rsidP="005A0B06">
      <w:r w:rsidRPr="005A0B06">
        <w:t xml:space="preserve">Duncan, C. (1995) </w:t>
      </w:r>
      <w:r w:rsidRPr="005A0B06">
        <w:rPr>
          <w:i/>
          <w:iCs/>
        </w:rPr>
        <w:t>Civilizing rituals: Inside public art museums</w:t>
      </w:r>
      <w:r w:rsidRPr="005A0B06">
        <w:t>. London: Routledge.</w:t>
      </w:r>
    </w:p>
    <w:p w14:paraId="3CAD714F" w14:textId="77777777" w:rsidR="005A0B06" w:rsidRPr="005A0B06" w:rsidRDefault="005A0B06" w:rsidP="005A0B06">
      <w:r w:rsidRPr="005A0B06">
        <w:t xml:space="preserve">Freud, S. (1905) </w:t>
      </w:r>
      <w:r w:rsidRPr="005A0B06">
        <w:rPr>
          <w:i/>
          <w:iCs/>
        </w:rPr>
        <w:t>The joke and its relation to the unconscious</w:t>
      </w:r>
      <w:r w:rsidRPr="005A0B06">
        <w:t>. Translated by J. Crick (2002). London: Penguin.</w:t>
      </w:r>
    </w:p>
    <w:p w14:paraId="64E0B991" w14:textId="77777777" w:rsidR="005A0B06" w:rsidRPr="005A0B06" w:rsidRDefault="005A0B06" w:rsidP="005A0B06">
      <w:r w:rsidRPr="005A0B06">
        <w:t xml:space="preserve">Freud, S. (1930) </w:t>
      </w:r>
      <w:r w:rsidRPr="005A0B06">
        <w:rPr>
          <w:i/>
          <w:iCs/>
        </w:rPr>
        <w:t>Civilization and its discontents</w:t>
      </w:r>
      <w:r w:rsidRPr="005A0B06">
        <w:t>. Translated by D. McLintock (2002). London: Penguin.</w:t>
      </w:r>
    </w:p>
    <w:p w14:paraId="1C3BCFA9" w14:textId="77777777" w:rsidR="005A0B06" w:rsidRPr="005A0B06" w:rsidRDefault="005A0B06" w:rsidP="005A0B06">
      <w:r w:rsidRPr="005A0B06">
        <w:t xml:space="preserve">Gellar-Goad, T.H.M. (2024) ‘“Legitimate rape” and toxic masculinity from Todd Akin to Soranus’, in McMaster, A. and Racette-Campbell, M. (eds.) </w:t>
      </w:r>
      <w:r w:rsidRPr="005A0B06">
        <w:rPr>
          <w:i/>
          <w:iCs/>
        </w:rPr>
        <w:t>Toxic masculinity in the ancient world</w:t>
      </w:r>
      <w:r w:rsidRPr="005A0B06">
        <w:t>. Edinburgh: Edinburgh University Press.</w:t>
      </w:r>
    </w:p>
    <w:p w14:paraId="3D9A5405" w14:textId="77777777" w:rsidR="005A0B06" w:rsidRPr="005A0B06" w:rsidRDefault="005A0B06" w:rsidP="005A0B06">
      <w:r w:rsidRPr="005A0B06">
        <w:lastRenderedPageBreak/>
        <w:t xml:space="preserve">Girard, R. (1972) </w:t>
      </w:r>
      <w:r w:rsidRPr="005A0B06">
        <w:rPr>
          <w:i/>
          <w:iCs/>
        </w:rPr>
        <w:t>Violence and the sacred</w:t>
      </w:r>
      <w:r w:rsidRPr="005A0B06">
        <w:t>. Baltimore: Johns Hopkins University Press.</w:t>
      </w:r>
    </w:p>
    <w:p w14:paraId="6496248C" w14:textId="77777777" w:rsidR="005A0B06" w:rsidRDefault="005A0B06" w:rsidP="005A0B06">
      <w:r w:rsidRPr="005A0B06">
        <w:t xml:space="preserve">Girard, R. (2004) ‘Violence and religion: Cause or effect?’, </w:t>
      </w:r>
      <w:r w:rsidRPr="005A0B06">
        <w:rPr>
          <w:i/>
          <w:iCs/>
        </w:rPr>
        <w:t>The Hedgehog Review</w:t>
      </w:r>
      <w:r w:rsidRPr="005A0B06">
        <w:t>, 6(1), pp. 7–20.</w:t>
      </w:r>
    </w:p>
    <w:p w14:paraId="6A4C351D" w14:textId="56A7212E" w:rsidR="00B7744E" w:rsidRPr="00B7744E" w:rsidRDefault="00B7744E" w:rsidP="00B7744E">
      <w:pPr>
        <w:pStyle w:val="FootnoteText"/>
        <w:rPr>
          <w:sz w:val="24"/>
          <w:szCs w:val="24"/>
        </w:rPr>
      </w:pPr>
      <w:r w:rsidRPr="00B7744E">
        <w:rPr>
          <w:sz w:val="24"/>
          <w:szCs w:val="24"/>
        </w:rPr>
        <w:t>Harrison, J. (2024) '</w:t>
      </w:r>
      <w:proofErr w:type="spellStart"/>
      <w:r w:rsidRPr="00B7744E">
        <w:rPr>
          <w:sz w:val="24"/>
          <w:szCs w:val="24"/>
        </w:rPr>
        <w:t>Nymphgate</w:t>
      </w:r>
      <w:proofErr w:type="spellEnd"/>
      <w:r w:rsidRPr="00B7744E">
        <w:rPr>
          <w:sz w:val="24"/>
          <w:szCs w:val="24"/>
        </w:rPr>
        <w:t>, Nudity, and Moral Excellence', </w:t>
      </w:r>
      <w:r w:rsidRPr="00B7744E">
        <w:rPr>
          <w:i/>
          <w:iCs/>
          <w:sz w:val="24"/>
          <w:szCs w:val="24"/>
        </w:rPr>
        <w:t>Cusp: Late 19th-/Early 20th-Century Cultures</w:t>
      </w:r>
      <w:r w:rsidRPr="00B7744E">
        <w:rPr>
          <w:sz w:val="24"/>
          <w:szCs w:val="24"/>
        </w:rPr>
        <w:t>, vol. 2, no. 2, pp. 241-271. Available at:</w:t>
      </w:r>
      <w:r w:rsidR="00673B1D">
        <w:rPr>
          <w:sz w:val="24"/>
          <w:szCs w:val="24"/>
        </w:rPr>
        <w:t xml:space="preserve"> </w:t>
      </w:r>
      <w:hyperlink r:id="rId25" w:history="1">
        <w:r w:rsidR="00673B1D" w:rsidRPr="00673B1D">
          <w:rPr>
            <w:rStyle w:val="Hyperlink"/>
            <w:sz w:val="24"/>
            <w:szCs w:val="24"/>
          </w:rPr>
          <w:t>https://doi.org/10.1353/cusp.2024.a934496</w:t>
        </w:r>
      </w:hyperlink>
      <w:r w:rsidRPr="00B7744E">
        <w:rPr>
          <w:sz w:val="24"/>
          <w:szCs w:val="24"/>
        </w:rPr>
        <w:t xml:space="preserve"> </w:t>
      </w:r>
      <w:r>
        <w:rPr>
          <w:sz w:val="24"/>
          <w:szCs w:val="24"/>
        </w:rPr>
        <w:t xml:space="preserve"> </w:t>
      </w:r>
      <w:r w:rsidRPr="00B7744E">
        <w:rPr>
          <w:sz w:val="24"/>
          <w:szCs w:val="24"/>
        </w:rPr>
        <w:t>(Accessed 25 May 2026)</w:t>
      </w:r>
    </w:p>
    <w:p w14:paraId="46CD6139" w14:textId="77777777" w:rsidR="00B7744E" w:rsidRPr="00B7744E" w:rsidRDefault="00B7744E" w:rsidP="00B7744E">
      <w:pPr>
        <w:pStyle w:val="FootnoteText"/>
        <w:rPr>
          <w:sz w:val="24"/>
          <w:szCs w:val="24"/>
        </w:rPr>
      </w:pPr>
    </w:p>
    <w:p w14:paraId="5F6CF798" w14:textId="72637CA6" w:rsidR="001E45A4" w:rsidRPr="005A0B06" w:rsidRDefault="001E45A4" w:rsidP="005A0B06">
      <w:r w:rsidRPr="001E45A4">
        <w:t xml:space="preserve">Hegel, G. W. F. (1977) </w:t>
      </w:r>
      <w:r w:rsidRPr="001E45A4">
        <w:rPr>
          <w:i/>
          <w:iCs/>
        </w:rPr>
        <w:t>Phenomenology of Spirit</w:t>
      </w:r>
      <w:r w:rsidRPr="001E45A4">
        <w:t>. Translated by A. V. Miller. Oxford: Oxford University Press.</w:t>
      </w:r>
    </w:p>
    <w:p w14:paraId="6F04FBCD" w14:textId="77777777" w:rsidR="005A0B06" w:rsidRPr="005A0B06" w:rsidRDefault="005A0B06" w:rsidP="005A0B06">
      <w:r w:rsidRPr="005A0B06">
        <w:t xml:space="preserve">Hein, H. (2011) ‘The responsibility of representation’, in Marstine, J. (ed.) </w:t>
      </w:r>
      <w:r w:rsidRPr="005A0B06">
        <w:rPr>
          <w:i/>
          <w:iCs/>
        </w:rPr>
        <w:t>The Routledge companion to museum ethics</w:t>
      </w:r>
      <w:r w:rsidRPr="005A0B06">
        <w:t>. London: Routledge.</w:t>
      </w:r>
    </w:p>
    <w:p w14:paraId="2D3CEBB9" w14:textId="0076B45C" w:rsidR="005A0B06" w:rsidRPr="005A0B06" w:rsidRDefault="005A0B06" w:rsidP="005A0B06">
      <w:r w:rsidRPr="005A0B06">
        <w:t xml:space="preserve">Jones, K. (2010) </w:t>
      </w:r>
      <w:r w:rsidRPr="005A0B06">
        <w:rPr>
          <w:i/>
          <w:iCs/>
        </w:rPr>
        <w:t>Sublimation, art and psychoanalysis</w:t>
      </w:r>
      <w:r w:rsidRPr="005A0B06">
        <w:t xml:space="preserve">. Goldsmiths Research Online. Available at: </w:t>
      </w:r>
      <w:hyperlink r:id="rId26" w:history="1">
        <w:r w:rsidRPr="00673B1D">
          <w:rPr>
            <w:rStyle w:val="Hyperlink"/>
          </w:rPr>
          <w:t>https://eprints.gold.ac.uk/id/eprint/4341/1/Sublimation+art+and+psychoanalysis[1].pdf</w:t>
        </w:r>
      </w:hyperlink>
      <w:r w:rsidRPr="005A0B06">
        <w:t xml:space="preserve"> (Accessed: </w:t>
      </w:r>
      <w:r w:rsidR="000E71DE">
        <w:t xml:space="preserve">13 January </w:t>
      </w:r>
      <w:r w:rsidRPr="005A0B06">
        <w:t>2026).</w:t>
      </w:r>
    </w:p>
    <w:p w14:paraId="152BE29D" w14:textId="77777777" w:rsidR="005A0B06" w:rsidRPr="005A0B06" w:rsidRDefault="005A0B06" w:rsidP="005A0B06">
      <w:r w:rsidRPr="005A0B06">
        <w:t xml:space="preserve">Juvenal (2004) </w:t>
      </w:r>
      <w:r w:rsidRPr="005A0B06">
        <w:rPr>
          <w:i/>
          <w:iCs/>
        </w:rPr>
        <w:t>The sixteen satires</w:t>
      </w:r>
      <w:r w:rsidRPr="005A0B06">
        <w:t>. Translated by P. Green. London: Penguin Classics.</w:t>
      </w:r>
    </w:p>
    <w:p w14:paraId="4FA162AC" w14:textId="77777777" w:rsidR="005A0B06" w:rsidRPr="005A0B06" w:rsidRDefault="005A0B06" w:rsidP="005A0B06">
      <w:r w:rsidRPr="005A0B06">
        <w:t xml:space="preserve">Kousser, R.M. (2008) </w:t>
      </w:r>
      <w:r w:rsidRPr="005A0B06">
        <w:rPr>
          <w:i/>
          <w:iCs/>
        </w:rPr>
        <w:t>Hellenistic and Roman ideal sculpture: The allure of the classical</w:t>
      </w:r>
      <w:r w:rsidRPr="005A0B06">
        <w:t>. Cambridge: Cambridge University Press.</w:t>
      </w:r>
    </w:p>
    <w:p w14:paraId="7D533ED1" w14:textId="77777777" w:rsidR="005A0B06" w:rsidRPr="005A0B06" w:rsidRDefault="005A0B06" w:rsidP="005A0B06">
      <w:proofErr w:type="spellStart"/>
      <w:r w:rsidRPr="005A0B06">
        <w:t>Lissarrague</w:t>
      </w:r>
      <w:proofErr w:type="spellEnd"/>
      <w:r w:rsidRPr="005A0B06">
        <w:t xml:space="preserve">, F. (1990) ‘The sexual life of satyrs’, in Halperin, D., Winkler, J. and Zeitlin, F. (eds.) </w:t>
      </w:r>
      <w:r w:rsidRPr="005A0B06">
        <w:rPr>
          <w:i/>
          <w:iCs/>
        </w:rPr>
        <w:t>Before sexuality: The construction of erotic experience in the ancient Greek world</w:t>
      </w:r>
      <w:r w:rsidRPr="005A0B06">
        <w:t>. Princeton: Princeton University Press.</w:t>
      </w:r>
    </w:p>
    <w:p w14:paraId="7D9DCC10" w14:textId="7FA8D362" w:rsidR="005A0B06" w:rsidRPr="005A0B06" w:rsidRDefault="005A0B06" w:rsidP="005A0B06">
      <w:r w:rsidRPr="005A0B06">
        <w:t xml:space="preserve">Mahony, O. (2024) ‘Curating conflict-related sexual violence: Museological visibilities at the Imperial War Museum’. Available at: </w:t>
      </w:r>
      <w:hyperlink r:id="rId27" w:tgtFrame="_new" w:history="1">
        <w:r w:rsidRPr="005A0B06">
          <w:rPr>
            <w:rStyle w:val="Hyperlink"/>
          </w:rPr>
          <w:t>https://researchonline.lse.ac.uk/id/eprint/125693/1/o-mahony-2024-curating-conflict-related-sexual-violence-museological-visibilities-at-the-imperial-war-museum.pdf</w:t>
        </w:r>
      </w:hyperlink>
      <w:r w:rsidRPr="005A0B06">
        <w:t xml:space="preserve"> (Accessed: </w:t>
      </w:r>
      <w:r w:rsidR="000E71DE">
        <w:t>2 February</w:t>
      </w:r>
      <w:r w:rsidRPr="005A0B06">
        <w:t xml:space="preserve"> 2026).</w:t>
      </w:r>
    </w:p>
    <w:p w14:paraId="29AA70A2" w14:textId="77777777" w:rsidR="005A0B06" w:rsidRPr="005A0B06" w:rsidRDefault="005A0B06" w:rsidP="005A0B06">
      <w:r w:rsidRPr="005A0B06">
        <w:t xml:space="preserve">Marstine, J. (2011) ‘The contingent nature of the new museum ethics’, in Marstine, J. (ed.) </w:t>
      </w:r>
      <w:r w:rsidRPr="005A0B06">
        <w:rPr>
          <w:i/>
          <w:iCs/>
        </w:rPr>
        <w:t>The Routledge companion to museum ethics</w:t>
      </w:r>
      <w:r w:rsidRPr="005A0B06">
        <w:t>. London: Routledge.</w:t>
      </w:r>
    </w:p>
    <w:p w14:paraId="0AAFC335" w14:textId="77777777" w:rsidR="005A0B06" w:rsidRPr="005A0B06" w:rsidRDefault="005A0B06" w:rsidP="005A0B06">
      <w:r w:rsidRPr="005A0B06">
        <w:t xml:space="preserve">Masterson, M. (2013) ‘Studies of ancient masculinity’, in Hubbard, T.K. (ed.) </w:t>
      </w:r>
      <w:r w:rsidRPr="005A0B06">
        <w:rPr>
          <w:i/>
          <w:iCs/>
        </w:rPr>
        <w:t>A companion to Greek and Roman sexualities</w:t>
      </w:r>
      <w:r w:rsidRPr="005A0B06">
        <w:t>. Malden, MA: Wiley-Blackwell.</w:t>
      </w:r>
    </w:p>
    <w:p w14:paraId="13E07F41" w14:textId="77777777" w:rsidR="005A0B06" w:rsidRPr="005A0B06" w:rsidRDefault="005A0B06" w:rsidP="005A0B06">
      <w:r w:rsidRPr="005A0B06">
        <w:t xml:space="preserve">Mishra, V. (2012) ‘René Girard, Jacques Derrida’s </w:t>
      </w:r>
      <w:r w:rsidRPr="005A0B06">
        <w:rPr>
          <w:i/>
          <w:iCs/>
        </w:rPr>
        <w:t>The Gift of Death</w:t>
      </w:r>
      <w:r w:rsidRPr="005A0B06">
        <w:t xml:space="preserve">, and Salman Rushdie’, in Cowdell, S., Fleming, C. and Hodge, J. (eds.) </w:t>
      </w:r>
      <w:r w:rsidRPr="005A0B06">
        <w:rPr>
          <w:i/>
          <w:iCs/>
        </w:rPr>
        <w:t>Violence, desire and the sacred: Girard’s mimetic theory across the disciplines</w:t>
      </w:r>
      <w:r w:rsidRPr="005A0B06">
        <w:t>. New York: Continuum.</w:t>
      </w:r>
    </w:p>
    <w:p w14:paraId="267EA087" w14:textId="250368A2" w:rsidR="005A0B06" w:rsidRPr="005A0B06" w:rsidRDefault="005A0B06" w:rsidP="005A0B06">
      <w:r w:rsidRPr="005A0B06">
        <w:t xml:space="preserve">Ortega, C.E. (2019) </w:t>
      </w:r>
      <w:r w:rsidRPr="005A0B06">
        <w:rPr>
          <w:i/>
          <w:iCs/>
        </w:rPr>
        <w:t>Transgender and intersex in antiquity: Differences in ancient Greek and Roman gender norms through religion, rites, and non-heteronormativity</w:t>
      </w:r>
      <w:r w:rsidRPr="005A0B06">
        <w:t xml:space="preserve">. PhD thesis. California State University, Fullerton. Available at: ProQuest Dissertations &amp; Theses (Accessed: 30 </w:t>
      </w:r>
      <w:r w:rsidR="000E71DE">
        <w:t>November 2025</w:t>
      </w:r>
      <w:r w:rsidRPr="005A0B06">
        <w:t>).</w:t>
      </w:r>
    </w:p>
    <w:p w14:paraId="6811653F" w14:textId="77777777" w:rsidR="000E71DE" w:rsidRDefault="000E71DE" w:rsidP="005A0B06">
      <w:r w:rsidRPr="000E71DE">
        <w:lastRenderedPageBreak/>
        <w:t xml:space="preserve">Parker, H.N. (1997) ‘The teratogenic grid’, in Hallett, J. and Skinner, M. (eds.) </w:t>
      </w:r>
      <w:r w:rsidRPr="000E71DE">
        <w:rPr>
          <w:i/>
          <w:iCs/>
        </w:rPr>
        <w:t>Roman sexualities</w:t>
      </w:r>
      <w:r w:rsidRPr="000E71DE">
        <w:t>. Princeton: Princeton University Press, pp. 47–65.</w:t>
      </w:r>
    </w:p>
    <w:p w14:paraId="62E1328F" w14:textId="386A7B85" w:rsidR="005A0B06" w:rsidRPr="005A0B06" w:rsidRDefault="005A0B06" w:rsidP="005A0B06">
      <w:r w:rsidRPr="005A0B06">
        <w:t xml:space="preserve">Parker, H.N. (2004) ‘Why were the Vestals virgins? Or the chastity of women and the safety of the Roman state’, </w:t>
      </w:r>
      <w:r w:rsidRPr="005A0B06">
        <w:rPr>
          <w:i/>
          <w:iCs/>
        </w:rPr>
        <w:t>American Journal of Philology</w:t>
      </w:r>
      <w:r w:rsidRPr="005A0B06">
        <w:t>, 125(4), pp. 563–601.</w:t>
      </w:r>
    </w:p>
    <w:p w14:paraId="745D77C8" w14:textId="421C62F3" w:rsidR="005A0B06" w:rsidRPr="005A0B06" w:rsidRDefault="005A0B06" w:rsidP="005A0B06">
      <w:r w:rsidRPr="005A0B06">
        <w:t xml:space="preserve">Perry, L. and Krasny, E. (2022) </w:t>
      </w:r>
      <w:r w:rsidRPr="005A0B06">
        <w:rPr>
          <w:i/>
          <w:iCs/>
        </w:rPr>
        <w:t>Against sexual violence in the museum: Art, curating and activism</w:t>
      </w:r>
      <w:r w:rsidRPr="005A0B06">
        <w:t xml:space="preserve">. Available at: </w:t>
      </w:r>
      <w:hyperlink r:id="rId28" w:tgtFrame="_new" w:history="1">
        <w:r w:rsidRPr="005A0B06">
          <w:rPr>
            <w:rStyle w:val="Hyperlink"/>
          </w:rPr>
          <w:t>https://research.brighton.ac.uk/en/publications/against-sexual-violence-in-the-museum-art-curating-and-activism/</w:t>
        </w:r>
      </w:hyperlink>
      <w:r w:rsidRPr="005A0B06">
        <w:t xml:space="preserve"> (Accessed: </w:t>
      </w:r>
      <w:r w:rsidR="000E71DE">
        <w:t>17 March</w:t>
      </w:r>
      <w:r w:rsidRPr="005A0B06">
        <w:t xml:space="preserve"> 2026).</w:t>
      </w:r>
    </w:p>
    <w:p w14:paraId="40C919B5" w14:textId="77777777" w:rsidR="005A0B06" w:rsidRPr="005A0B06" w:rsidRDefault="005A0B06" w:rsidP="005A0B06">
      <w:r w:rsidRPr="005A0B06">
        <w:t xml:space="preserve">Retzleff, A. (2007) ‘The Dresden type satyr-hermaphrodite group in Roman theatres’, </w:t>
      </w:r>
      <w:r w:rsidRPr="005A0B06">
        <w:rPr>
          <w:i/>
          <w:iCs/>
        </w:rPr>
        <w:t>American Journal of Archaeology</w:t>
      </w:r>
      <w:r w:rsidRPr="005A0B06">
        <w:t>, 111(3), pp. 459–472.</w:t>
      </w:r>
    </w:p>
    <w:p w14:paraId="54619713" w14:textId="638F7DF1" w:rsidR="009C37AA" w:rsidRDefault="009C37AA" w:rsidP="009C37AA">
      <w:pPr>
        <w:pStyle w:val="FootnoteText"/>
        <w:rPr>
          <w:sz w:val="24"/>
          <w:szCs w:val="24"/>
        </w:rPr>
      </w:pPr>
      <w:r w:rsidRPr="009C37AA">
        <w:rPr>
          <w:sz w:val="24"/>
          <w:szCs w:val="24"/>
        </w:rPr>
        <w:t xml:space="preserve">Rice, S. and Casey, B. (2025) </w:t>
      </w:r>
      <w:r w:rsidRPr="009C37AA">
        <w:rPr>
          <w:i/>
          <w:iCs/>
          <w:sz w:val="24"/>
          <w:szCs w:val="24"/>
        </w:rPr>
        <w:t>Art, healing and museums: Exploring museum-based art psychotherapy practices with a focus on the No Words programme at the National Gallery of Ireland</w:t>
      </w:r>
      <w:r w:rsidRPr="009C37AA">
        <w:rPr>
          <w:sz w:val="24"/>
          <w:szCs w:val="24"/>
        </w:rPr>
        <w:t>. Berlin: NEMO - The Network of European Museum Organisations. Available at</w:t>
      </w:r>
      <w:hyperlink r:id="rId29" w:history="1">
        <w:r w:rsidRPr="009C37AA">
          <w:rPr>
            <w:rStyle w:val="Hyperlink"/>
            <w:sz w:val="24"/>
            <w:szCs w:val="24"/>
          </w:rPr>
          <w:t>: https://www.ne-mo.org/news-events/article/new-nemo-publication-explores-museum-based-art-psychotherapy-and-healing/</w:t>
        </w:r>
      </w:hyperlink>
      <w:r w:rsidRPr="009C37AA">
        <w:rPr>
          <w:sz w:val="24"/>
          <w:szCs w:val="24"/>
        </w:rPr>
        <w:t xml:space="preserve"> (Accessed: 4 June 2026).</w:t>
      </w:r>
    </w:p>
    <w:p w14:paraId="495DFC23" w14:textId="77777777" w:rsidR="009C37AA" w:rsidRPr="009C37AA" w:rsidRDefault="009C37AA" w:rsidP="009C37AA">
      <w:pPr>
        <w:pStyle w:val="FootnoteText"/>
        <w:rPr>
          <w:sz w:val="24"/>
          <w:szCs w:val="24"/>
        </w:rPr>
      </w:pPr>
    </w:p>
    <w:p w14:paraId="7DEC1DE0" w14:textId="6E2D2140" w:rsidR="005A0B06" w:rsidRPr="005A0B06" w:rsidRDefault="005A0B06" w:rsidP="005A0B06">
      <w:r w:rsidRPr="005A0B06">
        <w:t xml:space="preserve">Richlin, A. (1992a) </w:t>
      </w:r>
      <w:r w:rsidRPr="005A0B06">
        <w:rPr>
          <w:i/>
          <w:iCs/>
        </w:rPr>
        <w:t>The garden of Priapus: Sexuality and aggression in Roman humour</w:t>
      </w:r>
      <w:r w:rsidRPr="005A0B06">
        <w:t>. New York: Oxford University Press.</w:t>
      </w:r>
    </w:p>
    <w:p w14:paraId="66431482" w14:textId="77777777" w:rsidR="005A0B06" w:rsidRPr="005A0B06" w:rsidRDefault="005A0B06" w:rsidP="005A0B06">
      <w:r w:rsidRPr="005A0B06">
        <w:t xml:space="preserve">Richlin, A. (1992b) ‘Reading Ovid’s rapes’, in Richlin, A. (ed.) </w:t>
      </w:r>
      <w:r w:rsidRPr="005A0B06">
        <w:rPr>
          <w:i/>
          <w:iCs/>
        </w:rPr>
        <w:t>Pornography and representation in Greece and Rome</w:t>
      </w:r>
      <w:r w:rsidRPr="005A0B06">
        <w:t>. New York: Oxford University Press.</w:t>
      </w:r>
    </w:p>
    <w:p w14:paraId="65548C3A" w14:textId="77777777" w:rsidR="00035F16" w:rsidRDefault="00035F16" w:rsidP="00C65D95">
      <w:r w:rsidRPr="009B0019">
        <w:t>Rowson Love, A. and Randolph, D.</w:t>
      </w:r>
      <w:r>
        <w:t xml:space="preserve"> (</w:t>
      </w:r>
      <w:r w:rsidRPr="009B0019">
        <w:t>2024</w:t>
      </w:r>
      <w:r>
        <w:t>)</w:t>
      </w:r>
      <w:r w:rsidRPr="009B0019">
        <w:t xml:space="preserve"> </w:t>
      </w:r>
      <w:r w:rsidRPr="009B0019">
        <w:rPr>
          <w:i/>
          <w:iCs/>
        </w:rPr>
        <w:t>An Introductory Guide to Qualitative Research in Art Museums</w:t>
      </w:r>
      <w:r w:rsidRPr="009B0019">
        <w:t>. London: Routledge</w:t>
      </w:r>
      <w:r>
        <w:t>.</w:t>
      </w:r>
    </w:p>
    <w:p w14:paraId="35A8C0B7" w14:textId="2D8869EE" w:rsidR="00C65D95" w:rsidRDefault="00C65D95" w:rsidP="00C65D95">
      <w:r>
        <w:t xml:space="preserve">Rosenberger, V., 2011 ‘Republican </w:t>
      </w:r>
      <w:proofErr w:type="spellStart"/>
      <w:r w:rsidRPr="00233A5E">
        <w:rPr>
          <w:i/>
          <w:iCs/>
        </w:rPr>
        <w:t>Nobiles</w:t>
      </w:r>
      <w:proofErr w:type="spellEnd"/>
      <w:r>
        <w:t xml:space="preserve">: Controlling the </w:t>
      </w:r>
      <w:r w:rsidRPr="00233A5E">
        <w:rPr>
          <w:i/>
          <w:iCs/>
        </w:rPr>
        <w:t>Res Publica’</w:t>
      </w:r>
      <w:r>
        <w:t xml:space="preserve"> in </w:t>
      </w:r>
      <w:r w:rsidRPr="00233A5E">
        <w:t xml:space="preserve">Rupke, J. (Ed) 2011. </w:t>
      </w:r>
      <w:r w:rsidRPr="00233A5E">
        <w:rPr>
          <w:i/>
          <w:iCs/>
        </w:rPr>
        <w:t>A companion to Roman Religion</w:t>
      </w:r>
      <w:r w:rsidRPr="00233A5E">
        <w:t>. Blackwell</w:t>
      </w:r>
      <w:r>
        <w:t>, pp. 292-303.</w:t>
      </w:r>
    </w:p>
    <w:p w14:paraId="36769C10" w14:textId="77777777" w:rsidR="005A0B06" w:rsidRPr="005A0B06" w:rsidRDefault="005A0B06" w:rsidP="005A0B06">
      <w:r w:rsidRPr="005A0B06">
        <w:t xml:space="preserve">Skinner, M. (1997) ‘Introduction’, in Hallett, J. and Skinner, M. (eds.) </w:t>
      </w:r>
      <w:r w:rsidRPr="005A0B06">
        <w:rPr>
          <w:i/>
          <w:iCs/>
        </w:rPr>
        <w:t>Roman sexualities</w:t>
      </w:r>
      <w:r w:rsidRPr="005A0B06">
        <w:t>. Princeton: Princeton University Press.</w:t>
      </w:r>
    </w:p>
    <w:p w14:paraId="7F4DEDAC" w14:textId="77777777" w:rsidR="005A0B06" w:rsidRPr="005A0B06" w:rsidRDefault="005A0B06" w:rsidP="005A0B06">
      <w:r w:rsidRPr="005A0B06">
        <w:t xml:space="preserve">Skinner, M.B. (2013) ‘Feminist theory’, in Hubbard, T.K. (ed.) </w:t>
      </w:r>
      <w:r w:rsidRPr="005A0B06">
        <w:rPr>
          <w:i/>
          <w:iCs/>
        </w:rPr>
        <w:t>A companion to Greek and Roman sexualities</w:t>
      </w:r>
      <w:r w:rsidRPr="005A0B06">
        <w:t>. Malden, MA: Wiley-Blackwell.</w:t>
      </w:r>
    </w:p>
    <w:p w14:paraId="6BA3D3D8" w14:textId="77777777" w:rsidR="005A0B06" w:rsidRPr="005A0B06" w:rsidRDefault="005A0B06" w:rsidP="005A0B06">
      <w:r w:rsidRPr="005A0B06">
        <w:t xml:space="preserve">Stewart, P. (2003) </w:t>
      </w:r>
      <w:r w:rsidRPr="005A0B06">
        <w:rPr>
          <w:i/>
          <w:iCs/>
        </w:rPr>
        <w:t>Statues in Roman society: Representation and response</w:t>
      </w:r>
      <w:r w:rsidRPr="005A0B06">
        <w:t>. Oxford: Oxford University Press.</w:t>
      </w:r>
    </w:p>
    <w:p w14:paraId="0703091F" w14:textId="77777777" w:rsidR="005A0B06" w:rsidRPr="005A0B06" w:rsidRDefault="005A0B06" w:rsidP="005A0B06">
      <w:r w:rsidRPr="005A0B06">
        <w:t xml:space="preserve">Trimble, J. (2018) ‘Beyond surprise: The sleeping Hermaphrodite in the Palazzo Massimo, Rome’, in Longfellow, B. and Perry, E. (eds.) </w:t>
      </w:r>
      <w:r w:rsidRPr="005A0B06">
        <w:rPr>
          <w:i/>
          <w:iCs/>
        </w:rPr>
        <w:t>Roman artists, patrons and public consumption: Familiar works reconsidered</w:t>
      </w:r>
      <w:r w:rsidRPr="005A0B06">
        <w:t>. Ann Arbor: University of Michigan Press.</w:t>
      </w:r>
    </w:p>
    <w:p w14:paraId="1A81A349" w14:textId="77777777" w:rsidR="005A0B06" w:rsidRPr="005A0B06" w:rsidRDefault="005A0B06" w:rsidP="005A0B06">
      <w:r w:rsidRPr="005A0B06">
        <w:t xml:space="preserve">Walters, J. (1997) ‘Invading the Roman body: manliness and impenetrability in Roman thought’, in Hallett, J. and Skinner, M. (eds.) </w:t>
      </w:r>
      <w:r w:rsidRPr="005A0B06">
        <w:rPr>
          <w:i/>
          <w:iCs/>
        </w:rPr>
        <w:t>Roman sexualities</w:t>
      </w:r>
      <w:r w:rsidRPr="005A0B06">
        <w:t>. Princeton: Princeton University Press.</w:t>
      </w:r>
    </w:p>
    <w:p w14:paraId="7A61E3C2" w14:textId="77777777" w:rsidR="005A0B06" w:rsidRPr="005A0B06" w:rsidRDefault="005A0B06" w:rsidP="005A0B06">
      <w:r w:rsidRPr="005A0B06">
        <w:lastRenderedPageBreak/>
        <w:t xml:space="preserve">Winkler, J.J. (1990) </w:t>
      </w:r>
      <w:r w:rsidRPr="005A0B06">
        <w:rPr>
          <w:i/>
          <w:iCs/>
        </w:rPr>
        <w:t>The constraints of desire: The anthropology of sex and gender in ancient Greece</w:t>
      </w:r>
      <w:r w:rsidRPr="005A0B06">
        <w:t>. New York: Routledge.</w:t>
      </w:r>
    </w:p>
    <w:p w14:paraId="186B8B2E" w14:textId="77777777" w:rsidR="005A0B06" w:rsidRPr="005A0B06" w:rsidRDefault="005A0B06" w:rsidP="005A0B06">
      <w:r w:rsidRPr="005A0B06">
        <w:t xml:space="preserve">Witzke, S. (2015) ‘Violence against women in ancient Rome: Ideology versus reality’, in Fagan, G. and Riess, W. (eds.) </w:t>
      </w:r>
      <w:r w:rsidRPr="005A0B06">
        <w:rPr>
          <w:i/>
          <w:iCs/>
        </w:rPr>
        <w:t>The topography of violence in the Greco-Roman world</w:t>
      </w:r>
      <w:r w:rsidRPr="005A0B06">
        <w:t>. Ann Arbor: University of Michigan Press.</w:t>
      </w:r>
    </w:p>
    <w:p w14:paraId="145012FA" w14:textId="77777777" w:rsidR="000765F0" w:rsidRPr="000765F0" w:rsidRDefault="000765F0" w:rsidP="005A0B06"/>
    <w:sectPr w:rsidR="000765F0" w:rsidRPr="000765F0" w:rsidSect="00BB5842">
      <w:footerReference w:type="default" r:id="rId3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D0B57" w14:textId="77777777" w:rsidR="00582EEA" w:rsidRDefault="00582EEA" w:rsidP="001303D1">
      <w:pPr>
        <w:spacing w:after="0" w:line="240" w:lineRule="auto"/>
      </w:pPr>
      <w:r>
        <w:separator/>
      </w:r>
    </w:p>
  </w:endnote>
  <w:endnote w:type="continuationSeparator" w:id="0">
    <w:p w14:paraId="5C63E851" w14:textId="77777777" w:rsidR="00582EEA" w:rsidRDefault="00582EEA" w:rsidP="00130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volini">
    <w:charset w:val="00"/>
    <w:family w:val="script"/>
    <w:pitch w:val="variable"/>
    <w:sig w:usb0="A11526FF" w:usb1="8000000A" w:usb2="0001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3759367"/>
      <w:docPartObj>
        <w:docPartGallery w:val="Page Numbers (Bottom of Page)"/>
        <w:docPartUnique/>
      </w:docPartObj>
    </w:sdtPr>
    <w:sdtEndPr>
      <w:rPr>
        <w:noProof/>
      </w:rPr>
    </w:sdtEndPr>
    <w:sdtContent>
      <w:p w14:paraId="7CB7AF93" w14:textId="518BF31B" w:rsidR="006B7442" w:rsidRDefault="006B74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FDC420" w14:textId="77777777" w:rsidR="006B7442" w:rsidRDefault="006B74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C85CE" w14:textId="77777777" w:rsidR="00582EEA" w:rsidRDefault="00582EEA" w:rsidP="001303D1">
      <w:pPr>
        <w:spacing w:after="0" w:line="240" w:lineRule="auto"/>
      </w:pPr>
      <w:r>
        <w:separator/>
      </w:r>
    </w:p>
  </w:footnote>
  <w:footnote w:type="continuationSeparator" w:id="0">
    <w:p w14:paraId="7C4521B0" w14:textId="77777777" w:rsidR="00582EEA" w:rsidRDefault="00582EEA" w:rsidP="001303D1">
      <w:pPr>
        <w:spacing w:after="0" w:line="240" w:lineRule="auto"/>
      </w:pPr>
      <w:r>
        <w:continuationSeparator/>
      </w:r>
    </w:p>
  </w:footnote>
  <w:footnote w:id="1">
    <w:p w14:paraId="0B768C47" w14:textId="177512C1" w:rsidR="00DF3E28" w:rsidRDefault="00DF3E28">
      <w:pPr>
        <w:pStyle w:val="FootnoteText"/>
      </w:pPr>
      <w:r>
        <w:rPr>
          <w:rStyle w:val="FootnoteReference"/>
        </w:rPr>
        <w:footnoteRef/>
      </w:r>
      <w:r>
        <w:t xml:space="preserve"> </w:t>
      </w:r>
      <w:r w:rsidR="00D80C39" w:rsidRPr="00D80C39">
        <w:t xml:space="preserve">Ajootian, A. (1990) </w:t>
      </w:r>
      <w:r w:rsidR="00D80C39" w:rsidRPr="00D80C39">
        <w:rPr>
          <w:i/>
          <w:iCs/>
        </w:rPr>
        <w:t>Natus Diformis: Hermaphrodites in Greek and Roman Art</w:t>
      </w:r>
      <w:r w:rsidR="00D80C39" w:rsidRPr="00D80C39">
        <w:t>. Unpublished PhD thesis, Bryn Mawr College.</w:t>
      </w:r>
    </w:p>
  </w:footnote>
  <w:footnote w:id="2">
    <w:p w14:paraId="4C9FB37D" w14:textId="25B5A04C" w:rsidR="00D80C39" w:rsidRPr="00D80C39" w:rsidRDefault="00DF3E28" w:rsidP="00920743">
      <w:pPr>
        <w:spacing w:after="0"/>
        <w:rPr>
          <w:sz w:val="20"/>
          <w:szCs w:val="20"/>
        </w:rPr>
      </w:pPr>
      <w:r>
        <w:rPr>
          <w:rStyle w:val="FootnoteReference"/>
        </w:rPr>
        <w:footnoteRef/>
      </w:r>
      <w:r>
        <w:t xml:space="preserve"> </w:t>
      </w:r>
      <w:r w:rsidR="00D80C39" w:rsidRPr="008179F0">
        <w:rPr>
          <w:sz w:val="20"/>
          <w:szCs w:val="20"/>
        </w:rPr>
        <w:t xml:space="preserve">Ashede, L. (2015) </w:t>
      </w:r>
      <w:r w:rsidR="00D80C39" w:rsidRPr="008179F0">
        <w:rPr>
          <w:i/>
          <w:iCs/>
          <w:sz w:val="20"/>
          <w:szCs w:val="20"/>
        </w:rPr>
        <w:t>Desiring Hermaphrodites: The Relationships of Hermaphroditus in Roman Group Scenes</w:t>
      </w:r>
      <w:r w:rsidR="00D80C39" w:rsidRPr="008179F0">
        <w:rPr>
          <w:sz w:val="20"/>
          <w:szCs w:val="20"/>
        </w:rPr>
        <w:t>. Unpublished PhD thesis, University of Gothenburg.</w:t>
      </w:r>
    </w:p>
  </w:footnote>
  <w:footnote w:id="3">
    <w:p w14:paraId="61579E5B" w14:textId="38E542AD" w:rsidR="001B7698" w:rsidRDefault="001B7698" w:rsidP="00920743">
      <w:pPr>
        <w:pStyle w:val="FootnoteText"/>
      </w:pPr>
      <w:r>
        <w:rPr>
          <w:rStyle w:val="FootnoteReference"/>
        </w:rPr>
        <w:footnoteRef/>
      </w:r>
      <w:r>
        <w:t xml:space="preserve"> Retzleff, A. (2007) </w:t>
      </w:r>
      <w:r w:rsidR="00D80C39">
        <w:t>‘</w:t>
      </w:r>
      <w:r w:rsidRPr="001B7698">
        <w:t>The Dresden Type Satyr-He</w:t>
      </w:r>
      <w:r w:rsidR="00D80C39">
        <w:t>r</w:t>
      </w:r>
      <w:r w:rsidRPr="001B7698">
        <w:t>maphrodite Group in Roman Theatres</w:t>
      </w:r>
      <w:r w:rsidR="00D80C39">
        <w:t>’</w:t>
      </w:r>
      <w:r w:rsidR="00570136">
        <w:t>,</w:t>
      </w:r>
      <w:r>
        <w:t xml:space="preserve"> </w:t>
      </w:r>
      <w:r w:rsidRPr="00570136">
        <w:rPr>
          <w:i/>
          <w:iCs/>
        </w:rPr>
        <w:t>American Journal of Archaeology</w:t>
      </w:r>
      <w:r w:rsidRPr="001B7698">
        <w:t>, Vol. 111</w:t>
      </w:r>
      <w:r w:rsidR="00D80C39">
        <w:t xml:space="preserve"> (3) </w:t>
      </w:r>
      <w:r w:rsidRPr="001B7698">
        <w:t>pp. 459-472</w:t>
      </w:r>
      <w:r w:rsidR="0017284E">
        <w:t>.</w:t>
      </w:r>
    </w:p>
  </w:footnote>
  <w:footnote w:id="4">
    <w:p w14:paraId="4B89A5EA" w14:textId="2D121022" w:rsidR="001003FD" w:rsidRDefault="001003FD">
      <w:pPr>
        <w:pStyle w:val="FootnoteText"/>
      </w:pPr>
      <w:r>
        <w:rPr>
          <w:rStyle w:val="FootnoteReference"/>
        </w:rPr>
        <w:footnoteRef/>
      </w:r>
      <w:r>
        <w:t xml:space="preserve"> </w:t>
      </w:r>
      <w:r w:rsidR="00294F11">
        <w:t xml:space="preserve">For example, </w:t>
      </w:r>
      <w:r>
        <w:t>Stewart</w:t>
      </w:r>
      <w:r w:rsidR="00D80C39">
        <w:t xml:space="preserve"> P.</w:t>
      </w:r>
      <w:r>
        <w:t xml:space="preserve"> </w:t>
      </w:r>
      <w:r w:rsidR="00294F11">
        <w:t>(</w:t>
      </w:r>
      <w:r>
        <w:t>2003</w:t>
      </w:r>
      <w:r w:rsidR="00294F11">
        <w:t>)</w:t>
      </w:r>
      <w:r>
        <w:t xml:space="preserve"> – discussed in the next </w:t>
      </w:r>
      <w:r w:rsidR="0017284E">
        <w:t>chapter.</w:t>
      </w:r>
    </w:p>
  </w:footnote>
  <w:footnote w:id="5">
    <w:p w14:paraId="531AEA40" w14:textId="3D636836" w:rsidR="00A84715" w:rsidRPr="00A84715" w:rsidRDefault="00A84715" w:rsidP="00A84715">
      <w:pPr>
        <w:rPr>
          <w:sz w:val="22"/>
          <w:szCs w:val="22"/>
        </w:rPr>
      </w:pPr>
      <w:r>
        <w:rPr>
          <w:rStyle w:val="FootnoteReference"/>
        </w:rPr>
        <w:footnoteRef/>
      </w:r>
      <w:r>
        <w:t xml:space="preserve"> </w:t>
      </w:r>
      <w:r w:rsidR="001003FD" w:rsidRPr="006A7D8B">
        <w:rPr>
          <w:sz w:val="20"/>
          <w:szCs w:val="20"/>
        </w:rPr>
        <w:t xml:space="preserve">Koussner </w:t>
      </w:r>
      <w:r w:rsidR="00D80C39">
        <w:rPr>
          <w:sz w:val="20"/>
          <w:szCs w:val="20"/>
        </w:rPr>
        <w:t xml:space="preserve">R. M. </w:t>
      </w:r>
      <w:r w:rsidR="001003FD" w:rsidRPr="006A7D8B">
        <w:rPr>
          <w:sz w:val="20"/>
          <w:szCs w:val="20"/>
        </w:rPr>
        <w:t xml:space="preserve">has looked at the function of statuary </w:t>
      </w:r>
      <w:r w:rsidR="00932B35" w:rsidRPr="006A7D8B">
        <w:rPr>
          <w:sz w:val="20"/>
          <w:szCs w:val="20"/>
        </w:rPr>
        <w:t xml:space="preserve">generally from this period </w:t>
      </w:r>
      <w:r w:rsidRPr="006A7D8B">
        <w:rPr>
          <w:sz w:val="20"/>
          <w:szCs w:val="20"/>
        </w:rPr>
        <w:t>as part of elite display (see Kousser, 2008</w:t>
      </w:r>
      <w:r w:rsidR="001003FD" w:rsidRPr="006A7D8B">
        <w:rPr>
          <w:sz w:val="20"/>
          <w:szCs w:val="20"/>
        </w:rPr>
        <w:t>, discussed in Chapter 2</w:t>
      </w:r>
      <w:r w:rsidRPr="006A7D8B">
        <w:rPr>
          <w:sz w:val="20"/>
          <w:szCs w:val="20"/>
        </w:rPr>
        <w:t>)</w:t>
      </w:r>
      <w:r w:rsidR="001003FD" w:rsidRPr="006A7D8B">
        <w:rPr>
          <w:sz w:val="20"/>
          <w:szCs w:val="20"/>
        </w:rPr>
        <w:t>, but she does not analyse the Dresden Wrestling Group or any similar statues for their specific function.</w:t>
      </w:r>
      <w:r w:rsidR="001003FD">
        <w:rPr>
          <w:sz w:val="22"/>
          <w:szCs w:val="22"/>
        </w:rPr>
        <w:t xml:space="preserve"> </w:t>
      </w:r>
    </w:p>
    <w:p w14:paraId="7E3A0AD1" w14:textId="4A998C31" w:rsidR="00A84715" w:rsidRDefault="00A84715">
      <w:pPr>
        <w:pStyle w:val="FootnoteText"/>
      </w:pPr>
    </w:p>
  </w:footnote>
  <w:footnote w:id="6">
    <w:p w14:paraId="33B68D84" w14:textId="05430076" w:rsidR="00C76B94" w:rsidRPr="00C76B94" w:rsidRDefault="00C76B94" w:rsidP="009A0344">
      <w:pPr>
        <w:spacing w:after="0"/>
        <w:rPr>
          <w:sz w:val="20"/>
          <w:szCs w:val="20"/>
        </w:rPr>
      </w:pPr>
      <w:r>
        <w:rPr>
          <w:rStyle w:val="FootnoteReference"/>
        </w:rPr>
        <w:footnoteRef/>
      </w:r>
      <w:r>
        <w:t xml:space="preserve"> </w:t>
      </w:r>
      <w:r w:rsidRPr="00FC2485">
        <w:rPr>
          <w:sz w:val="20"/>
          <w:szCs w:val="20"/>
        </w:rPr>
        <w:t xml:space="preserve">Retzleff </w:t>
      </w:r>
      <w:r w:rsidR="00D80C39">
        <w:rPr>
          <w:sz w:val="20"/>
          <w:szCs w:val="20"/>
        </w:rPr>
        <w:t>(2007)</w:t>
      </w:r>
      <w:r w:rsidR="001B7698">
        <w:rPr>
          <w:sz w:val="20"/>
          <w:szCs w:val="20"/>
        </w:rPr>
        <w:t xml:space="preserve">, </w:t>
      </w:r>
      <w:r w:rsidRPr="00FC2485">
        <w:rPr>
          <w:sz w:val="20"/>
          <w:szCs w:val="20"/>
        </w:rPr>
        <w:t xml:space="preserve">mostly citing </w:t>
      </w:r>
      <w:r w:rsidRPr="00FC2485">
        <w:rPr>
          <w:i/>
          <w:iCs/>
          <w:sz w:val="20"/>
          <w:szCs w:val="20"/>
        </w:rPr>
        <w:t xml:space="preserve">Die </w:t>
      </w:r>
      <w:proofErr w:type="spellStart"/>
      <w:r w:rsidRPr="00FC2485">
        <w:rPr>
          <w:i/>
          <w:iCs/>
          <w:sz w:val="20"/>
          <w:szCs w:val="20"/>
        </w:rPr>
        <w:t>Verweigerung</w:t>
      </w:r>
      <w:proofErr w:type="spellEnd"/>
      <w:r w:rsidRPr="00FC2485">
        <w:rPr>
          <w:i/>
          <w:iCs/>
          <w:sz w:val="20"/>
          <w:szCs w:val="20"/>
        </w:rPr>
        <w:t xml:space="preserve"> der </w:t>
      </w:r>
      <w:proofErr w:type="spellStart"/>
      <w:r w:rsidRPr="00FC2485">
        <w:rPr>
          <w:i/>
          <w:iCs/>
          <w:sz w:val="20"/>
          <w:szCs w:val="20"/>
        </w:rPr>
        <w:t>Lüste</w:t>
      </w:r>
      <w:proofErr w:type="spellEnd"/>
      <w:r w:rsidRPr="00FC2485">
        <w:rPr>
          <w:i/>
          <w:iCs/>
          <w:sz w:val="20"/>
          <w:szCs w:val="20"/>
        </w:rPr>
        <w:t xml:space="preserve">: </w:t>
      </w:r>
      <w:proofErr w:type="spellStart"/>
      <w:r w:rsidRPr="00FC2485">
        <w:rPr>
          <w:i/>
          <w:iCs/>
          <w:sz w:val="20"/>
          <w:szCs w:val="20"/>
        </w:rPr>
        <w:t>Erotische</w:t>
      </w:r>
      <w:proofErr w:type="spellEnd"/>
      <w:r w:rsidRPr="00FC2485">
        <w:rPr>
          <w:i/>
          <w:iCs/>
          <w:sz w:val="20"/>
          <w:szCs w:val="20"/>
        </w:rPr>
        <w:t xml:space="preserve"> Gruppen in der </w:t>
      </w:r>
      <w:proofErr w:type="spellStart"/>
      <w:r w:rsidRPr="00FC2485">
        <w:rPr>
          <w:i/>
          <w:iCs/>
          <w:sz w:val="20"/>
          <w:szCs w:val="20"/>
        </w:rPr>
        <w:t>antiken</w:t>
      </w:r>
      <w:proofErr w:type="spellEnd"/>
      <w:r w:rsidRPr="00FC2485">
        <w:rPr>
          <w:i/>
          <w:iCs/>
          <w:sz w:val="20"/>
          <w:szCs w:val="20"/>
        </w:rPr>
        <w:t xml:space="preserve"> Plastik</w:t>
      </w:r>
      <w:r w:rsidRPr="00FC2485">
        <w:rPr>
          <w:sz w:val="20"/>
          <w:szCs w:val="20"/>
        </w:rPr>
        <w:t xml:space="preserve"> by Adrian Stähli (1999), mentions 30 known examples</w:t>
      </w:r>
      <w:r w:rsidR="0017319C">
        <w:rPr>
          <w:sz w:val="20"/>
          <w:szCs w:val="20"/>
        </w:rPr>
        <w:t xml:space="preserve">, </w:t>
      </w:r>
      <w:r w:rsidRPr="00FC2485">
        <w:rPr>
          <w:sz w:val="20"/>
          <w:szCs w:val="20"/>
        </w:rPr>
        <w:t xml:space="preserve">including two fragments at the theatre at Daphne (Antioch) and one at the theatre at Side (Pamphilia) which form the focus of her 2007 article. </w:t>
      </w:r>
      <w:r w:rsidR="0017319C">
        <w:rPr>
          <w:sz w:val="20"/>
          <w:szCs w:val="20"/>
        </w:rPr>
        <w:t>The</w:t>
      </w:r>
      <w:r w:rsidRPr="00FC2485">
        <w:rPr>
          <w:sz w:val="20"/>
          <w:szCs w:val="20"/>
        </w:rPr>
        <w:t xml:space="preserve"> dispute in the literature as to the number of confirmed</w:t>
      </w:r>
      <w:r>
        <w:rPr>
          <w:sz w:val="20"/>
          <w:szCs w:val="20"/>
        </w:rPr>
        <w:t>/possible</w:t>
      </w:r>
      <w:r w:rsidRPr="00FC2485">
        <w:rPr>
          <w:sz w:val="20"/>
          <w:szCs w:val="20"/>
        </w:rPr>
        <w:t xml:space="preserve"> examples of images of this type </w:t>
      </w:r>
      <w:r>
        <w:rPr>
          <w:sz w:val="20"/>
          <w:szCs w:val="20"/>
        </w:rPr>
        <w:t>– from 27 (Ajootian</w:t>
      </w:r>
      <w:r w:rsidR="0061382A">
        <w:rPr>
          <w:sz w:val="20"/>
          <w:szCs w:val="20"/>
        </w:rPr>
        <w:t>,</w:t>
      </w:r>
      <w:r w:rsidR="00D80C39">
        <w:rPr>
          <w:sz w:val="20"/>
          <w:szCs w:val="20"/>
        </w:rPr>
        <w:t xml:space="preserve"> 1990</w:t>
      </w:r>
      <w:r>
        <w:rPr>
          <w:sz w:val="20"/>
          <w:szCs w:val="20"/>
        </w:rPr>
        <w:t>) to</w:t>
      </w:r>
      <w:r w:rsidR="0017319C">
        <w:rPr>
          <w:sz w:val="20"/>
          <w:szCs w:val="20"/>
        </w:rPr>
        <w:t xml:space="preserve"> 30 (Retzleff</w:t>
      </w:r>
      <w:r w:rsidR="0061382A">
        <w:rPr>
          <w:sz w:val="20"/>
          <w:szCs w:val="20"/>
        </w:rPr>
        <w:t>,</w:t>
      </w:r>
      <w:r w:rsidR="00D80C39">
        <w:rPr>
          <w:sz w:val="20"/>
          <w:szCs w:val="20"/>
        </w:rPr>
        <w:t xml:space="preserve"> 2007</w:t>
      </w:r>
      <w:r w:rsidR="0017319C">
        <w:rPr>
          <w:sz w:val="20"/>
          <w:szCs w:val="20"/>
        </w:rPr>
        <w:t>) to</w:t>
      </w:r>
      <w:r>
        <w:rPr>
          <w:sz w:val="20"/>
          <w:szCs w:val="20"/>
        </w:rPr>
        <w:t xml:space="preserve"> 31 (Ashede</w:t>
      </w:r>
      <w:r w:rsidR="0061382A">
        <w:rPr>
          <w:sz w:val="20"/>
          <w:szCs w:val="20"/>
        </w:rPr>
        <w:t>,</w:t>
      </w:r>
      <w:r w:rsidR="00D80C39">
        <w:rPr>
          <w:sz w:val="20"/>
          <w:szCs w:val="20"/>
        </w:rPr>
        <w:t xml:space="preserve"> 2015</w:t>
      </w:r>
      <w:r>
        <w:rPr>
          <w:sz w:val="20"/>
          <w:szCs w:val="20"/>
        </w:rPr>
        <w:t xml:space="preserve">) </w:t>
      </w:r>
      <w:r w:rsidRPr="00FC2485">
        <w:rPr>
          <w:sz w:val="20"/>
          <w:szCs w:val="20"/>
        </w:rPr>
        <w:t>–</w:t>
      </w:r>
      <w:r w:rsidR="0017319C">
        <w:rPr>
          <w:sz w:val="20"/>
          <w:szCs w:val="20"/>
        </w:rPr>
        <w:t xml:space="preserve"> </w:t>
      </w:r>
      <w:r w:rsidR="0085711C">
        <w:rPr>
          <w:sz w:val="20"/>
          <w:szCs w:val="20"/>
        </w:rPr>
        <w:t>is</w:t>
      </w:r>
      <w:r w:rsidRPr="00FC2485">
        <w:rPr>
          <w:sz w:val="20"/>
          <w:szCs w:val="20"/>
        </w:rPr>
        <w:t xml:space="preserve"> beyond the scope of this dissertation. The six </w:t>
      </w:r>
      <w:r w:rsidRPr="0061382A">
        <w:rPr>
          <w:sz w:val="20"/>
          <w:szCs w:val="20"/>
        </w:rPr>
        <w:t>complete statuary</w:t>
      </w:r>
      <w:r w:rsidR="0061382A" w:rsidRPr="0061382A">
        <w:rPr>
          <w:sz w:val="20"/>
          <w:szCs w:val="20"/>
        </w:rPr>
        <w:t>/bronze</w:t>
      </w:r>
      <w:r w:rsidRPr="0061382A">
        <w:rPr>
          <w:sz w:val="20"/>
          <w:szCs w:val="20"/>
        </w:rPr>
        <w:t xml:space="preserve"> examples</w:t>
      </w:r>
      <w:r w:rsidRPr="00FC2485">
        <w:rPr>
          <w:sz w:val="20"/>
          <w:szCs w:val="20"/>
        </w:rPr>
        <w:t xml:space="preserve"> in the table are not disputed</w:t>
      </w:r>
      <w:r w:rsidR="0017319C">
        <w:rPr>
          <w:sz w:val="20"/>
          <w:szCs w:val="20"/>
        </w:rPr>
        <w:t xml:space="preserve"> in any of the sources</w:t>
      </w:r>
      <w:r w:rsidRPr="00FC2485">
        <w:rPr>
          <w:sz w:val="20"/>
          <w:szCs w:val="20"/>
        </w:rPr>
        <w:t xml:space="preserve">. </w:t>
      </w:r>
    </w:p>
  </w:footnote>
  <w:footnote w:id="7">
    <w:p w14:paraId="1167211F" w14:textId="3E8D5B0B" w:rsidR="00B275C5" w:rsidRDefault="00B275C5" w:rsidP="009A0344">
      <w:pPr>
        <w:pStyle w:val="FootnoteText"/>
      </w:pPr>
      <w:r>
        <w:rPr>
          <w:rStyle w:val="FootnoteReference"/>
        </w:rPr>
        <w:footnoteRef/>
      </w:r>
      <w:r>
        <w:t xml:space="preserve"> The table includes a mix of text taken from Ashede (2015), museum catalogue text</w:t>
      </w:r>
      <w:r w:rsidR="00C76B94">
        <w:t>,</w:t>
      </w:r>
      <w:r>
        <w:t xml:space="preserve"> and my own edits/additions. </w:t>
      </w:r>
    </w:p>
  </w:footnote>
  <w:footnote w:id="8">
    <w:p w14:paraId="2FB559B7" w14:textId="44E1644E" w:rsidR="00B94ECE" w:rsidRDefault="00B94ECE" w:rsidP="00B94ECE">
      <w:pPr>
        <w:pStyle w:val="FootnoteText"/>
      </w:pPr>
      <w:r>
        <w:rPr>
          <w:rStyle w:val="FootnoteReference"/>
        </w:rPr>
        <w:footnoteRef/>
      </w:r>
      <w:r>
        <w:t xml:space="preserve"> Burn, L. </w:t>
      </w:r>
      <w:r w:rsidR="00920743">
        <w:t>(</w:t>
      </w:r>
      <w:r>
        <w:t>2004</w:t>
      </w:r>
      <w:r w:rsidR="00920743">
        <w:t xml:space="preserve">) </w:t>
      </w:r>
      <w:r w:rsidRPr="002476A1">
        <w:rPr>
          <w:i/>
          <w:iCs/>
        </w:rPr>
        <w:t>Hellenistic Art: from Alexander the Great to Augustus</w:t>
      </w:r>
      <w:r w:rsidRPr="002476A1">
        <w:t>.</w:t>
      </w:r>
      <w:r w:rsidR="005C7FA7">
        <w:t xml:space="preserve"> London: British Museum Press.</w:t>
      </w:r>
    </w:p>
  </w:footnote>
  <w:footnote w:id="9">
    <w:p w14:paraId="5B3F879D" w14:textId="245CF80C" w:rsidR="00B94ECE" w:rsidRDefault="00B94ECE" w:rsidP="00B94ECE">
      <w:pPr>
        <w:pStyle w:val="FootnoteText"/>
      </w:pPr>
      <w:r>
        <w:rPr>
          <w:rStyle w:val="FootnoteReference"/>
        </w:rPr>
        <w:footnoteRef/>
      </w:r>
      <w:r>
        <w:t xml:space="preserve"> Burn, L. </w:t>
      </w:r>
      <w:r w:rsidR="00920743">
        <w:t>(2004, p.</w:t>
      </w:r>
      <w:r>
        <w:t>145</w:t>
      </w:r>
      <w:r w:rsidR="00920743">
        <w:t>)</w:t>
      </w:r>
      <w:r>
        <w:t xml:space="preserve"> continues “From the satyr’s point of view his intended victim looks like a beautiful young girl. For the viewer the subject offers a sophisticated sort of erotic joke: if we walk round we can see better than the satyr that even </w:t>
      </w:r>
      <w:proofErr w:type="spellStart"/>
      <w:r>
        <w:t>were</w:t>
      </w:r>
      <w:proofErr w:type="spellEnd"/>
      <w:r>
        <w:t xml:space="preserve"> he successful in his attack, he would still be disappointed, while the hermaphrodite’s gesture, pressing his/her hand against the satyr’s eyes, serves both physically to fend off the attack and to make him still more blind to the dual nature of his victim.” This exemplifies the ‘traditional’ reading of the Dresden wrestling group statue – also exemplified in </w:t>
      </w:r>
      <w:r w:rsidR="00920743">
        <w:t xml:space="preserve">J. R. </w:t>
      </w:r>
      <w:r w:rsidR="005C7FA7">
        <w:t>Clarke’s</w:t>
      </w:r>
      <w:r w:rsidR="0061382A">
        <w:t xml:space="preserve"> work</w:t>
      </w:r>
      <w:r w:rsidR="005C7FA7">
        <w:t xml:space="preserve"> - see below</w:t>
      </w:r>
      <w:r>
        <w:t xml:space="preserve"> – and is a framing that Ashede </w:t>
      </w:r>
      <w:r w:rsidR="005C7FA7">
        <w:t xml:space="preserve">(2015) </w:t>
      </w:r>
      <w:r>
        <w:t xml:space="preserve">has particularly sought to debunk. </w:t>
      </w:r>
    </w:p>
  </w:footnote>
  <w:footnote w:id="10">
    <w:p w14:paraId="45B227F3" w14:textId="77777777" w:rsidR="005C7FA7" w:rsidRPr="005C7FA7" w:rsidRDefault="00B94ECE" w:rsidP="005C7FA7">
      <w:pPr>
        <w:rPr>
          <w:sz w:val="20"/>
          <w:szCs w:val="20"/>
        </w:rPr>
      </w:pPr>
      <w:r>
        <w:rPr>
          <w:rStyle w:val="FootnoteReference"/>
        </w:rPr>
        <w:footnoteRef/>
      </w:r>
      <w:r>
        <w:t xml:space="preserve"> </w:t>
      </w:r>
      <w:r w:rsidR="005C7FA7" w:rsidRPr="005C7FA7">
        <w:rPr>
          <w:sz w:val="20"/>
          <w:szCs w:val="20"/>
        </w:rPr>
        <w:t xml:space="preserve">Stewart, P. (2003) </w:t>
      </w:r>
      <w:r w:rsidR="005C7FA7" w:rsidRPr="005C7FA7">
        <w:rPr>
          <w:i/>
          <w:iCs/>
          <w:sz w:val="20"/>
          <w:szCs w:val="20"/>
        </w:rPr>
        <w:t>Statues in Roman society: Representation and response</w:t>
      </w:r>
      <w:r w:rsidR="005C7FA7" w:rsidRPr="005C7FA7">
        <w:rPr>
          <w:sz w:val="20"/>
          <w:szCs w:val="20"/>
        </w:rPr>
        <w:t>. Oxford: Oxford University Press.</w:t>
      </w:r>
    </w:p>
    <w:p w14:paraId="2F426C7A" w14:textId="5EB3818D" w:rsidR="00B94ECE" w:rsidRDefault="00B94ECE" w:rsidP="00B94ECE">
      <w:pPr>
        <w:pStyle w:val="FootnoteText"/>
      </w:pPr>
    </w:p>
  </w:footnote>
  <w:footnote w:id="11">
    <w:p w14:paraId="22484104" w14:textId="7C233895" w:rsidR="00B94ECE" w:rsidRPr="009A0344" w:rsidRDefault="00B94ECE" w:rsidP="00D06485">
      <w:pPr>
        <w:spacing w:after="0"/>
        <w:rPr>
          <w:sz w:val="20"/>
          <w:szCs w:val="20"/>
        </w:rPr>
      </w:pPr>
      <w:r w:rsidRPr="002476A1">
        <w:rPr>
          <w:rStyle w:val="FootnoteReference"/>
        </w:rPr>
        <w:footnoteRef/>
      </w:r>
      <w:r w:rsidRPr="002476A1">
        <w:t xml:space="preserve"> </w:t>
      </w:r>
      <w:r w:rsidR="005C7FA7" w:rsidRPr="009A0344">
        <w:rPr>
          <w:sz w:val="20"/>
          <w:szCs w:val="20"/>
        </w:rPr>
        <w:t xml:space="preserve">Kousser, R.M. (2008) </w:t>
      </w:r>
      <w:r w:rsidR="005C7FA7" w:rsidRPr="009A0344">
        <w:rPr>
          <w:i/>
          <w:iCs/>
          <w:sz w:val="20"/>
          <w:szCs w:val="20"/>
        </w:rPr>
        <w:t>Hellenistic and Roman ideal sculpture: The allure of the classical</w:t>
      </w:r>
      <w:r w:rsidR="005C7FA7" w:rsidRPr="009A0344">
        <w:rPr>
          <w:sz w:val="20"/>
          <w:szCs w:val="20"/>
        </w:rPr>
        <w:t>. Cambridge: Cambridge</w:t>
      </w:r>
      <w:r w:rsidR="009A0344" w:rsidRPr="009A0344">
        <w:rPr>
          <w:sz w:val="20"/>
          <w:szCs w:val="20"/>
        </w:rPr>
        <w:t xml:space="preserve"> </w:t>
      </w:r>
      <w:r w:rsidR="005C7FA7" w:rsidRPr="009A0344">
        <w:rPr>
          <w:sz w:val="20"/>
          <w:szCs w:val="20"/>
        </w:rPr>
        <w:t>University Press.</w:t>
      </w:r>
    </w:p>
  </w:footnote>
  <w:footnote w:id="12">
    <w:p w14:paraId="48F2EEE0" w14:textId="32622973" w:rsidR="00B94ECE" w:rsidRPr="009A0344" w:rsidRDefault="00B94ECE" w:rsidP="00D06485">
      <w:pPr>
        <w:pStyle w:val="FootnoteText"/>
      </w:pPr>
      <w:r w:rsidRPr="009A0344">
        <w:rPr>
          <w:rStyle w:val="FootnoteReference"/>
        </w:rPr>
        <w:footnoteRef/>
      </w:r>
      <w:r w:rsidRPr="009A0344">
        <w:t xml:space="preserve"> Kousser</w:t>
      </w:r>
      <w:r w:rsidR="005C7FA7" w:rsidRPr="009A0344">
        <w:t xml:space="preserve"> (2008</w:t>
      </w:r>
      <w:r w:rsidR="0061382A">
        <w:t>,</w:t>
      </w:r>
      <w:r w:rsidRPr="009A0344">
        <w:t xml:space="preserve"> p.79</w:t>
      </w:r>
      <w:r w:rsidR="005C7FA7" w:rsidRPr="009A0344">
        <w:t>)</w:t>
      </w:r>
    </w:p>
  </w:footnote>
  <w:footnote w:id="13">
    <w:p w14:paraId="67EC0FD0" w14:textId="2123F7A6" w:rsidR="00FB6B02" w:rsidRPr="00DF3E28" w:rsidRDefault="00FB6B02" w:rsidP="00D06485">
      <w:pPr>
        <w:spacing w:after="0" w:line="240" w:lineRule="auto"/>
        <w:rPr>
          <w:sz w:val="20"/>
          <w:szCs w:val="20"/>
        </w:rPr>
      </w:pPr>
      <w:r w:rsidRPr="009A0344">
        <w:rPr>
          <w:rStyle w:val="FootnoteReference"/>
          <w:sz w:val="20"/>
          <w:szCs w:val="20"/>
        </w:rPr>
        <w:footnoteRef/>
      </w:r>
      <w:r w:rsidRPr="009A0344">
        <w:rPr>
          <w:sz w:val="20"/>
          <w:szCs w:val="20"/>
        </w:rPr>
        <w:t xml:space="preserve"> Kousser </w:t>
      </w:r>
      <w:r w:rsidR="005C7FA7" w:rsidRPr="009A0344">
        <w:rPr>
          <w:sz w:val="20"/>
          <w:szCs w:val="20"/>
        </w:rPr>
        <w:t xml:space="preserve">(2008, p75) </w:t>
      </w:r>
      <w:r w:rsidRPr="009A0344">
        <w:rPr>
          <w:sz w:val="20"/>
          <w:szCs w:val="20"/>
        </w:rPr>
        <w:t>points out that as sources of Greek originals dried up, and in response to Roman elite culture and the desire for decoration and display, Roman sculptors developed a wide range of new, sensuous and erotic art, within</w:t>
      </w:r>
      <w:r w:rsidRPr="00DF3E28">
        <w:rPr>
          <w:sz w:val="20"/>
          <w:szCs w:val="20"/>
        </w:rPr>
        <w:t xml:space="preserve"> the tradition of Greek statuary, but in response to specifically Roman values and concerns</w:t>
      </w:r>
      <w:r w:rsidR="005C7FA7">
        <w:rPr>
          <w:sz w:val="20"/>
          <w:szCs w:val="20"/>
        </w:rPr>
        <w:t>.</w:t>
      </w:r>
    </w:p>
  </w:footnote>
  <w:footnote w:id="14">
    <w:p w14:paraId="0FFC3B87" w14:textId="5A1EDCAA" w:rsidR="00B94ECE" w:rsidRPr="00DF3E28" w:rsidRDefault="00B94ECE" w:rsidP="00D06485">
      <w:pPr>
        <w:spacing w:after="0" w:line="240" w:lineRule="auto"/>
        <w:rPr>
          <w:i/>
          <w:iCs/>
          <w:sz w:val="20"/>
          <w:szCs w:val="20"/>
        </w:rPr>
      </w:pPr>
      <w:r w:rsidRPr="00DF3E28">
        <w:rPr>
          <w:rStyle w:val="FootnoteReference"/>
          <w:sz w:val="20"/>
          <w:szCs w:val="20"/>
        </w:rPr>
        <w:footnoteRef/>
      </w:r>
      <w:r w:rsidRPr="00DF3E28">
        <w:rPr>
          <w:sz w:val="20"/>
          <w:szCs w:val="20"/>
        </w:rPr>
        <w:t xml:space="preserve"> </w:t>
      </w:r>
      <w:r w:rsidR="005C7FA7" w:rsidRPr="00B90EF2">
        <w:rPr>
          <w:sz w:val="20"/>
          <w:szCs w:val="20"/>
        </w:rPr>
        <w:t xml:space="preserve">Clarke, J.R. (2007) </w:t>
      </w:r>
      <w:r w:rsidR="005C7FA7" w:rsidRPr="00B90EF2">
        <w:rPr>
          <w:i/>
          <w:iCs/>
          <w:sz w:val="20"/>
          <w:szCs w:val="20"/>
        </w:rPr>
        <w:t>Looking at laughter: Humour, power and transgression in Roman visual culture, 100 BC–AD 250</w:t>
      </w:r>
      <w:r w:rsidR="005C7FA7" w:rsidRPr="00B90EF2">
        <w:rPr>
          <w:sz w:val="20"/>
          <w:szCs w:val="20"/>
        </w:rPr>
        <w:t>. Berkeley: University of California P</w:t>
      </w:r>
      <w:r w:rsidR="005C7FA7">
        <w:rPr>
          <w:sz w:val="20"/>
          <w:szCs w:val="20"/>
        </w:rPr>
        <w:t>ress.</w:t>
      </w:r>
    </w:p>
  </w:footnote>
  <w:footnote w:id="15">
    <w:p w14:paraId="5A846AA1" w14:textId="2565184E" w:rsidR="00B94ECE" w:rsidRPr="00DF3E28" w:rsidRDefault="00B94ECE" w:rsidP="00D06485">
      <w:pPr>
        <w:pStyle w:val="FootnoteText"/>
      </w:pPr>
      <w:r w:rsidRPr="00DF3E28">
        <w:rPr>
          <w:rStyle w:val="FootnoteReference"/>
        </w:rPr>
        <w:footnoteRef/>
      </w:r>
      <w:r w:rsidRPr="00DF3E28">
        <w:t xml:space="preserve"> Clarke</w:t>
      </w:r>
      <w:r w:rsidR="005C7FA7">
        <w:t xml:space="preserve"> (2007, p.66)</w:t>
      </w:r>
    </w:p>
  </w:footnote>
  <w:footnote w:id="16">
    <w:p w14:paraId="24FB925C" w14:textId="34C28495" w:rsidR="00B94ECE" w:rsidRPr="00DF3E28" w:rsidRDefault="00B94ECE" w:rsidP="00D06485">
      <w:pPr>
        <w:pStyle w:val="FootnoteText"/>
      </w:pPr>
      <w:r w:rsidRPr="00DF3E28">
        <w:rPr>
          <w:rStyle w:val="FootnoteReference"/>
        </w:rPr>
        <w:footnoteRef/>
      </w:r>
      <w:r w:rsidRPr="00DF3E28">
        <w:t xml:space="preserve"> </w:t>
      </w:r>
      <w:r w:rsidR="005C7FA7" w:rsidRPr="00DF3E28">
        <w:t>Clarke</w:t>
      </w:r>
      <w:r w:rsidR="005C7FA7">
        <w:t xml:space="preserve"> (2007, p.88)</w:t>
      </w:r>
    </w:p>
  </w:footnote>
  <w:footnote w:id="17">
    <w:p w14:paraId="622A8E2A" w14:textId="56E89C56" w:rsidR="00B94ECE" w:rsidRDefault="00B94ECE" w:rsidP="00B94ECE">
      <w:pPr>
        <w:pStyle w:val="FootnoteText"/>
      </w:pPr>
      <w:r>
        <w:rPr>
          <w:rStyle w:val="FootnoteReference"/>
        </w:rPr>
        <w:footnoteRef/>
      </w:r>
      <w:r>
        <w:t xml:space="preserve"> Clarke</w:t>
      </w:r>
      <w:r w:rsidR="005C7FA7">
        <w:t xml:space="preserve"> (2007, p.179)</w:t>
      </w:r>
    </w:p>
  </w:footnote>
  <w:footnote w:id="18">
    <w:p w14:paraId="159CCAAF" w14:textId="1797B056" w:rsidR="00B94ECE" w:rsidRDefault="00B94ECE" w:rsidP="00B94ECE">
      <w:pPr>
        <w:pStyle w:val="FootnoteText"/>
      </w:pPr>
      <w:r>
        <w:rPr>
          <w:rStyle w:val="FootnoteReference"/>
        </w:rPr>
        <w:footnoteRef/>
      </w:r>
      <w:r>
        <w:t xml:space="preserve"> Clarke</w:t>
      </w:r>
      <w:r w:rsidR="000C6248">
        <w:t xml:space="preserve"> (2007, p.180)</w:t>
      </w:r>
    </w:p>
  </w:footnote>
  <w:footnote w:id="19">
    <w:p w14:paraId="3B1864DB" w14:textId="19620204" w:rsidR="00B94ECE" w:rsidRDefault="00B94ECE" w:rsidP="00B94ECE">
      <w:pPr>
        <w:pStyle w:val="FootnoteText"/>
      </w:pPr>
      <w:r>
        <w:rPr>
          <w:rStyle w:val="FootnoteReference"/>
        </w:rPr>
        <w:footnoteRef/>
      </w:r>
      <w:r>
        <w:t xml:space="preserve"> In Clarke’s earlier work he had also considered the image of the hermaphrodite in ancient art, and specifically the example of the Dresden wrestling group statue type – but here argued that image of the hermaphrodite in ancient art should be read </w:t>
      </w:r>
      <w:r w:rsidRPr="007D1EE1">
        <w:rPr>
          <w:i/>
          <w:iCs/>
        </w:rPr>
        <w:t>metaphorically</w:t>
      </w:r>
      <w:r>
        <w:t xml:space="preserve">, as a visual representation of the “ambiguities of all sexual acts … Hermaphroditus stands for both the physical and more important the psychological impossibility of ever understanding the feelings of the beloved.” Later in the same work he argues that images of Hermaphroditus should be understood as “representing the dual nature of the individual’s sexual psyche: the woman within every man and the man in every woman.” In neither instance is there any evidence </w:t>
      </w:r>
      <w:r w:rsidR="0061382A">
        <w:t>provided</w:t>
      </w:r>
      <w:r>
        <w:t xml:space="preserve"> to back up either of these metaphorical readings.</w:t>
      </w:r>
      <w:r w:rsidR="000C6248">
        <w:t xml:space="preserve"> (</w:t>
      </w:r>
      <w:r>
        <w:t xml:space="preserve">Clarke, J. R. </w:t>
      </w:r>
      <w:r w:rsidR="000C6248">
        <w:t>(1998)</w:t>
      </w:r>
      <w:r>
        <w:t xml:space="preserve"> </w:t>
      </w:r>
      <w:r w:rsidRPr="00A212CD">
        <w:rPr>
          <w:i/>
          <w:iCs/>
        </w:rPr>
        <w:t>Looking at Lovemaking</w:t>
      </w:r>
      <w:r w:rsidR="000C6248">
        <w:rPr>
          <w:i/>
          <w:iCs/>
        </w:rPr>
        <w:t xml:space="preserve">: Constructions of Sexuality in Roman Art 100 BC-AD 250. </w:t>
      </w:r>
      <w:r w:rsidR="000C6248">
        <w:t>Berkeley: University of California Press.</w:t>
      </w:r>
      <w:r>
        <w:t xml:space="preserve"> p</w:t>
      </w:r>
      <w:r w:rsidR="000C6248">
        <w:t>p</w:t>
      </w:r>
      <w:r>
        <w:t>.55</w:t>
      </w:r>
      <w:r w:rsidR="000C6248">
        <w:t>,</w:t>
      </w:r>
      <w:r>
        <w:t>177</w:t>
      </w:r>
      <w:r w:rsidR="000C6248">
        <w:t>)</w:t>
      </w:r>
    </w:p>
  </w:footnote>
  <w:footnote w:id="20">
    <w:p w14:paraId="31E1F1C3" w14:textId="36AF0BA4" w:rsidR="00B94ECE" w:rsidRDefault="00B94ECE" w:rsidP="00B94ECE">
      <w:pPr>
        <w:pStyle w:val="FootnoteText"/>
      </w:pPr>
      <w:r>
        <w:rPr>
          <w:rStyle w:val="FootnoteReference"/>
        </w:rPr>
        <w:footnoteRef/>
      </w:r>
      <w:r>
        <w:t xml:space="preserve"> Clarke, (2007</w:t>
      </w:r>
      <w:r w:rsidR="000C6248">
        <w:t>, pp. 5-6)</w:t>
      </w:r>
    </w:p>
  </w:footnote>
  <w:footnote w:id="21">
    <w:p w14:paraId="5D188D15" w14:textId="7ADCF4B2" w:rsidR="002476A1" w:rsidRDefault="002476A1">
      <w:pPr>
        <w:pStyle w:val="FootnoteText"/>
      </w:pPr>
      <w:r>
        <w:rPr>
          <w:rStyle w:val="FootnoteReference"/>
        </w:rPr>
        <w:footnoteRef/>
      </w:r>
      <w:r>
        <w:t xml:space="preserve"> Ajootian</w:t>
      </w:r>
      <w:r w:rsidR="000C6248">
        <w:t xml:space="preserve"> (1990)</w:t>
      </w:r>
    </w:p>
  </w:footnote>
  <w:footnote w:id="22">
    <w:p w14:paraId="7D038095" w14:textId="7C834BA3" w:rsidR="0038030F" w:rsidRDefault="0038030F" w:rsidP="0038030F">
      <w:pPr>
        <w:pStyle w:val="FootnoteText"/>
      </w:pPr>
      <w:r>
        <w:rPr>
          <w:rStyle w:val="FootnoteReference"/>
        </w:rPr>
        <w:footnoteRef/>
      </w:r>
      <w:r>
        <w:t xml:space="preserve"> Retzleff</w:t>
      </w:r>
      <w:r w:rsidR="000C6248">
        <w:t xml:space="preserve"> (2007</w:t>
      </w:r>
      <w:r w:rsidR="0061382A">
        <w:t>)</w:t>
      </w:r>
    </w:p>
  </w:footnote>
  <w:footnote w:id="23">
    <w:p w14:paraId="4FEFE3B0" w14:textId="53F9B08A" w:rsidR="00B94ECE" w:rsidRDefault="00B94ECE" w:rsidP="00B94ECE">
      <w:pPr>
        <w:pStyle w:val="FootnoteText"/>
      </w:pPr>
      <w:r>
        <w:rPr>
          <w:rStyle w:val="FootnoteReference"/>
        </w:rPr>
        <w:footnoteRef/>
      </w:r>
      <w:r>
        <w:t xml:space="preserve"> </w:t>
      </w:r>
      <w:r w:rsidR="000C6248">
        <w:t>Retzleff (2007, p. 463)</w:t>
      </w:r>
    </w:p>
  </w:footnote>
  <w:footnote w:id="24">
    <w:p w14:paraId="40FEBDF7" w14:textId="2CF66F95" w:rsidR="00B94ECE" w:rsidRDefault="00B94ECE" w:rsidP="00B94ECE">
      <w:pPr>
        <w:pStyle w:val="FootnoteText"/>
      </w:pPr>
      <w:r>
        <w:rPr>
          <w:rStyle w:val="FootnoteReference"/>
        </w:rPr>
        <w:footnoteRef/>
      </w:r>
      <w:r>
        <w:t xml:space="preserve"> </w:t>
      </w:r>
      <w:r w:rsidR="000C6248">
        <w:t>Retzleff (2007, p. 468)</w:t>
      </w:r>
    </w:p>
  </w:footnote>
  <w:footnote w:id="25">
    <w:p w14:paraId="07CA7D35" w14:textId="05236B9E" w:rsidR="00B94ECE" w:rsidRDefault="00B94ECE" w:rsidP="00B94ECE">
      <w:pPr>
        <w:pStyle w:val="FootnoteText"/>
      </w:pPr>
      <w:r>
        <w:rPr>
          <w:rStyle w:val="FootnoteReference"/>
        </w:rPr>
        <w:footnoteRef/>
      </w:r>
      <w:r>
        <w:t xml:space="preserve"> </w:t>
      </w:r>
      <w:r w:rsidR="000C6248">
        <w:t>Retzleff (2007, p. 468)</w:t>
      </w:r>
    </w:p>
  </w:footnote>
  <w:footnote w:id="26">
    <w:p w14:paraId="7E3210E0" w14:textId="619004C0" w:rsidR="00B94ECE" w:rsidRDefault="00B94ECE" w:rsidP="00B94ECE">
      <w:pPr>
        <w:pStyle w:val="FootnoteText"/>
      </w:pPr>
      <w:r>
        <w:rPr>
          <w:rStyle w:val="FootnoteReference"/>
        </w:rPr>
        <w:footnoteRef/>
      </w:r>
      <w:r>
        <w:t xml:space="preserve"> </w:t>
      </w:r>
      <w:r w:rsidR="000C6248">
        <w:t>Retzleff (2007, p.469)</w:t>
      </w:r>
    </w:p>
  </w:footnote>
  <w:footnote w:id="27">
    <w:p w14:paraId="61BE4B2C" w14:textId="0A8C2681" w:rsidR="00B94ECE" w:rsidRPr="00FA5CB3" w:rsidRDefault="00B94ECE" w:rsidP="00B94ECE">
      <w:pPr>
        <w:pStyle w:val="FootnoteText"/>
      </w:pPr>
      <w:r w:rsidRPr="0038030F">
        <w:rPr>
          <w:rStyle w:val="FootnoteReference"/>
        </w:rPr>
        <w:footnoteRef/>
      </w:r>
      <w:r w:rsidRPr="0038030F">
        <w:t xml:space="preserve"> Ashede</w:t>
      </w:r>
      <w:r w:rsidR="000C6248">
        <w:t xml:space="preserve"> (2015)</w:t>
      </w:r>
    </w:p>
  </w:footnote>
  <w:footnote w:id="28">
    <w:p w14:paraId="5C56C31B" w14:textId="6D1336A7" w:rsidR="00B94ECE" w:rsidRDefault="00B94ECE" w:rsidP="00B94ECE">
      <w:pPr>
        <w:pStyle w:val="FootnoteText"/>
      </w:pPr>
      <w:r>
        <w:rPr>
          <w:rStyle w:val="FootnoteReference"/>
        </w:rPr>
        <w:footnoteRef/>
      </w:r>
      <w:r>
        <w:t xml:space="preserve"> Ashede</w:t>
      </w:r>
      <w:r w:rsidR="000C6248">
        <w:t xml:space="preserve"> (2015, p.309) </w:t>
      </w:r>
    </w:p>
  </w:footnote>
  <w:footnote w:id="29">
    <w:p w14:paraId="0787C0C6" w14:textId="15249D01" w:rsidR="00B94ECE" w:rsidRDefault="00B94ECE" w:rsidP="000C6248">
      <w:pPr>
        <w:pStyle w:val="FootnoteText"/>
      </w:pPr>
      <w:r>
        <w:rPr>
          <w:rStyle w:val="FootnoteReference"/>
        </w:rPr>
        <w:footnoteRef/>
      </w:r>
      <w:r>
        <w:t xml:space="preserve"> Ashede</w:t>
      </w:r>
      <w:r w:rsidR="000C6248">
        <w:t xml:space="preserve"> (2015, p. 310)</w:t>
      </w:r>
    </w:p>
  </w:footnote>
  <w:footnote w:id="30">
    <w:p w14:paraId="7DFB16DC" w14:textId="38A7FE6A" w:rsidR="00B94ECE" w:rsidRPr="00D832E3" w:rsidRDefault="00B94ECE" w:rsidP="000C6248">
      <w:pPr>
        <w:pStyle w:val="FootnoteText"/>
      </w:pPr>
      <w:r>
        <w:rPr>
          <w:rStyle w:val="FootnoteReference"/>
        </w:rPr>
        <w:footnoteRef/>
      </w:r>
      <w:r>
        <w:t xml:space="preserve"> </w:t>
      </w:r>
      <w:r w:rsidRPr="00D832E3">
        <w:t>Ashede</w:t>
      </w:r>
      <w:r w:rsidR="000C6248" w:rsidRPr="00D832E3">
        <w:t xml:space="preserve"> (2015, p. 313)</w:t>
      </w:r>
    </w:p>
  </w:footnote>
  <w:footnote w:id="31">
    <w:p w14:paraId="124D7BAC" w14:textId="3395AC7C" w:rsidR="003F6916" w:rsidRPr="00D832E3" w:rsidRDefault="003F6916" w:rsidP="000C6248">
      <w:pPr>
        <w:spacing w:after="0"/>
        <w:rPr>
          <w:sz w:val="20"/>
          <w:szCs w:val="20"/>
        </w:rPr>
      </w:pPr>
      <w:r w:rsidRPr="00D832E3">
        <w:rPr>
          <w:rStyle w:val="FootnoteReference"/>
          <w:sz w:val="20"/>
          <w:szCs w:val="20"/>
        </w:rPr>
        <w:footnoteRef/>
      </w:r>
      <w:r w:rsidRPr="00D832E3">
        <w:rPr>
          <w:sz w:val="20"/>
          <w:szCs w:val="20"/>
        </w:rPr>
        <w:t xml:space="preserve"> </w:t>
      </w:r>
      <w:r w:rsidR="000C6248" w:rsidRPr="00D832E3">
        <w:rPr>
          <w:sz w:val="20"/>
          <w:szCs w:val="20"/>
        </w:rPr>
        <w:t xml:space="preserve">Liverpool Museum ‘Statue group of satyr and hermaphrodite’. Available at: </w:t>
      </w:r>
      <w:hyperlink r:id="rId1" w:tgtFrame="_new" w:history="1">
        <w:r w:rsidR="000C6248" w:rsidRPr="00D832E3">
          <w:rPr>
            <w:rStyle w:val="Hyperlink"/>
            <w:sz w:val="20"/>
            <w:szCs w:val="20"/>
          </w:rPr>
          <w:t>https://www.liverpoolmuseums.org.uk/artifact/statue-group-of-satyr-and-hermaphrodite</w:t>
        </w:r>
      </w:hyperlink>
      <w:r w:rsidR="000C6248" w:rsidRPr="00D832E3">
        <w:rPr>
          <w:sz w:val="20"/>
          <w:szCs w:val="20"/>
        </w:rPr>
        <w:t xml:space="preserve"> (Accessed: 2 October 2025).</w:t>
      </w:r>
    </w:p>
  </w:footnote>
  <w:footnote w:id="32">
    <w:p w14:paraId="60A56321" w14:textId="362BDCF1" w:rsidR="000C6248" w:rsidRPr="00D832E3" w:rsidRDefault="00E7557C" w:rsidP="000C6248">
      <w:pPr>
        <w:spacing w:after="0"/>
        <w:rPr>
          <w:sz w:val="20"/>
          <w:szCs w:val="20"/>
        </w:rPr>
      </w:pPr>
      <w:r w:rsidRPr="00D832E3">
        <w:rPr>
          <w:rStyle w:val="FootnoteReference"/>
          <w:sz w:val="20"/>
          <w:szCs w:val="20"/>
        </w:rPr>
        <w:footnoteRef/>
      </w:r>
      <w:r w:rsidRPr="00D832E3">
        <w:rPr>
          <w:sz w:val="20"/>
          <w:szCs w:val="20"/>
        </w:rPr>
        <w:t xml:space="preserve"> </w:t>
      </w:r>
      <w:r w:rsidR="000C6248" w:rsidRPr="00D832E3">
        <w:rPr>
          <w:sz w:val="20"/>
          <w:szCs w:val="20"/>
        </w:rPr>
        <w:t xml:space="preserve">De Luce, V. ‘The sculptures of Villa of Poppaea at Oplontis’. Available at: </w:t>
      </w:r>
      <w:hyperlink r:id="rId2" w:tgtFrame="_new" w:history="1">
        <w:r w:rsidR="000C6248" w:rsidRPr="00D832E3">
          <w:rPr>
            <w:rStyle w:val="Hyperlink"/>
            <w:sz w:val="20"/>
            <w:szCs w:val="20"/>
          </w:rPr>
          <w:t>https://vincenzodeluce.com/portfolio-item/the-sculptures-of-villa-of-poppaea-at-oplontis</w:t>
        </w:r>
      </w:hyperlink>
      <w:r w:rsidR="000C6248" w:rsidRPr="00D832E3">
        <w:rPr>
          <w:sz w:val="20"/>
          <w:szCs w:val="20"/>
        </w:rPr>
        <w:t xml:space="preserve"> (Accessed:  13 December 2025).</w:t>
      </w:r>
    </w:p>
    <w:p w14:paraId="35F3D9FC" w14:textId="43D8C021" w:rsidR="00E7557C" w:rsidRDefault="00E7557C">
      <w:pPr>
        <w:pStyle w:val="FootnoteText"/>
      </w:pPr>
    </w:p>
  </w:footnote>
  <w:footnote w:id="33">
    <w:p w14:paraId="24A8F933" w14:textId="4BC7CDBC" w:rsidR="00B94ECE" w:rsidRDefault="00B94ECE" w:rsidP="00B94ECE">
      <w:pPr>
        <w:pStyle w:val="FootnoteText"/>
      </w:pPr>
      <w:r>
        <w:rPr>
          <w:rStyle w:val="FootnoteReference"/>
        </w:rPr>
        <w:footnoteRef/>
      </w:r>
      <w:r>
        <w:t xml:space="preserve"> Ashede</w:t>
      </w:r>
      <w:r w:rsidR="000C6248">
        <w:t xml:space="preserve"> (2015, p.313)</w:t>
      </w:r>
    </w:p>
  </w:footnote>
  <w:footnote w:id="34">
    <w:p w14:paraId="7E618B06" w14:textId="0401C853" w:rsidR="00D271F4" w:rsidRDefault="00D271F4" w:rsidP="00D271F4">
      <w:pPr>
        <w:pStyle w:val="FootnoteText"/>
      </w:pPr>
      <w:r>
        <w:rPr>
          <w:rStyle w:val="FootnoteReference"/>
        </w:rPr>
        <w:footnoteRef/>
      </w:r>
      <w:r>
        <w:t xml:space="preserve"> Skinner. M. (1997, p.11) refers to the “strenuous demands of Roman masculinity, rendered as the fear of falling into the polluted (passive) category.” Skinner, M. in her introduction to Hallett, J. and Skinner M. (eds.) </w:t>
      </w:r>
      <w:r w:rsidRPr="00407D60">
        <w:rPr>
          <w:i/>
          <w:iCs/>
        </w:rPr>
        <w:t>Roman Sexualities</w:t>
      </w:r>
      <w:r>
        <w:t>. Princeton: Princeton University Press.</w:t>
      </w:r>
    </w:p>
  </w:footnote>
  <w:footnote w:id="35">
    <w:p w14:paraId="475A6184" w14:textId="50C269CD" w:rsidR="00B94ECE" w:rsidRDefault="00B94ECE" w:rsidP="00B94ECE">
      <w:pPr>
        <w:pStyle w:val="FootnoteText"/>
      </w:pPr>
      <w:r>
        <w:rPr>
          <w:rStyle w:val="FootnoteReference"/>
        </w:rPr>
        <w:footnoteRef/>
      </w:r>
      <w:r>
        <w:t xml:space="preserve">In shorthand, Walters </w:t>
      </w:r>
      <w:r w:rsidR="0061382A">
        <w:t xml:space="preserve">(1997, p.30) </w:t>
      </w:r>
      <w:r>
        <w:t xml:space="preserve">refers to the importance for the Roman elite male of being the “impenetrable penetrator”. </w:t>
      </w:r>
      <w:r w:rsidR="00D832E3" w:rsidRPr="00D832E3">
        <w:t xml:space="preserve">Walters, J. ‘Invective and the construction of masculinity’, in Hallett, J. and Skinner, M. (eds.) </w:t>
      </w:r>
      <w:r w:rsidR="00D832E3" w:rsidRPr="00D832E3">
        <w:rPr>
          <w:i/>
          <w:iCs/>
        </w:rPr>
        <w:t>Roman Sexualities</w:t>
      </w:r>
      <w:r w:rsidR="00D832E3" w:rsidRPr="00D832E3">
        <w:t>. Princeton: Princeton University Press</w:t>
      </w:r>
      <w:r w:rsidR="0061382A">
        <w:t>.</w:t>
      </w:r>
    </w:p>
  </w:footnote>
  <w:footnote w:id="36">
    <w:p w14:paraId="3EA5EA86" w14:textId="5DBB1892" w:rsidR="0081637A" w:rsidRDefault="0081637A">
      <w:pPr>
        <w:pStyle w:val="FootnoteText"/>
      </w:pPr>
      <w:r>
        <w:rPr>
          <w:rStyle w:val="FootnoteReference"/>
        </w:rPr>
        <w:footnoteRef/>
      </w:r>
      <w:r>
        <w:t xml:space="preserve"> Walters (1997) </w:t>
      </w:r>
    </w:p>
  </w:footnote>
  <w:footnote w:id="37">
    <w:p w14:paraId="4704E3F1" w14:textId="30561D49" w:rsidR="00365477" w:rsidRDefault="00365477" w:rsidP="001E45A4">
      <w:pPr>
        <w:pStyle w:val="FootnoteText"/>
      </w:pPr>
      <w:r>
        <w:rPr>
          <w:rStyle w:val="FootnoteReference"/>
        </w:rPr>
        <w:footnoteRef/>
      </w:r>
      <w:r>
        <w:t xml:space="preserve"> The understanding that identity is constructed over and against that of a constructed ‘other’ goes back to Hegel</w:t>
      </w:r>
      <w:r w:rsidR="001E45A4">
        <w:t xml:space="preserve">’s work on dialectic – see, for example, </w:t>
      </w:r>
      <w:r w:rsidR="001E45A4" w:rsidRPr="001E45A4">
        <w:t xml:space="preserve">Hegel, G. W. F. (1977) </w:t>
      </w:r>
      <w:r w:rsidR="001E45A4" w:rsidRPr="001E45A4">
        <w:rPr>
          <w:i/>
          <w:iCs/>
        </w:rPr>
        <w:t>Phenomenology of Spirit</w:t>
      </w:r>
      <w:r w:rsidR="001E45A4" w:rsidRPr="001E45A4">
        <w:t xml:space="preserve">. </w:t>
      </w:r>
      <w:r w:rsidR="0061382A">
        <w:t>trans</w:t>
      </w:r>
      <w:r w:rsidR="001E45A4" w:rsidRPr="001E45A4">
        <w:t xml:space="preserve"> A. V. Miller. Oxford: Oxford University Press.</w:t>
      </w:r>
      <w:r>
        <w:t xml:space="preserve"> Recent scholarship </w:t>
      </w:r>
      <w:r w:rsidR="001E45A4">
        <w:t xml:space="preserve">in Ancient History </w:t>
      </w:r>
      <w:r>
        <w:t xml:space="preserve">has applied these insights to the construction of identities in the ancient world, including for example, constructions of Greek identity in response to the foreign ‘other’; and of Roman identity in response to (whilst also emulating and absorbing) the Greek ‘other’. </w:t>
      </w:r>
    </w:p>
  </w:footnote>
  <w:footnote w:id="38">
    <w:p w14:paraId="6D0EA86A" w14:textId="7FF5C337" w:rsidR="00B94ECE" w:rsidRPr="0061382A" w:rsidRDefault="00B94ECE" w:rsidP="001E45A4">
      <w:pPr>
        <w:spacing w:after="0"/>
        <w:rPr>
          <w:sz w:val="20"/>
          <w:szCs w:val="20"/>
        </w:rPr>
      </w:pPr>
      <w:r w:rsidRPr="0061382A">
        <w:rPr>
          <w:rStyle w:val="FootnoteReference"/>
          <w:sz w:val="20"/>
          <w:szCs w:val="20"/>
        </w:rPr>
        <w:footnoteRef/>
      </w:r>
      <w:r w:rsidRPr="0061382A">
        <w:rPr>
          <w:sz w:val="20"/>
          <w:szCs w:val="20"/>
        </w:rPr>
        <w:t xml:space="preserve"> </w:t>
      </w:r>
      <w:r w:rsidR="001E45A4" w:rsidRPr="0061382A">
        <w:rPr>
          <w:sz w:val="20"/>
          <w:szCs w:val="20"/>
        </w:rPr>
        <w:t>Parker, H. (1997</w:t>
      </w:r>
      <w:r w:rsidR="0061382A">
        <w:rPr>
          <w:sz w:val="20"/>
          <w:szCs w:val="20"/>
        </w:rPr>
        <w:t>, p.57</w:t>
      </w:r>
      <w:r w:rsidR="001E45A4" w:rsidRPr="0061382A">
        <w:rPr>
          <w:sz w:val="20"/>
          <w:szCs w:val="20"/>
        </w:rPr>
        <w:t xml:space="preserve">) in Hallett, J. and Skinner, M. (eds.) </w:t>
      </w:r>
      <w:r w:rsidR="001E45A4" w:rsidRPr="0061382A">
        <w:rPr>
          <w:i/>
          <w:iCs/>
          <w:sz w:val="20"/>
          <w:szCs w:val="20"/>
        </w:rPr>
        <w:t>Roman Sexualities</w:t>
      </w:r>
      <w:r w:rsidR="001E45A4" w:rsidRPr="0061382A">
        <w:rPr>
          <w:sz w:val="20"/>
          <w:szCs w:val="20"/>
        </w:rPr>
        <w:t>. Princeton: Princeton University Press</w:t>
      </w:r>
      <w:r w:rsidR="0061382A">
        <w:rPr>
          <w:sz w:val="20"/>
          <w:szCs w:val="20"/>
        </w:rPr>
        <w:t>.</w:t>
      </w:r>
    </w:p>
  </w:footnote>
  <w:footnote w:id="39">
    <w:p w14:paraId="57991637" w14:textId="429FD43C" w:rsidR="0062778D" w:rsidRDefault="0062778D" w:rsidP="001E45A4">
      <w:pPr>
        <w:pStyle w:val="FootnoteText"/>
      </w:pPr>
      <w:r>
        <w:rPr>
          <w:rStyle w:val="FootnoteReference"/>
        </w:rPr>
        <w:footnoteRef/>
      </w:r>
      <w:r>
        <w:t xml:space="preserve"> </w:t>
      </w:r>
      <w:r w:rsidR="009A5301" w:rsidRPr="009A5301">
        <w:t xml:space="preserve">Juvenal (2004) </w:t>
      </w:r>
      <w:r w:rsidR="009A5301" w:rsidRPr="009A5301">
        <w:rPr>
          <w:i/>
          <w:iCs/>
        </w:rPr>
        <w:t>The sixteen satires</w:t>
      </w:r>
      <w:r w:rsidR="009A5301" w:rsidRPr="009A5301">
        <w:t xml:space="preserve">. </w:t>
      </w:r>
      <w:r w:rsidR="00DE2FA8">
        <w:t>trans.</w:t>
      </w:r>
      <w:r w:rsidR="009A5301" w:rsidRPr="009A5301">
        <w:t xml:space="preserve"> P. Green. London: Penguin Classics, 6.511ff.</w:t>
      </w:r>
    </w:p>
  </w:footnote>
  <w:footnote w:id="40">
    <w:p w14:paraId="665FD414" w14:textId="4D584AC0" w:rsidR="00B94ECE" w:rsidRDefault="00B94ECE" w:rsidP="001E45A4">
      <w:pPr>
        <w:pStyle w:val="FootnoteText"/>
      </w:pPr>
      <w:r>
        <w:rPr>
          <w:rStyle w:val="FootnoteReference"/>
        </w:rPr>
        <w:footnoteRef/>
      </w:r>
      <w:r>
        <w:t xml:space="preserve"> Skinner</w:t>
      </w:r>
      <w:r w:rsidR="001E45A4">
        <w:t xml:space="preserve"> (1997, p.24)</w:t>
      </w:r>
    </w:p>
  </w:footnote>
  <w:footnote w:id="41">
    <w:p w14:paraId="055800ED" w14:textId="1131D6C3" w:rsidR="00B94ECE" w:rsidRDefault="00B94ECE" w:rsidP="006560B8">
      <w:pPr>
        <w:pStyle w:val="FootnoteText"/>
      </w:pPr>
      <w:r>
        <w:rPr>
          <w:rStyle w:val="FootnoteReference"/>
        </w:rPr>
        <w:footnoteRef/>
      </w:r>
      <w:r>
        <w:t xml:space="preserve"> </w:t>
      </w:r>
      <w:r w:rsidR="001E45A4" w:rsidRPr="001E45A4">
        <w:t xml:space="preserve">Winkler, J. J. (1990) </w:t>
      </w:r>
      <w:r w:rsidR="001E45A4" w:rsidRPr="001E45A4">
        <w:rPr>
          <w:i/>
          <w:iCs/>
        </w:rPr>
        <w:t>The Constraints of Desire: The Anthropology of Sex and Gender in Ancient Greece</w:t>
      </w:r>
      <w:r w:rsidR="001E45A4" w:rsidRPr="001E45A4">
        <w:t>. New York: Routledge.</w:t>
      </w:r>
    </w:p>
  </w:footnote>
  <w:footnote w:id="42">
    <w:p w14:paraId="1C2828AA" w14:textId="089DE3CF" w:rsidR="00B94ECE" w:rsidRPr="006560B8" w:rsidRDefault="00B94ECE" w:rsidP="006560B8">
      <w:pPr>
        <w:pStyle w:val="FootnoteText"/>
      </w:pPr>
      <w:r>
        <w:rPr>
          <w:rStyle w:val="FootnoteReference"/>
        </w:rPr>
        <w:footnoteRef/>
      </w:r>
      <w:r>
        <w:t xml:space="preserve"> </w:t>
      </w:r>
      <w:proofErr w:type="spellStart"/>
      <w:r>
        <w:t>Lissarrague</w:t>
      </w:r>
      <w:proofErr w:type="spellEnd"/>
      <w:r>
        <w:t>, considering the trope of the satyr in Ancient Greece, writes “From satyrs, we learn not about the Athenians sexual behaviour</w:t>
      </w:r>
      <w:r w:rsidR="00DE2FA8">
        <w:t>,</w:t>
      </w:r>
      <w:r>
        <w:t xml:space="preserve"> but rather about their fantasies.” </w:t>
      </w:r>
      <w:proofErr w:type="spellStart"/>
      <w:r>
        <w:t>Lissarrague</w:t>
      </w:r>
      <w:proofErr w:type="spellEnd"/>
      <w:r>
        <w:t xml:space="preserve">, </w:t>
      </w:r>
      <w:r w:rsidR="001E45A4">
        <w:t>F. (1990</w:t>
      </w:r>
      <w:r w:rsidR="0061382A">
        <w:t>, p.66</w:t>
      </w:r>
      <w:r w:rsidR="001E45A4">
        <w:t>)</w:t>
      </w:r>
      <w:r>
        <w:t xml:space="preserve"> in Halperin, D, Winkler, J. and Zeitlin, F.</w:t>
      </w:r>
      <w:r w:rsidR="001E45A4">
        <w:t xml:space="preserve"> (</w:t>
      </w:r>
      <w:r w:rsidR="001E45A4" w:rsidRPr="006560B8">
        <w:t>eds.)</w:t>
      </w:r>
      <w:r w:rsidRPr="006560B8">
        <w:t xml:space="preserve"> </w:t>
      </w:r>
      <w:r w:rsidRPr="006560B8">
        <w:rPr>
          <w:i/>
          <w:iCs/>
        </w:rPr>
        <w:t>Before Sexuality, the construction of erotic experience in the ancient Greek world</w:t>
      </w:r>
      <w:r w:rsidR="006560B8" w:rsidRPr="006560B8">
        <w:t>. Princeton, Princeton University Press</w:t>
      </w:r>
      <w:r w:rsidR="0061382A">
        <w:t>.</w:t>
      </w:r>
    </w:p>
  </w:footnote>
  <w:footnote w:id="43">
    <w:p w14:paraId="4BACCDCF" w14:textId="3F8DDF64" w:rsidR="00B94ECE" w:rsidRPr="00D832E3" w:rsidRDefault="00B94ECE" w:rsidP="00D832E3">
      <w:pPr>
        <w:spacing w:after="0"/>
        <w:rPr>
          <w:sz w:val="20"/>
          <w:szCs w:val="20"/>
        </w:rPr>
      </w:pPr>
      <w:r w:rsidRPr="006560B8">
        <w:rPr>
          <w:rStyle w:val="FootnoteReference"/>
          <w:sz w:val="20"/>
          <w:szCs w:val="20"/>
        </w:rPr>
        <w:footnoteRef/>
      </w:r>
      <w:r w:rsidRPr="006560B8">
        <w:rPr>
          <w:sz w:val="20"/>
          <w:szCs w:val="20"/>
        </w:rPr>
        <w:t xml:space="preserve"> As Corbeille has argued, analysing accusations of effeminacy in Roman invective “The ‘androgynous man’ does not represent a breach of logic so much as a potential threat always inherent for the male.” </w:t>
      </w:r>
      <w:r w:rsidR="006560B8" w:rsidRPr="006560B8">
        <w:rPr>
          <w:sz w:val="20"/>
          <w:szCs w:val="20"/>
        </w:rPr>
        <w:t>Corbeill, A. (1997</w:t>
      </w:r>
      <w:r w:rsidR="00DE2FA8">
        <w:rPr>
          <w:sz w:val="20"/>
          <w:szCs w:val="20"/>
        </w:rPr>
        <w:t>, p. 112</w:t>
      </w:r>
      <w:r w:rsidR="006560B8" w:rsidRPr="006560B8">
        <w:rPr>
          <w:sz w:val="20"/>
          <w:szCs w:val="20"/>
        </w:rPr>
        <w:t xml:space="preserve">) in Hallett, J. and Skinner, M. (eds.) </w:t>
      </w:r>
      <w:r w:rsidR="006560B8" w:rsidRPr="006560B8">
        <w:rPr>
          <w:i/>
          <w:iCs/>
          <w:sz w:val="20"/>
          <w:szCs w:val="20"/>
        </w:rPr>
        <w:t>Roman Sexualities</w:t>
      </w:r>
      <w:r w:rsidR="006560B8" w:rsidRPr="006560B8">
        <w:rPr>
          <w:sz w:val="20"/>
          <w:szCs w:val="20"/>
        </w:rPr>
        <w:t>. Princeton: Princeton University Press, p. 112.</w:t>
      </w:r>
    </w:p>
  </w:footnote>
  <w:footnote w:id="44">
    <w:p w14:paraId="3F60660D" w14:textId="55DDD7CC" w:rsidR="00B94ECE" w:rsidRPr="006560B8" w:rsidRDefault="00B94ECE" w:rsidP="00D832E3">
      <w:pPr>
        <w:spacing w:after="0"/>
        <w:rPr>
          <w:sz w:val="20"/>
          <w:szCs w:val="20"/>
        </w:rPr>
      </w:pPr>
      <w:r w:rsidRPr="006560B8">
        <w:rPr>
          <w:rStyle w:val="FootnoteReference"/>
          <w:sz w:val="20"/>
          <w:szCs w:val="20"/>
        </w:rPr>
        <w:footnoteRef/>
      </w:r>
      <w:r w:rsidRPr="006560B8">
        <w:rPr>
          <w:sz w:val="20"/>
          <w:szCs w:val="20"/>
        </w:rPr>
        <w:t xml:space="preserve"> </w:t>
      </w:r>
      <w:r w:rsidR="006560B8" w:rsidRPr="006560B8">
        <w:rPr>
          <w:sz w:val="20"/>
          <w:szCs w:val="20"/>
        </w:rPr>
        <w:t xml:space="preserve">Skinner, M.B. (2013) ‘Feminist theory’, in Hubbard, T.K. (ed.) </w:t>
      </w:r>
      <w:r w:rsidR="006560B8" w:rsidRPr="006560B8">
        <w:rPr>
          <w:i/>
          <w:iCs/>
          <w:sz w:val="20"/>
          <w:szCs w:val="20"/>
        </w:rPr>
        <w:t>A companion to Greek and Roman sexualities</w:t>
      </w:r>
      <w:r w:rsidR="006560B8" w:rsidRPr="006560B8">
        <w:rPr>
          <w:sz w:val="20"/>
          <w:szCs w:val="20"/>
        </w:rPr>
        <w:t>. Malden, MA: Wiley-Blackwell</w:t>
      </w:r>
      <w:r w:rsidR="00DE2FA8">
        <w:rPr>
          <w:sz w:val="20"/>
          <w:szCs w:val="20"/>
        </w:rPr>
        <w:t>.</w:t>
      </w:r>
    </w:p>
  </w:footnote>
  <w:footnote w:id="45">
    <w:p w14:paraId="7037D11E" w14:textId="301980A5" w:rsidR="00B94ECE" w:rsidRPr="00D7455E" w:rsidRDefault="00B94ECE" w:rsidP="00D832E3">
      <w:pPr>
        <w:pStyle w:val="FootnoteText"/>
      </w:pPr>
      <w:r w:rsidRPr="00D7455E">
        <w:rPr>
          <w:rStyle w:val="FootnoteReference"/>
        </w:rPr>
        <w:footnoteRef/>
      </w:r>
      <w:r w:rsidRPr="00D7455E">
        <w:t xml:space="preserve"> Witzke, S.</w:t>
      </w:r>
      <w:r w:rsidR="0017284E" w:rsidRPr="00D7455E">
        <w:t xml:space="preserve"> (2015</w:t>
      </w:r>
      <w:r w:rsidR="00DE2FA8" w:rsidRPr="00D7455E">
        <w:t>, p.267</w:t>
      </w:r>
      <w:r w:rsidR="0017284E" w:rsidRPr="00D7455E">
        <w:t>)</w:t>
      </w:r>
      <w:r w:rsidRPr="00D7455E">
        <w:t xml:space="preserve"> ‘Violence against women in Ancient Rome: ideology versus reality’ in Fagan, G. and Riess, W. </w:t>
      </w:r>
      <w:r w:rsidR="0017284E" w:rsidRPr="00D7455E">
        <w:t>(eds.)</w:t>
      </w:r>
      <w:r w:rsidRPr="00D7455E">
        <w:t xml:space="preserve"> </w:t>
      </w:r>
      <w:r w:rsidR="0017284E" w:rsidRPr="00D7455E">
        <w:rPr>
          <w:i/>
          <w:iCs/>
        </w:rPr>
        <w:t xml:space="preserve">The topography of violence in the Greco-Roman world. </w:t>
      </w:r>
      <w:r w:rsidR="0017284E" w:rsidRPr="00D7455E">
        <w:t>Ann Arbor: University of Michigan Press</w:t>
      </w:r>
      <w:r w:rsidR="00DE2FA8" w:rsidRPr="00D7455E">
        <w:t>.</w:t>
      </w:r>
    </w:p>
  </w:footnote>
  <w:footnote w:id="46">
    <w:p w14:paraId="285E6848" w14:textId="6A9EF3D2" w:rsidR="00B94ECE" w:rsidRPr="00D7455E" w:rsidRDefault="00B94ECE" w:rsidP="00D832E3">
      <w:pPr>
        <w:pStyle w:val="FootnoteText"/>
      </w:pPr>
      <w:r w:rsidRPr="00D7455E">
        <w:rPr>
          <w:rStyle w:val="FootnoteReference"/>
        </w:rPr>
        <w:footnoteRef/>
      </w:r>
      <w:r w:rsidRPr="00D7455E">
        <w:t xml:space="preserve"> Witzke</w:t>
      </w:r>
      <w:r w:rsidR="0017284E" w:rsidRPr="00D7455E">
        <w:t xml:space="preserve"> (2015, p.270)</w:t>
      </w:r>
    </w:p>
  </w:footnote>
  <w:footnote w:id="47">
    <w:p w14:paraId="48D359B6" w14:textId="09BAD314" w:rsidR="00B94ECE" w:rsidRPr="00D7455E" w:rsidRDefault="00B94ECE" w:rsidP="00D832E3">
      <w:pPr>
        <w:spacing w:after="0"/>
        <w:rPr>
          <w:sz w:val="20"/>
          <w:szCs w:val="20"/>
        </w:rPr>
      </w:pPr>
      <w:r w:rsidRPr="00D7455E">
        <w:rPr>
          <w:rStyle w:val="FootnoteReference"/>
          <w:sz w:val="20"/>
          <w:szCs w:val="20"/>
        </w:rPr>
        <w:footnoteRef/>
      </w:r>
      <w:r w:rsidRPr="00D7455E">
        <w:rPr>
          <w:sz w:val="20"/>
          <w:szCs w:val="20"/>
        </w:rPr>
        <w:t xml:space="preserve"> </w:t>
      </w:r>
      <w:r w:rsidR="003568B1" w:rsidRPr="00D7455E">
        <w:rPr>
          <w:sz w:val="20"/>
          <w:szCs w:val="20"/>
        </w:rPr>
        <w:t>Richlin, A. (1992b</w:t>
      </w:r>
      <w:r w:rsidR="00DE2FA8" w:rsidRPr="00D7455E">
        <w:rPr>
          <w:sz w:val="20"/>
          <w:szCs w:val="20"/>
        </w:rPr>
        <w:t>, p.158</w:t>
      </w:r>
      <w:r w:rsidR="003568B1" w:rsidRPr="00D7455E">
        <w:rPr>
          <w:sz w:val="20"/>
          <w:szCs w:val="20"/>
        </w:rPr>
        <w:t xml:space="preserve">) ‘Reading Ovid’s rapes’, in Richlin, A. (ed.) </w:t>
      </w:r>
      <w:r w:rsidR="003568B1" w:rsidRPr="00D7455E">
        <w:rPr>
          <w:i/>
          <w:iCs/>
          <w:sz w:val="20"/>
          <w:szCs w:val="20"/>
        </w:rPr>
        <w:t>Pornography and representation in Greece and Rome</w:t>
      </w:r>
      <w:r w:rsidR="003568B1" w:rsidRPr="00D7455E">
        <w:rPr>
          <w:sz w:val="20"/>
          <w:szCs w:val="20"/>
        </w:rPr>
        <w:t>. New York: Oxford University Press</w:t>
      </w:r>
      <w:r w:rsidR="00DE2FA8" w:rsidRPr="00D7455E">
        <w:rPr>
          <w:sz w:val="20"/>
          <w:szCs w:val="20"/>
        </w:rPr>
        <w:t>.</w:t>
      </w:r>
    </w:p>
  </w:footnote>
  <w:footnote w:id="48">
    <w:p w14:paraId="6F2586DD" w14:textId="5F405D69" w:rsidR="00B94ECE" w:rsidRPr="00D7455E" w:rsidRDefault="00B94ECE" w:rsidP="00D832E3">
      <w:pPr>
        <w:pStyle w:val="FootnoteText"/>
      </w:pPr>
      <w:r w:rsidRPr="00D7455E">
        <w:rPr>
          <w:rStyle w:val="FootnoteReference"/>
        </w:rPr>
        <w:footnoteRef/>
      </w:r>
      <w:r w:rsidRPr="00D7455E">
        <w:t xml:space="preserve"> Richlin</w:t>
      </w:r>
      <w:r w:rsidR="003568B1" w:rsidRPr="00D7455E">
        <w:t xml:space="preserve"> (1992b, p.159)</w:t>
      </w:r>
    </w:p>
  </w:footnote>
  <w:footnote w:id="49">
    <w:p w14:paraId="0DB3ADC5" w14:textId="285F6F01" w:rsidR="00B94ECE" w:rsidRPr="003568B1" w:rsidRDefault="00B94ECE" w:rsidP="00DE2FA8">
      <w:pPr>
        <w:spacing w:after="0" w:line="240" w:lineRule="auto"/>
        <w:rPr>
          <w:sz w:val="20"/>
          <w:szCs w:val="20"/>
        </w:rPr>
      </w:pPr>
      <w:r w:rsidRPr="003568B1">
        <w:rPr>
          <w:rStyle w:val="FootnoteReference"/>
          <w:sz w:val="20"/>
          <w:szCs w:val="20"/>
        </w:rPr>
        <w:footnoteRef/>
      </w:r>
      <w:r w:rsidRPr="003568B1">
        <w:rPr>
          <w:sz w:val="20"/>
          <w:szCs w:val="20"/>
        </w:rPr>
        <w:t xml:space="preserve"> </w:t>
      </w:r>
      <w:r w:rsidR="003568B1" w:rsidRPr="003568B1">
        <w:rPr>
          <w:sz w:val="20"/>
          <w:szCs w:val="20"/>
        </w:rPr>
        <w:t>Cohen, A. (1996</w:t>
      </w:r>
      <w:r w:rsidR="00DE2FA8">
        <w:rPr>
          <w:sz w:val="20"/>
          <w:szCs w:val="20"/>
        </w:rPr>
        <w:t>, p.118</w:t>
      </w:r>
      <w:r w:rsidR="003568B1" w:rsidRPr="003568B1">
        <w:rPr>
          <w:sz w:val="20"/>
          <w:szCs w:val="20"/>
        </w:rPr>
        <w:t xml:space="preserve">) ‘Portraits of abduction in Greek art’, in Kampen, N.B. (ed.) </w:t>
      </w:r>
      <w:r w:rsidR="003568B1" w:rsidRPr="003568B1">
        <w:rPr>
          <w:i/>
          <w:iCs/>
          <w:sz w:val="20"/>
          <w:szCs w:val="20"/>
        </w:rPr>
        <w:t>Sexuality in ancient art</w:t>
      </w:r>
      <w:r w:rsidR="003568B1" w:rsidRPr="003568B1">
        <w:rPr>
          <w:sz w:val="20"/>
          <w:szCs w:val="20"/>
        </w:rPr>
        <w:t>. Cambridge: Cambridge University Press</w:t>
      </w:r>
      <w:r w:rsidR="00DE2FA8">
        <w:rPr>
          <w:sz w:val="20"/>
          <w:szCs w:val="20"/>
        </w:rPr>
        <w:t>.</w:t>
      </w:r>
    </w:p>
  </w:footnote>
  <w:footnote w:id="50">
    <w:p w14:paraId="411E1E2E" w14:textId="70323CA5" w:rsidR="00B94ECE" w:rsidRDefault="00B94ECE" w:rsidP="00DE2FA8">
      <w:pPr>
        <w:pStyle w:val="FootnoteText"/>
      </w:pPr>
      <w:r>
        <w:rPr>
          <w:rStyle w:val="FootnoteReference"/>
        </w:rPr>
        <w:footnoteRef/>
      </w:r>
      <w:r>
        <w:t xml:space="preserve"> Cohen</w:t>
      </w:r>
      <w:r w:rsidR="003568B1">
        <w:t xml:space="preserve"> (1996, p. 119)</w:t>
      </w:r>
    </w:p>
  </w:footnote>
  <w:footnote w:id="51">
    <w:p w14:paraId="3B78ACB8" w14:textId="703EC249" w:rsidR="00B94ECE" w:rsidRDefault="00B94ECE" w:rsidP="00DE2FA8">
      <w:pPr>
        <w:pStyle w:val="FootnoteText"/>
      </w:pPr>
      <w:r>
        <w:rPr>
          <w:rStyle w:val="FootnoteReference"/>
        </w:rPr>
        <w:footnoteRef/>
      </w:r>
      <w:r>
        <w:t xml:space="preserve"> </w:t>
      </w:r>
      <w:r w:rsidRPr="00BF4A7B">
        <w:t xml:space="preserve">As Lilja has argued “Roman sexuality seems to have been characterised by a strong note of violence.” Lilja, </w:t>
      </w:r>
      <w:r w:rsidR="00BF4A7B" w:rsidRPr="00BF4A7B">
        <w:t>S.</w:t>
      </w:r>
      <w:r w:rsidR="00BF4A7B">
        <w:t xml:space="preserve"> (</w:t>
      </w:r>
      <w:r>
        <w:t>1983</w:t>
      </w:r>
      <w:r w:rsidR="00DE2FA8">
        <w:t>, p.135</w:t>
      </w:r>
      <w:r w:rsidR="00BF4A7B">
        <w:t>)</w:t>
      </w:r>
      <w:r>
        <w:t xml:space="preserve"> </w:t>
      </w:r>
      <w:r w:rsidR="00DE2FA8" w:rsidRPr="00DE2FA8">
        <w:rPr>
          <w:i/>
          <w:iCs/>
        </w:rPr>
        <w:t>Homosexuality in Republican and Augustan Rome</w:t>
      </w:r>
      <w:r w:rsidR="00DE2FA8" w:rsidRPr="00DE2FA8">
        <w:t>. Helsinki: Societas Scientiarum Fennica</w:t>
      </w:r>
      <w:r w:rsidR="00DE2FA8">
        <w:t xml:space="preserve">, </w:t>
      </w:r>
      <w:r>
        <w:t xml:space="preserve">cited </w:t>
      </w:r>
      <w:r w:rsidR="003568B1">
        <w:t>in</w:t>
      </w:r>
      <w:r>
        <w:t xml:space="preserve"> Skinner</w:t>
      </w:r>
      <w:r w:rsidR="003568B1">
        <w:t xml:space="preserve"> (1997, p.11)</w:t>
      </w:r>
    </w:p>
  </w:footnote>
  <w:footnote w:id="52">
    <w:p w14:paraId="1F86D8CD" w14:textId="1BD072FA" w:rsidR="00B94ECE" w:rsidRDefault="00B94ECE" w:rsidP="00DE2FA8">
      <w:pPr>
        <w:pStyle w:val="FootnoteText"/>
      </w:pPr>
      <w:r>
        <w:rPr>
          <w:rStyle w:val="FootnoteReference"/>
        </w:rPr>
        <w:footnoteRef/>
      </w:r>
      <w:r>
        <w:t xml:space="preserve"> </w:t>
      </w:r>
      <w:r w:rsidR="00BF4A7B" w:rsidRPr="00BF4A7B">
        <w:t>Gellar-Goad, T.H.M. (2024</w:t>
      </w:r>
      <w:r w:rsidR="00DE2FA8">
        <w:t>, p.367</w:t>
      </w:r>
      <w:r w:rsidR="00BF4A7B" w:rsidRPr="00BF4A7B">
        <w:t>) ‘Legitimate Rape’ and Toxic Masculinity from Todd Akin to Soranus, in A. McMaster and M. Racette-Campbell (eds.) </w:t>
      </w:r>
      <w:r w:rsidR="00BF4A7B" w:rsidRPr="00BF4A7B">
        <w:rPr>
          <w:i/>
          <w:iCs/>
        </w:rPr>
        <w:t>Toxic Masculinity in the Ancient World</w:t>
      </w:r>
      <w:r w:rsidR="00BF4A7B" w:rsidRPr="00BF4A7B">
        <w:t>. Edinburgh: Edinburgh University Press</w:t>
      </w:r>
      <w:r w:rsidR="00DE2FA8">
        <w:t>.</w:t>
      </w:r>
    </w:p>
  </w:footnote>
  <w:footnote w:id="53">
    <w:p w14:paraId="1337EEAB" w14:textId="715F3BF3" w:rsidR="00B94ECE" w:rsidRDefault="00B94ECE" w:rsidP="00DE2FA8">
      <w:pPr>
        <w:spacing w:after="0" w:line="240" w:lineRule="auto"/>
      </w:pPr>
      <w:r>
        <w:rPr>
          <w:rStyle w:val="FootnoteReference"/>
        </w:rPr>
        <w:footnoteRef/>
      </w:r>
      <w:r>
        <w:t xml:space="preserve"> </w:t>
      </w:r>
      <w:r w:rsidR="003568B1" w:rsidRPr="003568B1">
        <w:rPr>
          <w:sz w:val="20"/>
          <w:szCs w:val="20"/>
        </w:rPr>
        <w:t>Masterson, M. (2013</w:t>
      </w:r>
      <w:r w:rsidR="00DE2FA8">
        <w:rPr>
          <w:sz w:val="20"/>
          <w:szCs w:val="20"/>
        </w:rPr>
        <w:t>, p.24</w:t>
      </w:r>
      <w:r w:rsidR="003568B1" w:rsidRPr="003568B1">
        <w:rPr>
          <w:sz w:val="20"/>
          <w:szCs w:val="20"/>
        </w:rPr>
        <w:t xml:space="preserve">) ‘Studies of ancient masculinity’, in Hubbard, T.K. (ed.) </w:t>
      </w:r>
      <w:r w:rsidR="003568B1" w:rsidRPr="003568B1">
        <w:rPr>
          <w:i/>
          <w:iCs/>
          <w:sz w:val="20"/>
          <w:szCs w:val="20"/>
        </w:rPr>
        <w:t>A companion to Greek and Roman sexualities</w:t>
      </w:r>
      <w:r w:rsidR="003568B1" w:rsidRPr="003568B1">
        <w:rPr>
          <w:sz w:val="20"/>
          <w:szCs w:val="20"/>
        </w:rPr>
        <w:t>. Malden, MA: Wiley-Blackwell</w:t>
      </w:r>
      <w:r w:rsidR="00DE2FA8">
        <w:rPr>
          <w:sz w:val="20"/>
          <w:szCs w:val="20"/>
        </w:rPr>
        <w:t>.</w:t>
      </w:r>
    </w:p>
  </w:footnote>
  <w:footnote w:id="54">
    <w:p w14:paraId="63CBC074" w14:textId="68EC875C" w:rsidR="00B94ECE" w:rsidRDefault="00B94ECE" w:rsidP="00B94ECE">
      <w:pPr>
        <w:pStyle w:val="FootnoteText"/>
      </w:pPr>
      <w:r>
        <w:rPr>
          <w:rStyle w:val="FootnoteReference"/>
        </w:rPr>
        <w:footnoteRef/>
      </w:r>
      <w:r>
        <w:t xml:space="preserve"> </w:t>
      </w:r>
      <w:r w:rsidRPr="009F7EA9">
        <w:t>Freud, S</w:t>
      </w:r>
      <w:r w:rsidR="009F7EA9" w:rsidRPr="009F7EA9">
        <w:t>.</w:t>
      </w:r>
      <w:r w:rsidRPr="009F7EA9">
        <w:t xml:space="preserve"> (1930</w:t>
      </w:r>
      <w:r w:rsidR="00A60FC5">
        <w:t>, p.34</w:t>
      </w:r>
      <w:r w:rsidRPr="009F7EA9">
        <w:t xml:space="preserve">) </w:t>
      </w:r>
      <w:r w:rsidR="009F7EA9" w:rsidRPr="009F7EA9">
        <w:rPr>
          <w:i/>
          <w:iCs/>
        </w:rPr>
        <w:t>Civilization and its discontents</w:t>
      </w:r>
      <w:r w:rsidR="00A60FC5">
        <w:t>, trans.</w:t>
      </w:r>
      <w:r w:rsidR="009F7EA9" w:rsidRPr="009F7EA9">
        <w:t xml:space="preserve"> D. McLintock</w:t>
      </w:r>
      <w:r w:rsidR="00A60FC5">
        <w:t xml:space="preserve"> (2002)</w:t>
      </w:r>
      <w:r w:rsidR="009F7EA9" w:rsidRPr="009F7EA9">
        <w:t xml:space="preserve"> London: Penguin</w:t>
      </w:r>
    </w:p>
  </w:footnote>
  <w:footnote w:id="55">
    <w:p w14:paraId="1AA31409" w14:textId="42CBDE84" w:rsidR="00B94ECE" w:rsidRDefault="00B94ECE" w:rsidP="00B94ECE">
      <w:pPr>
        <w:pStyle w:val="FootnoteText"/>
      </w:pPr>
      <w:r>
        <w:rPr>
          <w:rStyle w:val="FootnoteReference"/>
        </w:rPr>
        <w:footnoteRef/>
      </w:r>
      <w:r>
        <w:t xml:space="preserve"> Freud</w:t>
      </w:r>
      <w:r w:rsidR="003568B1">
        <w:t xml:space="preserve"> </w:t>
      </w:r>
      <w:r>
        <w:t>(1930</w:t>
      </w:r>
      <w:r w:rsidR="003568B1">
        <w:t>/2002, p.51)</w:t>
      </w:r>
    </w:p>
  </w:footnote>
  <w:footnote w:id="56">
    <w:p w14:paraId="7D445457" w14:textId="08DC5FA5" w:rsidR="00B94ECE" w:rsidRDefault="00B94ECE" w:rsidP="00B94ECE">
      <w:pPr>
        <w:pStyle w:val="FootnoteText"/>
      </w:pPr>
      <w:r>
        <w:rPr>
          <w:rStyle w:val="FootnoteReference"/>
        </w:rPr>
        <w:footnoteRef/>
      </w:r>
      <w:r>
        <w:t xml:space="preserve"> Freud</w:t>
      </w:r>
      <w:r w:rsidR="003568B1">
        <w:t xml:space="preserve"> (1930/2002, p.58)</w:t>
      </w:r>
    </w:p>
  </w:footnote>
  <w:footnote w:id="57">
    <w:p w14:paraId="0B1D0A5B" w14:textId="77777777" w:rsidR="00D271F4" w:rsidRDefault="00D271F4" w:rsidP="00D271F4">
      <w:pPr>
        <w:pStyle w:val="FootnoteText"/>
      </w:pPr>
      <w:r>
        <w:rPr>
          <w:rStyle w:val="FootnoteReference"/>
        </w:rPr>
        <w:footnoteRef/>
      </w:r>
      <w:r>
        <w:t xml:space="preserve"> Another key idea here is that of Claude Levi-Strauss that material objects can be ‘good to think with’ </w:t>
      </w:r>
      <w:proofErr w:type="spellStart"/>
      <w:r>
        <w:t>ie</w:t>
      </w:r>
      <w:proofErr w:type="spellEnd"/>
      <w:r>
        <w:t xml:space="preserve"> enable human cognitive processes (the term ‘</w:t>
      </w:r>
      <w:r w:rsidRPr="00D37947">
        <w:t xml:space="preserve">bonnes </w:t>
      </w:r>
      <w:r w:rsidRPr="00D37947">
        <w:rPr>
          <w:i/>
          <w:iCs/>
        </w:rPr>
        <w:t>á</w:t>
      </w:r>
      <w:r w:rsidRPr="00D37947">
        <w:t xml:space="preserve"> pensée’</w:t>
      </w:r>
      <w:r>
        <w:t xml:space="preserve"> having been coined in his work </w:t>
      </w:r>
      <w:r>
        <w:rPr>
          <w:i/>
          <w:iCs/>
        </w:rPr>
        <w:t>Totemism</w:t>
      </w:r>
      <w:r>
        <w:t xml:space="preserve"> (</w:t>
      </w:r>
      <w:r w:rsidRPr="00D06485">
        <w:t>Lévi-Strauss, C. (1962</w:t>
      </w:r>
      <w:r>
        <w:t>)</w:t>
      </w:r>
      <w:r w:rsidRPr="00D06485">
        <w:t xml:space="preserve"> </w:t>
      </w:r>
      <w:r w:rsidRPr="00D06485">
        <w:rPr>
          <w:i/>
          <w:iCs/>
        </w:rPr>
        <w:t>Totemism</w:t>
      </w:r>
      <w:r>
        <w:t xml:space="preserve">, trans. </w:t>
      </w:r>
      <w:r w:rsidRPr="00D06485">
        <w:t>R. Needham (1964). Boston: Beacon Press</w:t>
      </w:r>
      <w:r>
        <w:t>)</w:t>
      </w:r>
      <w:r w:rsidRPr="00D06485">
        <w:t>.</w:t>
      </w:r>
      <w:r>
        <w:t xml:space="preserve"> Building on Freud’s understanding that sublimation enables unacceptable drives to be expressed safely and put outside the self, in art, we can also see that this makes the Dresden wrestling group ‘good to think with’ – an object that allowed the elite audiences who engaged with it to externalise and therefore ‘see’ and engage with destabilising topics like gender, aggression and sexual violence. </w:t>
      </w:r>
    </w:p>
  </w:footnote>
  <w:footnote w:id="58">
    <w:p w14:paraId="46C9D0BE" w14:textId="0ADBE180" w:rsidR="00B94ECE" w:rsidRDefault="00B94ECE" w:rsidP="00B94ECE">
      <w:pPr>
        <w:pStyle w:val="FootnoteText"/>
      </w:pPr>
      <w:r>
        <w:rPr>
          <w:rStyle w:val="FootnoteReference"/>
        </w:rPr>
        <w:footnoteRef/>
      </w:r>
      <w:r>
        <w:t xml:space="preserve"> Later psychoanalytic thinkers have built on Freud’s theory of sublimation, including Lacan and Kristeva. Summarising the shift in emphasis in more recent writing on sublimation, Kevin Jones argues “</w:t>
      </w:r>
      <w:r w:rsidRPr="00146E8D">
        <w:t>Where Freud’s original account emphasised the links between sublimation and the dis-ease at the heart of cultural development, contemporary psychoanalytic accounts of sublimation suggest the role of pleasure and terror in the transformation of both the individual and the social in the service of delight</w:t>
      </w:r>
      <w:r>
        <w:t xml:space="preserve">.” Jones, K. (2010) </w:t>
      </w:r>
      <w:r w:rsidR="003568B1">
        <w:t>‘Sublimation, art and psychoanalysis’. Available at:</w:t>
      </w:r>
      <w:r>
        <w:t xml:space="preserve"> </w:t>
      </w:r>
      <w:hyperlink r:id="rId3" w:history="1">
        <w:r w:rsidR="00D06485" w:rsidRPr="00AA14FD">
          <w:rPr>
            <w:rStyle w:val="Hyperlink"/>
          </w:rPr>
          <w:t>https://eprints.gold.ac.uk/id/eprint/4341/1/Sublimation+art+and+psychoanalysis[1].pdf</w:t>
        </w:r>
      </w:hyperlink>
      <w:r w:rsidR="00D06485">
        <w:t xml:space="preserve"> (Accessed 24 January 2026)</w:t>
      </w:r>
    </w:p>
  </w:footnote>
  <w:footnote w:id="59">
    <w:p w14:paraId="3EAEA9F1" w14:textId="7EA4FD66" w:rsidR="00FE075D" w:rsidRPr="00D06485" w:rsidRDefault="00FE075D" w:rsidP="00D06485">
      <w:pPr>
        <w:pStyle w:val="FootnoteText"/>
      </w:pPr>
      <w:r>
        <w:rPr>
          <w:rStyle w:val="FootnoteReference"/>
        </w:rPr>
        <w:footnoteRef/>
      </w:r>
      <w:r>
        <w:t xml:space="preserve"> </w:t>
      </w:r>
      <w:r w:rsidRPr="00D06485">
        <w:t>Freud, S. (1905</w:t>
      </w:r>
      <w:r w:rsidR="00A60FC5">
        <w:t>, p.95</w:t>
      </w:r>
      <w:r w:rsidRPr="00D06485">
        <w:t xml:space="preserve">) </w:t>
      </w:r>
      <w:r w:rsidR="009F7EA9" w:rsidRPr="00D06485">
        <w:rPr>
          <w:i/>
          <w:iCs/>
        </w:rPr>
        <w:t>The joke and its relation to the unconscious</w:t>
      </w:r>
      <w:r w:rsidR="009F7EA9" w:rsidRPr="00D06485">
        <w:t xml:space="preserve">. </w:t>
      </w:r>
      <w:r w:rsidR="00A60FC5">
        <w:t>trans.</w:t>
      </w:r>
      <w:r w:rsidR="009F7EA9" w:rsidRPr="00D06485">
        <w:t xml:space="preserve"> J. Crick (2002) London: Penguin.</w:t>
      </w:r>
    </w:p>
  </w:footnote>
  <w:footnote w:id="60">
    <w:p w14:paraId="4759D0CE" w14:textId="15B77B61" w:rsidR="00B94ECE" w:rsidRPr="00D06485" w:rsidRDefault="00B94ECE" w:rsidP="00D06485">
      <w:pPr>
        <w:spacing w:after="0"/>
        <w:rPr>
          <w:sz w:val="20"/>
          <w:szCs w:val="20"/>
        </w:rPr>
      </w:pPr>
      <w:r w:rsidRPr="00D06485">
        <w:rPr>
          <w:rStyle w:val="FootnoteReference"/>
          <w:sz w:val="20"/>
          <w:szCs w:val="20"/>
        </w:rPr>
        <w:footnoteRef/>
      </w:r>
      <w:r w:rsidRPr="00D06485">
        <w:rPr>
          <w:sz w:val="20"/>
          <w:szCs w:val="20"/>
        </w:rPr>
        <w:t xml:space="preserve"> </w:t>
      </w:r>
      <w:r w:rsidR="00D06485" w:rsidRPr="00D06485">
        <w:rPr>
          <w:sz w:val="20"/>
          <w:szCs w:val="20"/>
        </w:rPr>
        <w:t>Richlin, A. (1992a</w:t>
      </w:r>
      <w:r w:rsidR="00A60FC5">
        <w:rPr>
          <w:sz w:val="20"/>
          <w:szCs w:val="20"/>
        </w:rPr>
        <w:t>, p.59</w:t>
      </w:r>
      <w:r w:rsidR="00D06485" w:rsidRPr="00D06485">
        <w:rPr>
          <w:sz w:val="20"/>
          <w:szCs w:val="20"/>
        </w:rPr>
        <w:t xml:space="preserve">) </w:t>
      </w:r>
      <w:r w:rsidR="00D06485" w:rsidRPr="00D06485">
        <w:rPr>
          <w:i/>
          <w:iCs/>
          <w:sz w:val="20"/>
          <w:szCs w:val="20"/>
        </w:rPr>
        <w:t>The garden of Priapus: Sexuality and aggression in Roman humour</w:t>
      </w:r>
      <w:r w:rsidR="00D06485" w:rsidRPr="00D06485">
        <w:rPr>
          <w:sz w:val="20"/>
          <w:szCs w:val="20"/>
        </w:rPr>
        <w:t>. New York: Oxford University Press</w:t>
      </w:r>
      <w:r w:rsidR="00A60FC5">
        <w:rPr>
          <w:sz w:val="20"/>
          <w:szCs w:val="20"/>
        </w:rPr>
        <w:t>.</w:t>
      </w:r>
    </w:p>
  </w:footnote>
  <w:footnote w:id="61">
    <w:p w14:paraId="7B7E25BE" w14:textId="17649211" w:rsidR="00B94ECE" w:rsidRPr="00D06485" w:rsidRDefault="00B94ECE" w:rsidP="00D06485">
      <w:pPr>
        <w:pStyle w:val="FootnoteText"/>
      </w:pPr>
      <w:r w:rsidRPr="00D06485">
        <w:rPr>
          <w:rStyle w:val="FootnoteReference"/>
        </w:rPr>
        <w:footnoteRef/>
      </w:r>
      <w:r w:rsidRPr="00D06485">
        <w:t xml:space="preserve"> Richlin</w:t>
      </w:r>
      <w:r w:rsidR="00D06485">
        <w:t xml:space="preserve"> (1992a, p.70)</w:t>
      </w:r>
    </w:p>
  </w:footnote>
  <w:footnote w:id="62">
    <w:p w14:paraId="317AD10D" w14:textId="091D62C6" w:rsidR="00B94ECE" w:rsidRPr="00D06485" w:rsidRDefault="00B94ECE" w:rsidP="00D06485">
      <w:pPr>
        <w:pStyle w:val="FootnoteText"/>
      </w:pPr>
      <w:r w:rsidRPr="00D06485">
        <w:rPr>
          <w:rStyle w:val="FootnoteReference"/>
        </w:rPr>
        <w:footnoteRef/>
      </w:r>
      <w:r w:rsidRPr="00D06485">
        <w:t xml:space="preserve"> Richlin</w:t>
      </w:r>
      <w:r w:rsidR="00D06485">
        <w:t xml:space="preserve"> (1992a, p.78)</w:t>
      </w:r>
    </w:p>
  </w:footnote>
  <w:footnote w:id="63">
    <w:p w14:paraId="4E727A0D" w14:textId="77777777" w:rsidR="00D06485" w:rsidRPr="00D06485" w:rsidRDefault="00B94ECE" w:rsidP="00D06485">
      <w:pPr>
        <w:pStyle w:val="FootnoteText"/>
      </w:pPr>
      <w:r w:rsidRPr="00D06485">
        <w:rPr>
          <w:rStyle w:val="FootnoteReference"/>
        </w:rPr>
        <w:footnoteRef/>
      </w:r>
      <w:r w:rsidRPr="00D06485">
        <w:t xml:space="preserve"> Richlin</w:t>
      </w:r>
      <w:r w:rsidR="00D06485">
        <w:t xml:space="preserve"> (1992a, p.79)</w:t>
      </w:r>
      <w:r>
        <w:t xml:space="preserve"> citing </w:t>
      </w:r>
      <w:r w:rsidR="00D06485" w:rsidRPr="00D06485">
        <w:t xml:space="preserve">Morgan, R. (1980) ‘Theory and practice: pornography and rape’, in Lederer, L. (ed.) </w:t>
      </w:r>
      <w:r w:rsidR="00D06485" w:rsidRPr="00D06485">
        <w:rPr>
          <w:i/>
          <w:iCs/>
        </w:rPr>
        <w:t>Take Back the Night: Women on Pornography</w:t>
      </w:r>
      <w:r w:rsidR="00D06485" w:rsidRPr="00D06485">
        <w:t>. New York: William Morrow and Company.</w:t>
      </w:r>
    </w:p>
    <w:p w14:paraId="4FB2B045" w14:textId="18C11AF8" w:rsidR="00B94ECE" w:rsidRPr="00CA4F54" w:rsidRDefault="00B94ECE" w:rsidP="00D06485">
      <w:pPr>
        <w:pStyle w:val="FootnoteText"/>
      </w:pPr>
    </w:p>
  </w:footnote>
  <w:footnote w:id="64">
    <w:p w14:paraId="15212B06" w14:textId="50645B11" w:rsidR="00B94ECE" w:rsidRDefault="00B94ECE" w:rsidP="00B94ECE">
      <w:pPr>
        <w:pStyle w:val="FootnoteText"/>
      </w:pPr>
      <w:r>
        <w:rPr>
          <w:rStyle w:val="FootnoteReference"/>
        </w:rPr>
        <w:footnoteRef/>
      </w:r>
      <w:r>
        <w:t xml:space="preserve"> Importantly, this is not a conscious process: Girard argues that the scapegoat mechanism is the fundamental way that societies across time resolve the problem of violence – but that how this process works remains hidden: “Given the fundamental importance to mankind of the transformation of bad violence into good and the equally fundamental inability of men to solve the mystery of this transformation [</w:t>
      </w:r>
      <w:r w:rsidR="009E77C7">
        <w:t>i.e.</w:t>
      </w:r>
      <w:r>
        <w:t xml:space="preserve"> the scapegoat mechanism] it is </w:t>
      </w:r>
      <w:r w:rsidR="00D06485">
        <w:t>not</w:t>
      </w:r>
      <w:r>
        <w:t xml:space="preserve"> surprising that men are doomed to ritual; nor is it surprising that the resulting rites assume forms that are both highly analogous and highly diverse.” Girard, R. </w:t>
      </w:r>
      <w:r w:rsidR="00D06485">
        <w:t>(1972</w:t>
      </w:r>
      <w:r w:rsidR="00A60FC5">
        <w:t>, p.115</w:t>
      </w:r>
      <w:r w:rsidR="00D06485">
        <w:t xml:space="preserve">) </w:t>
      </w:r>
      <w:r w:rsidRPr="00D06485">
        <w:rPr>
          <w:i/>
          <w:iCs/>
        </w:rPr>
        <w:t>Violence and the Sacred</w:t>
      </w:r>
      <w:r w:rsidR="00D06485">
        <w:t>. Baltimore. John Hopkins University Press</w:t>
      </w:r>
      <w:r w:rsidR="00A60FC5">
        <w:t>.</w:t>
      </w:r>
    </w:p>
  </w:footnote>
  <w:footnote w:id="65">
    <w:p w14:paraId="347C447F" w14:textId="04ACF47E" w:rsidR="00B94ECE" w:rsidRDefault="00B94ECE" w:rsidP="00B94ECE">
      <w:pPr>
        <w:pStyle w:val="FootnoteText"/>
      </w:pPr>
      <w:r>
        <w:rPr>
          <w:rStyle w:val="FootnoteReference"/>
        </w:rPr>
        <w:footnoteRef/>
      </w:r>
      <w:r>
        <w:t xml:space="preserve"> Girard</w:t>
      </w:r>
      <w:r w:rsidR="00D06485">
        <w:t xml:space="preserve"> (1972, p.36)</w:t>
      </w:r>
    </w:p>
  </w:footnote>
  <w:footnote w:id="66">
    <w:p w14:paraId="1E5C8246" w14:textId="0C47F8FD" w:rsidR="00B94ECE" w:rsidRPr="00D7455E" w:rsidRDefault="00B94ECE" w:rsidP="00C65D95">
      <w:pPr>
        <w:spacing w:after="0" w:line="240" w:lineRule="auto"/>
        <w:rPr>
          <w:sz w:val="20"/>
          <w:szCs w:val="20"/>
        </w:rPr>
      </w:pPr>
      <w:r w:rsidRPr="00D7455E">
        <w:rPr>
          <w:rStyle w:val="FootnoteReference"/>
          <w:sz w:val="20"/>
          <w:szCs w:val="20"/>
        </w:rPr>
        <w:footnoteRef/>
      </w:r>
      <w:r w:rsidRPr="00D7455E">
        <w:rPr>
          <w:sz w:val="20"/>
          <w:szCs w:val="20"/>
        </w:rPr>
        <w:t xml:space="preserve"> Holt Parker argued: “The accused Vestal shared with other </w:t>
      </w:r>
      <w:proofErr w:type="spellStart"/>
      <w:r w:rsidRPr="00D7455E">
        <w:rPr>
          <w:i/>
          <w:iCs/>
          <w:sz w:val="20"/>
          <w:szCs w:val="20"/>
        </w:rPr>
        <w:t>prodigia</w:t>
      </w:r>
      <w:proofErr w:type="spellEnd"/>
      <w:r w:rsidRPr="00D7455E">
        <w:rPr>
          <w:sz w:val="20"/>
          <w:szCs w:val="20"/>
        </w:rPr>
        <w:t xml:space="preserve"> the essential feature of pollution. She was a contradiction in terms, a penetrated virgin, the impure pure, and so a miasma. Like a hermaphrodite, she crossed boundaries that must not be crossed, and so she must be removed and destroyed.” Parker (2004</w:t>
      </w:r>
      <w:r w:rsidR="00C65D95" w:rsidRPr="00D7455E">
        <w:rPr>
          <w:sz w:val="20"/>
          <w:szCs w:val="20"/>
        </w:rPr>
        <w:t>,</w:t>
      </w:r>
      <w:r w:rsidRPr="00D7455E">
        <w:rPr>
          <w:sz w:val="20"/>
          <w:szCs w:val="20"/>
        </w:rPr>
        <w:t xml:space="preserve"> p.584) </w:t>
      </w:r>
    </w:p>
  </w:footnote>
  <w:footnote w:id="67">
    <w:p w14:paraId="5DFE6B81" w14:textId="06E5C526" w:rsidR="00B94ECE" w:rsidRPr="00D7455E" w:rsidRDefault="00B94ECE" w:rsidP="00C65D95">
      <w:pPr>
        <w:pStyle w:val="FootnoteText"/>
      </w:pPr>
      <w:r w:rsidRPr="00D7455E">
        <w:rPr>
          <w:rStyle w:val="FootnoteReference"/>
        </w:rPr>
        <w:footnoteRef/>
      </w:r>
      <w:r w:rsidRPr="00D7455E">
        <w:t xml:space="preserve"> Sources</w:t>
      </w:r>
      <w:r w:rsidR="006F5317" w:rsidRPr="00D7455E">
        <w:t xml:space="preserve"> for understanding the prodigy system</w:t>
      </w:r>
      <w:r w:rsidRPr="00D7455E">
        <w:t xml:space="preserve"> include Cicero (106-43BC), Livy (59BC-17AD), (and </w:t>
      </w:r>
      <w:proofErr w:type="spellStart"/>
      <w:r w:rsidRPr="00D7455E">
        <w:t>Obsequens</w:t>
      </w:r>
      <w:proofErr w:type="spellEnd"/>
      <w:r w:rsidRPr="00D7455E">
        <w:t xml:space="preserve"> (dates unknown, writing in the 4</w:t>
      </w:r>
      <w:r w:rsidRPr="00D7455E">
        <w:rPr>
          <w:vertAlign w:val="superscript"/>
        </w:rPr>
        <w:t>th</w:t>
      </w:r>
      <w:r w:rsidRPr="00D7455E">
        <w:t xml:space="preserve"> or early 5</w:t>
      </w:r>
      <w:r w:rsidRPr="00D7455E">
        <w:rPr>
          <w:vertAlign w:val="superscript"/>
        </w:rPr>
        <w:t>th</w:t>
      </w:r>
      <w:r w:rsidRPr="00D7455E">
        <w:t xml:space="preserve"> centuries AD).</w:t>
      </w:r>
    </w:p>
  </w:footnote>
  <w:footnote w:id="68">
    <w:p w14:paraId="046F16EC" w14:textId="13BDC9CB" w:rsidR="00B94ECE" w:rsidRPr="00D7455E" w:rsidRDefault="00B94ECE" w:rsidP="00C65D95">
      <w:pPr>
        <w:spacing w:after="0"/>
        <w:rPr>
          <w:sz w:val="20"/>
          <w:szCs w:val="20"/>
        </w:rPr>
      </w:pPr>
      <w:r w:rsidRPr="00D7455E">
        <w:rPr>
          <w:rStyle w:val="FootnoteReference"/>
          <w:sz w:val="20"/>
          <w:szCs w:val="20"/>
        </w:rPr>
        <w:footnoteRef/>
      </w:r>
      <w:r w:rsidRPr="00D7455E">
        <w:rPr>
          <w:sz w:val="20"/>
          <w:szCs w:val="20"/>
        </w:rPr>
        <w:t xml:space="preserve"> The Roman prodigy system </w:t>
      </w:r>
      <w:r w:rsidR="006F5317" w:rsidRPr="00D7455E">
        <w:rPr>
          <w:sz w:val="20"/>
          <w:szCs w:val="20"/>
        </w:rPr>
        <w:t>has been</w:t>
      </w:r>
      <w:r w:rsidRPr="00D7455E">
        <w:rPr>
          <w:sz w:val="20"/>
          <w:szCs w:val="20"/>
        </w:rPr>
        <w:t xml:space="preserve"> understood as a way of reinforcing Roman identity at times of tension or threat to the state, with many prodigies being instances of transgression of liminal boundaries, of gender, the city space, or other natural boundaries – see </w:t>
      </w:r>
      <w:r w:rsidR="00C65D95" w:rsidRPr="00D7455E">
        <w:rPr>
          <w:sz w:val="20"/>
          <w:szCs w:val="20"/>
        </w:rPr>
        <w:t>Rosenberger, V.</w:t>
      </w:r>
      <w:r w:rsidR="00A60FC5" w:rsidRPr="00D7455E">
        <w:rPr>
          <w:sz w:val="20"/>
          <w:szCs w:val="20"/>
        </w:rPr>
        <w:t xml:space="preserve"> (2011, p.295)</w:t>
      </w:r>
      <w:r w:rsidR="00C65D95" w:rsidRPr="00D7455E">
        <w:rPr>
          <w:sz w:val="20"/>
          <w:szCs w:val="20"/>
        </w:rPr>
        <w:t xml:space="preserve"> ‘Republican </w:t>
      </w:r>
      <w:proofErr w:type="spellStart"/>
      <w:r w:rsidR="00C65D95" w:rsidRPr="00D7455E">
        <w:rPr>
          <w:i/>
          <w:iCs/>
          <w:sz w:val="20"/>
          <w:szCs w:val="20"/>
        </w:rPr>
        <w:t>Nobiles</w:t>
      </w:r>
      <w:proofErr w:type="spellEnd"/>
      <w:r w:rsidR="00C65D95" w:rsidRPr="00D7455E">
        <w:rPr>
          <w:sz w:val="20"/>
          <w:szCs w:val="20"/>
        </w:rPr>
        <w:t xml:space="preserve">: Controlling the </w:t>
      </w:r>
      <w:r w:rsidR="00C65D95" w:rsidRPr="00D7455E">
        <w:rPr>
          <w:i/>
          <w:iCs/>
          <w:sz w:val="20"/>
          <w:szCs w:val="20"/>
        </w:rPr>
        <w:t>Res Publica’</w:t>
      </w:r>
      <w:r w:rsidR="00C65D95" w:rsidRPr="00D7455E">
        <w:rPr>
          <w:sz w:val="20"/>
          <w:szCs w:val="20"/>
        </w:rPr>
        <w:t xml:space="preserve"> in Rupke, J. (Ed) 2011. </w:t>
      </w:r>
      <w:r w:rsidR="00C65D95" w:rsidRPr="00D7455E">
        <w:rPr>
          <w:i/>
          <w:iCs/>
          <w:sz w:val="20"/>
          <w:szCs w:val="20"/>
        </w:rPr>
        <w:t>A companion to Roman Religion</w:t>
      </w:r>
      <w:r w:rsidR="00C65D95" w:rsidRPr="00D7455E">
        <w:rPr>
          <w:sz w:val="20"/>
          <w:szCs w:val="20"/>
        </w:rPr>
        <w:t xml:space="preserve">. </w:t>
      </w:r>
      <w:r w:rsidR="00A60FC5" w:rsidRPr="00D7455E">
        <w:rPr>
          <w:sz w:val="20"/>
          <w:szCs w:val="20"/>
        </w:rPr>
        <w:t xml:space="preserve">Oxford: </w:t>
      </w:r>
      <w:r w:rsidR="00C65D95" w:rsidRPr="00D7455E">
        <w:rPr>
          <w:sz w:val="20"/>
          <w:szCs w:val="20"/>
        </w:rPr>
        <w:t>Blackwell</w:t>
      </w:r>
      <w:r w:rsidR="00A60FC5" w:rsidRPr="00D7455E">
        <w:rPr>
          <w:sz w:val="20"/>
          <w:szCs w:val="20"/>
        </w:rPr>
        <w:t>.</w:t>
      </w:r>
      <w:r w:rsidRPr="00D7455E">
        <w:rPr>
          <w:sz w:val="20"/>
          <w:szCs w:val="20"/>
        </w:rPr>
        <w:t xml:space="preserve"> Also important to note is that the prodigy system is specifically a feature of </w:t>
      </w:r>
      <w:r w:rsidRPr="00D7455E">
        <w:rPr>
          <w:i/>
          <w:iCs/>
          <w:sz w:val="20"/>
          <w:szCs w:val="20"/>
        </w:rPr>
        <w:t>Republican</w:t>
      </w:r>
      <w:r w:rsidRPr="00D7455E">
        <w:rPr>
          <w:sz w:val="20"/>
          <w:szCs w:val="20"/>
        </w:rPr>
        <w:t xml:space="preserve"> Rome, ceasing to operate under the Principate, for political reasons.</w:t>
      </w:r>
    </w:p>
  </w:footnote>
  <w:footnote w:id="69">
    <w:p w14:paraId="34CF1428" w14:textId="74D4DE88" w:rsidR="00B94ECE" w:rsidRPr="00D7455E" w:rsidRDefault="00B94ECE" w:rsidP="009A0344">
      <w:pPr>
        <w:spacing w:after="0"/>
        <w:rPr>
          <w:sz w:val="20"/>
          <w:szCs w:val="20"/>
        </w:rPr>
      </w:pPr>
      <w:r w:rsidRPr="00D7455E">
        <w:rPr>
          <w:rStyle w:val="FootnoteReference"/>
          <w:sz w:val="20"/>
          <w:szCs w:val="20"/>
        </w:rPr>
        <w:footnoteRef/>
      </w:r>
      <w:r w:rsidRPr="00D7455E">
        <w:rPr>
          <w:sz w:val="20"/>
          <w:szCs w:val="20"/>
        </w:rPr>
        <w:t xml:space="preserve"> Livy records instances of discovery of hermaphrodites as newborns, children, and as adults. (see Livy, LCL 404, </w:t>
      </w:r>
      <w:r w:rsidR="00C65D95" w:rsidRPr="00D7455E">
        <w:rPr>
          <w:sz w:val="20"/>
          <w:szCs w:val="20"/>
        </w:rPr>
        <w:t xml:space="preserve">pp. </w:t>
      </w:r>
      <w:r w:rsidRPr="00D7455E">
        <w:rPr>
          <w:sz w:val="20"/>
          <w:szCs w:val="20"/>
        </w:rPr>
        <w:t xml:space="preserve">268-9). Ortega lists 16 instances of prodigies involving hermaphrodites from Livy and </w:t>
      </w:r>
      <w:proofErr w:type="spellStart"/>
      <w:r w:rsidRPr="00D7455E">
        <w:rPr>
          <w:sz w:val="20"/>
          <w:szCs w:val="20"/>
        </w:rPr>
        <w:t>Obsequens</w:t>
      </w:r>
      <w:proofErr w:type="spellEnd"/>
      <w:r w:rsidRPr="00D7455E">
        <w:rPr>
          <w:sz w:val="20"/>
          <w:szCs w:val="20"/>
        </w:rPr>
        <w:t xml:space="preserve">, dating from 209 to 92BC – almost all died through drowning/exposure in a box cast out on a body of water. </w:t>
      </w:r>
      <w:r w:rsidR="00A60FC5" w:rsidRPr="00D7455E">
        <w:rPr>
          <w:sz w:val="20"/>
          <w:szCs w:val="20"/>
        </w:rPr>
        <w:t xml:space="preserve">Cited in </w:t>
      </w:r>
      <w:r w:rsidR="00C65D95" w:rsidRPr="00D7455E">
        <w:rPr>
          <w:sz w:val="20"/>
          <w:szCs w:val="20"/>
        </w:rPr>
        <w:t>Ortega, C.E. (2019</w:t>
      </w:r>
      <w:r w:rsidR="00A60FC5" w:rsidRPr="00D7455E">
        <w:rPr>
          <w:sz w:val="20"/>
          <w:szCs w:val="20"/>
        </w:rPr>
        <w:t>, pp.77-78</w:t>
      </w:r>
      <w:r w:rsidR="00C65D95" w:rsidRPr="00D7455E">
        <w:rPr>
          <w:sz w:val="20"/>
          <w:szCs w:val="20"/>
        </w:rPr>
        <w:t xml:space="preserve">) </w:t>
      </w:r>
      <w:r w:rsidR="00C65D95" w:rsidRPr="00D7455E">
        <w:rPr>
          <w:i/>
          <w:iCs/>
          <w:sz w:val="20"/>
          <w:szCs w:val="20"/>
        </w:rPr>
        <w:t>Transgender and intersex in antiquity: Differences in ancient Greek and Roman gender norms through religion, rites, and non-heteronormativity</w:t>
      </w:r>
      <w:r w:rsidR="00C65D95" w:rsidRPr="00D7455E">
        <w:rPr>
          <w:sz w:val="20"/>
          <w:szCs w:val="20"/>
        </w:rPr>
        <w:t>. PhD thesis. California State University, Fullerton</w:t>
      </w:r>
      <w:r w:rsidR="00A60FC5" w:rsidRPr="00D7455E">
        <w:rPr>
          <w:sz w:val="20"/>
          <w:szCs w:val="20"/>
        </w:rPr>
        <w:t>.</w:t>
      </w:r>
      <w:r w:rsidR="00C65D95" w:rsidRPr="00D7455E">
        <w:rPr>
          <w:sz w:val="20"/>
          <w:szCs w:val="20"/>
        </w:rPr>
        <w:t xml:space="preserve"> Available at: ProQuest Dissertations &amp; Theses (Accessed: 30 November 2025) </w:t>
      </w:r>
    </w:p>
  </w:footnote>
  <w:footnote w:id="70">
    <w:p w14:paraId="0013A90F" w14:textId="3C04BDEA" w:rsidR="00B94ECE" w:rsidRPr="00C65D95" w:rsidRDefault="00B94ECE" w:rsidP="009A0344">
      <w:pPr>
        <w:spacing w:after="0"/>
        <w:rPr>
          <w:sz w:val="20"/>
          <w:szCs w:val="20"/>
        </w:rPr>
      </w:pPr>
      <w:r w:rsidRPr="00D7455E">
        <w:rPr>
          <w:rStyle w:val="FootnoteReference"/>
          <w:sz w:val="20"/>
          <w:szCs w:val="20"/>
        </w:rPr>
        <w:footnoteRef/>
      </w:r>
      <w:r w:rsidRPr="00D7455E">
        <w:rPr>
          <w:sz w:val="20"/>
          <w:szCs w:val="20"/>
        </w:rPr>
        <w:t xml:space="preserve"> Girard, R.</w:t>
      </w:r>
      <w:r w:rsidR="00C65D95" w:rsidRPr="00D7455E">
        <w:rPr>
          <w:sz w:val="20"/>
          <w:szCs w:val="20"/>
        </w:rPr>
        <w:t xml:space="preserve"> (2004)</w:t>
      </w:r>
      <w:r w:rsidRPr="00D7455E">
        <w:rPr>
          <w:sz w:val="20"/>
          <w:szCs w:val="20"/>
        </w:rPr>
        <w:t xml:space="preserve"> ‘Violence and Religion, cause or effect?’ in </w:t>
      </w:r>
      <w:r w:rsidRPr="00D7455E">
        <w:rPr>
          <w:i/>
          <w:iCs/>
          <w:sz w:val="20"/>
          <w:szCs w:val="20"/>
        </w:rPr>
        <w:t>The Hedgehog Review</w:t>
      </w:r>
      <w:r w:rsidRPr="00D7455E">
        <w:rPr>
          <w:sz w:val="20"/>
          <w:szCs w:val="20"/>
        </w:rPr>
        <w:t> (Vol. 6, Issue 1)</w:t>
      </w:r>
      <w:r w:rsidR="00A60FC5" w:rsidRPr="00D7455E">
        <w:rPr>
          <w:sz w:val="20"/>
          <w:szCs w:val="20"/>
        </w:rPr>
        <w:t>.</w:t>
      </w:r>
      <w:r w:rsidRPr="00D7455E">
        <w:rPr>
          <w:sz w:val="20"/>
          <w:szCs w:val="20"/>
        </w:rPr>
        <w:t xml:space="preserve"> NB Aldhouse Green also points out that the pharmakoi chosen in Ancient Greek societies were </w:t>
      </w:r>
      <w:r w:rsidR="008860FC" w:rsidRPr="00D7455E">
        <w:rPr>
          <w:sz w:val="20"/>
          <w:szCs w:val="20"/>
        </w:rPr>
        <w:t xml:space="preserve">often </w:t>
      </w:r>
      <w:r w:rsidRPr="00D7455E">
        <w:rPr>
          <w:sz w:val="20"/>
          <w:szCs w:val="20"/>
        </w:rPr>
        <w:t>people perceived as having some kind of physical defect</w:t>
      </w:r>
      <w:r w:rsidR="00C65D95" w:rsidRPr="00D7455E">
        <w:rPr>
          <w:sz w:val="20"/>
          <w:szCs w:val="20"/>
        </w:rPr>
        <w:t>. Aldhouse Green, M. (2001</w:t>
      </w:r>
      <w:r w:rsidR="00A60FC5" w:rsidRPr="00D7455E">
        <w:rPr>
          <w:sz w:val="20"/>
          <w:szCs w:val="20"/>
        </w:rPr>
        <w:t>. P.144</w:t>
      </w:r>
      <w:r w:rsidR="00C65D95" w:rsidRPr="00D7455E">
        <w:rPr>
          <w:sz w:val="20"/>
          <w:szCs w:val="20"/>
        </w:rPr>
        <w:t xml:space="preserve">) </w:t>
      </w:r>
      <w:r w:rsidR="00C65D95" w:rsidRPr="00D7455E">
        <w:rPr>
          <w:i/>
          <w:iCs/>
          <w:sz w:val="20"/>
          <w:szCs w:val="20"/>
        </w:rPr>
        <w:t>Dying for the Gods: Human Sacrifice in Iron Age and Roman Europe</w:t>
      </w:r>
      <w:r w:rsidR="00C65D95" w:rsidRPr="00D7455E">
        <w:rPr>
          <w:sz w:val="20"/>
          <w:szCs w:val="20"/>
        </w:rPr>
        <w:t>. Stroud: Tempus</w:t>
      </w:r>
      <w:r w:rsidR="00A60FC5" w:rsidRPr="00D7455E">
        <w:rPr>
          <w:sz w:val="20"/>
          <w:szCs w:val="20"/>
        </w:rPr>
        <w:t>.</w:t>
      </w:r>
    </w:p>
  </w:footnote>
  <w:footnote w:id="71">
    <w:p w14:paraId="68DFB787" w14:textId="09E14B69" w:rsidR="00C1724A" w:rsidRDefault="00C1724A" w:rsidP="00C65D95">
      <w:pPr>
        <w:pStyle w:val="FootnoteText"/>
      </w:pPr>
      <w:r>
        <w:rPr>
          <w:rStyle w:val="FootnoteReference"/>
        </w:rPr>
        <w:footnoteRef/>
      </w:r>
      <w:r>
        <w:t xml:space="preserve"> A bi-gendered worldview underpinned the Roman state. As Trimble argues “there was no conceptual space for deviation from a binary sexual norm … roman legal writings show that inheritance and other matters depended on the classification of persons in male or female, a distinction ultimately dependent on the visual appearance of sex characteristics.” </w:t>
      </w:r>
      <w:r w:rsidRPr="002476A1">
        <w:t>Trimble, J. (</w:t>
      </w:r>
      <w:r>
        <w:t>2018</w:t>
      </w:r>
      <w:r w:rsidR="00A60FC5">
        <w:t>, p.21</w:t>
      </w:r>
      <w:r w:rsidRPr="002476A1">
        <w:t xml:space="preserve">) </w:t>
      </w:r>
      <w:r w:rsidR="00A60FC5">
        <w:t>‘</w:t>
      </w:r>
      <w:r w:rsidRPr="002476A1">
        <w:t xml:space="preserve">Beyond surprise: the Sleeping Hermaphrodite in the Palazzo Massimo, Rome.’ </w:t>
      </w:r>
      <w:r>
        <w:t xml:space="preserve">In </w:t>
      </w:r>
      <w:r w:rsidRPr="002476A1">
        <w:t xml:space="preserve">Longfellow </w:t>
      </w:r>
      <w:r>
        <w:t xml:space="preserve">B. </w:t>
      </w:r>
      <w:r w:rsidRPr="002476A1">
        <w:t xml:space="preserve">and Perry, </w:t>
      </w:r>
      <w:r>
        <w:t xml:space="preserve">E. </w:t>
      </w:r>
      <w:r w:rsidR="00BB5842">
        <w:t>(</w:t>
      </w:r>
      <w:r w:rsidRPr="002476A1">
        <w:t>eds.</w:t>
      </w:r>
      <w:r w:rsidR="00BB5842">
        <w:t>)</w:t>
      </w:r>
      <w:r w:rsidRPr="002476A1">
        <w:t xml:space="preserve"> </w:t>
      </w:r>
      <w:r w:rsidRPr="002476A1">
        <w:rPr>
          <w:i/>
          <w:iCs/>
        </w:rPr>
        <w:t>Roman Artists, Patrons and Public Consumption: Familiar Works Reconsidered.</w:t>
      </w:r>
      <w:r w:rsidRPr="002476A1">
        <w:t xml:space="preserve"> </w:t>
      </w:r>
      <w:r w:rsidR="00A60FC5">
        <w:t xml:space="preserve">Michigan: </w:t>
      </w:r>
      <w:r w:rsidRPr="002476A1">
        <w:t>University of Michigan Press</w:t>
      </w:r>
      <w:r w:rsidR="00A60FC5">
        <w:t>.</w:t>
      </w:r>
    </w:p>
  </w:footnote>
  <w:footnote w:id="72">
    <w:p w14:paraId="0D49650A" w14:textId="17C2C045" w:rsidR="00B94ECE" w:rsidRDefault="00B94ECE" w:rsidP="00B94ECE">
      <w:pPr>
        <w:pStyle w:val="FootnoteText"/>
      </w:pPr>
      <w:r>
        <w:rPr>
          <w:rStyle w:val="FootnoteReference"/>
        </w:rPr>
        <w:footnoteRef/>
      </w:r>
      <w:r>
        <w:t xml:space="preserve"> “Unlike animal rivalries, these imitative or mimetic rivalries can become so intense </w:t>
      </w:r>
      <w:r w:rsidR="00FE0D1B">
        <w:t>…</w:t>
      </w:r>
      <w:r>
        <w:t xml:space="preserve"> that they spread, mimetically, to entire communities. They probably would have annihilated our species if something had not prevented this outcome. What was it? The foundational myths of archaic religions suggest and answer. They describe the birth of the religion to which they belong. They all begin with a mimetic crisis and conclude with the same drama: a single individual is killed by the entire community and is finally divinised.” Girard</w:t>
      </w:r>
      <w:r w:rsidR="00BB5842">
        <w:t xml:space="preserve"> (2004</w:t>
      </w:r>
      <w:r w:rsidR="00A60FC5">
        <w:t>, p.10</w:t>
      </w:r>
      <w:r w:rsidR="00BB5842">
        <w:t>).</w:t>
      </w:r>
    </w:p>
  </w:footnote>
  <w:footnote w:id="73">
    <w:p w14:paraId="7240DEE2" w14:textId="0DF745CF" w:rsidR="008860FC" w:rsidRPr="008860FC" w:rsidRDefault="00B94ECE" w:rsidP="008860FC">
      <w:pPr>
        <w:pStyle w:val="FootnoteText"/>
      </w:pPr>
      <w:r>
        <w:rPr>
          <w:rStyle w:val="FootnoteReference"/>
        </w:rPr>
        <w:footnoteRef/>
      </w:r>
      <w:r>
        <w:t xml:space="preserve"> See for example, Vijay Mishra’s Girardian interpretation of the structure of Salman Rushdie’s </w:t>
      </w:r>
      <w:r w:rsidRPr="00405D96">
        <w:rPr>
          <w:i/>
          <w:iCs/>
        </w:rPr>
        <w:t>Satanic Verses</w:t>
      </w:r>
      <w:r>
        <w:t>,</w:t>
      </w:r>
      <w:r w:rsidR="00BB5842">
        <w:t xml:space="preserve"> Mishra V. (2012)</w:t>
      </w:r>
      <w:r>
        <w:t xml:space="preserve"> in </w:t>
      </w:r>
      <w:r w:rsidR="008860FC" w:rsidRPr="008860FC">
        <w:t>Cowdell, S., Fleming, C. and Hodge, J. (eds</w:t>
      </w:r>
      <w:r w:rsidR="00BB5842">
        <w:t>.</w:t>
      </w:r>
      <w:r w:rsidR="008860FC" w:rsidRPr="008860FC">
        <w:t xml:space="preserve">) </w:t>
      </w:r>
      <w:r w:rsidR="008860FC" w:rsidRPr="008860FC">
        <w:rPr>
          <w:i/>
          <w:iCs/>
        </w:rPr>
        <w:t>Violence, desire and the sacred: volume 1: Girard’s mimetic theory across the disciplines</w:t>
      </w:r>
      <w:r w:rsidR="008860FC" w:rsidRPr="008860FC">
        <w:t>. New York: Continuum. </w:t>
      </w:r>
    </w:p>
    <w:p w14:paraId="53B5FA23" w14:textId="5713A7A4" w:rsidR="00B94ECE" w:rsidRDefault="00B94ECE" w:rsidP="00B94ECE">
      <w:pPr>
        <w:pStyle w:val="FootnoteText"/>
      </w:pPr>
    </w:p>
  </w:footnote>
  <w:footnote w:id="74">
    <w:p w14:paraId="70CAF794" w14:textId="32775E91" w:rsidR="00536C87" w:rsidRPr="00D7455E" w:rsidRDefault="00536C87" w:rsidP="00D7455E">
      <w:pPr>
        <w:spacing w:after="0"/>
        <w:rPr>
          <w:color w:val="0070C0"/>
          <w:sz w:val="20"/>
          <w:szCs w:val="20"/>
        </w:rPr>
      </w:pPr>
      <w:r w:rsidRPr="00D7455E">
        <w:rPr>
          <w:rStyle w:val="FootnoteReference"/>
          <w:sz w:val="20"/>
          <w:szCs w:val="20"/>
        </w:rPr>
        <w:footnoteRef/>
      </w:r>
      <w:r w:rsidRPr="00D7455E">
        <w:rPr>
          <w:sz w:val="20"/>
          <w:szCs w:val="20"/>
        </w:rPr>
        <w:t xml:space="preserve"> “A museum is a not-for-profit, permanent institution in the service of society that </w:t>
      </w:r>
      <w:proofErr w:type="gramStart"/>
      <w:r w:rsidRPr="00D7455E">
        <w:rPr>
          <w:sz w:val="20"/>
          <w:szCs w:val="20"/>
        </w:rPr>
        <w:t>researches</w:t>
      </w:r>
      <w:proofErr w:type="gramEnd"/>
      <w:r w:rsidRPr="00D7455E">
        <w:rPr>
          <w:sz w:val="20"/>
          <w:szCs w:val="20"/>
        </w:rPr>
        <w:t xml:space="preserve">, collects, conserves, interprets and exhibits tangible and intangible heritage. Open to the public, accessible and inclusive, museums foster diversity and sustainability. They operate and communicate ethically, professionally and with the participation of communities, offering varied experiences for education, enjoyment, reflection and knowledge sharing.” Definition adopted by the International Council of Museums, August 2022. See </w:t>
      </w:r>
      <w:hyperlink r:id="rId4" w:history="1">
        <w:r w:rsidRPr="00D7455E">
          <w:rPr>
            <w:rStyle w:val="Hyperlink"/>
            <w:color w:val="467886"/>
            <w:sz w:val="20"/>
            <w:szCs w:val="20"/>
          </w:rPr>
          <w:t>https://icom.museum/en/resources/standards-guidelines/museum-definition/</w:t>
        </w:r>
      </w:hyperlink>
      <w:r w:rsidRPr="00D7455E">
        <w:rPr>
          <w:color w:val="0070C0"/>
          <w:sz w:val="20"/>
          <w:szCs w:val="20"/>
        </w:rPr>
        <w:t xml:space="preserve"> </w:t>
      </w:r>
      <w:r w:rsidRPr="00D7455E">
        <w:rPr>
          <w:sz w:val="20"/>
          <w:szCs w:val="20"/>
        </w:rPr>
        <w:t>downloaded 4 June 2026.</w:t>
      </w:r>
    </w:p>
  </w:footnote>
  <w:footnote w:id="75">
    <w:p w14:paraId="710D1A0C" w14:textId="46ADCCE2" w:rsidR="000D25C0" w:rsidRPr="00D7455E" w:rsidRDefault="000D25C0" w:rsidP="00D7455E">
      <w:pPr>
        <w:pStyle w:val="FootnoteText"/>
      </w:pPr>
      <w:r w:rsidRPr="00D7455E">
        <w:rPr>
          <w:rStyle w:val="FootnoteReference"/>
        </w:rPr>
        <w:footnoteRef/>
      </w:r>
      <w:r w:rsidRPr="00D7455E">
        <w:t xml:space="preserve"> Hein, H. </w:t>
      </w:r>
      <w:r w:rsidR="00BB5842" w:rsidRPr="00D7455E">
        <w:t>(2011</w:t>
      </w:r>
      <w:r w:rsidR="00A60FC5" w:rsidRPr="00D7455E">
        <w:t>, p.113</w:t>
      </w:r>
      <w:r w:rsidR="00BB5842" w:rsidRPr="00D7455E">
        <w:t xml:space="preserve">) </w:t>
      </w:r>
      <w:r w:rsidRPr="00D7455E">
        <w:t xml:space="preserve">The responsibility of representation, in Marstine, J.(ed) </w:t>
      </w:r>
      <w:r w:rsidRPr="00D7455E">
        <w:rPr>
          <w:i/>
          <w:iCs/>
        </w:rPr>
        <w:t>The Routledge Companion to Museum Ethics</w:t>
      </w:r>
      <w:r w:rsidR="00BB5842" w:rsidRPr="00D7455E">
        <w:t>. London: Routledge</w:t>
      </w:r>
      <w:r w:rsidR="00A60FC5" w:rsidRPr="00D7455E">
        <w:t>.</w:t>
      </w:r>
    </w:p>
  </w:footnote>
  <w:footnote w:id="76">
    <w:p w14:paraId="1EAD34F9" w14:textId="0E3A34B4" w:rsidR="000D25C0" w:rsidRDefault="000D25C0" w:rsidP="000D25C0">
      <w:pPr>
        <w:pStyle w:val="FootnoteText"/>
      </w:pPr>
      <w:r>
        <w:rPr>
          <w:rStyle w:val="FootnoteReference"/>
        </w:rPr>
        <w:footnoteRef/>
      </w:r>
      <w:r>
        <w:t xml:space="preserve"> Marstine, J. </w:t>
      </w:r>
      <w:r w:rsidR="00BB5842">
        <w:t xml:space="preserve">(2011) </w:t>
      </w:r>
      <w:r w:rsidR="00A60FC5">
        <w:t>‘</w:t>
      </w:r>
      <w:r>
        <w:t>The contingent nature of the new museum ethics</w:t>
      </w:r>
      <w:r w:rsidR="00A60FC5">
        <w:t>’</w:t>
      </w:r>
      <w:r>
        <w:t xml:space="preserve"> in Marstine, J.(ed) </w:t>
      </w:r>
      <w:r>
        <w:rPr>
          <w:i/>
          <w:iCs/>
        </w:rPr>
        <w:t>The Routledge Companion to Museum Ethics</w:t>
      </w:r>
      <w:r w:rsidR="00BB5842">
        <w:t>. London: Routledge</w:t>
      </w:r>
      <w:r w:rsidR="00A60FC5">
        <w:t>.</w:t>
      </w:r>
    </w:p>
  </w:footnote>
  <w:footnote w:id="77">
    <w:p w14:paraId="75D5FC9C" w14:textId="28CFCE79" w:rsidR="000D25C0" w:rsidRDefault="000D25C0" w:rsidP="000D25C0">
      <w:pPr>
        <w:pStyle w:val="FootnoteText"/>
      </w:pPr>
      <w:r>
        <w:rPr>
          <w:rStyle w:val="FootnoteReference"/>
        </w:rPr>
        <w:footnoteRef/>
      </w:r>
      <w:r>
        <w:t xml:space="preserve"> Duncan, C.</w:t>
      </w:r>
      <w:r w:rsidR="00BB5842">
        <w:t xml:space="preserve"> (1995)</w:t>
      </w:r>
      <w:r>
        <w:t xml:space="preserve"> </w:t>
      </w:r>
      <w:r w:rsidRPr="0008121B">
        <w:rPr>
          <w:i/>
          <w:iCs/>
        </w:rPr>
        <w:t>Civilizing Rituals, inside public art museums</w:t>
      </w:r>
      <w:r w:rsidR="00BB5842">
        <w:t>. London: Routledge.</w:t>
      </w:r>
    </w:p>
  </w:footnote>
  <w:footnote w:id="78">
    <w:p w14:paraId="2D48E9CE" w14:textId="5798EF56" w:rsidR="000D25C0" w:rsidRDefault="000D25C0" w:rsidP="000D25C0">
      <w:pPr>
        <w:pStyle w:val="FootnoteText"/>
      </w:pPr>
      <w:r>
        <w:rPr>
          <w:rStyle w:val="FootnoteReference"/>
        </w:rPr>
        <w:footnoteRef/>
      </w:r>
      <w:r>
        <w:t xml:space="preserve"> Perry, L. and Krasny, E. (2022) </w:t>
      </w:r>
      <w:hyperlink r:id="rId5" w:history="1">
        <w:r w:rsidRPr="006D7CC7">
          <w:rPr>
            <w:rStyle w:val="Hyperlink"/>
          </w:rPr>
          <w:t>https://research.brighton.ac.uk/en/publications/against-sexual-violence-in-the-museum-art-curating-and-activism/</w:t>
        </w:r>
      </w:hyperlink>
      <w:r>
        <w:t xml:space="preserve"> </w:t>
      </w:r>
      <w:r w:rsidR="00BB5842">
        <w:t xml:space="preserve"> (Accessed 17 March 2026)</w:t>
      </w:r>
    </w:p>
  </w:footnote>
  <w:footnote w:id="79">
    <w:p w14:paraId="613E447F" w14:textId="6A048759" w:rsidR="000D25C0" w:rsidRDefault="000D25C0" w:rsidP="000D25C0">
      <w:pPr>
        <w:pStyle w:val="FootnoteText"/>
      </w:pPr>
      <w:r>
        <w:rPr>
          <w:rStyle w:val="FootnoteReference"/>
        </w:rPr>
        <w:footnoteRef/>
      </w:r>
      <w:r>
        <w:t xml:space="preserve"> Duncan</w:t>
      </w:r>
      <w:r w:rsidR="00BB5842">
        <w:t xml:space="preserve"> (1995, p. 112)</w:t>
      </w:r>
    </w:p>
  </w:footnote>
  <w:footnote w:id="80">
    <w:p w14:paraId="2CD6B2F9" w14:textId="4AC956BF" w:rsidR="000D25C0" w:rsidRDefault="000D25C0" w:rsidP="000D25C0">
      <w:pPr>
        <w:pStyle w:val="FootnoteText"/>
      </w:pPr>
      <w:r>
        <w:rPr>
          <w:rStyle w:val="FootnoteReference"/>
        </w:rPr>
        <w:footnoteRef/>
      </w:r>
      <w:r>
        <w:t xml:space="preserve"> Duncan</w:t>
      </w:r>
      <w:r w:rsidR="00BB5842">
        <w:t xml:space="preserve"> (1995, p. 113)</w:t>
      </w:r>
    </w:p>
  </w:footnote>
  <w:footnote w:id="81">
    <w:p w14:paraId="439CD771" w14:textId="20530414" w:rsidR="000D25C0" w:rsidRDefault="000D25C0" w:rsidP="000D25C0">
      <w:pPr>
        <w:pStyle w:val="FootnoteText"/>
      </w:pPr>
      <w:r>
        <w:rPr>
          <w:rStyle w:val="FootnoteReference"/>
        </w:rPr>
        <w:footnoteRef/>
      </w:r>
      <w:r>
        <w:t xml:space="preserve"> Duncan</w:t>
      </w:r>
      <w:r w:rsidR="00BB5842">
        <w:t xml:space="preserve"> (1995, p. 133)</w:t>
      </w:r>
    </w:p>
  </w:footnote>
  <w:footnote w:id="82">
    <w:p w14:paraId="7301F3D9" w14:textId="341E7BE6" w:rsidR="000D25C0" w:rsidRDefault="000D25C0" w:rsidP="000D25C0">
      <w:pPr>
        <w:pStyle w:val="FootnoteText"/>
      </w:pPr>
      <w:r>
        <w:rPr>
          <w:rStyle w:val="FootnoteReference"/>
        </w:rPr>
        <w:footnoteRef/>
      </w:r>
      <w:r>
        <w:rPr>
          <w:rStyle w:val="FootnoteReference"/>
        </w:rPr>
        <w:footnoteRef/>
      </w:r>
      <w:r>
        <w:t xml:space="preserve"> Hein, H. </w:t>
      </w:r>
      <w:r w:rsidR="00BB5842">
        <w:t>(2007</w:t>
      </w:r>
      <w:r w:rsidR="00DC21DB">
        <w:t>. p.38</w:t>
      </w:r>
      <w:r w:rsidR="00BB5842">
        <w:t>) ‘</w:t>
      </w:r>
      <w:r>
        <w:t xml:space="preserve">Redressing the museum in feminist theory’ in </w:t>
      </w:r>
      <w:r w:rsidRPr="00BB5842">
        <w:rPr>
          <w:i/>
          <w:iCs/>
        </w:rPr>
        <w:t>Museum Management and Curatorship</w:t>
      </w:r>
      <w:r>
        <w:t xml:space="preserve"> vol. 22</w:t>
      </w:r>
      <w:r w:rsidR="00BB5842">
        <w:t xml:space="preserve"> (1)</w:t>
      </w:r>
    </w:p>
  </w:footnote>
  <w:footnote w:id="83">
    <w:p w14:paraId="2CF4B7F4" w14:textId="10840019" w:rsidR="000D25C0" w:rsidRDefault="000D25C0" w:rsidP="000D25C0">
      <w:pPr>
        <w:pStyle w:val="FootnoteText"/>
      </w:pPr>
      <w:r>
        <w:rPr>
          <w:rStyle w:val="FootnoteReference"/>
        </w:rPr>
        <w:footnoteRef/>
      </w:r>
      <w:r>
        <w:t xml:space="preserve"> Perry</w:t>
      </w:r>
      <w:r w:rsidR="00BB5842">
        <w:t xml:space="preserve"> and Krasny (2022, p.2)</w:t>
      </w:r>
    </w:p>
  </w:footnote>
  <w:footnote w:id="84">
    <w:p w14:paraId="4341E9AD" w14:textId="330474E2" w:rsidR="000D25C0" w:rsidRDefault="000D25C0" w:rsidP="000D25C0">
      <w:pPr>
        <w:pStyle w:val="FootnoteText"/>
      </w:pPr>
      <w:r>
        <w:rPr>
          <w:rStyle w:val="FootnoteReference"/>
        </w:rPr>
        <w:footnoteRef/>
      </w:r>
      <w:r>
        <w:t xml:space="preserve"> Perry</w:t>
      </w:r>
      <w:r w:rsidR="00BB5842">
        <w:t xml:space="preserve"> and Krasny (2022, p.3)</w:t>
      </w:r>
    </w:p>
  </w:footnote>
  <w:footnote w:id="85">
    <w:p w14:paraId="52AE6A1D" w14:textId="4B1DE4C3" w:rsidR="000D25C0" w:rsidRDefault="000D25C0" w:rsidP="000D25C0">
      <w:pPr>
        <w:pStyle w:val="FootnoteText"/>
      </w:pPr>
      <w:r>
        <w:rPr>
          <w:rStyle w:val="FootnoteReference"/>
        </w:rPr>
        <w:footnoteRef/>
      </w:r>
      <w:r>
        <w:t xml:space="preserve"> Perry</w:t>
      </w:r>
      <w:r w:rsidR="00BB5842">
        <w:t xml:space="preserve"> and Krasny (2022, p.4)</w:t>
      </w:r>
    </w:p>
  </w:footnote>
  <w:footnote w:id="86">
    <w:p w14:paraId="0829B354" w14:textId="5FE772E2" w:rsidR="000D25C0" w:rsidRDefault="000D25C0" w:rsidP="000D25C0">
      <w:pPr>
        <w:pStyle w:val="FootnoteText"/>
      </w:pPr>
      <w:r>
        <w:rPr>
          <w:rStyle w:val="FootnoteReference"/>
        </w:rPr>
        <w:footnoteRef/>
      </w:r>
      <w:r>
        <w:t xml:space="preserve"> Perry</w:t>
      </w:r>
      <w:r w:rsidR="00BB5842">
        <w:t xml:space="preserve"> and Krasny (2002, p.7)</w:t>
      </w:r>
    </w:p>
  </w:footnote>
  <w:footnote w:id="87">
    <w:p w14:paraId="631D92E1" w14:textId="0D99BC3E" w:rsidR="006B137F" w:rsidRPr="00876DD8" w:rsidRDefault="006B137F">
      <w:pPr>
        <w:pStyle w:val="FootnoteText"/>
      </w:pPr>
      <w:r>
        <w:rPr>
          <w:rStyle w:val="FootnoteReference"/>
        </w:rPr>
        <w:footnoteRef/>
      </w:r>
      <w:r>
        <w:t xml:space="preserve"> </w:t>
      </w:r>
      <w:r w:rsidRPr="00876DD8">
        <w:t xml:space="preserve">Arias, M.P. (2020) 'From takeover to debacle: An analysis of the </w:t>
      </w:r>
      <w:proofErr w:type="spellStart"/>
      <w:r w:rsidRPr="00876DD8">
        <w:t>Nympghate</w:t>
      </w:r>
      <w:proofErr w:type="spellEnd"/>
      <w:r w:rsidRPr="00876DD8">
        <w:t xml:space="preserve"> network using Twitter data', </w:t>
      </w:r>
      <w:r w:rsidRPr="00876DD8">
        <w:rPr>
          <w:i/>
          <w:iCs/>
        </w:rPr>
        <w:t>Museums and Society</w:t>
      </w:r>
      <w:r w:rsidRPr="00876DD8">
        <w:t xml:space="preserve">, vol. 18, no. 2, pp. 132-150. Available at: </w:t>
      </w:r>
      <w:hyperlink r:id="rId6" w:history="1">
        <w:r w:rsidRPr="00876DD8">
          <w:rPr>
            <w:rStyle w:val="Hyperlink"/>
            <w:color w:val="467886"/>
          </w:rPr>
          <w:t>https://journals.le.ac.uk/ojs1/index.php/mas/article/view/3275/3131</w:t>
        </w:r>
      </w:hyperlink>
      <w:r w:rsidRPr="00B7744E">
        <w:rPr>
          <w:color w:val="0070C0"/>
        </w:rPr>
        <w:t xml:space="preserve"> </w:t>
      </w:r>
      <w:r w:rsidRPr="00876DD8">
        <w:t>(Accessed 26 May 2026)</w:t>
      </w:r>
    </w:p>
  </w:footnote>
  <w:footnote w:id="88">
    <w:p w14:paraId="45D5C16E" w14:textId="77777777" w:rsidR="00F47F82" w:rsidRPr="00B7744E" w:rsidRDefault="00F47F82" w:rsidP="00F47F82">
      <w:pPr>
        <w:pStyle w:val="FootnoteText"/>
        <w:rPr>
          <w:color w:val="0070C0"/>
        </w:rPr>
      </w:pPr>
      <w:r w:rsidRPr="00876DD8">
        <w:rPr>
          <w:rStyle w:val="FootnoteReference"/>
        </w:rPr>
        <w:footnoteRef/>
      </w:r>
      <w:r w:rsidRPr="00876DD8">
        <w:t xml:space="preserve"> Harrison, J. (2024) '</w:t>
      </w:r>
      <w:proofErr w:type="spellStart"/>
      <w:r w:rsidRPr="00876DD8">
        <w:t>Nymphgate</w:t>
      </w:r>
      <w:proofErr w:type="spellEnd"/>
      <w:r w:rsidRPr="00876DD8">
        <w:t>, Nudity, and Moral Excellence', </w:t>
      </w:r>
      <w:r w:rsidRPr="00876DD8">
        <w:rPr>
          <w:i/>
          <w:iCs/>
        </w:rPr>
        <w:t>Cusp: Late 19th-/Early 20th-Century Cultures</w:t>
      </w:r>
      <w:r w:rsidRPr="00876DD8">
        <w:t>, vol. 2, no. 2, pp. 241-271. Available at:</w:t>
      </w:r>
      <w:r w:rsidRPr="00B7744E">
        <w:rPr>
          <w:color w:val="0070C0"/>
        </w:rPr>
        <w:t xml:space="preserve"> </w:t>
      </w:r>
      <w:hyperlink r:id="rId7" w:history="1">
        <w:r w:rsidRPr="00876DD8">
          <w:rPr>
            <w:rStyle w:val="Hyperlink"/>
            <w:color w:val="467886"/>
          </w:rPr>
          <w:t>https://doi.org/10.1353/cusp.2024.a934496</w:t>
        </w:r>
      </w:hyperlink>
      <w:r w:rsidRPr="00B7744E">
        <w:rPr>
          <w:color w:val="0070C0"/>
        </w:rPr>
        <w:t xml:space="preserve"> </w:t>
      </w:r>
      <w:r w:rsidRPr="00876DD8">
        <w:t>(Accessed 25 May 2026)</w:t>
      </w:r>
    </w:p>
  </w:footnote>
  <w:footnote w:id="89">
    <w:p w14:paraId="43163818" w14:textId="6A49ACBF" w:rsidR="00F47F82" w:rsidRDefault="00F47F82">
      <w:pPr>
        <w:pStyle w:val="FootnoteText"/>
      </w:pPr>
      <w:r w:rsidRPr="00876DD8">
        <w:rPr>
          <w:rStyle w:val="FootnoteReference"/>
        </w:rPr>
        <w:footnoteRef/>
      </w:r>
      <w:r w:rsidRPr="00876DD8">
        <w:t xml:space="preserve"> Harrison, J. (2024, p 255-256)</w:t>
      </w:r>
      <w:r w:rsidR="009E77C7" w:rsidRPr="00876DD8">
        <w:t>.</w:t>
      </w:r>
      <w:r w:rsidRPr="00876DD8">
        <w:t xml:space="preserve"> </w:t>
      </w:r>
      <w:r w:rsidR="00B7744E" w:rsidRPr="00876DD8">
        <w:t xml:space="preserve">Harrison goes on to point out that part of the argument for taking down the painting was that it hides Hylas under a veneer of heterosexual normativity – an argument Harrison debunks in the rest of his article, based </w:t>
      </w:r>
      <w:r w:rsidR="009E77C7" w:rsidRPr="00876DD8">
        <w:t>i</w:t>
      </w:r>
      <w:r w:rsidR="00B7744E" w:rsidRPr="00876DD8">
        <w:t xml:space="preserve">n his </w:t>
      </w:r>
      <w:r w:rsidR="009E77C7" w:rsidRPr="00876DD8">
        <w:t>exploration</w:t>
      </w:r>
      <w:r w:rsidR="00B7744E" w:rsidRPr="00876DD8">
        <w:t xml:space="preserve"> of the art-historical context of Waterhouse’s work. </w:t>
      </w:r>
    </w:p>
  </w:footnote>
  <w:footnote w:id="90">
    <w:p w14:paraId="42D15A5C" w14:textId="43C145DA" w:rsidR="000D25C0" w:rsidRDefault="000D25C0" w:rsidP="000D25C0">
      <w:pPr>
        <w:pStyle w:val="FootnoteText"/>
      </w:pPr>
      <w:r>
        <w:rPr>
          <w:rStyle w:val="FootnoteReference"/>
        </w:rPr>
        <w:footnoteRef/>
      </w:r>
      <w:r>
        <w:t xml:space="preserve"> See however Mahony ‘s 2024 article</w:t>
      </w:r>
      <w:r w:rsidR="00DC21DB">
        <w:t>:</w:t>
      </w:r>
      <w:r w:rsidR="00570136">
        <w:t xml:space="preserve"> Mahony. O (2024) ‘Curating conflict-related sexual violence’. Available at:</w:t>
      </w:r>
      <w:r>
        <w:t xml:space="preserve"> </w:t>
      </w:r>
      <w:hyperlink r:id="rId8" w:history="1">
        <w:r w:rsidRPr="004C3447">
          <w:rPr>
            <w:rStyle w:val="Hyperlink"/>
          </w:rPr>
          <w:t>https://researchonline.lse.ac.uk/id/eprint/125693/1/o-mahony-2024-curating-conflict-related-sexual-violence-museological-visibilities-at-the-imperial-war-museum.pdf</w:t>
        </w:r>
      </w:hyperlink>
      <w:r>
        <w:t xml:space="preserve"> which calls for museums to take a stand against sexual violence in their mission statements</w:t>
      </w:r>
      <w:r w:rsidR="00DC21DB">
        <w:t xml:space="preserve"> (Accessed 21 November 2025)</w:t>
      </w:r>
    </w:p>
  </w:footnote>
  <w:footnote w:id="91">
    <w:p w14:paraId="10DC5EA4" w14:textId="7953ABF2" w:rsidR="000D25C0" w:rsidRDefault="000D25C0" w:rsidP="000D25C0">
      <w:pPr>
        <w:pStyle w:val="FootnoteText"/>
      </w:pPr>
      <w:r>
        <w:rPr>
          <w:rStyle w:val="FootnoteReference"/>
        </w:rPr>
        <w:footnoteRef/>
      </w:r>
      <w:hyperlink r:id="rId9" w:history="1">
        <w:r w:rsidRPr="006D7CC7">
          <w:rPr>
            <w:rStyle w:val="Hyperlink"/>
          </w:rPr>
          <w:t>https://www.ons.gov.uk/peoplepopulationandcommunity/crimeandjustice/articles/sexualoffencesvictimcharacteristicsenglandandwales/yearendingmarch2025</w:t>
        </w:r>
      </w:hyperlink>
    </w:p>
  </w:footnote>
  <w:footnote w:id="92">
    <w:p w14:paraId="71276A0E" w14:textId="77777777" w:rsidR="000D25C0" w:rsidRDefault="000D25C0" w:rsidP="000D25C0">
      <w:pPr>
        <w:pStyle w:val="FootnoteText"/>
      </w:pPr>
      <w:r>
        <w:rPr>
          <w:rStyle w:val="FootnoteReference"/>
        </w:rPr>
        <w:footnoteRef/>
      </w:r>
      <w:r>
        <w:t xml:space="preserve"> </w:t>
      </w:r>
      <w:hyperlink r:id="rId10" w:history="1">
        <w:r w:rsidRPr="006D7CC7">
          <w:rPr>
            <w:rStyle w:val="Hyperlink"/>
          </w:rPr>
          <w:t>https://fra.europa.eu/en/publication/2025/being-intersex-eu</w:t>
        </w:r>
      </w:hyperlink>
      <w:r>
        <w:t>. This data is not directly comparable with the ONS stats as a) England and Wales as a non-EU country was not included in the survey, which covered 30 EU countries and b) the data gathered covers physical and sexual assault, not disaggregated.</w:t>
      </w:r>
    </w:p>
  </w:footnote>
  <w:footnote w:id="93">
    <w:p w14:paraId="101C88EF" w14:textId="77777777" w:rsidR="000D25C0" w:rsidRDefault="000D25C0" w:rsidP="000D25C0">
      <w:pPr>
        <w:pStyle w:val="FootnoteText"/>
      </w:pPr>
      <w:r>
        <w:rPr>
          <w:rStyle w:val="FootnoteReference"/>
        </w:rPr>
        <w:footnoteRef/>
      </w:r>
      <w:r>
        <w:t xml:space="preserve"> </w:t>
      </w:r>
      <w:hyperlink r:id="rId11" w:history="1">
        <w:r w:rsidRPr="006D7CC7">
          <w:rPr>
            <w:rStyle w:val="Hyperlink"/>
          </w:rPr>
          <w:t>https://pubmed.ncbi.nlm.nih.gov/12476264/</w:t>
        </w:r>
      </w:hyperlink>
    </w:p>
  </w:footnote>
  <w:footnote w:id="94">
    <w:p w14:paraId="31BDF764" w14:textId="77777777" w:rsidR="000D25C0" w:rsidRDefault="000D25C0" w:rsidP="000D25C0">
      <w:pPr>
        <w:pStyle w:val="FootnoteText"/>
      </w:pPr>
      <w:r>
        <w:rPr>
          <w:rStyle w:val="FootnoteReference"/>
        </w:rPr>
        <w:footnoteRef/>
      </w:r>
      <w:hyperlink r:id="rId12" w:history="1">
        <w:r w:rsidRPr="006D7CC7">
          <w:rPr>
            <w:rStyle w:val="Hyperlink"/>
          </w:rPr>
          <w:t>https://www.ons.gov.uk/peoplepopulationandcommunity/populationandmigration/populationestimates/bulletins/populationandhouseholdestimatesenglandandwales/census2021unroundeddata</w:t>
        </w:r>
      </w:hyperlink>
    </w:p>
  </w:footnote>
  <w:footnote w:id="95">
    <w:p w14:paraId="5FC88481" w14:textId="53F2B479" w:rsidR="000D25C0" w:rsidRDefault="000D25C0" w:rsidP="000D25C0">
      <w:pPr>
        <w:pStyle w:val="FootnoteText"/>
      </w:pPr>
      <w:r>
        <w:rPr>
          <w:rStyle w:val="FootnoteReference"/>
        </w:rPr>
        <w:footnoteRef/>
      </w:r>
      <w:r>
        <w:t xml:space="preserve"> With the additional assumption that half the assaults recorded in the EU are sexual rather than physical. </w:t>
      </w:r>
    </w:p>
  </w:footnote>
  <w:footnote w:id="96">
    <w:p w14:paraId="2A902627" w14:textId="70CD980A" w:rsidR="000D25C0" w:rsidRPr="00C418BB" w:rsidRDefault="000D25C0" w:rsidP="000D25C0">
      <w:pPr>
        <w:pStyle w:val="FootnoteText"/>
        <w:rPr>
          <w:b/>
          <w:bCs/>
        </w:rPr>
      </w:pPr>
      <w:r>
        <w:rPr>
          <w:rStyle w:val="FootnoteReference"/>
        </w:rPr>
        <w:footnoteRef/>
      </w:r>
      <w:r>
        <w:t xml:space="preserve"> Three qualifications are needed. First, economic class also impacts the prevalence of sexual assault. Without detailed data, we can assume more wealthy people are likely to visit the Ashmolean. Second, these figures are based on England and Wales/EU data – whilst </w:t>
      </w:r>
      <w:proofErr w:type="gramStart"/>
      <w:r>
        <w:t>in reality Ashmolean</w:t>
      </w:r>
      <w:proofErr w:type="gramEnd"/>
      <w:r>
        <w:t xml:space="preserve"> visitors come from all over the world, where prevalence of sexual assault rates vary. The World Health organisation found that globally, 1 in 3 women have experienced sexual assault – so the real numbers/proportion of visitors may be </w:t>
      </w:r>
      <w:proofErr w:type="gramStart"/>
      <w:r w:rsidR="009A0344">
        <w:t>higher, but</w:t>
      </w:r>
      <w:proofErr w:type="gramEnd"/>
      <w:r>
        <w:t xml:space="preserve"> are impossible to calculate accurately without nationality data on all the visitors to the Museum. Third, a significant proportion of the museum visitors are children under the age of 16, but this information is not publicly available. To reach the numbers in this paragraph, f</w:t>
      </w:r>
      <w:r w:rsidRPr="00C418BB">
        <w:t xml:space="preserve">irst, </w:t>
      </w:r>
      <w:r>
        <w:t>I</w:t>
      </w:r>
      <w:r w:rsidRPr="00C418BB">
        <w:t xml:space="preserve"> calculate</w:t>
      </w:r>
      <w:r>
        <w:t>d</w:t>
      </w:r>
      <w:r w:rsidRPr="00C418BB">
        <w:t xml:space="preserve"> the number of visitors in each category out of the 1 million total:</w:t>
      </w:r>
    </w:p>
    <w:p w14:paraId="77145F1C" w14:textId="77777777" w:rsidR="000D25C0" w:rsidRPr="00C418BB" w:rsidRDefault="000D25C0" w:rsidP="000D25C0">
      <w:pPr>
        <w:pStyle w:val="FootnoteText"/>
        <w:numPr>
          <w:ilvl w:val="0"/>
          <w:numId w:val="4"/>
        </w:numPr>
      </w:pPr>
      <w:r w:rsidRPr="00C418BB">
        <w:rPr>
          <w:b/>
          <w:bCs/>
        </w:rPr>
        <w:t>Women (50.25%):</w:t>
      </w:r>
      <w:r w:rsidRPr="00C418BB">
        <w:t> 502,500</w:t>
      </w:r>
    </w:p>
    <w:p w14:paraId="6391B72C" w14:textId="77777777" w:rsidR="000D25C0" w:rsidRPr="00C418BB" w:rsidRDefault="000D25C0" w:rsidP="000D25C0">
      <w:pPr>
        <w:pStyle w:val="FootnoteText"/>
        <w:numPr>
          <w:ilvl w:val="0"/>
          <w:numId w:val="4"/>
        </w:numPr>
      </w:pPr>
      <w:r w:rsidRPr="00C418BB">
        <w:rPr>
          <w:b/>
          <w:bCs/>
        </w:rPr>
        <w:t>Men (49.25%):</w:t>
      </w:r>
      <w:r w:rsidRPr="00C418BB">
        <w:t> 492,500</w:t>
      </w:r>
    </w:p>
    <w:p w14:paraId="682CF284" w14:textId="77777777" w:rsidR="000D25C0" w:rsidRPr="00C418BB" w:rsidRDefault="000D25C0" w:rsidP="000D25C0">
      <w:pPr>
        <w:pStyle w:val="FootnoteText"/>
        <w:numPr>
          <w:ilvl w:val="0"/>
          <w:numId w:val="4"/>
        </w:numPr>
      </w:pPr>
      <w:r w:rsidRPr="00C418BB">
        <w:rPr>
          <w:b/>
          <w:bCs/>
        </w:rPr>
        <w:t>Intersex (0.5%):</w:t>
      </w:r>
      <w:r w:rsidRPr="00C418BB">
        <w:t> 5,000</w:t>
      </w:r>
    </w:p>
    <w:p w14:paraId="1F60A27F" w14:textId="77777777" w:rsidR="000D25C0" w:rsidRPr="00C418BB" w:rsidRDefault="000D25C0" w:rsidP="000D25C0">
      <w:pPr>
        <w:pStyle w:val="FootnoteText"/>
      </w:pPr>
      <w:r w:rsidRPr="00C418BB">
        <w:t xml:space="preserve">Next, </w:t>
      </w:r>
      <w:r>
        <w:t>I applied</w:t>
      </w:r>
      <w:r w:rsidRPr="00C418BB">
        <w:t xml:space="preserve"> the specific likelihoods to each group</w:t>
      </w:r>
      <w:r>
        <w:t>, using the ONS and EU reports cited above</w:t>
      </w:r>
      <w:r w:rsidRPr="00C418BB">
        <w:t>:</w:t>
      </w:r>
    </w:p>
    <w:p w14:paraId="5946B53B" w14:textId="77777777" w:rsidR="000D25C0" w:rsidRPr="00C418BB" w:rsidRDefault="000D25C0" w:rsidP="000D25C0">
      <w:pPr>
        <w:pStyle w:val="FootnoteText"/>
        <w:numPr>
          <w:ilvl w:val="0"/>
          <w:numId w:val="5"/>
        </w:numPr>
      </w:pPr>
      <w:r w:rsidRPr="00C418BB">
        <w:rPr>
          <w:b/>
          <w:bCs/>
        </w:rPr>
        <w:t>Women:</w:t>
      </w:r>
      <w:r w:rsidRPr="00C418BB">
        <w:t> </w:t>
      </w:r>
      <w:r w:rsidRPr="00C418BB">
        <w:rPr>
          <w:b/>
          <w:bCs/>
        </w:rPr>
        <w:t>128,640</w:t>
      </w:r>
    </w:p>
    <w:p w14:paraId="08A38323" w14:textId="77777777" w:rsidR="000D25C0" w:rsidRPr="00C418BB" w:rsidRDefault="000D25C0" w:rsidP="000D25C0">
      <w:pPr>
        <w:pStyle w:val="FootnoteText"/>
        <w:numPr>
          <w:ilvl w:val="0"/>
          <w:numId w:val="5"/>
        </w:numPr>
      </w:pPr>
      <w:r w:rsidRPr="00C418BB">
        <w:rPr>
          <w:b/>
          <w:bCs/>
        </w:rPr>
        <w:t>Men:</w:t>
      </w:r>
      <w:r w:rsidRPr="00C418BB">
        <w:t> </w:t>
      </w:r>
      <w:r w:rsidRPr="00C418BB">
        <w:rPr>
          <w:b/>
          <w:bCs/>
        </w:rPr>
        <w:t>29,057</w:t>
      </w:r>
      <w:r w:rsidRPr="00C418BB">
        <w:t> (rounded from 29,057.5)</w:t>
      </w:r>
    </w:p>
    <w:p w14:paraId="03EA7C02" w14:textId="77777777" w:rsidR="000D25C0" w:rsidRPr="00C418BB" w:rsidRDefault="000D25C0" w:rsidP="000D25C0">
      <w:pPr>
        <w:pStyle w:val="FootnoteText"/>
        <w:numPr>
          <w:ilvl w:val="0"/>
          <w:numId w:val="5"/>
        </w:numPr>
      </w:pPr>
      <w:r w:rsidRPr="00C418BB">
        <w:rPr>
          <w:b/>
          <w:bCs/>
        </w:rPr>
        <w:t>Intersex:</w:t>
      </w:r>
      <w:r w:rsidRPr="00C418BB">
        <w:t> </w:t>
      </w:r>
      <w:r w:rsidRPr="00C418BB">
        <w:rPr>
          <w:b/>
          <w:bCs/>
        </w:rPr>
        <w:t>850</w:t>
      </w:r>
    </w:p>
    <w:p w14:paraId="55A4053C" w14:textId="77777777" w:rsidR="000D25C0" w:rsidRDefault="000D25C0" w:rsidP="000D25C0">
      <w:pPr>
        <w:pStyle w:val="FootnoteText"/>
      </w:pPr>
      <w:r>
        <w:t xml:space="preserve">This creates a total </w:t>
      </w:r>
      <w:r w:rsidRPr="000E4827">
        <w:t>of</w:t>
      </w:r>
      <w:r>
        <w:rPr>
          <w:b/>
          <w:bCs/>
        </w:rPr>
        <w:t xml:space="preserve"> 158. 547</w:t>
      </w:r>
      <w:r w:rsidRPr="00C418BB">
        <w:t xml:space="preserve"> </w:t>
      </w:r>
      <w:r>
        <w:t xml:space="preserve">which </w:t>
      </w:r>
      <w:r w:rsidRPr="00C418BB">
        <w:t>represent</w:t>
      </w:r>
      <w:r>
        <w:t>s</w:t>
      </w:r>
      <w:r w:rsidRPr="00C418BB">
        <w:t> </w:t>
      </w:r>
      <w:r w:rsidRPr="00C418BB">
        <w:rPr>
          <w:b/>
          <w:bCs/>
        </w:rPr>
        <w:t>15.85%</w:t>
      </w:r>
      <w:r w:rsidRPr="00C418BB">
        <w:t> of the 1 million visitors.</w:t>
      </w:r>
    </w:p>
  </w:footnote>
  <w:footnote w:id="97">
    <w:p w14:paraId="1069A498" w14:textId="75AE696C" w:rsidR="000D25C0" w:rsidRDefault="000D25C0" w:rsidP="000D25C0">
      <w:pPr>
        <w:pStyle w:val="FootnoteText"/>
      </w:pPr>
      <w:r>
        <w:rPr>
          <w:rStyle w:val="FootnoteReference"/>
        </w:rPr>
        <w:footnoteRef/>
      </w:r>
      <w:r>
        <w:t xml:space="preserve"> Based on the ONS </w:t>
      </w:r>
      <w:r w:rsidR="00570136">
        <w:t>(</w:t>
      </w:r>
      <w:r>
        <w:t>2025</w:t>
      </w:r>
      <w:r w:rsidR="00570136">
        <w:t>)</w:t>
      </w:r>
      <w:r>
        <w:t xml:space="preserve"> finding that 7.3% of women and 0.5% of men have experienced rape or attempted rape. </w:t>
      </w:r>
    </w:p>
  </w:footnote>
  <w:footnote w:id="98">
    <w:p w14:paraId="27B91CC8" w14:textId="77777777" w:rsidR="00816046" w:rsidRDefault="00816046" w:rsidP="00816046">
      <w:pPr>
        <w:pStyle w:val="FootnoteText"/>
      </w:pPr>
      <w:r>
        <w:rPr>
          <w:rStyle w:val="FootnoteReference"/>
        </w:rPr>
        <w:footnoteRef/>
      </w:r>
      <w:r>
        <w:t xml:space="preserve"> I was very aware of the ethical issues around proceeding with a live interview about curatorial decision making. Having sought ethical guidance, I was clear about the purpose of the interview, and sought Dr Melfi’s permission both by email, and then in the live interview, to record the interview, also giving her in writing and verbally the option to not be quoted at all, to be quoted but only anonymously, or to be quoted with full attribution. Dr Melfi gave her consent to be recorded and quoted by name in this dissertation. </w:t>
      </w:r>
    </w:p>
  </w:footnote>
  <w:footnote w:id="99">
    <w:p w14:paraId="0391E7DF" w14:textId="77777777" w:rsidR="00816046" w:rsidRPr="00876DD8" w:rsidRDefault="00816046" w:rsidP="00816046">
      <w:pPr>
        <w:pStyle w:val="FootnoteText"/>
      </w:pPr>
      <w:r>
        <w:rPr>
          <w:rStyle w:val="FootnoteReference"/>
        </w:rPr>
        <w:footnoteRef/>
      </w:r>
      <w:r>
        <w:t xml:space="preserve"> </w:t>
      </w:r>
      <w:r w:rsidRPr="00876DD8">
        <w:t xml:space="preserve">Bogner, A. and Menz, W. (2009) 'The Theory-Generating Expert Interview: Epistemological Interest, Forms of Knowledge, Interaction', in Bogner, A., </w:t>
      </w:r>
      <w:proofErr w:type="spellStart"/>
      <w:r w:rsidRPr="00876DD8">
        <w:t>Littig</w:t>
      </w:r>
      <w:proofErr w:type="spellEnd"/>
      <w:r w:rsidRPr="00876DD8">
        <w:t xml:space="preserve">, B. and Menz, W. (eds.) </w:t>
      </w:r>
      <w:r w:rsidRPr="00876DD8">
        <w:rPr>
          <w:i/>
          <w:iCs/>
        </w:rPr>
        <w:t>Interviewing Experts</w:t>
      </w:r>
      <w:r w:rsidRPr="00876DD8">
        <w:t>. Basingstoke: Palgrave Macmillan, pp. 43–80.</w:t>
      </w:r>
    </w:p>
  </w:footnote>
  <w:footnote w:id="100">
    <w:p w14:paraId="0F7906DE" w14:textId="77777777" w:rsidR="00816046" w:rsidRPr="00876DD8" w:rsidRDefault="00816046" w:rsidP="00816046">
      <w:pPr>
        <w:pStyle w:val="FootnoteText"/>
      </w:pPr>
      <w:r w:rsidRPr="00876DD8">
        <w:rPr>
          <w:rStyle w:val="FootnoteReference"/>
        </w:rPr>
        <w:footnoteRef/>
      </w:r>
      <w:r w:rsidRPr="00876DD8">
        <w:t xml:space="preserve"> Bogner, A. and Menz, W. (2009, p.46)</w:t>
      </w:r>
    </w:p>
  </w:footnote>
  <w:footnote w:id="101">
    <w:p w14:paraId="3109369C" w14:textId="77777777" w:rsidR="00816046" w:rsidRPr="00876DD8" w:rsidRDefault="00816046" w:rsidP="00816046">
      <w:pPr>
        <w:pStyle w:val="FootnoteText"/>
      </w:pPr>
      <w:r w:rsidRPr="00876DD8">
        <w:rPr>
          <w:rStyle w:val="FootnoteReference"/>
        </w:rPr>
        <w:footnoteRef/>
      </w:r>
      <w:r w:rsidRPr="00876DD8">
        <w:t xml:space="preserve"> Bogner, A. and Menz, W. (2009, p.67)</w:t>
      </w:r>
    </w:p>
  </w:footnote>
  <w:footnote w:id="102">
    <w:p w14:paraId="4980CED8" w14:textId="77777777" w:rsidR="00816046" w:rsidRPr="00876DD8" w:rsidRDefault="00816046" w:rsidP="00816046">
      <w:pPr>
        <w:pStyle w:val="FootnoteText"/>
      </w:pPr>
      <w:r w:rsidRPr="00876DD8">
        <w:rPr>
          <w:rStyle w:val="FootnoteReference"/>
        </w:rPr>
        <w:footnoteRef/>
      </w:r>
      <w:r w:rsidRPr="00876DD8">
        <w:t xml:space="preserve"> As Rowson Love and Randolf argue “open-ended questions elicit longer and potentially more complex responses” in Rowson Love, A. and Randolph, D. (2024) </w:t>
      </w:r>
      <w:r w:rsidRPr="00876DD8">
        <w:rPr>
          <w:i/>
          <w:iCs/>
        </w:rPr>
        <w:t>An Introductory Guide to Qualitative Research in Art Museums</w:t>
      </w:r>
      <w:r w:rsidRPr="00876DD8">
        <w:t>. London: Routledge. p.28. They go on to explore the potential of semi-structured interviews arguing that qualitative interviewing can be conceptualised as a knowledge-producing conversation (Rowson Love, A. and Randolf D. 2024, p.54)  and that “Qualitative research allows participants to articulate their own stories … the researcher should listen with intention and repeat key phrases to ensure that the intended meaning is captured.” (Rowson Love, A. and Randolf D. (2024, p.55)</w:t>
      </w:r>
    </w:p>
  </w:footnote>
  <w:footnote w:id="103">
    <w:p w14:paraId="6D8C1BF1" w14:textId="77777777" w:rsidR="00816046" w:rsidRDefault="00816046" w:rsidP="00816046">
      <w:pPr>
        <w:pStyle w:val="FootnoteText"/>
      </w:pPr>
      <w:r>
        <w:rPr>
          <w:rStyle w:val="FootnoteReference"/>
        </w:rPr>
        <w:footnoteRef/>
      </w:r>
      <w:r>
        <w:t xml:space="preserve">Video on the Ashmolean Museum website: </w:t>
      </w:r>
      <w:hyperlink r:id="rId13" w:history="1">
        <w:r w:rsidRPr="006D7CC7">
          <w:rPr>
            <w:rStyle w:val="Hyperlink"/>
          </w:rPr>
          <w:t>https://www.ashmolean.org/alison-woollard-statue-of-satyr-and-hermaphrodite</w:t>
        </w:r>
      </w:hyperlink>
      <w:r>
        <w:t xml:space="preserve"> (Accessed 1 January 2026). This video in a series called ‘thinking with things’ uses the statue as a link to Professor Woolard’s expertise in worms which </w:t>
      </w:r>
      <w:proofErr w:type="gramStart"/>
      <w:r>
        <w:t>are able to</w:t>
      </w:r>
      <w:proofErr w:type="gramEnd"/>
      <w:r>
        <w:t xml:space="preserve"> change gender. It was then, and still is, the only information linked to the statue, other than its catalogue reference, easily available on the Museum website. </w:t>
      </w:r>
    </w:p>
  </w:footnote>
  <w:footnote w:id="104">
    <w:p w14:paraId="3318E6D6" w14:textId="77777777" w:rsidR="00816046" w:rsidRDefault="00816046" w:rsidP="00816046">
      <w:pPr>
        <w:pStyle w:val="FootnoteText"/>
      </w:pPr>
      <w:r>
        <w:rPr>
          <w:rStyle w:val="FootnoteReference"/>
        </w:rPr>
        <w:footnoteRef/>
      </w:r>
      <w:r>
        <w:t xml:space="preserve"> Further research into the audio recording referenced in the email correspondence revealed that it is one of a series of audio tours available at the Ashmolean, accessible from a smart phone at: Smartify (n.d.) ‘Global history of gender audio tour’ available at: </w:t>
      </w:r>
      <w:hyperlink r:id="rId14" w:history="1">
        <w:r w:rsidRPr="00AA14FD">
          <w:rPr>
            <w:rStyle w:val="Hyperlink"/>
          </w:rPr>
          <w:t>https://app.smartify.org/eu/tours/global-history-of-gender</w:t>
        </w:r>
      </w:hyperlink>
      <w:r>
        <w:t xml:space="preserve"> (Accessed 15 March 2026). A description of the audio series says that this</w:t>
      </w:r>
      <w:r w:rsidRPr="000A5259">
        <w:t xml:space="preserve"> audio-tour is </w:t>
      </w:r>
      <w:r>
        <w:t>linked</w:t>
      </w:r>
      <w:r w:rsidRPr="000A5259">
        <w:t xml:space="preserve"> to a research project led by Maria Misra of the History Faculty at the University of Oxford, </w:t>
      </w:r>
      <w:r>
        <w:t>looking</w:t>
      </w:r>
      <w:r w:rsidRPr="000A5259">
        <w:t xml:space="preserve"> at the history of gender globally from earliest times to the present. </w:t>
      </w:r>
      <w:r>
        <w:t>“</w:t>
      </w:r>
      <w:r w:rsidRPr="000A5259">
        <w:t>History reveals that ideas of masculinity and femininity have never been fixed but have often been fluid, and shaped by changing culture, ideas and politics. In the</w:t>
      </w:r>
      <w:r>
        <w:t xml:space="preserve"> audio</w:t>
      </w:r>
      <w:r w:rsidRPr="000A5259">
        <w:t xml:space="preserve"> tour you’ll encounter emotional and compassionate men, bold warrior women and societies at ease with non-binary sexualities.</w:t>
      </w:r>
      <w:r>
        <w:t>”</w:t>
      </w:r>
      <w:r w:rsidRPr="000A5259">
        <w:t xml:space="preserve"> </w:t>
      </w:r>
    </w:p>
  </w:footnote>
  <w:footnote w:id="105">
    <w:p w14:paraId="5D5C6400" w14:textId="77777777" w:rsidR="00816046" w:rsidRPr="009644CB" w:rsidRDefault="00816046" w:rsidP="00816046">
      <w:pPr>
        <w:spacing w:line="240" w:lineRule="auto"/>
        <w:rPr>
          <w:sz w:val="20"/>
          <w:szCs w:val="20"/>
        </w:rPr>
      </w:pPr>
      <w:r>
        <w:rPr>
          <w:rStyle w:val="FootnoteReference"/>
        </w:rPr>
        <w:footnoteRef/>
      </w:r>
      <w:r>
        <w:t xml:space="preserve"> </w:t>
      </w:r>
      <w:r w:rsidRPr="009644CB">
        <w:rPr>
          <w:sz w:val="20"/>
          <w:szCs w:val="20"/>
        </w:rPr>
        <w:t>The audio recording is delivered by Dr Ronx Ikharia, a</w:t>
      </w:r>
      <w:r w:rsidRPr="009644CB">
        <w:rPr>
          <w:b/>
          <w:bCs/>
          <w:sz w:val="20"/>
          <w:szCs w:val="20"/>
        </w:rPr>
        <w:t xml:space="preserve"> </w:t>
      </w:r>
      <w:r w:rsidRPr="009644CB">
        <w:rPr>
          <w:sz w:val="20"/>
          <w:szCs w:val="20"/>
        </w:rPr>
        <w:t xml:space="preserve">trans non-binary emergency medicine doctor, who interviews Valentino Vecchietti, </w:t>
      </w:r>
      <w:r>
        <w:rPr>
          <w:sz w:val="20"/>
          <w:szCs w:val="20"/>
        </w:rPr>
        <w:t>the</w:t>
      </w:r>
      <w:r w:rsidRPr="009644CB">
        <w:rPr>
          <w:sz w:val="20"/>
          <w:szCs w:val="20"/>
        </w:rPr>
        <w:t xml:space="preserve"> intersex activist who designed the new Pride flag in 2021. Vecchietti comments on the statue cast: “what is important to note is that we have always existed. The intersex community has always existed in culture and it’s wonderful to see us represented with Hermaphroditus. This is an important historical piece for the intersex community to feel seen in history.”</w:t>
      </w:r>
      <w:r>
        <w:rPr>
          <w:sz w:val="20"/>
          <w:szCs w:val="20"/>
        </w:rPr>
        <w:t xml:space="preserve"> </w:t>
      </w:r>
    </w:p>
    <w:p w14:paraId="3C75400C" w14:textId="77777777" w:rsidR="00816046" w:rsidRDefault="00816046" w:rsidP="00816046">
      <w:pPr>
        <w:pStyle w:val="FootnoteText"/>
      </w:pPr>
    </w:p>
  </w:footnote>
  <w:footnote w:id="106">
    <w:p w14:paraId="24DC9BAC" w14:textId="018D379F" w:rsidR="00FA08CA" w:rsidRDefault="00FA08CA">
      <w:pPr>
        <w:pStyle w:val="FootnoteText"/>
      </w:pPr>
      <w:r>
        <w:rPr>
          <w:rStyle w:val="FootnoteReference"/>
        </w:rPr>
        <w:footnoteRef/>
      </w:r>
      <w:r>
        <w:t xml:space="preserve"> Perry </w:t>
      </w:r>
      <w:r w:rsidR="00570136">
        <w:t>and Krasny (2022, p.3)</w:t>
      </w:r>
    </w:p>
  </w:footnote>
  <w:footnote w:id="107">
    <w:p w14:paraId="729A5C37" w14:textId="219B8456" w:rsidR="00E4201B" w:rsidRDefault="00E4201B">
      <w:pPr>
        <w:pStyle w:val="FootnoteText"/>
      </w:pPr>
      <w:r>
        <w:rPr>
          <w:rStyle w:val="FootnoteReference"/>
        </w:rPr>
        <w:footnoteRef/>
      </w:r>
      <w:r>
        <w:t xml:space="preserve"> Perry </w:t>
      </w:r>
      <w:r w:rsidR="00570136">
        <w:t xml:space="preserve">and Krasny (2022, p. 7) </w:t>
      </w:r>
    </w:p>
  </w:footnote>
  <w:footnote w:id="108">
    <w:p w14:paraId="0ED25624" w14:textId="6630AC36" w:rsidR="00E4201B" w:rsidRDefault="00E4201B">
      <w:pPr>
        <w:pStyle w:val="FootnoteText"/>
      </w:pPr>
      <w:r>
        <w:rPr>
          <w:rStyle w:val="FootnoteReference"/>
        </w:rPr>
        <w:footnoteRef/>
      </w:r>
      <w:r>
        <w:t xml:space="preserve"> Perry and Krasny make a similar argument in relation to the power and potential of museum captions. “</w:t>
      </w:r>
      <w:proofErr w:type="gramStart"/>
      <w:r>
        <w:t>the</w:t>
      </w:r>
      <w:proofErr w:type="gramEnd"/>
      <w:r>
        <w:t xml:space="preserve"> caption offers the key to sanctioned knowledge … as it gives the definitive and short explanation of their significance and meaning. Very often … the caption conceals the social implications, power injustices, hurtfulness and trauma of what is shown by focussing on formal analysis … and, at the same time shares structures of concealment characteristic to societal structures of patriarchy aimed at rendering invisible sexual crimes.” </w:t>
      </w:r>
      <w:r w:rsidR="00570136">
        <w:t>Perry and Krasny (2022, p.7)</w:t>
      </w:r>
    </w:p>
  </w:footnote>
  <w:footnote w:id="109">
    <w:p w14:paraId="52827B36" w14:textId="5FD1DD15" w:rsidR="00BF58DF" w:rsidRPr="00637426" w:rsidRDefault="00BF58DF" w:rsidP="00335AE4">
      <w:pPr>
        <w:pStyle w:val="FootnoteText"/>
      </w:pPr>
      <w:r>
        <w:rPr>
          <w:rStyle w:val="FootnoteReference"/>
        </w:rPr>
        <w:footnoteRef/>
      </w:r>
      <w:r>
        <w:t xml:space="preserve"> </w:t>
      </w:r>
      <w:r w:rsidRPr="00637426">
        <w:t xml:space="preserve">Clark-Smith, B. (2010) ‘A woman’s audience: a case study of applied feminist theories’, in Levin, A. K. (ed.) </w:t>
      </w:r>
      <w:r w:rsidRPr="00637426">
        <w:rPr>
          <w:i/>
          <w:iCs/>
        </w:rPr>
        <w:t>Gender, sexuality, and museums: a Routledge reader</w:t>
      </w:r>
      <w:r w:rsidRPr="00637426">
        <w:t>. London: Routledge, p.67. Clark-Smith goes on to argue “I contest the claim that the material of which an object is made – metal, plastic, wood, fabric, paper – is more basic to its nature than the social and cultural meanings that men and women have given that object” (Clark-Smith (2020, p.67-68)</w:t>
      </w:r>
    </w:p>
  </w:footnote>
  <w:footnote w:id="110">
    <w:p w14:paraId="141072F9" w14:textId="28A984F0" w:rsidR="000E2BD3" w:rsidRPr="00637426" w:rsidRDefault="000E2BD3" w:rsidP="00335AE4">
      <w:pPr>
        <w:spacing w:after="0"/>
        <w:rPr>
          <w:sz w:val="20"/>
          <w:szCs w:val="20"/>
        </w:rPr>
      </w:pPr>
      <w:r w:rsidRPr="00637426">
        <w:rPr>
          <w:rStyle w:val="FootnoteReference"/>
          <w:sz w:val="20"/>
          <w:szCs w:val="20"/>
        </w:rPr>
        <w:footnoteRef/>
      </w:r>
      <w:r w:rsidRPr="00637426">
        <w:rPr>
          <w:sz w:val="20"/>
          <w:szCs w:val="20"/>
        </w:rPr>
        <w:t xml:space="preserve"> </w:t>
      </w:r>
      <w:r w:rsidR="00570136" w:rsidRPr="00637426">
        <w:rPr>
          <w:sz w:val="20"/>
          <w:szCs w:val="20"/>
        </w:rPr>
        <w:t xml:space="preserve">Bristol Museums (n.d.) Available at: </w:t>
      </w:r>
      <w:hyperlink r:id="rId15" w:tgtFrame="_new" w:history="1">
        <w:r w:rsidR="00570136" w:rsidRPr="00637426">
          <w:rPr>
            <w:rStyle w:val="Hyperlink"/>
            <w:sz w:val="20"/>
            <w:szCs w:val="20"/>
          </w:rPr>
          <w:t>https://www.bristolmuseums.org.uk/</w:t>
        </w:r>
      </w:hyperlink>
      <w:r w:rsidR="00570136" w:rsidRPr="00637426">
        <w:rPr>
          <w:sz w:val="20"/>
          <w:szCs w:val="20"/>
        </w:rPr>
        <w:t xml:space="preserve"> (Accessed: 13 April 2026)</w:t>
      </w:r>
    </w:p>
  </w:footnote>
  <w:footnote w:id="111">
    <w:p w14:paraId="72D0AF35" w14:textId="52388D02" w:rsidR="00937C22" w:rsidRDefault="00937C22" w:rsidP="00335AE4">
      <w:pPr>
        <w:pStyle w:val="FootnoteText"/>
      </w:pPr>
      <w:r w:rsidRPr="00637426">
        <w:rPr>
          <w:rStyle w:val="FootnoteReference"/>
        </w:rPr>
        <w:footnoteRef/>
      </w:r>
      <w:r w:rsidRPr="00637426">
        <w:t xml:space="preserve"> </w:t>
      </w:r>
      <w:r w:rsidR="009C37AA" w:rsidRPr="00637426">
        <w:t xml:space="preserve">Rice, S. and Casey, B. (2025) </w:t>
      </w:r>
      <w:r w:rsidR="009C37AA" w:rsidRPr="00637426">
        <w:rPr>
          <w:i/>
          <w:iCs/>
        </w:rPr>
        <w:t>Art, healing and museums: Exploring museum-based art psychotherapy practices with a focus on the No Words programme at the National Gallery of Ireland</w:t>
      </w:r>
      <w:r w:rsidR="009C37AA" w:rsidRPr="00637426">
        <w:t>. Berlin: NEMO - The Network of European Museum Organisations. Available at</w:t>
      </w:r>
      <w:hyperlink r:id="rId16" w:history="1">
        <w:r w:rsidR="009C37AA" w:rsidRPr="00637426">
          <w:rPr>
            <w:rStyle w:val="Hyperlink"/>
          </w:rPr>
          <w:t>: https://www.ne-mo.org/news-events/article/new-nemo-publication-explores-museum-based-art-psychotherapy-and-healing/</w:t>
        </w:r>
      </w:hyperlink>
      <w:r w:rsidR="009C37AA" w:rsidRPr="009C37AA">
        <w:t xml:space="preserve"> (Accessed: </w:t>
      </w:r>
      <w:r w:rsidR="009C37AA">
        <w:t>4</w:t>
      </w:r>
      <w:r w:rsidR="009C37AA" w:rsidRPr="009C37AA">
        <w:t xml:space="preserve"> June 2026).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52AB8"/>
    <w:multiLevelType w:val="hybridMultilevel"/>
    <w:tmpl w:val="D82CAAE8"/>
    <w:lvl w:ilvl="0" w:tplc="B686BA54">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B06F8"/>
    <w:multiLevelType w:val="hybridMultilevel"/>
    <w:tmpl w:val="F2E28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5303E1"/>
    <w:multiLevelType w:val="hybridMultilevel"/>
    <w:tmpl w:val="A8A69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A973EF"/>
    <w:multiLevelType w:val="multilevel"/>
    <w:tmpl w:val="E99CC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014FC9"/>
    <w:multiLevelType w:val="multilevel"/>
    <w:tmpl w:val="10806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F9640B"/>
    <w:multiLevelType w:val="hybridMultilevel"/>
    <w:tmpl w:val="9586E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3E41E2"/>
    <w:multiLevelType w:val="multilevel"/>
    <w:tmpl w:val="7DC43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4606795"/>
    <w:multiLevelType w:val="multilevel"/>
    <w:tmpl w:val="295C2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E794EFE"/>
    <w:multiLevelType w:val="multilevel"/>
    <w:tmpl w:val="38E40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6404609">
    <w:abstractNumId w:val="2"/>
  </w:num>
  <w:num w:numId="2" w16cid:durableId="374236672">
    <w:abstractNumId w:val="0"/>
  </w:num>
  <w:num w:numId="3" w16cid:durableId="1876889716">
    <w:abstractNumId w:val="5"/>
  </w:num>
  <w:num w:numId="4" w16cid:durableId="1586257118">
    <w:abstractNumId w:val="4"/>
  </w:num>
  <w:num w:numId="5" w16cid:durableId="615719808">
    <w:abstractNumId w:val="8"/>
  </w:num>
  <w:num w:numId="6" w16cid:durableId="1559903882">
    <w:abstractNumId w:val="7"/>
  </w:num>
  <w:num w:numId="7" w16cid:durableId="1486778514">
    <w:abstractNumId w:val="6"/>
  </w:num>
  <w:num w:numId="8" w16cid:durableId="928344973">
    <w:abstractNumId w:val="3"/>
  </w:num>
  <w:num w:numId="9" w16cid:durableId="937061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D74"/>
    <w:rsid w:val="00033672"/>
    <w:rsid w:val="00035F16"/>
    <w:rsid w:val="00047396"/>
    <w:rsid w:val="000552CD"/>
    <w:rsid w:val="000765CD"/>
    <w:rsid w:val="000765F0"/>
    <w:rsid w:val="000942A0"/>
    <w:rsid w:val="000B75F8"/>
    <w:rsid w:val="000C10A4"/>
    <w:rsid w:val="000C2E39"/>
    <w:rsid w:val="000C6248"/>
    <w:rsid w:val="000D25C0"/>
    <w:rsid w:val="000D7FD6"/>
    <w:rsid w:val="000E2BD3"/>
    <w:rsid w:val="000E71DE"/>
    <w:rsid w:val="000F68AA"/>
    <w:rsid w:val="001003FD"/>
    <w:rsid w:val="00103649"/>
    <w:rsid w:val="00120294"/>
    <w:rsid w:val="001243F2"/>
    <w:rsid w:val="001303D1"/>
    <w:rsid w:val="0017284E"/>
    <w:rsid w:val="0017319C"/>
    <w:rsid w:val="001753E3"/>
    <w:rsid w:val="0017615E"/>
    <w:rsid w:val="00184796"/>
    <w:rsid w:val="00186634"/>
    <w:rsid w:val="001A26ED"/>
    <w:rsid w:val="001B6167"/>
    <w:rsid w:val="001B7698"/>
    <w:rsid w:val="001C2CD9"/>
    <w:rsid w:val="001D55B6"/>
    <w:rsid w:val="001E45A4"/>
    <w:rsid w:val="00201F86"/>
    <w:rsid w:val="00204EA7"/>
    <w:rsid w:val="00241B53"/>
    <w:rsid w:val="002476A1"/>
    <w:rsid w:val="00250B17"/>
    <w:rsid w:val="00267EBB"/>
    <w:rsid w:val="002900CC"/>
    <w:rsid w:val="00292DA0"/>
    <w:rsid w:val="00294F11"/>
    <w:rsid w:val="002956EE"/>
    <w:rsid w:val="002964AC"/>
    <w:rsid w:val="002C3F48"/>
    <w:rsid w:val="002E62F9"/>
    <w:rsid w:val="002E6BBB"/>
    <w:rsid w:val="002F5B8E"/>
    <w:rsid w:val="00303526"/>
    <w:rsid w:val="00305C39"/>
    <w:rsid w:val="003126AF"/>
    <w:rsid w:val="00316460"/>
    <w:rsid w:val="00320D74"/>
    <w:rsid w:val="00323E1C"/>
    <w:rsid w:val="00330ADB"/>
    <w:rsid w:val="00335AE4"/>
    <w:rsid w:val="00344A14"/>
    <w:rsid w:val="00355437"/>
    <w:rsid w:val="00356568"/>
    <w:rsid w:val="003568B1"/>
    <w:rsid w:val="00365477"/>
    <w:rsid w:val="00370182"/>
    <w:rsid w:val="0038030F"/>
    <w:rsid w:val="0038788B"/>
    <w:rsid w:val="003A54F6"/>
    <w:rsid w:val="003C7878"/>
    <w:rsid w:val="003F16D7"/>
    <w:rsid w:val="003F340C"/>
    <w:rsid w:val="003F46EB"/>
    <w:rsid w:val="003F6916"/>
    <w:rsid w:val="004032DC"/>
    <w:rsid w:val="00412B7D"/>
    <w:rsid w:val="00423EBC"/>
    <w:rsid w:val="00467A57"/>
    <w:rsid w:val="004702A5"/>
    <w:rsid w:val="00471685"/>
    <w:rsid w:val="00471A96"/>
    <w:rsid w:val="00472F80"/>
    <w:rsid w:val="00493BC8"/>
    <w:rsid w:val="0049500E"/>
    <w:rsid w:val="00495AC7"/>
    <w:rsid w:val="00496530"/>
    <w:rsid w:val="004A0D45"/>
    <w:rsid w:val="004B683C"/>
    <w:rsid w:val="004D5B54"/>
    <w:rsid w:val="004E6050"/>
    <w:rsid w:val="004F0E15"/>
    <w:rsid w:val="005005B0"/>
    <w:rsid w:val="005106DA"/>
    <w:rsid w:val="0051241A"/>
    <w:rsid w:val="00517DB2"/>
    <w:rsid w:val="005226C1"/>
    <w:rsid w:val="005306A2"/>
    <w:rsid w:val="005320A3"/>
    <w:rsid w:val="00532338"/>
    <w:rsid w:val="00536C87"/>
    <w:rsid w:val="00557092"/>
    <w:rsid w:val="00570136"/>
    <w:rsid w:val="00577020"/>
    <w:rsid w:val="00582EEA"/>
    <w:rsid w:val="005836F1"/>
    <w:rsid w:val="005A0B06"/>
    <w:rsid w:val="005A71F6"/>
    <w:rsid w:val="005C3CFE"/>
    <w:rsid w:val="005C7FA7"/>
    <w:rsid w:val="005E0E98"/>
    <w:rsid w:val="00607C15"/>
    <w:rsid w:val="00611308"/>
    <w:rsid w:val="0061382A"/>
    <w:rsid w:val="006202BE"/>
    <w:rsid w:val="00626CA2"/>
    <w:rsid w:val="0062778D"/>
    <w:rsid w:val="00637426"/>
    <w:rsid w:val="0063794F"/>
    <w:rsid w:val="00646499"/>
    <w:rsid w:val="006560B8"/>
    <w:rsid w:val="00673B1D"/>
    <w:rsid w:val="00687710"/>
    <w:rsid w:val="006A69F4"/>
    <w:rsid w:val="006A7D8B"/>
    <w:rsid w:val="006B137F"/>
    <w:rsid w:val="006B2B32"/>
    <w:rsid w:val="006B7442"/>
    <w:rsid w:val="006C048E"/>
    <w:rsid w:val="006E73E3"/>
    <w:rsid w:val="006F1053"/>
    <w:rsid w:val="006F3A8F"/>
    <w:rsid w:val="006F5317"/>
    <w:rsid w:val="00700772"/>
    <w:rsid w:val="0071240D"/>
    <w:rsid w:val="0071302C"/>
    <w:rsid w:val="00713076"/>
    <w:rsid w:val="007153E1"/>
    <w:rsid w:val="007441AF"/>
    <w:rsid w:val="00751140"/>
    <w:rsid w:val="00753B6F"/>
    <w:rsid w:val="007751A6"/>
    <w:rsid w:val="00784905"/>
    <w:rsid w:val="0078532A"/>
    <w:rsid w:val="007A20B3"/>
    <w:rsid w:val="007A3901"/>
    <w:rsid w:val="007A44EE"/>
    <w:rsid w:val="007B00BA"/>
    <w:rsid w:val="007B56A6"/>
    <w:rsid w:val="007B5BDF"/>
    <w:rsid w:val="007E748D"/>
    <w:rsid w:val="00800020"/>
    <w:rsid w:val="00803CB2"/>
    <w:rsid w:val="00805156"/>
    <w:rsid w:val="00810A60"/>
    <w:rsid w:val="00816046"/>
    <w:rsid w:val="0081637A"/>
    <w:rsid w:val="00822857"/>
    <w:rsid w:val="00853E32"/>
    <w:rsid w:val="0085711C"/>
    <w:rsid w:val="00866DF4"/>
    <w:rsid w:val="00871E1F"/>
    <w:rsid w:val="00876DD8"/>
    <w:rsid w:val="00877832"/>
    <w:rsid w:val="00885EE4"/>
    <w:rsid w:val="008860FC"/>
    <w:rsid w:val="008865D9"/>
    <w:rsid w:val="008B0049"/>
    <w:rsid w:val="008C0233"/>
    <w:rsid w:val="008C39F5"/>
    <w:rsid w:val="008C679B"/>
    <w:rsid w:val="008E504D"/>
    <w:rsid w:val="008F25D2"/>
    <w:rsid w:val="008F312A"/>
    <w:rsid w:val="008F78DF"/>
    <w:rsid w:val="00901173"/>
    <w:rsid w:val="009013A9"/>
    <w:rsid w:val="00920743"/>
    <w:rsid w:val="00932B35"/>
    <w:rsid w:val="00936576"/>
    <w:rsid w:val="00937C22"/>
    <w:rsid w:val="00944B00"/>
    <w:rsid w:val="009536B5"/>
    <w:rsid w:val="00953B23"/>
    <w:rsid w:val="009542BC"/>
    <w:rsid w:val="009607F1"/>
    <w:rsid w:val="0098121C"/>
    <w:rsid w:val="0098407A"/>
    <w:rsid w:val="009900AF"/>
    <w:rsid w:val="009A0344"/>
    <w:rsid w:val="009A066D"/>
    <w:rsid w:val="009A5301"/>
    <w:rsid w:val="009A7370"/>
    <w:rsid w:val="009B0019"/>
    <w:rsid w:val="009B0237"/>
    <w:rsid w:val="009C056A"/>
    <w:rsid w:val="009C1644"/>
    <w:rsid w:val="009C1D09"/>
    <w:rsid w:val="009C229E"/>
    <w:rsid w:val="009C37AA"/>
    <w:rsid w:val="009C49CC"/>
    <w:rsid w:val="009D45B7"/>
    <w:rsid w:val="009D5DA1"/>
    <w:rsid w:val="009E77C7"/>
    <w:rsid w:val="009F4C97"/>
    <w:rsid w:val="009F7EA9"/>
    <w:rsid w:val="00A11099"/>
    <w:rsid w:val="00A2541C"/>
    <w:rsid w:val="00A35CAC"/>
    <w:rsid w:val="00A46B53"/>
    <w:rsid w:val="00A54C3E"/>
    <w:rsid w:val="00A56A26"/>
    <w:rsid w:val="00A60FC5"/>
    <w:rsid w:val="00A6239C"/>
    <w:rsid w:val="00A62F87"/>
    <w:rsid w:val="00A81A34"/>
    <w:rsid w:val="00A84715"/>
    <w:rsid w:val="00A85075"/>
    <w:rsid w:val="00A95355"/>
    <w:rsid w:val="00AB2F9A"/>
    <w:rsid w:val="00AC5480"/>
    <w:rsid w:val="00AE1BCF"/>
    <w:rsid w:val="00AF472F"/>
    <w:rsid w:val="00B13825"/>
    <w:rsid w:val="00B275C5"/>
    <w:rsid w:val="00B363E7"/>
    <w:rsid w:val="00B3766B"/>
    <w:rsid w:val="00B57A0F"/>
    <w:rsid w:val="00B7744E"/>
    <w:rsid w:val="00B94ECE"/>
    <w:rsid w:val="00BB5842"/>
    <w:rsid w:val="00BB6A26"/>
    <w:rsid w:val="00BD478F"/>
    <w:rsid w:val="00BE211D"/>
    <w:rsid w:val="00BE54E8"/>
    <w:rsid w:val="00BE5816"/>
    <w:rsid w:val="00BF4A7B"/>
    <w:rsid w:val="00BF58DF"/>
    <w:rsid w:val="00C06BD4"/>
    <w:rsid w:val="00C1724A"/>
    <w:rsid w:val="00C206DC"/>
    <w:rsid w:val="00C24E31"/>
    <w:rsid w:val="00C2741B"/>
    <w:rsid w:val="00C31DA0"/>
    <w:rsid w:val="00C65D95"/>
    <w:rsid w:val="00C73E2F"/>
    <w:rsid w:val="00C76B94"/>
    <w:rsid w:val="00C77A87"/>
    <w:rsid w:val="00C83E44"/>
    <w:rsid w:val="00CA2F96"/>
    <w:rsid w:val="00CA300D"/>
    <w:rsid w:val="00CB133B"/>
    <w:rsid w:val="00CD20DC"/>
    <w:rsid w:val="00CF0D54"/>
    <w:rsid w:val="00CF4280"/>
    <w:rsid w:val="00D012B7"/>
    <w:rsid w:val="00D06485"/>
    <w:rsid w:val="00D11BC9"/>
    <w:rsid w:val="00D14B3F"/>
    <w:rsid w:val="00D21574"/>
    <w:rsid w:val="00D271F4"/>
    <w:rsid w:val="00D61D76"/>
    <w:rsid w:val="00D64861"/>
    <w:rsid w:val="00D65395"/>
    <w:rsid w:val="00D7455E"/>
    <w:rsid w:val="00D80C39"/>
    <w:rsid w:val="00D832E3"/>
    <w:rsid w:val="00DA6B33"/>
    <w:rsid w:val="00DC21DB"/>
    <w:rsid w:val="00DE2FA8"/>
    <w:rsid w:val="00DF3E28"/>
    <w:rsid w:val="00E07919"/>
    <w:rsid w:val="00E21963"/>
    <w:rsid w:val="00E4201B"/>
    <w:rsid w:val="00E5539F"/>
    <w:rsid w:val="00E70994"/>
    <w:rsid w:val="00E70C38"/>
    <w:rsid w:val="00E73BC6"/>
    <w:rsid w:val="00E7557C"/>
    <w:rsid w:val="00E75FC4"/>
    <w:rsid w:val="00E85637"/>
    <w:rsid w:val="00EA5FD5"/>
    <w:rsid w:val="00EB5E03"/>
    <w:rsid w:val="00EC5825"/>
    <w:rsid w:val="00F2025A"/>
    <w:rsid w:val="00F365C0"/>
    <w:rsid w:val="00F41AEC"/>
    <w:rsid w:val="00F47F82"/>
    <w:rsid w:val="00F52DA0"/>
    <w:rsid w:val="00F55A0C"/>
    <w:rsid w:val="00F56E55"/>
    <w:rsid w:val="00F642B0"/>
    <w:rsid w:val="00F655E0"/>
    <w:rsid w:val="00F75E14"/>
    <w:rsid w:val="00F938AB"/>
    <w:rsid w:val="00F96D7B"/>
    <w:rsid w:val="00FA08CA"/>
    <w:rsid w:val="00FA30EE"/>
    <w:rsid w:val="00FA54BD"/>
    <w:rsid w:val="00FB6B02"/>
    <w:rsid w:val="00FC2485"/>
    <w:rsid w:val="00FC6B41"/>
    <w:rsid w:val="00FE075D"/>
    <w:rsid w:val="00FE0D1B"/>
    <w:rsid w:val="00FE6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9A1FD0"/>
  <w15:chartTrackingRefBased/>
  <w15:docId w15:val="{DBD9E965-DBC0-4C50-9339-D72F113D7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320D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0D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320D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0D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0D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0D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0D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0D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0D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20D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0D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320D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0D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0D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0D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D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D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D74"/>
    <w:rPr>
      <w:rFonts w:eastAsiaTheme="majorEastAsia" w:cstheme="majorBidi"/>
      <w:color w:val="272727" w:themeColor="text1" w:themeTint="D8"/>
    </w:rPr>
  </w:style>
  <w:style w:type="paragraph" w:styleId="Title">
    <w:name w:val="Title"/>
    <w:basedOn w:val="Normal"/>
    <w:next w:val="Normal"/>
    <w:link w:val="TitleChar"/>
    <w:uiPriority w:val="10"/>
    <w:qFormat/>
    <w:rsid w:val="00320D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D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D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D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D74"/>
    <w:pPr>
      <w:spacing w:before="160"/>
      <w:jc w:val="center"/>
    </w:pPr>
    <w:rPr>
      <w:i/>
      <w:iCs/>
      <w:color w:val="404040" w:themeColor="text1" w:themeTint="BF"/>
    </w:rPr>
  </w:style>
  <w:style w:type="character" w:customStyle="1" w:styleId="QuoteChar">
    <w:name w:val="Quote Char"/>
    <w:basedOn w:val="DefaultParagraphFont"/>
    <w:link w:val="Quote"/>
    <w:uiPriority w:val="29"/>
    <w:rsid w:val="00320D74"/>
    <w:rPr>
      <w:i/>
      <w:iCs/>
      <w:color w:val="404040" w:themeColor="text1" w:themeTint="BF"/>
    </w:rPr>
  </w:style>
  <w:style w:type="paragraph" w:styleId="ListParagraph">
    <w:name w:val="List Paragraph"/>
    <w:basedOn w:val="Normal"/>
    <w:uiPriority w:val="34"/>
    <w:qFormat/>
    <w:rsid w:val="00320D74"/>
    <w:pPr>
      <w:ind w:left="720"/>
      <w:contextualSpacing/>
    </w:pPr>
  </w:style>
  <w:style w:type="character" w:styleId="IntenseEmphasis">
    <w:name w:val="Intense Emphasis"/>
    <w:basedOn w:val="DefaultParagraphFont"/>
    <w:uiPriority w:val="21"/>
    <w:qFormat/>
    <w:rsid w:val="00320D74"/>
    <w:rPr>
      <w:i/>
      <w:iCs/>
      <w:color w:val="0F4761" w:themeColor="accent1" w:themeShade="BF"/>
    </w:rPr>
  </w:style>
  <w:style w:type="paragraph" w:styleId="IntenseQuote">
    <w:name w:val="Intense Quote"/>
    <w:basedOn w:val="Normal"/>
    <w:next w:val="Normal"/>
    <w:link w:val="IntenseQuoteChar"/>
    <w:uiPriority w:val="30"/>
    <w:qFormat/>
    <w:rsid w:val="00320D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0D74"/>
    <w:rPr>
      <w:i/>
      <w:iCs/>
      <w:color w:val="0F4761" w:themeColor="accent1" w:themeShade="BF"/>
    </w:rPr>
  </w:style>
  <w:style w:type="character" w:styleId="IntenseReference">
    <w:name w:val="Intense Reference"/>
    <w:basedOn w:val="DefaultParagraphFont"/>
    <w:uiPriority w:val="32"/>
    <w:qFormat/>
    <w:rsid w:val="00320D74"/>
    <w:rPr>
      <w:b/>
      <w:bCs/>
      <w:smallCaps/>
      <w:color w:val="0F4761" w:themeColor="accent1" w:themeShade="BF"/>
      <w:spacing w:val="5"/>
    </w:rPr>
  </w:style>
  <w:style w:type="paragraph" w:styleId="FootnoteText">
    <w:name w:val="footnote text"/>
    <w:basedOn w:val="Normal"/>
    <w:link w:val="FootnoteTextChar"/>
    <w:uiPriority w:val="99"/>
    <w:unhideWhenUsed/>
    <w:rsid w:val="001303D1"/>
    <w:pPr>
      <w:spacing w:after="0" w:line="240" w:lineRule="auto"/>
    </w:pPr>
    <w:rPr>
      <w:sz w:val="20"/>
      <w:szCs w:val="20"/>
    </w:rPr>
  </w:style>
  <w:style w:type="character" w:customStyle="1" w:styleId="FootnoteTextChar">
    <w:name w:val="Footnote Text Char"/>
    <w:basedOn w:val="DefaultParagraphFont"/>
    <w:link w:val="FootnoteText"/>
    <w:uiPriority w:val="99"/>
    <w:rsid w:val="001303D1"/>
    <w:rPr>
      <w:sz w:val="20"/>
      <w:szCs w:val="20"/>
    </w:rPr>
  </w:style>
  <w:style w:type="character" w:styleId="FootnoteReference">
    <w:name w:val="footnote reference"/>
    <w:basedOn w:val="DefaultParagraphFont"/>
    <w:uiPriority w:val="99"/>
    <w:semiHidden/>
    <w:unhideWhenUsed/>
    <w:rsid w:val="001303D1"/>
    <w:rPr>
      <w:vertAlign w:val="superscript"/>
    </w:rPr>
  </w:style>
  <w:style w:type="character" w:styleId="Hyperlink">
    <w:name w:val="Hyperlink"/>
    <w:basedOn w:val="DefaultParagraphFont"/>
    <w:uiPriority w:val="99"/>
    <w:unhideWhenUsed/>
    <w:rsid w:val="001303D1"/>
    <w:rPr>
      <w:color w:val="467886" w:themeColor="hyperlink"/>
      <w:u w:val="single"/>
    </w:rPr>
  </w:style>
  <w:style w:type="character" w:styleId="UnresolvedMention">
    <w:name w:val="Unresolved Mention"/>
    <w:basedOn w:val="DefaultParagraphFont"/>
    <w:uiPriority w:val="99"/>
    <w:semiHidden/>
    <w:unhideWhenUsed/>
    <w:rsid w:val="001303D1"/>
    <w:rPr>
      <w:color w:val="605E5C"/>
      <w:shd w:val="clear" w:color="auto" w:fill="E1DFDD"/>
    </w:rPr>
  </w:style>
  <w:style w:type="character" w:styleId="CommentReference">
    <w:name w:val="annotation reference"/>
    <w:basedOn w:val="DefaultParagraphFont"/>
    <w:uiPriority w:val="99"/>
    <w:semiHidden/>
    <w:unhideWhenUsed/>
    <w:rsid w:val="00A54C3E"/>
    <w:rPr>
      <w:sz w:val="16"/>
      <w:szCs w:val="16"/>
    </w:rPr>
  </w:style>
  <w:style w:type="paragraph" w:styleId="CommentText">
    <w:name w:val="annotation text"/>
    <w:basedOn w:val="Normal"/>
    <w:link w:val="CommentTextChar"/>
    <w:uiPriority w:val="99"/>
    <w:unhideWhenUsed/>
    <w:rsid w:val="00A54C3E"/>
    <w:pPr>
      <w:spacing w:line="240" w:lineRule="auto"/>
    </w:pPr>
    <w:rPr>
      <w:sz w:val="20"/>
      <w:szCs w:val="20"/>
    </w:rPr>
  </w:style>
  <w:style w:type="character" w:customStyle="1" w:styleId="CommentTextChar">
    <w:name w:val="Comment Text Char"/>
    <w:basedOn w:val="DefaultParagraphFont"/>
    <w:link w:val="CommentText"/>
    <w:uiPriority w:val="99"/>
    <w:rsid w:val="00A54C3E"/>
    <w:rPr>
      <w:sz w:val="20"/>
      <w:szCs w:val="20"/>
    </w:rPr>
  </w:style>
  <w:style w:type="paragraph" w:styleId="CommentSubject">
    <w:name w:val="annotation subject"/>
    <w:basedOn w:val="CommentText"/>
    <w:next w:val="CommentText"/>
    <w:link w:val="CommentSubjectChar"/>
    <w:uiPriority w:val="99"/>
    <w:semiHidden/>
    <w:unhideWhenUsed/>
    <w:rsid w:val="00A54C3E"/>
    <w:rPr>
      <w:b/>
      <w:bCs/>
    </w:rPr>
  </w:style>
  <w:style w:type="character" w:customStyle="1" w:styleId="CommentSubjectChar">
    <w:name w:val="Comment Subject Char"/>
    <w:basedOn w:val="CommentTextChar"/>
    <w:link w:val="CommentSubject"/>
    <w:uiPriority w:val="99"/>
    <w:semiHidden/>
    <w:rsid w:val="00A54C3E"/>
    <w:rPr>
      <w:b/>
      <w:bCs/>
      <w:sz w:val="20"/>
      <w:szCs w:val="20"/>
    </w:rPr>
  </w:style>
  <w:style w:type="paragraph" w:styleId="Revision">
    <w:name w:val="Revision"/>
    <w:hidden/>
    <w:uiPriority w:val="99"/>
    <w:semiHidden/>
    <w:rsid w:val="008C0233"/>
    <w:pPr>
      <w:spacing w:after="0" w:line="240" w:lineRule="auto"/>
    </w:pPr>
  </w:style>
  <w:style w:type="character" w:styleId="FollowedHyperlink">
    <w:name w:val="FollowedHyperlink"/>
    <w:basedOn w:val="DefaultParagraphFont"/>
    <w:uiPriority w:val="99"/>
    <w:semiHidden/>
    <w:unhideWhenUsed/>
    <w:rsid w:val="001D55B6"/>
    <w:rPr>
      <w:color w:val="96607D" w:themeColor="followedHyperlink"/>
      <w:u w:val="single"/>
    </w:rPr>
  </w:style>
  <w:style w:type="table" w:styleId="TableGrid">
    <w:name w:val="Table Grid"/>
    <w:basedOn w:val="TableNormal"/>
    <w:uiPriority w:val="39"/>
    <w:rsid w:val="00B27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2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485"/>
  </w:style>
  <w:style w:type="paragraph" w:styleId="Footer">
    <w:name w:val="footer"/>
    <w:basedOn w:val="Normal"/>
    <w:link w:val="FooterChar"/>
    <w:uiPriority w:val="99"/>
    <w:unhideWhenUsed/>
    <w:rsid w:val="00FC24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485"/>
  </w:style>
  <w:style w:type="paragraph" w:styleId="NormalWeb">
    <w:name w:val="Normal (Web)"/>
    <w:basedOn w:val="Normal"/>
    <w:unhideWhenUsed/>
    <w:rsid w:val="009F4C9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emaeldegalerie.skd.museum/en/exhibitions/gemaeldegalerie-alte-meister-old-masters-picture-gallery-and-skulpturensammlung-sculpture-collection-up-to-1800/%23c47214" TargetMode="External"/><Relationship Id="rId18" Type="http://schemas.openxmlformats.org/officeDocument/2006/relationships/hyperlink" Target="https://www.academia.edu/32689922/Verkehrte_Welt_Bronzene_Symplegma_Statuette_in_R_von_den_Hoff_J_A_Dickmann_Hrsg_Ansichtssache_Antike_Skulpturengruppen_im_Raum_Ausstellungskatalog_Freiburg_2017_232_235%20" TargetMode="External"/><Relationship Id="rId26" Type="http://schemas.openxmlformats.org/officeDocument/2006/relationships/hyperlink" Target="https://eprints.gold.ac.uk/id/eprint/4341/1/Sublimation+art+and+psychoanalysis%5b1%5d.pdf%20" TargetMode="External"/><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hyperlink" Target="https://www.ashmolean.org/collections-online" TargetMode="External"/><Relationship Id="rId17" Type="http://schemas.openxmlformats.org/officeDocument/2006/relationships/hyperlink" Target="https://museonazionaleromano.it/en/palazzo-massimo/the-sculpture-gallery/" TargetMode="External"/><Relationship Id="rId25" Type="http://schemas.openxmlformats.org/officeDocument/2006/relationships/hyperlink" Target="https://doi.org/10.1353/cusp.2024.a934496" TargetMode="External"/><Relationship Id="rId2" Type="http://schemas.openxmlformats.org/officeDocument/2006/relationships/numbering" Target="numbering.xml"/><Relationship Id="rId16" Type="http://schemas.openxmlformats.org/officeDocument/2006/relationships/hyperlink" Target="https://arachne.dainst.org/project/schlossfulda/search" TargetMode="External"/><Relationship Id="rId20" Type="http://schemas.openxmlformats.org/officeDocument/2006/relationships/image" Target="media/image5.jpeg"/><Relationship Id="rId29" Type="http://schemas.openxmlformats.org/officeDocument/2006/relationships/hyperlink" Target="file:///C:\Users\Lizzie-pc\Downloads\%20https\www.ne-mo.org\news-events\article\new-nemo-publication-explores-museum-based-art-psychotherapy-and-heal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journals.le.ac.uk/ojs1/index.php/mas/article/view/3275/313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vincenzodeluce.com/portfolio-item/the-sculptures-of-villa-of-poppaea-at-oplontis" TargetMode="External"/><Relationship Id="rId23" Type="http://schemas.openxmlformats.org/officeDocument/2006/relationships/hyperlink" Target="https://www.ashmolean.org/alison-woollard-statue-of-satyr-and-hermaphrodite" TargetMode="External"/><Relationship Id="rId28" Type="http://schemas.openxmlformats.org/officeDocument/2006/relationships/hyperlink" Target="https://research.brighton.ac.uk/en/publications/against-sexual-violence-in-the-museum-art-curating-and-activism/" TargetMode="External"/><Relationship Id="rId10" Type="http://schemas.openxmlformats.org/officeDocument/2006/relationships/image" Target="media/image2.png"/><Relationship Id="rId19" Type="http://schemas.openxmlformats.org/officeDocument/2006/relationships/image" Target="media/image4.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course/view.php?id=8244" TargetMode="External"/><Relationship Id="rId14" Type="http://schemas.openxmlformats.org/officeDocument/2006/relationships/hyperlink" Target="https://www.liverpoolmuseums.org.uk/artifact/statue-group-of-satyr-and-hermaphrodite" TargetMode="External"/><Relationship Id="rId22" Type="http://schemas.openxmlformats.org/officeDocument/2006/relationships/image" Target="media/image7.jpg"/><Relationship Id="rId27" Type="http://schemas.openxmlformats.org/officeDocument/2006/relationships/hyperlink" Target="https://researchonline.lse.ac.uk/id/eprint/125693/1/o-mahony-2024-curating-conflict-related-sexual-violence-museological-visibilities-at-the-imperial-war-museum.pdf" TargetMode="External"/><Relationship Id="rId30"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researchonline.lse.ac.uk/id/eprint/125693/1/o-mahony-2024-curating-conflict-related-sexual-violence-museological-visibilities-at-the-imperial-war-museum.pdf%20" TargetMode="External"/><Relationship Id="rId13" Type="http://schemas.openxmlformats.org/officeDocument/2006/relationships/hyperlink" Target="https://www.ashmolean.org/alison-woollard-statue-of-satyr-and-hermaphrodite" TargetMode="External"/><Relationship Id="rId3" Type="http://schemas.openxmlformats.org/officeDocument/2006/relationships/hyperlink" Target="https://eprints.gold.ac.uk/id/eprint/4341/1/Sublimation+art+and+psychoanalysis%5b1%5d.pdf" TargetMode="External"/><Relationship Id="rId7" Type="http://schemas.openxmlformats.org/officeDocument/2006/relationships/hyperlink" Target="https://doi.org/10.1353/cusp.2024.a934496" TargetMode="External"/><Relationship Id="rId12" Type="http://schemas.openxmlformats.org/officeDocument/2006/relationships/hyperlink" Target="https://www.ons.gov.uk/peoplepopulationandcommunity/populationandmigration/populationestimates/bulletins/populationandhouseholdestimatesenglandandwales/census2021unroundeddata" TargetMode="External"/><Relationship Id="rId2" Type="http://schemas.openxmlformats.org/officeDocument/2006/relationships/hyperlink" Target="https://vincenzodeluce.com/portfolio-item/the-sculptures-of-villa-of-poppaea-at-oplontis" TargetMode="External"/><Relationship Id="rId16" Type="http://schemas.openxmlformats.org/officeDocument/2006/relationships/hyperlink" Target="file:///C:\Users\Lizzie-pc\Downloads\%20https\www.ne-mo.org\news-events\article\new-nemo-publication-explores-museum-based-art-psychotherapy-and-healing\" TargetMode="External"/><Relationship Id="rId1" Type="http://schemas.openxmlformats.org/officeDocument/2006/relationships/hyperlink" Target="https://www.liverpoolmuseums.org.uk/artifact/statue-group-of-satyr-and-hermaphrodite" TargetMode="External"/><Relationship Id="rId6" Type="http://schemas.openxmlformats.org/officeDocument/2006/relationships/hyperlink" Target="https://journals.le.ac.uk/ojs1/index.php/mas/article/view/3275/3131" TargetMode="External"/><Relationship Id="rId11" Type="http://schemas.openxmlformats.org/officeDocument/2006/relationships/hyperlink" Target="https://pubmed.ncbi.nlm.nih.gov/12476264/" TargetMode="External"/><Relationship Id="rId5" Type="http://schemas.openxmlformats.org/officeDocument/2006/relationships/hyperlink" Target="https://research.brighton.ac.uk/en/publications/against-sexual-violence-in-the-museum-art-curating-and-activism/" TargetMode="External"/><Relationship Id="rId15" Type="http://schemas.openxmlformats.org/officeDocument/2006/relationships/hyperlink" Target="https://www.bristolmuseums.org.uk/" TargetMode="External"/><Relationship Id="rId10" Type="http://schemas.openxmlformats.org/officeDocument/2006/relationships/hyperlink" Target="https://fra.europa.eu/en/publication/2025/being-intersex-eu" TargetMode="External"/><Relationship Id="rId4" Type="http://schemas.openxmlformats.org/officeDocument/2006/relationships/hyperlink" Target="https://icom.museum/en/resources/standards-guidelines/museum-definition/" TargetMode="External"/><Relationship Id="rId9" Type="http://schemas.openxmlformats.org/officeDocument/2006/relationships/hyperlink" Target="https://www.ons.gov.uk/peoplepopulationandcommunity/crimeandjustice/articles/sexualoffencesvictimcharacteristicsenglandandwales/yearendingmarch2025" TargetMode="External"/><Relationship Id="rId14" Type="http://schemas.openxmlformats.org/officeDocument/2006/relationships/hyperlink" Target="https://app.smartify.org/eu/tours/global-history-of-ge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EB60E-4B5C-4ADB-A434-F6D231A00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53</Pages>
  <Words>16223</Words>
  <Characters>92475</Characters>
  <Application>Microsoft Office Word</Application>
  <DocSecurity>0</DocSecurity>
  <Lines>770</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Nelson</dc:creator>
  <cp:keywords/>
  <dc:description/>
  <cp:lastModifiedBy>Elizabeth Nelson</cp:lastModifiedBy>
  <cp:revision>4</cp:revision>
  <dcterms:created xsi:type="dcterms:W3CDTF">2026-06-16T10:00:00Z</dcterms:created>
  <dcterms:modified xsi:type="dcterms:W3CDTF">2026-06-16T10:09:00Z</dcterms:modified>
</cp:coreProperties>
</file>