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6F4966" w14:textId="77777777" w:rsidR="00C9109F" w:rsidRDefault="00655292">
      <w:pPr>
        <w:spacing w:before="0" w:after="0" w:line="323" w:lineRule="exact"/>
        <w:jc w:val="center"/>
        <w:rPr>
          <w:rFonts w:ascii="Arial"/>
          <w:color w:val="000000"/>
          <w:sz w:val="28"/>
        </w:rPr>
      </w:pPr>
      <w:r>
        <w:rPr>
          <w:noProof/>
        </w:rPr>
        <w:drawing>
          <wp:anchor distT="0" distB="0" distL="114300" distR="114300" simplePos="0" relativeHeight="251659264" behindDoc="1" locked="0" layoutInCell="1" allowOverlap="1" wp14:anchorId="2BA578F2" wp14:editId="061D9D7B">
            <wp:simplePos x="0" y="0"/>
            <wp:positionH relativeFrom="page">
              <wp:posOffset>901700</wp:posOffset>
            </wp:positionH>
            <wp:positionV relativeFrom="page">
              <wp:posOffset>1182370</wp:posOffset>
            </wp:positionV>
            <wp:extent cx="1835150" cy="749300"/>
            <wp:effectExtent l="0" t="0" r="0" b="0"/>
            <wp:wrapNone/>
            <wp:docPr id="3" name="_x000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_x00000"/>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1835150" cy="749300"/>
                    </a:xfrm>
                    <a:prstGeom prst="rect">
                      <a:avLst/>
                    </a:prstGeom>
                    <a:noFill/>
                  </pic:spPr>
                </pic:pic>
              </a:graphicData>
            </a:graphic>
          </wp:anchor>
        </w:drawing>
      </w:r>
      <w:bookmarkStart w:id="0" w:name="br1"/>
      <w:bookmarkEnd w:id="0"/>
      <w:r>
        <w:rPr>
          <w:rFonts w:ascii="Arial"/>
          <w:b/>
          <w:color w:val="000000"/>
          <w:sz w:val="28"/>
        </w:rPr>
        <w:t xml:space="preserve">Student </w:t>
      </w:r>
      <w:proofErr w:type="gramStart"/>
      <w:r>
        <w:rPr>
          <w:rFonts w:ascii="Arial"/>
          <w:b/>
          <w:color w:val="000000"/>
          <w:sz w:val="28"/>
        </w:rPr>
        <w:t>name</w:t>
      </w:r>
      <w:r>
        <w:rPr>
          <w:rFonts w:ascii="Arial"/>
          <w:color w:val="000000"/>
          <w:sz w:val="28"/>
        </w:rPr>
        <w:t>:</w:t>
      </w:r>
      <w:r>
        <w:rPr>
          <w:rFonts w:ascii="Arial"/>
          <w:color w:val="000000"/>
          <w:sz w:val="28"/>
          <w:lang w:val="en-GB"/>
        </w:rPr>
        <w:t>Abiodun</w:t>
      </w:r>
      <w:proofErr w:type="gramEnd"/>
      <w:r>
        <w:rPr>
          <w:rFonts w:ascii="Arial"/>
          <w:color w:val="000000"/>
          <w:sz w:val="28"/>
          <w:lang w:val="en-GB"/>
        </w:rPr>
        <w:t xml:space="preserve"> Ojekunle</w:t>
      </w:r>
    </w:p>
    <w:p w14:paraId="265FCC50" w14:textId="77777777" w:rsidR="00C9109F" w:rsidRDefault="00655292">
      <w:pPr>
        <w:spacing w:before="320" w:after="0" w:line="323" w:lineRule="exact"/>
        <w:jc w:val="center"/>
        <w:rPr>
          <w:rFonts w:ascii="Arial"/>
          <w:color w:val="000000"/>
          <w:sz w:val="28"/>
        </w:rPr>
      </w:pPr>
      <w:r>
        <w:rPr>
          <w:rFonts w:ascii="Arial"/>
          <w:b/>
          <w:color w:val="000000"/>
          <w:sz w:val="28"/>
        </w:rPr>
        <w:t>Student ID</w:t>
      </w:r>
      <w:r>
        <w:rPr>
          <w:rFonts w:ascii="Arial"/>
          <w:color w:val="000000"/>
          <w:sz w:val="28"/>
        </w:rPr>
        <w:t>:</w:t>
      </w:r>
      <w:r>
        <w:rPr>
          <w:rFonts w:ascii="Arial"/>
          <w:color w:val="000000"/>
          <w:sz w:val="28"/>
          <w:lang w:val="en-GB"/>
        </w:rPr>
        <w:t>2527750</w:t>
      </w:r>
    </w:p>
    <w:p w14:paraId="442DCF16" w14:textId="77777777" w:rsidR="00C9109F" w:rsidRDefault="00655292">
      <w:pPr>
        <w:spacing w:before="963" w:after="0" w:line="323" w:lineRule="exact"/>
        <w:jc w:val="center"/>
        <w:rPr>
          <w:rFonts w:ascii="Arial"/>
          <w:color w:val="000000"/>
          <w:sz w:val="28"/>
          <w:lang w:val="en-GB"/>
        </w:rPr>
      </w:pPr>
      <w:r>
        <w:rPr>
          <w:rFonts w:ascii="Arial"/>
          <w:b/>
          <w:color w:val="000000"/>
          <w:sz w:val="28"/>
        </w:rPr>
        <w:t xml:space="preserve">Module </w:t>
      </w:r>
      <w:proofErr w:type="gramStart"/>
      <w:r>
        <w:rPr>
          <w:rFonts w:ascii="Arial"/>
          <w:b/>
          <w:color w:val="000000"/>
          <w:sz w:val="28"/>
        </w:rPr>
        <w:t>name</w:t>
      </w:r>
      <w:r>
        <w:rPr>
          <w:rFonts w:ascii="Arial"/>
          <w:color w:val="000000"/>
          <w:sz w:val="28"/>
        </w:rPr>
        <w:t>:</w:t>
      </w:r>
      <w:r>
        <w:rPr>
          <w:rFonts w:ascii="Arial"/>
          <w:color w:val="000000"/>
          <w:sz w:val="28"/>
          <w:lang w:val="en-GB"/>
        </w:rPr>
        <w:t>INTRODUCTION</w:t>
      </w:r>
      <w:proofErr w:type="gramEnd"/>
      <w:r>
        <w:rPr>
          <w:rFonts w:ascii="Arial"/>
          <w:color w:val="000000"/>
          <w:sz w:val="28"/>
          <w:lang w:val="en-GB"/>
        </w:rPr>
        <w:t xml:space="preserve"> TO HEALTH AND SOCIAL CARE</w:t>
      </w:r>
    </w:p>
    <w:p w14:paraId="2C6E5769" w14:textId="77777777" w:rsidR="00C9109F" w:rsidRDefault="00655292">
      <w:pPr>
        <w:spacing w:before="320" w:after="0" w:line="323" w:lineRule="exact"/>
        <w:jc w:val="center"/>
        <w:rPr>
          <w:rFonts w:ascii="Arial"/>
          <w:b/>
          <w:color w:val="000000"/>
          <w:sz w:val="28"/>
          <w:lang w:val="en-GB"/>
        </w:rPr>
      </w:pPr>
      <w:r>
        <w:rPr>
          <w:rFonts w:ascii="Arial"/>
          <w:b/>
          <w:color w:val="000000"/>
          <w:sz w:val="28"/>
        </w:rPr>
        <w:t xml:space="preserve">Module </w:t>
      </w:r>
      <w:proofErr w:type="gramStart"/>
      <w:r>
        <w:rPr>
          <w:rFonts w:ascii="Arial"/>
          <w:b/>
          <w:color w:val="000000"/>
          <w:sz w:val="28"/>
        </w:rPr>
        <w:t>code</w:t>
      </w:r>
      <w:r>
        <w:rPr>
          <w:rFonts w:ascii="Arial"/>
          <w:b/>
          <w:color w:val="000000"/>
          <w:sz w:val="28"/>
          <w:lang w:val="en-GB"/>
        </w:rPr>
        <w:t>:LCHS</w:t>
      </w:r>
      <w:proofErr w:type="gramEnd"/>
      <w:r>
        <w:rPr>
          <w:rFonts w:ascii="Arial"/>
          <w:b/>
          <w:color w:val="000000"/>
          <w:sz w:val="28"/>
          <w:lang w:val="en-GB"/>
        </w:rPr>
        <w:t>4003</w:t>
      </w:r>
    </w:p>
    <w:p w14:paraId="201C1783" w14:textId="77777777" w:rsidR="00C9109F" w:rsidRDefault="00655292">
      <w:pPr>
        <w:spacing w:before="320" w:after="0" w:line="323" w:lineRule="exact"/>
        <w:jc w:val="center"/>
        <w:rPr>
          <w:rFonts w:ascii="Arial"/>
          <w:b/>
          <w:color w:val="000000"/>
          <w:sz w:val="28"/>
          <w:lang w:val="en-GB"/>
        </w:rPr>
      </w:pPr>
      <w:proofErr w:type="gramStart"/>
      <w:r>
        <w:rPr>
          <w:rFonts w:ascii="Arial"/>
          <w:color w:val="000000"/>
          <w:sz w:val="28"/>
        </w:rPr>
        <w:t>:</w:t>
      </w:r>
      <w:r>
        <w:rPr>
          <w:rFonts w:ascii="Arial"/>
          <w:b/>
          <w:color w:val="000000"/>
          <w:sz w:val="28"/>
        </w:rPr>
        <w:t>Lecturer</w:t>
      </w:r>
      <w:proofErr w:type="gramEnd"/>
      <w:r>
        <w:rPr>
          <w:rFonts w:ascii="Arial"/>
          <w:b/>
          <w:color w:val="000000"/>
          <w:sz w:val="28"/>
        </w:rPr>
        <w:t xml:space="preserve"> </w:t>
      </w:r>
      <w:proofErr w:type="gramStart"/>
      <w:r>
        <w:rPr>
          <w:rFonts w:ascii="Arial"/>
          <w:b/>
          <w:color w:val="000000"/>
          <w:sz w:val="28"/>
        </w:rPr>
        <w:t>name</w:t>
      </w:r>
      <w:r>
        <w:rPr>
          <w:rFonts w:ascii="Arial"/>
          <w:b/>
          <w:color w:val="000000"/>
          <w:sz w:val="28"/>
          <w:lang w:val="en-GB"/>
        </w:rPr>
        <w:t>:MOHAMMAD</w:t>
      </w:r>
      <w:proofErr w:type="gramEnd"/>
      <w:r>
        <w:rPr>
          <w:rFonts w:ascii="Arial"/>
          <w:b/>
          <w:color w:val="000000"/>
          <w:sz w:val="28"/>
          <w:lang w:val="en-GB"/>
        </w:rPr>
        <w:t xml:space="preserve">  ALIYU</w:t>
      </w:r>
    </w:p>
    <w:p w14:paraId="70BEB130" w14:textId="77777777" w:rsidR="00C9109F" w:rsidRDefault="00C9109F">
      <w:pPr>
        <w:spacing w:before="0" w:after="0" w:line="0" w:lineRule="atLeast"/>
        <w:jc w:val="left"/>
        <w:rPr>
          <w:rFonts w:ascii="Arial"/>
          <w:color w:val="FF0000"/>
          <w:sz w:val="2"/>
        </w:rPr>
      </w:pPr>
    </w:p>
    <w:p w14:paraId="5EA06BE8" w14:textId="77777777" w:rsidR="00C9109F" w:rsidRDefault="00655292">
      <w:pPr>
        <w:spacing w:before="0" w:after="0" w:line="0" w:lineRule="atLeast"/>
        <w:jc w:val="left"/>
        <w:sectPr w:rsidR="00C9109F">
          <w:pgSz w:w="11900" w:h="16820"/>
          <w:pgMar w:top="4232" w:right="100" w:bottom="0" w:left="1440" w:header="720" w:footer="720" w:gutter="0"/>
          <w:pgNumType w:start="1"/>
          <w:cols w:space="720"/>
          <w:docGrid w:linePitch="1"/>
        </w:sectPr>
      </w:pPr>
      <w:r>
        <w:rPr>
          <w:rFonts w:ascii="Arial"/>
          <w:color w:val="FF0000"/>
          <w:sz w:val="2"/>
        </w:rPr>
        <w:cr/>
      </w:r>
      <w:r>
        <w:rPr>
          <w:rFonts w:ascii="Arial"/>
          <w:color w:val="FF0000"/>
          <w:sz w:val="2"/>
        </w:rPr>
        <w:br w:type="page"/>
      </w:r>
    </w:p>
    <w:p w14:paraId="4B588BA8" w14:textId="77777777" w:rsidR="00C9109F" w:rsidRDefault="00655292">
      <w:pPr>
        <w:spacing w:before="0" w:after="0" w:line="323" w:lineRule="exact"/>
        <w:jc w:val="left"/>
        <w:rPr>
          <w:rFonts w:ascii="Arial"/>
          <w:b/>
          <w:color w:val="000000"/>
          <w:sz w:val="28"/>
        </w:rPr>
      </w:pPr>
      <w:bookmarkStart w:id="1" w:name="br2"/>
      <w:bookmarkEnd w:id="1"/>
      <w:r>
        <w:rPr>
          <w:rFonts w:ascii="Arial"/>
          <w:b/>
          <w:color w:val="000000"/>
          <w:sz w:val="28"/>
        </w:rPr>
        <w:lastRenderedPageBreak/>
        <w:t>Content page</w:t>
      </w:r>
    </w:p>
    <w:p w14:paraId="440323D7" w14:textId="5E765682" w:rsidR="000D0D0A" w:rsidRDefault="009D10CD">
      <w:pPr>
        <w:spacing w:before="692" w:after="0" w:line="323" w:lineRule="exact"/>
        <w:jc w:val="left"/>
        <w:rPr>
          <w:rFonts w:ascii="Arial"/>
          <w:b/>
          <w:color w:val="000000"/>
          <w:sz w:val="28"/>
        </w:rPr>
      </w:pPr>
      <w:r>
        <w:rPr>
          <w:rFonts w:ascii="Arial"/>
          <w:b/>
          <w:color w:val="000000"/>
          <w:sz w:val="28"/>
        </w:rPr>
        <w:t>Task</w:t>
      </w:r>
      <w:r w:rsidR="00655292">
        <w:rPr>
          <w:rFonts w:ascii="Arial"/>
          <w:b/>
          <w:color w:val="000000"/>
          <w:sz w:val="28"/>
        </w:rPr>
        <w:t xml:space="preserve"> 1 </w:t>
      </w:r>
      <w:r w:rsidR="00655292">
        <w:rPr>
          <w:rFonts w:ascii="Arial" w:hAnsi="Arial" w:cs="Arial"/>
          <w:b/>
          <w:color w:val="000000"/>
          <w:sz w:val="28"/>
        </w:rPr>
        <w:t>…………………………………………………………</w:t>
      </w:r>
      <w:proofErr w:type="gramStart"/>
      <w:r w:rsidR="00655292">
        <w:rPr>
          <w:rFonts w:ascii="Arial" w:hAnsi="Arial" w:cs="Arial"/>
          <w:b/>
          <w:color w:val="000000"/>
          <w:sz w:val="28"/>
        </w:rPr>
        <w:t>…..</w:t>
      </w:r>
      <w:proofErr w:type="gramEnd"/>
      <w:r w:rsidR="00655292">
        <w:rPr>
          <w:rFonts w:ascii="Arial"/>
          <w:b/>
          <w:color w:val="000000"/>
          <w:sz w:val="28"/>
        </w:rPr>
        <w:t xml:space="preserve"> page</w:t>
      </w:r>
      <w:r w:rsidR="000D0D0A">
        <w:rPr>
          <w:rFonts w:ascii="Arial"/>
          <w:b/>
          <w:color w:val="000000"/>
          <w:sz w:val="28"/>
        </w:rPr>
        <w:t xml:space="preserve">3 </w:t>
      </w:r>
    </w:p>
    <w:p w14:paraId="77F9F99A" w14:textId="0BF18C5A" w:rsidR="007C58E3" w:rsidRDefault="00AC08F4">
      <w:pPr>
        <w:spacing w:before="692" w:after="0" w:line="323" w:lineRule="exact"/>
        <w:jc w:val="left"/>
        <w:rPr>
          <w:rFonts w:ascii="Arial"/>
          <w:b/>
          <w:color w:val="000000"/>
          <w:sz w:val="28"/>
        </w:rPr>
      </w:pPr>
      <w:r>
        <w:rPr>
          <w:rFonts w:ascii="Arial"/>
          <w:b/>
          <w:color w:val="000000"/>
          <w:sz w:val="28"/>
        </w:rPr>
        <w:t xml:space="preserve">Task 2 </w:t>
      </w:r>
      <w:r>
        <w:rPr>
          <w:rFonts w:ascii="Arial"/>
          <w:b/>
          <w:color w:val="000000"/>
          <w:sz w:val="28"/>
        </w:rPr>
        <w:t>……………………………………………………………………………………</w:t>
      </w:r>
      <w:proofErr w:type="gramStart"/>
      <w:r>
        <w:rPr>
          <w:rFonts w:ascii="Arial"/>
          <w:b/>
          <w:color w:val="000000"/>
          <w:sz w:val="28"/>
        </w:rPr>
        <w:t>…</w:t>
      </w:r>
      <w:r>
        <w:rPr>
          <w:rFonts w:ascii="Arial"/>
          <w:b/>
          <w:color w:val="000000"/>
          <w:sz w:val="28"/>
        </w:rPr>
        <w:t>..</w:t>
      </w:r>
      <w:proofErr w:type="gramEnd"/>
      <w:r w:rsidR="00BE4168">
        <w:rPr>
          <w:rFonts w:ascii="Arial"/>
          <w:b/>
          <w:color w:val="000000"/>
          <w:sz w:val="28"/>
        </w:rPr>
        <w:t xml:space="preserve"> Page4</w:t>
      </w:r>
    </w:p>
    <w:p w14:paraId="4C070319" w14:textId="77777777" w:rsidR="007C58E3" w:rsidRDefault="007C58E3">
      <w:pPr>
        <w:spacing w:before="692" w:after="0" w:line="323" w:lineRule="exact"/>
        <w:jc w:val="left"/>
        <w:rPr>
          <w:rFonts w:ascii="Arial"/>
          <w:b/>
          <w:color w:val="000000"/>
          <w:sz w:val="28"/>
        </w:rPr>
      </w:pPr>
    </w:p>
    <w:p w14:paraId="002454ED" w14:textId="77777777" w:rsidR="000D0D0A" w:rsidRDefault="000D0D0A">
      <w:pPr>
        <w:spacing w:before="692" w:after="0" w:line="323" w:lineRule="exact"/>
        <w:jc w:val="left"/>
        <w:rPr>
          <w:rFonts w:ascii="Arial"/>
          <w:b/>
          <w:color w:val="000000"/>
          <w:sz w:val="28"/>
        </w:rPr>
      </w:pPr>
    </w:p>
    <w:p w14:paraId="592BEC00" w14:textId="77777777" w:rsidR="00C9109F" w:rsidRDefault="00C9109F">
      <w:pPr>
        <w:spacing w:before="0" w:after="0" w:line="0" w:lineRule="atLeast"/>
        <w:jc w:val="left"/>
        <w:rPr>
          <w:rFonts w:ascii="Arial"/>
          <w:color w:val="FF0000"/>
          <w:sz w:val="2"/>
        </w:rPr>
      </w:pPr>
    </w:p>
    <w:p w14:paraId="0509AC8C" w14:textId="54E98F24" w:rsidR="00C9109F" w:rsidRDefault="00655292">
      <w:pPr>
        <w:spacing w:before="0" w:after="0" w:line="0" w:lineRule="atLeast"/>
        <w:jc w:val="left"/>
        <w:rPr>
          <w:rFonts w:ascii="Arial"/>
          <w:color w:val="FF0000"/>
          <w:sz w:val="2"/>
        </w:rPr>
      </w:pPr>
      <w:r>
        <w:rPr>
          <w:rFonts w:ascii="Arial"/>
          <w:color w:val="FF0000"/>
          <w:sz w:val="2"/>
        </w:rPr>
        <w:cr/>
      </w:r>
      <w:r w:rsidR="009D10CD">
        <w:rPr>
          <w:rFonts w:ascii="Arial"/>
          <w:color w:val="FF0000"/>
          <w:sz w:val="2"/>
        </w:rPr>
        <w:t>T</w:t>
      </w:r>
      <w:r>
        <w:rPr>
          <w:rFonts w:ascii="Arial"/>
          <w:color w:val="FF0000"/>
          <w:sz w:val="2"/>
        </w:rPr>
        <w:br w:type="page"/>
      </w:r>
    </w:p>
    <w:p w14:paraId="5F2D2397" w14:textId="77777777" w:rsidR="00C9109F" w:rsidRDefault="00C9109F">
      <w:pPr>
        <w:pStyle w:val="NoList1"/>
        <w:sectPr w:rsidR="00C9109F">
          <w:pgSz w:w="11900" w:h="16820"/>
          <w:pgMar w:top="1431" w:right="100" w:bottom="0" w:left="1440" w:header="720" w:footer="720" w:gutter="0"/>
          <w:pgNumType w:start="1"/>
          <w:cols w:space="720"/>
          <w:docGrid w:linePitch="1"/>
        </w:sectPr>
      </w:pPr>
    </w:p>
    <w:p w14:paraId="61BB428D" w14:textId="77777777" w:rsidR="00C9109F" w:rsidRDefault="00C9109F">
      <w:pPr>
        <w:spacing w:before="0" w:after="0" w:line="0" w:lineRule="atLeast"/>
        <w:jc w:val="left"/>
        <w:rPr>
          <w:rFonts w:ascii="Arial"/>
          <w:b/>
          <w:bCs/>
          <w:color w:val="4472C4" w:themeColor="accent1"/>
          <w:sz w:val="8"/>
          <w:szCs w:val="32"/>
        </w:rPr>
      </w:pPr>
    </w:p>
    <w:p w14:paraId="67F50E3C" w14:textId="77777777" w:rsidR="00C9109F" w:rsidRDefault="00655292">
      <w:pPr>
        <w:spacing w:before="0" w:after="160" w:line="276" w:lineRule="auto"/>
        <w:rPr>
          <w:rFonts w:ascii="Times New Roman" w:eastAsia="Calibri" w:hAnsi="Times New Roman" w:cs="Times New Roman"/>
          <w:b/>
          <w:bCs/>
          <w:color w:val="4472C4" w:themeColor="accent1"/>
          <w:sz w:val="28"/>
          <w:szCs w:val="28"/>
          <w14:ligatures w14:val="none"/>
        </w:rPr>
      </w:pPr>
      <w:r>
        <w:rPr>
          <w:rFonts w:ascii="Times New Roman" w:eastAsia="Calibri" w:hAnsi="Times New Roman" w:cs="Times New Roman"/>
          <w:b/>
          <w:bCs/>
          <w:color w:val="4472C4" w:themeColor="accent1"/>
          <w:sz w:val="28"/>
          <w:szCs w:val="28"/>
          <w14:ligatures w14:val="none"/>
        </w:rPr>
        <w:t>Title: UK Ambulance Services: Delivering Emergency Care Across the United Kingdom</w:t>
      </w:r>
    </w:p>
    <w:p w14:paraId="3F300D08" w14:textId="77777777" w:rsidR="00C9109F" w:rsidRDefault="00655292">
      <w:pPr>
        <w:spacing w:before="0" w:after="160" w:line="276" w:lineRule="auto"/>
        <w:rPr>
          <w:rFonts w:ascii="Times New Roman" w:eastAsia="Calibri" w:hAnsi="Times New Roman" w:cs="Times New Roman"/>
          <w:b/>
          <w:bCs/>
          <w14:ligatures w14:val="none"/>
        </w:rPr>
      </w:pPr>
      <w:r>
        <w:rPr>
          <w:rFonts w:ascii="Times New Roman" w:eastAsia="Calibri" w:hAnsi="Times New Roman" w:cs="Times New Roman"/>
          <w:b/>
          <w:bCs/>
          <w14:ligatures w14:val="none"/>
        </w:rPr>
        <w:t>What Are Ambulance Services?</w:t>
      </w:r>
    </w:p>
    <w:p w14:paraId="3170C1B3" w14:textId="77777777" w:rsidR="00C9109F" w:rsidRDefault="00655292">
      <w:pPr>
        <w:spacing w:before="0" w:after="0" w:line="276" w:lineRule="auto"/>
        <w:rPr>
          <w:rFonts w:ascii="Times New Roman" w:eastAsia="Calibri" w:hAnsi="Times New Roman" w:cs="Times New Roman"/>
          <w:sz w:val="16"/>
          <w:szCs w:val="16"/>
          <w14:ligatures w14:val="none"/>
        </w:rPr>
      </w:pPr>
      <w:r>
        <w:rPr>
          <w:rFonts w:ascii="Times New Roman" w:eastAsia="Calibri" w:hAnsi="Times New Roman" w:cs="Times New Roman"/>
          <w:sz w:val="16"/>
          <w:szCs w:val="16"/>
          <w14:ligatures w14:val="none"/>
        </w:rPr>
        <w:t xml:space="preserve">In the United Kingdom, Ambulance services are a vital component of the health care system, delivering emergency medical care, treatment and transport to patients with urgent or life-threatening conditions. Ambulance services are run by the National Health Service (NHS) and are used to answer calls to </w:t>
      </w:r>
      <w:proofErr w:type="gramStart"/>
      <w:r>
        <w:rPr>
          <w:rFonts w:ascii="Times New Roman" w:eastAsia="Calibri" w:hAnsi="Times New Roman" w:cs="Times New Roman"/>
          <w:sz w:val="16"/>
          <w:szCs w:val="16"/>
          <w14:ligatures w14:val="none"/>
        </w:rPr>
        <w:t>the 999</w:t>
      </w:r>
      <w:proofErr w:type="gramEnd"/>
      <w:r>
        <w:rPr>
          <w:rFonts w:ascii="Times New Roman" w:eastAsia="Calibri" w:hAnsi="Times New Roman" w:cs="Times New Roman"/>
          <w:sz w:val="16"/>
          <w:szCs w:val="16"/>
          <w14:ligatures w14:val="none"/>
        </w:rPr>
        <w:t xml:space="preserve"> Service to make an immediate clinical intervention before the patient arrives at hospital. Today's ambulance services are operated by highly trained healthcare professionals who assess patients, administer treatment, and decide on the best course of treatment (Nuffield Trust, 2025).</w:t>
      </w:r>
    </w:p>
    <w:p w14:paraId="4DC3C90B" w14:textId="77777777" w:rsidR="00C9109F" w:rsidRDefault="00655292">
      <w:pPr>
        <w:spacing w:before="0" w:after="0" w:line="276" w:lineRule="auto"/>
        <w:jc w:val="left"/>
        <w:rPr>
          <w:rFonts w:ascii="Times New Roman" w:eastAsia="Calibri" w:hAnsi="Times New Roman" w:cs="Times New Roman"/>
          <w:b/>
          <w:bCs/>
          <w:sz w:val="16"/>
          <w:szCs w:val="16"/>
          <w14:ligatures w14:val="none"/>
        </w:rPr>
      </w:pPr>
      <w:r>
        <w:rPr>
          <w:rFonts w:ascii="Times New Roman" w:eastAsia="Calibri" w:hAnsi="Times New Roman" w:cs="Times New Roman"/>
          <w:sz w:val="16"/>
          <w:szCs w:val="16"/>
          <w14:ligatures w14:val="none"/>
        </w:rPr>
        <w:t xml:space="preserve">In today's world, ambulances no longer just transport patients to a hospital. They provide pre-hospital emergency care, telephone triage, community-based treatment and referrals to other health care services, where hospital admission is not necessary. This can help lessen pressure </w:t>
      </w:r>
      <w:proofErr w:type="gramStart"/>
      <w:r>
        <w:rPr>
          <w:rFonts w:ascii="Times New Roman" w:eastAsia="Calibri" w:hAnsi="Times New Roman" w:cs="Times New Roman"/>
          <w:sz w:val="16"/>
          <w:szCs w:val="16"/>
          <w14:ligatures w14:val="none"/>
        </w:rPr>
        <w:t>for</w:t>
      </w:r>
      <w:proofErr w:type="gramEnd"/>
      <w:r>
        <w:rPr>
          <w:rFonts w:ascii="Times New Roman" w:eastAsia="Calibri" w:hAnsi="Times New Roman" w:cs="Times New Roman"/>
          <w:sz w:val="16"/>
          <w:szCs w:val="16"/>
          <w14:ligatures w14:val="none"/>
        </w:rPr>
        <w:t xml:space="preserve"> the NHS EDs and ensure patients are receiving the right care as soon as possible (CQC, 2025).</w:t>
      </w:r>
      <w:r>
        <w:rPr>
          <w:rFonts w:ascii="Times New Roman" w:eastAsia="Calibri" w:hAnsi="Times New Roman" w:cs="Times New Roman"/>
          <w:noProof/>
          <w:sz w:val="16"/>
          <w:szCs w:val="16"/>
          <w14:ligatures w14:val="none"/>
        </w:rPr>
        <w:drawing>
          <wp:inline distT="0" distB="0" distL="0" distR="0" wp14:anchorId="392F28B0" wp14:editId="6138B9D5">
            <wp:extent cx="4591050" cy="1371600"/>
            <wp:effectExtent l="0" t="0" r="0" b="0"/>
            <wp:docPr id="14537179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717941" name="Picture 1"/>
                    <pic:cNvPicPr>
                      <a:picLocks noChangeAspect="1"/>
                    </pic:cNvPicPr>
                  </pic:nvPicPr>
                  <pic:blipFill>
                    <a:blip r:embed="rId7" cstate="print"/>
                    <a:stretch>
                      <a:fillRect/>
                    </a:stretch>
                  </pic:blipFill>
                  <pic:spPr>
                    <a:xfrm>
                      <a:off x="0" y="0"/>
                      <a:ext cx="4591050" cy="1371600"/>
                    </a:xfrm>
                    <a:prstGeom prst="rect">
                      <a:avLst/>
                    </a:prstGeom>
                  </pic:spPr>
                </pic:pic>
              </a:graphicData>
            </a:graphic>
          </wp:inline>
        </w:drawing>
      </w:r>
    </w:p>
    <w:p w14:paraId="6B047CBE" w14:textId="77777777" w:rsidR="00C9109F" w:rsidRDefault="00655292">
      <w:pPr>
        <w:spacing w:before="0" w:after="160" w:line="276" w:lineRule="auto"/>
        <w:rPr>
          <w:rFonts w:ascii="Times New Roman" w:eastAsia="Calibri" w:hAnsi="Times New Roman" w:cs="Times New Roman"/>
          <w:b/>
          <w:bCs/>
          <w14:ligatures w14:val="none"/>
        </w:rPr>
      </w:pPr>
      <w:r>
        <w:rPr>
          <w:rFonts w:ascii="Times New Roman" w:eastAsia="Calibri" w:hAnsi="Times New Roman" w:cs="Times New Roman"/>
          <w:b/>
          <w:bCs/>
          <w14:ligatures w14:val="none"/>
        </w:rPr>
        <w:t>Brief History of UK Ambulance Services</w:t>
      </w:r>
    </w:p>
    <w:p w14:paraId="26326562" w14:textId="77777777" w:rsidR="00C9109F" w:rsidRDefault="00655292">
      <w:pPr>
        <w:spacing w:before="0" w:after="160" w:line="276" w:lineRule="auto"/>
        <w:rPr>
          <w:rFonts w:ascii="Times New Roman" w:eastAsia="Calibri" w:hAnsi="Times New Roman" w:cs="Times New Roman"/>
          <w:sz w:val="16"/>
          <w:szCs w:val="16"/>
          <w14:ligatures w14:val="none"/>
        </w:rPr>
      </w:pPr>
      <w:r>
        <w:rPr>
          <w:rFonts w:ascii="Times New Roman" w:eastAsia="Calibri" w:hAnsi="Times New Roman" w:cs="Times New Roman"/>
          <w:sz w:val="16"/>
          <w:szCs w:val="16"/>
          <w14:ligatures w14:val="none"/>
        </w:rPr>
        <w:t xml:space="preserve">Ambulance services in the UK first appeared in the late 19th century when horse-drawn ambulances were used to carry injured people. Early provision of the ambulance was mainly for the transport of patients without providing any medical treatment. Much in the twentieth century has changed since the days of the horse-drawn ambulance, as medical, communication, and vehicle technology </w:t>
      </w:r>
      <w:proofErr w:type="gramStart"/>
      <w:r>
        <w:rPr>
          <w:rFonts w:ascii="Times New Roman" w:eastAsia="Calibri" w:hAnsi="Times New Roman" w:cs="Times New Roman"/>
          <w:sz w:val="16"/>
          <w:szCs w:val="16"/>
          <w14:ligatures w14:val="none"/>
        </w:rPr>
        <w:t>has</w:t>
      </w:r>
      <w:proofErr w:type="gramEnd"/>
      <w:r>
        <w:rPr>
          <w:rFonts w:ascii="Times New Roman" w:eastAsia="Calibri" w:hAnsi="Times New Roman" w:cs="Times New Roman"/>
          <w:sz w:val="16"/>
          <w:szCs w:val="16"/>
          <w14:ligatures w14:val="none"/>
        </w:rPr>
        <w:t xml:space="preserve"> evolved and enhanced emergency response.</w:t>
      </w:r>
    </w:p>
    <w:p w14:paraId="76682ADA" w14:textId="1886916E" w:rsidR="00C9109F" w:rsidRDefault="00655292">
      <w:pPr>
        <w:spacing w:before="0" w:after="160" w:line="276" w:lineRule="auto"/>
        <w:rPr>
          <w:rFonts w:ascii="Times New Roman" w:eastAsia="Calibri" w:hAnsi="Times New Roman" w:cs="Times New Roman"/>
          <w:sz w:val="16"/>
          <w:szCs w:val="16"/>
          <w14:ligatures w14:val="none"/>
        </w:rPr>
      </w:pPr>
      <w:r>
        <w:rPr>
          <w:rFonts w:ascii="Times New Roman" w:eastAsia="Calibri" w:hAnsi="Times New Roman" w:cs="Times New Roman"/>
          <w:sz w:val="16"/>
          <w:szCs w:val="16"/>
          <w14:ligatures w14:val="none"/>
        </w:rPr>
        <w:t xml:space="preserve">This changed significantly in 1948 when the NHS was </w:t>
      </w:r>
      <w:proofErr w:type="gramStart"/>
      <w:r>
        <w:rPr>
          <w:rFonts w:ascii="Times New Roman" w:eastAsia="Calibri" w:hAnsi="Times New Roman" w:cs="Times New Roman"/>
          <w:sz w:val="16"/>
          <w:szCs w:val="16"/>
          <w14:ligatures w14:val="none"/>
        </w:rPr>
        <w:t>established</w:t>
      </w:r>
      <w:proofErr w:type="gramEnd"/>
      <w:r>
        <w:rPr>
          <w:rFonts w:ascii="Times New Roman" w:eastAsia="Calibri" w:hAnsi="Times New Roman" w:cs="Times New Roman"/>
          <w:sz w:val="16"/>
          <w:szCs w:val="16"/>
          <w14:ligatures w14:val="none"/>
        </w:rPr>
        <w:t xml:space="preserve"> and ambulance services were integrated into the national healthcare system. In the 1970s and 1980s, the job of ambulance personnel grew significantly </w:t>
      </w:r>
      <w:proofErr w:type="gramStart"/>
      <w:r>
        <w:rPr>
          <w:rFonts w:ascii="Times New Roman" w:eastAsia="Calibri" w:hAnsi="Times New Roman" w:cs="Times New Roman"/>
          <w:sz w:val="16"/>
          <w:szCs w:val="16"/>
          <w14:ligatures w14:val="none"/>
        </w:rPr>
        <w:t>as a result of</w:t>
      </w:r>
      <w:proofErr w:type="gramEnd"/>
      <w:r>
        <w:rPr>
          <w:rFonts w:ascii="Times New Roman" w:eastAsia="Calibri" w:hAnsi="Times New Roman" w:cs="Times New Roman"/>
          <w:sz w:val="16"/>
          <w:szCs w:val="16"/>
          <w14:ligatures w14:val="none"/>
        </w:rPr>
        <w:t xml:space="preserve"> the growth of paramedic training </w:t>
      </w:r>
      <w:proofErr w:type="gramStart"/>
      <w:r w:rsidR="00370B98">
        <w:rPr>
          <w:rFonts w:ascii="Times New Roman" w:eastAsia="Calibri" w:hAnsi="Times New Roman" w:cs="Times New Roman"/>
          <w:sz w:val="16"/>
          <w:szCs w:val="16"/>
          <w14:ligatures w14:val="none"/>
        </w:rPr>
        <w:t>programmed</w:t>
      </w:r>
      <w:r>
        <w:rPr>
          <w:rFonts w:ascii="Times New Roman" w:eastAsia="Calibri" w:hAnsi="Times New Roman" w:cs="Times New Roman"/>
          <w:sz w:val="16"/>
          <w:szCs w:val="16"/>
          <w14:ligatures w14:val="none"/>
        </w:rPr>
        <w:t>.(</w:t>
      </w:r>
      <w:proofErr w:type="gramEnd"/>
      <w:r>
        <w:rPr>
          <w:rFonts w:ascii="Times New Roman" w:eastAsia="Calibri" w:hAnsi="Times New Roman" w:cs="Times New Roman"/>
          <w:sz w:val="16"/>
          <w:szCs w:val="16"/>
          <w14:ligatures w14:val="none"/>
        </w:rPr>
        <w:t>Nuffield Trust, 2025).</w:t>
      </w:r>
    </w:p>
    <w:p w14:paraId="1540EDA0" w14:textId="77777777" w:rsidR="00C9109F" w:rsidRDefault="00655292">
      <w:pPr>
        <w:spacing w:before="0" w:after="160" w:line="276" w:lineRule="auto"/>
        <w:rPr>
          <w:rFonts w:ascii="Times New Roman" w:eastAsia="Calibri" w:hAnsi="Times New Roman" w:cs="Times New Roman"/>
          <w:sz w:val="16"/>
          <w:szCs w:val="16"/>
          <w14:ligatures w14:val="none"/>
        </w:rPr>
      </w:pPr>
      <w:r>
        <w:rPr>
          <w:rFonts w:ascii="Times New Roman" w:eastAsia="Calibri" w:hAnsi="Times New Roman" w:cs="Times New Roman"/>
          <w:sz w:val="16"/>
          <w:szCs w:val="16"/>
          <w14:ligatures w14:val="none"/>
        </w:rPr>
        <w:t xml:space="preserve">Ambulance services have continued to develop in recent decades with the implementation of digital communication technologies, specialist response teams, electronic patient records and systems to support clinical decision making. All of this has changed the nature of ambulance services </w:t>
      </w:r>
      <w:proofErr w:type="gramStart"/>
      <w:r>
        <w:rPr>
          <w:rFonts w:ascii="Times New Roman" w:eastAsia="Calibri" w:hAnsi="Times New Roman" w:cs="Times New Roman"/>
          <w:sz w:val="16"/>
          <w:szCs w:val="16"/>
          <w14:ligatures w14:val="none"/>
        </w:rPr>
        <w:t>to</w:t>
      </w:r>
      <w:proofErr w:type="gramEnd"/>
      <w:r>
        <w:rPr>
          <w:rFonts w:ascii="Times New Roman" w:eastAsia="Calibri" w:hAnsi="Times New Roman" w:cs="Times New Roman"/>
          <w:sz w:val="16"/>
          <w:szCs w:val="16"/>
          <w14:ligatures w14:val="none"/>
        </w:rPr>
        <w:t xml:space="preserve"> highly skilled suppliers of emergency and urgent health care services.</w:t>
      </w:r>
    </w:p>
    <w:p w14:paraId="76E8D37C" w14:textId="77777777" w:rsidR="00C9109F" w:rsidRDefault="00655292">
      <w:pPr>
        <w:spacing w:before="0" w:after="160" w:line="276" w:lineRule="auto"/>
        <w:rPr>
          <w:rFonts w:ascii="Times New Roman" w:eastAsia="Calibri" w:hAnsi="Times New Roman" w:cs="Times New Roman"/>
          <w:sz w:val="14"/>
          <w:szCs w:val="14"/>
          <w14:ligatures w14:val="none"/>
        </w:rPr>
      </w:pPr>
      <w:r>
        <w:rPr>
          <w:rFonts w:ascii="Times New Roman" w:eastAsia="Calibri" w:hAnsi="Times New Roman" w:cs="Times New Roman"/>
          <w:noProof/>
          <w:sz w:val="14"/>
          <w:szCs w:val="14"/>
          <w14:ligatures w14:val="none"/>
        </w:rPr>
        <w:drawing>
          <wp:inline distT="0" distB="0" distL="0" distR="0" wp14:anchorId="583E0EAC" wp14:editId="5FC5C4B5">
            <wp:extent cx="4057650" cy="3086100"/>
            <wp:effectExtent l="0" t="0" r="0" b="0"/>
            <wp:docPr id="2183326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332639" name="Picture 1"/>
                    <pic:cNvPicPr>
                      <a:picLocks noChangeAspect="1"/>
                    </pic:cNvPicPr>
                  </pic:nvPicPr>
                  <pic:blipFill>
                    <a:blip r:embed="rId8" cstate="print"/>
                    <a:stretch>
                      <a:fillRect/>
                    </a:stretch>
                  </pic:blipFill>
                  <pic:spPr>
                    <a:xfrm>
                      <a:off x="0" y="0"/>
                      <a:ext cx="4057650" cy="3086100"/>
                    </a:xfrm>
                    <a:prstGeom prst="rect">
                      <a:avLst/>
                    </a:prstGeom>
                  </pic:spPr>
                </pic:pic>
              </a:graphicData>
            </a:graphic>
          </wp:inline>
        </w:drawing>
      </w:r>
    </w:p>
    <w:p w14:paraId="5D063D5F" w14:textId="77777777" w:rsidR="00C9109F" w:rsidRDefault="00C9109F">
      <w:pPr>
        <w:spacing w:before="0" w:after="160" w:line="276" w:lineRule="auto"/>
        <w:rPr>
          <w:rFonts w:ascii="Times New Roman" w:eastAsia="Calibri" w:hAnsi="Times New Roman" w:cs="Times New Roman"/>
          <w:b/>
          <w:bCs/>
          <w:sz w:val="20"/>
          <w:szCs w:val="20"/>
          <w14:ligatures w14:val="none"/>
        </w:rPr>
      </w:pPr>
    </w:p>
    <w:p w14:paraId="536D5322" w14:textId="77777777" w:rsidR="00C9109F" w:rsidRDefault="00C9109F">
      <w:pPr>
        <w:spacing w:before="0" w:after="160" w:line="276" w:lineRule="auto"/>
        <w:rPr>
          <w:rFonts w:ascii="Times New Roman" w:eastAsia="Calibri" w:hAnsi="Times New Roman" w:cs="Times New Roman"/>
          <w:b/>
          <w:bCs/>
          <w:sz w:val="20"/>
          <w:szCs w:val="20"/>
          <w14:ligatures w14:val="none"/>
        </w:rPr>
      </w:pPr>
    </w:p>
    <w:p w14:paraId="241B0F3A" w14:textId="77777777" w:rsidR="00C9109F" w:rsidRDefault="00C9109F">
      <w:pPr>
        <w:spacing w:before="0" w:after="160" w:line="276" w:lineRule="auto"/>
        <w:rPr>
          <w:rFonts w:ascii="Times New Roman" w:eastAsia="Calibri" w:hAnsi="Times New Roman" w:cs="Times New Roman"/>
          <w:b/>
          <w:bCs/>
          <w:sz w:val="20"/>
          <w:szCs w:val="20"/>
          <w14:ligatures w14:val="none"/>
        </w:rPr>
      </w:pPr>
    </w:p>
    <w:p w14:paraId="3D23EFAC" w14:textId="77777777" w:rsidR="00C9109F" w:rsidRDefault="00C9109F">
      <w:pPr>
        <w:spacing w:before="0" w:after="160" w:line="276" w:lineRule="auto"/>
        <w:rPr>
          <w:rFonts w:ascii="Times New Roman" w:eastAsia="Calibri" w:hAnsi="Times New Roman" w:cs="Times New Roman"/>
          <w:b/>
          <w:bCs/>
          <w:sz w:val="20"/>
          <w:szCs w:val="20"/>
          <w14:ligatures w14:val="none"/>
        </w:rPr>
      </w:pPr>
    </w:p>
    <w:p w14:paraId="26AE7DE4" w14:textId="77777777" w:rsidR="00C9109F" w:rsidRDefault="00655292">
      <w:pPr>
        <w:spacing w:before="0" w:after="160" w:line="276" w:lineRule="auto"/>
        <w:rPr>
          <w:rFonts w:ascii="Times New Roman" w:eastAsia="Calibri" w:hAnsi="Times New Roman" w:cs="Times New Roman"/>
          <w:b/>
          <w:bCs/>
          <w:sz w:val="20"/>
          <w:szCs w:val="20"/>
          <w14:ligatures w14:val="none"/>
        </w:rPr>
      </w:pPr>
      <w:r>
        <w:rPr>
          <w:rFonts w:ascii="Times New Roman" w:eastAsia="Calibri" w:hAnsi="Times New Roman" w:cs="Times New Roman"/>
          <w:b/>
          <w:bCs/>
          <w:sz w:val="20"/>
          <w:szCs w:val="20"/>
          <w14:ligatures w14:val="none"/>
        </w:rPr>
        <w:t>Current Functioning of Ambulance Services</w:t>
      </w:r>
    </w:p>
    <w:p w14:paraId="0F205698" w14:textId="586BD2B8" w:rsidR="00C9109F" w:rsidRDefault="00655292">
      <w:pPr>
        <w:spacing w:before="0" w:after="160" w:line="276" w:lineRule="auto"/>
        <w:rPr>
          <w:rFonts w:ascii="Times New Roman" w:eastAsia="Calibri" w:hAnsi="Times New Roman" w:cs="Times New Roman"/>
          <w:sz w:val="16"/>
          <w:szCs w:val="16"/>
          <w14:ligatures w14:val="none"/>
        </w:rPr>
      </w:pPr>
      <w:r>
        <w:rPr>
          <w:rFonts w:ascii="Times New Roman" w:eastAsia="Calibri" w:hAnsi="Times New Roman" w:cs="Times New Roman"/>
          <w:sz w:val="16"/>
          <w:szCs w:val="16"/>
          <w14:ligatures w14:val="none"/>
        </w:rPr>
        <w:t xml:space="preserve">Ambulance services currently operate through several regional NHS ambulance trusts across England, Scotland, Wales, and Northern Ireland. Emergency calls received through the 999 system are </w:t>
      </w:r>
      <w:proofErr w:type="spellStart"/>
      <w:r>
        <w:rPr>
          <w:rFonts w:ascii="Times New Roman" w:eastAsia="Calibri" w:hAnsi="Times New Roman" w:cs="Times New Roman"/>
          <w:sz w:val="16"/>
          <w:szCs w:val="16"/>
          <w14:ligatures w14:val="none"/>
        </w:rPr>
        <w:t>prioritised</w:t>
      </w:r>
      <w:proofErr w:type="spellEnd"/>
      <w:r>
        <w:rPr>
          <w:rFonts w:ascii="Times New Roman" w:eastAsia="Calibri" w:hAnsi="Times New Roman" w:cs="Times New Roman"/>
          <w:sz w:val="16"/>
          <w:szCs w:val="16"/>
          <w14:ligatures w14:val="none"/>
        </w:rPr>
        <w:t xml:space="preserve"> using the Ambulance Response </w:t>
      </w:r>
      <w:r w:rsidR="002D38B1">
        <w:rPr>
          <w:rFonts w:ascii="Times New Roman" w:eastAsia="Calibri" w:hAnsi="Times New Roman" w:cs="Times New Roman"/>
          <w:sz w:val="16"/>
          <w:szCs w:val="16"/>
          <w14:ligatures w14:val="none"/>
        </w:rPr>
        <w:t>Programmed</w:t>
      </w:r>
      <w:r>
        <w:rPr>
          <w:rFonts w:ascii="Times New Roman" w:eastAsia="Calibri" w:hAnsi="Times New Roman" w:cs="Times New Roman"/>
          <w:sz w:val="16"/>
          <w:szCs w:val="16"/>
          <w14:ligatures w14:val="none"/>
        </w:rPr>
        <w:t xml:space="preserve"> (ARP), which categorises incidents according to clinical urgency.</w:t>
      </w:r>
    </w:p>
    <w:p w14:paraId="66A6B2A0" w14:textId="77777777" w:rsidR="00C9109F" w:rsidRDefault="00655292">
      <w:pPr>
        <w:spacing w:before="0" w:after="160" w:line="276" w:lineRule="auto"/>
        <w:rPr>
          <w:rFonts w:ascii="Times New Roman" w:eastAsia="Calibri" w:hAnsi="Times New Roman" w:cs="Times New Roman"/>
          <w:b/>
          <w:bCs/>
          <w:i/>
          <w:iCs/>
          <w:color w:val="F07F09"/>
          <w:sz w:val="14"/>
          <w:szCs w:val="14"/>
          <w14:ligatures w14:val="none"/>
        </w:rPr>
      </w:pPr>
      <w:r>
        <w:rPr>
          <w:rFonts w:ascii="Times New Roman" w:eastAsia="Calibri" w:hAnsi="Times New Roman" w:cs="Times New Roman"/>
          <w:b/>
          <w:bCs/>
          <w:i/>
          <w:iCs/>
          <w:color w:val="F07F09"/>
          <w:sz w:val="14"/>
          <w:szCs w:val="14"/>
          <w14:ligatures w14:val="none"/>
        </w:rPr>
        <w:t>The four categories include:</w:t>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274"/>
        <w:gridCol w:w="92"/>
        <w:gridCol w:w="5884"/>
      </w:tblGrid>
      <w:tr w:rsidR="00C9109F" w14:paraId="091C9122" w14:textId="77777777">
        <w:trPr>
          <w:tblHeader/>
          <w:tblCellSpacing w:w="15" w:type="dxa"/>
        </w:trPr>
        <w:tc>
          <w:tcPr>
            <w:tcW w:w="837" w:type="pct"/>
            <w:shd w:val="clear" w:color="auto" w:fill="D9EAD5"/>
            <w:vAlign w:val="center"/>
          </w:tcPr>
          <w:p w14:paraId="241F80D0" w14:textId="77777777" w:rsidR="00C9109F" w:rsidRDefault="00655292">
            <w:pPr>
              <w:spacing w:before="0" w:after="160" w:line="276" w:lineRule="auto"/>
              <w:rPr>
                <w:rFonts w:ascii="Times New Roman" w:eastAsia="Calibri" w:hAnsi="Times New Roman" w:cs="Times New Roman"/>
                <w:b/>
                <w:bCs/>
                <w:color w:val="000000"/>
                <w:sz w:val="14"/>
                <w:szCs w:val="14"/>
                <w14:ligatures w14:val="none"/>
              </w:rPr>
            </w:pPr>
            <w:r>
              <w:rPr>
                <w:rFonts w:ascii="Times New Roman" w:eastAsia="Calibri" w:hAnsi="Times New Roman" w:cs="Times New Roman"/>
                <w:b/>
                <w:bCs/>
                <w:color w:val="000000"/>
                <w:sz w:val="14"/>
                <w:szCs w:val="14"/>
                <w14:ligatures w14:val="none"/>
              </w:rPr>
              <w:t>Category</w:t>
            </w:r>
          </w:p>
        </w:tc>
        <w:tc>
          <w:tcPr>
            <w:tcW w:w="42" w:type="pct"/>
          </w:tcPr>
          <w:p w14:paraId="679D797C" w14:textId="77777777" w:rsidR="00C9109F" w:rsidRDefault="00C9109F">
            <w:pPr>
              <w:spacing w:before="0" w:after="160" w:line="276" w:lineRule="auto"/>
              <w:rPr>
                <w:rFonts w:ascii="Times New Roman" w:eastAsia="Calibri" w:hAnsi="Times New Roman" w:cs="Times New Roman"/>
                <w:b/>
                <w:bCs/>
                <w:color w:val="000000"/>
                <w:sz w:val="14"/>
                <w:szCs w:val="14"/>
                <w14:ligatures w14:val="none"/>
              </w:rPr>
            </w:pPr>
          </w:p>
        </w:tc>
        <w:tc>
          <w:tcPr>
            <w:tcW w:w="3980" w:type="pct"/>
            <w:shd w:val="clear" w:color="auto" w:fill="4DA4D8"/>
            <w:vAlign w:val="center"/>
          </w:tcPr>
          <w:p w14:paraId="1F4A86A8" w14:textId="77777777" w:rsidR="00C9109F" w:rsidRDefault="00655292">
            <w:pPr>
              <w:spacing w:before="0" w:after="160" w:line="276" w:lineRule="auto"/>
              <w:rPr>
                <w:rFonts w:ascii="Times New Roman" w:eastAsia="Calibri" w:hAnsi="Times New Roman" w:cs="Times New Roman"/>
                <w:b/>
                <w:bCs/>
                <w:color w:val="000000"/>
                <w:sz w:val="14"/>
                <w:szCs w:val="14"/>
                <w14:ligatures w14:val="none"/>
              </w:rPr>
            </w:pPr>
            <w:r>
              <w:rPr>
                <w:rFonts w:ascii="Times New Roman" w:eastAsia="Calibri" w:hAnsi="Times New Roman" w:cs="Times New Roman"/>
                <w:b/>
                <w:bCs/>
                <w:color w:val="000000"/>
                <w:sz w:val="14"/>
                <w:szCs w:val="14"/>
                <w14:ligatures w14:val="none"/>
              </w:rPr>
              <w:t>Description</w:t>
            </w:r>
          </w:p>
        </w:tc>
      </w:tr>
      <w:tr w:rsidR="00C9109F" w14:paraId="373866C0" w14:textId="77777777">
        <w:trPr>
          <w:tblCellSpacing w:w="15" w:type="dxa"/>
        </w:trPr>
        <w:tc>
          <w:tcPr>
            <w:tcW w:w="837" w:type="pct"/>
            <w:shd w:val="clear" w:color="auto" w:fill="D9EAD5"/>
            <w:vAlign w:val="center"/>
          </w:tcPr>
          <w:p w14:paraId="27F87E60" w14:textId="77777777" w:rsidR="00C9109F" w:rsidRDefault="00655292">
            <w:pPr>
              <w:spacing w:before="0" w:after="160" w:line="276" w:lineRule="auto"/>
              <w:rPr>
                <w:rFonts w:ascii="Times New Roman" w:eastAsia="Calibri" w:hAnsi="Times New Roman" w:cs="Times New Roman"/>
                <w:color w:val="000000"/>
                <w:sz w:val="14"/>
                <w:szCs w:val="14"/>
                <w14:ligatures w14:val="none"/>
              </w:rPr>
            </w:pPr>
            <w:r>
              <w:rPr>
                <w:rFonts w:ascii="Times New Roman" w:eastAsia="Calibri" w:hAnsi="Times New Roman" w:cs="Times New Roman"/>
                <w:color w:val="000000"/>
                <w:sz w:val="14"/>
                <w:szCs w:val="14"/>
                <w14:ligatures w14:val="none"/>
              </w:rPr>
              <w:t>Category 1</w:t>
            </w:r>
          </w:p>
        </w:tc>
        <w:tc>
          <w:tcPr>
            <w:tcW w:w="42" w:type="pct"/>
          </w:tcPr>
          <w:p w14:paraId="0314E51F" w14:textId="77777777" w:rsidR="00C9109F" w:rsidRDefault="00C9109F">
            <w:pPr>
              <w:spacing w:before="0" w:after="160" w:line="276" w:lineRule="auto"/>
              <w:rPr>
                <w:rFonts w:ascii="Times New Roman" w:eastAsia="Calibri" w:hAnsi="Times New Roman" w:cs="Times New Roman"/>
                <w:color w:val="000000"/>
                <w:sz w:val="14"/>
                <w:szCs w:val="14"/>
                <w14:ligatures w14:val="none"/>
              </w:rPr>
            </w:pPr>
          </w:p>
        </w:tc>
        <w:tc>
          <w:tcPr>
            <w:tcW w:w="3980" w:type="pct"/>
            <w:shd w:val="clear" w:color="auto" w:fill="4DA4D8"/>
            <w:vAlign w:val="center"/>
          </w:tcPr>
          <w:p w14:paraId="53A68B3C" w14:textId="77777777" w:rsidR="00C9109F" w:rsidRDefault="00655292">
            <w:pPr>
              <w:spacing w:before="0" w:after="160" w:line="276" w:lineRule="auto"/>
              <w:rPr>
                <w:rFonts w:ascii="Times New Roman" w:eastAsia="Calibri" w:hAnsi="Times New Roman" w:cs="Times New Roman"/>
                <w:color w:val="000000"/>
                <w:sz w:val="14"/>
                <w:szCs w:val="14"/>
                <w14:ligatures w14:val="none"/>
              </w:rPr>
            </w:pPr>
            <w:r>
              <w:rPr>
                <w:rFonts w:ascii="Times New Roman" w:eastAsia="Calibri" w:hAnsi="Times New Roman" w:cs="Times New Roman"/>
                <w:color w:val="000000"/>
                <w:sz w:val="14"/>
                <w:szCs w:val="14"/>
                <w14:ligatures w14:val="none"/>
              </w:rPr>
              <w:t>Life-threatening emergencies such as cardiac arrest</w:t>
            </w:r>
          </w:p>
        </w:tc>
      </w:tr>
      <w:tr w:rsidR="00C9109F" w14:paraId="53A7AD5B" w14:textId="77777777">
        <w:trPr>
          <w:tblCellSpacing w:w="15" w:type="dxa"/>
        </w:trPr>
        <w:tc>
          <w:tcPr>
            <w:tcW w:w="837" w:type="pct"/>
            <w:shd w:val="clear" w:color="auto" w:fill="D9EAD5"/>
            <w:vAlign w:val="center"/>
          </w:tcPr>
          <w:p w14:paraId="09CA9817" w14:textId="77777777" w:rsidR="00C9109F" w:rsidRDefault="00655292">
            <w:pPr>
              <w:spacing w:before="0" w:after="160" w:line="276" w:lineRule="auto"/>
              <w:rPr>
                <w:rFonts w:ascii="Times New Roman" w:eastAsia="Calibri" w:hAnsi="Times New Roman" w:cs="Times New Roman"/>
                <w:color w:val="000000"/>
                <w:sz w:val="14"/>
                <w:szCs w:val="14"/>
                <w14:ligatures w14:val="none"/>
              </w:rPr>
            </w:pPr>
            <w:r>
              <w:rPr>
                <w:rFonts w:ascii="Times New Roman" w:eastAsia="Calibri" w:hAnsi="Times New Roman" w:cs="Times New Roman"/>
                <w:color w:val="000000"/>
                <w:sz w:val="14"/>
                <w:szCs w:val="14"/>
                <w14:ligatures w14:val="none"/>
              </w:rPr>
              <w:t>Category 2</w:t>
            </w:r>
          </w:p>
        </w:tc>
        <w:tc>
          <w:tcPr>
            <w:tcW w:w="42" w:type="pct"/>
          </w:tcPr>
          <w:p w14:paraId="3C3950A5" w14:textId="77777777" w:rsidR="00C9109F" w:rsidRDefault="00C9109F">
            <w:pPr>
              <w:spacing w:before="0" w:after="160" w:line="276" w:lineRule="auto"/>
              <w:rPr>
                <w:rFonts w:ascii="Times New Roman" w:eastAsia="Calibri" w:hAnsi="Times New Roman" w:cs="Times New Roman"/>
                <w:color w:val="000000"/>
                <w:sz w:val="14"/>
                <w:szCs w:val="14"/>
                <w14:ligatures w14:val="none"/>
              </w:rPr>
            </w:pPr>
          </w:p>
        </w:tc>
        <w:tc>
          <w:tcPr>
            <w:tcW w:w="3980" w:type="pct"/>
            <w:shd w:val="clear" w:color="auto" w:fill="4DA4D8"/>
            <w:vAlign w:val="center"/>
          </w:tcPr>
          <w:p w14:paraId="7DD79CCF" w14:textId="77777777" w:rsidR="00C9109F" w:rsidRDefault="00655292">
            <w:pPr>
              <w:spacing w:before="0" w:after="160" w:line="276" w:lineRule="auto"/>
              <w:rPr>
                <w:rFonts w:ascii="Times New Roman" w:eastAsia="Calibri" w:hAnsi="Times New Roman" w:cs="Times New Roman"/>
                <w:color w:val="000000"/>
                <w:sz w:val="14"/>
                <w:szCs w:val="14"/>
                <w14:ligatures w14:val="none"/>
              </w:rPr>
            </w:pPr>
            <w:r>
              <w:rPr>
                <w:rFonts w:ascii="Times New Roman" w:eastAsia="Calibri" w:hAnsi="Times New Roman" w:cs="Times New Roman"/>
                <w:color w:val="000000"/>
                <w:sz w:val="14"/>
                <w:szCs w:val="14"/>
                <w14:ligatures w14:val="none"/>
              </w:rPr>
              <w:t>Serious emergencies including stroke and heart attack</w:t>
            </w:r>
          </w:p>
        </w:tc>
      </w:tr>
      <w:tr w:rsidR="00C9109F" w14:paraId="0A5B7725" w14:textId="77777777">
        <w:trPr>
          <w:tblCellSpacing w:w="15" w:type="dxa"/>
        </w:trPr>
        <w:tc>
          <w:tcPr>
            <w:tcW w:w="837" w:type="pct"/>
            <w:shd w:val="clear" w:color="auto" w:fill="D9EAD5"/>
            <w:vAlign w:val="center"/>
          </w:tcPr>
          <w:p w14:paraId="62B25526" w14:textId="77777777" w:rsidR="00C9109F" w:rsidRDefault="00655292">
            <w:pPr>
              <w:spacing w:before="0" w:after="160" w:line="276" w:lineRule="auto"/>
              <w:rPr>
                <w:rFonts w:ascii="Times New Roman" w:eastAsia="Calibri" w:hAnsi="Times New Roman" w:cs="Times New Roman"/>
                <w:color w:val="000000"/>
                <w:sz w:val="14"/>
                <w:szCs w:val="14"/>
                <w14:ligatures w14:val="none"/>
              </w:rPr>
            </w:pPr>
            <w:r>
              <w:rPr>
                <w:rFonts w:ascii="Times New Roman" w:eastAsia="Calibri" w:hAnsi="Times New Roman" w:cs="Times New Roman"/>
                <w:color w:val="000000"/>
                <w:sz w:val="14"/>
                <w:szCs w:val="14"/>
                <w14:ligatures w14:val="none"/>
              </w:rPr>
              <w:t>Category 3</w:t>
            </w:r>
          </w:p>
        </w:tc>
        <w:tc>
          <w:tcPr>
            <w:tcW w:w="42" w:type="pct"/>
          </w:tcPr>
          <w:p w14:paraId="6E796B84" w14:textId="77777777" w:rsidR="00C9109F" w:rsidRDefault="00C9109F">
            <w:pPr>
              <w:spacing w:before="0" w:after="160" w:line="276" w:lineRule="auto"/>
              <w:rPr>
                <w:rFonts w:ascii="Times New Roman" w:eastAsia="Calibri" w:hAnsi="Times New Roman" w:cs="Times New Roman"/>
                <w:color w:val="000000"/>
                <w:sz w:val="14"/>
                <w:szCs w:val="14"/>
                <w14:ligatures w14:val="none"/>
              </w:rPr>
            </w:pPr>
          </w:p>
        </w:tc>
        <w:tc>
          <w:tcPr>
            <w:tcW w:w="3980" w:type="pct"/>
            <w:shd w:val="clear" w:color="auto" w:fill="4DA4D8"/>
            <w:vAlign w:val="center"/>
          </w:tcPr>
          <w:p w14:paraId="431EA98E" w14:textId="77777777" w:rsidR="00C9109F" w:rsidRDefault="00655292">
            <w:pPr>
              <w:spacing w:before="0" w:after="160" w:line="276" w:lineRule="auto"/>
              <w:rPr>
                <w:rFonts w:ascii="Times New Roman" w:eastAsia="Calibri" w:hAnsi="Times New Roman" w:cs="Times New Roman"/>
                <w:color w:val="000000"/>
                <w:sz w:val="14"/>
                <w:szCs w:val="14"/>
                <w14:ligatures w14:val="none"/>
              </w:rPr>
            </w:pPr>
            <w:r>
              <w:rPr>
                <w:rFonts w:ascii="Times New Roman" w:eastAsia="Calibri" w:hAnsi="Times New Roman" w:cs="Times New Roman"/>
                <w:color w:val="000000"/>
                <w:sz w:val="14"/>
                <w:szCs w:val="14"/>
                <w14:ligatures w14:val="none"/>
              </w:rPr>
              <w:t>Urgent conditions requiring clinical assessment</w:t>
            </w:r>
          </w:p>
        </w:tc>
      </w:tr>
      <w:tr w:rsidR="00C9109F" w14:paraId="5C1A2948" w14:textId="77777777">
        <w:trPr>
          <w:tblCellSpacing w:w="15" w:type="dxa"/>
        </w:trPr>
        <w:tc>
          <w:tcPr>
            <w:tcW w:w="837" w:type="pct"/>
            <w:shd w:val="clear" w:color="auto" w:fill="D9EAD5"/>
            <w:vAlign w:val="center"/>
          </w:tcPr>
          <w:p w14:paraId="71F66FA6" w14:textId="77777777" w:rsidR="00C9109F" w:rsidRDefault="00655292">
            <w:pPr>
              <w:spacing w:before="0" w:after="160" w:line="276" w:lineRule="auto"/>
              <w:rPr>
                <w:rFonts w:ascii="Times New Roman" w:eastAsia="Calibri" w:hAnsi="Times New Roman" w:cs="Times New Roman"/>
                <w:color w:val="000000"/>
                <w:sz w:val="14"/>
                <w:szCs w:val="14"/>
                <w14:ligatures w14:val="none"/>
              </w:rPr>
            </w:pPr>
            <w:r>
              <w:rPr>
                <w:rFonts w:ascii="Times New Roman" w:eastAsia="Calibri" w:hAnsi="Times New Roman" w:cs="Times New Roman"/>
                <w:color w:val="000000"/>
                <w:sz w:val="14"/>
                <w:szCs w:val="14"/>
                <w14:ligatures w14:val="none"/>
              </w:rPr>
              <w:t>Category 4</w:t>
            </w:r>
          </w:p>
        </w:tc>
        <w:tc>
          <w:tcPr>
            <w:tcW w:w="42" w:type="pct"/>
          </w:tcPr>
          <w:p w14:paraId="16262FC3" w14:textId="77777777" w:rsidR="00C9109F" w:rsidRDefault="00C9109F">
            <w:pPr>
              <w:spacing w:before="0" w:after="160" w:line="276" w:lineRule="auto"/>
              <w:rPr>
                <w:rFonts w:ascii="Times New Roman" w:eastAsia="Calibri" w:hAnsi="Times New Roman" w:cs="Times New Roman"/>
                <w:color w:val="000000"/>
                <w:sz w:val="14"/>
                <w:szCs w:val="14"/>
                <w14:ligatures w14:val="none"/>
              </w:rPr>
            </w:pPr>
          </w:p>
        </w:tc>
        <w:tc>
          <w:tcPr>
            <w:tcW w:w="3980" w:type="pct"/>
            <w:shd w:val="clear" w:color="auto" w:fill="4DA4D8"/>
            <w:vAlign w:val="center"/>
          </w:tcPr>
          <w:p w14:paraId="52031A70" w14:textId="77777777" w:rsidR="00C9109F" w:rsidRDefault="00655292">
            <w:pPr>
              <w:spacing w:before="0" w:after="160" w:line="276" w:lineRule="auto"/>
              <w:rPr>
                <w:rFonts w:ascii="Times New Roman" w:eastAsia="Calibri" w:hAnsi="Times New Roman" w:cs="Times New Roman"/>
                <w:color w:val="000000"/>
                <w:sz w:val="14"/>
                <w:szCs w:val="14"/>
                <w14:ligatures w14:val="none"/>
              </w:rPr>
            </w:pPr>
            <w:r>
              <w:rPr>
                <w:rFonts w:ascii="Times New Roman" w:eastAsia="Calibri" w:hAnsi="Times New Roman" w:cs="Times New Roman"/>
                <w:color w:val="000000"/>
                <w:sz w:val="14"/>
                <w:szCs w:val="14"/>
                <w14:ligatures w14:val="none"/>
              </w:rPr>
              <w:t>Less urgent conditions requiring planned responses</w:t>
            </w:r>
          </w:p>
        </w:tc>
      </w:tr>
    </w:tbl>
    <w:p w14:paraId="72AE8CE4" w14:textId="77777777" w:rsidR="00C9109F" w:rsidRDefault="00655292">
      <w:pPr>
        <w:spacing w:before="0" w:after="160" w:line="276" w:lineRule="auto"/>
        <w:rPr>
          <w:rFonts w:ascii="Times New Roman" w:eastAsia="Calibri" w:hAnsi="Times New Roman" w:cs="Times New Roman"/>
          <w:sz w:val="16"/>
          <w:szCs w:val="16"/>
          <w14:ligatures w14:val="none"/>
        </w:rPr>
      </w:pPr>
      <w:r>
        <w:rPr>
          <w:rFonts w:ascii="Times New Roman" w:eastAsia="Calibri" w:hAnsi="Times New Roman" w:cs="Times New Roman"/>
          <w:sz w:val="16"/>
          <w:szCs w:val="16"/>
          <w14:ligatures w14:val="none"/>
        </w:rPr>
        <w:t xml:space="preserve">This prioritization system guarantees that patients who have the most serious illnesses get the fastest response. The Ambulance clinician gives many interventions such as cardiopulmonary resuscitation (CPR), administration of medication, trauma intervention, administration of oxygen and advanced life support. Patients can be treated at home or </w:t>
      </w:r>
      <w:proofErr w:type="gramStart"/>
      <w:r>
        <w:rPr>
          <w:rFonts w:ascii="Times New Roman" w:eastAsia="Calibri" w:hAnsi="Times New Roman" w:cs="Times New Roman"/>
          <w:sz w:val="16"/>
          <w:szCs w:val="16"/>
          <w14:ligatures w14:val="none"/>
        </w:rPr>
        <w:t>referred</w:t>
      </w:r>
      <w:proofErr w:type="gramEnd"/>
      <w:r>
        <w:rPr>
          <w:rFonts w:ascii="Times New Roman" w:eastAsia="Calibri" w:hAnsi="Times New Roman" w:cs="Times New Roman"/>
          <w:sz w:val="16"/>
          <w:szCs w:val="16"/>
          <w14:ligatures w14:val="none"/>
        </w:rPr>
        <w:t xml:space="preserve"> for community health care services rather than for transport to hospital, where appropriate (Care Quality Commission, 2025).</w:t>
      </w:r>
    </w:p>
    <w:p w14:paraId="2D5FE996" w14:textId="77777777" w:rsidR="00C9109F" w:rsidRDefault="00655292">
      <w:pPr>
        <w:spacing w:before="0" w:after="160" w:line="276" w:lineRule="auto"/>
        <w:rPr>
          <w:rFonts w:ascii="Times New Roman" w:eastAsia="Calibri" w:hAnsi="Times New Roman" w:cs="Times New Roman"/>
          <w:sz w:val="16"/>
          <w:szCs w:val="16"/>
          <w14:ligatures w14:val="none"/>
        </w:rPr>
      </w:pPr>
      <w:r>
        <w:rPr>
          <w:rFonts w:ascii="Times New Roman" w:eastAsia="Calibri" w:hAnsi="Times New Roman" w:cs="Times New Roman"/>
          <w:sz w:val="16"/>
          <w:szCs w:val="16"/>
          <w14:ligatures w14:val="none"/>
        </w:rPr>
        <w:t>Ambulance services continue to be very in-demand. The number of contacts in England answered by ambulance control rooms during 2024/25 is estimated to have risen from about 13.3 million in 2023/24. This highlights the increasing significance of ambulance services in the provision of emergency and urgent healthcare services in the country (Care Quality Commission, 2025).</w:t>
      </w:r>
      <w:r>
        <w:rPr>
          <w:rFonts w:ascii="Times New Roman" w:eastAsia="Calibri" w:hAnsi="Times New Roman" w:cs="Times New Roman"/>
          <w:noProof/>
          <w:sz w:val="16"/>
          <w:szCs w:val="16"/>
          <w14:ligatures w14:val="none"/>
        </w:rPr>
        <w:drawing>
          <wp:inline distT="0" distB="0" distL="0" distR="0" wp14:anchorId="411846FE" wp14:editId="5B68660C">
            <wp:extent cx="4067175" cy="1743075"/>
            <wp:effectExtent l="0" t="0" r="9525" b="9525"/>
            <wp:docPr id="2900118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011872" name="Picture 1"/>
                    <pic:cNvPicPr>
                      <a:picLocks noChangeAspect="1"/>
                    </pic:cNvPicPr>
                  </pic:nvPicPr>
                  <pic:blipFill>
                    <a:blip r:embed="rId9" cstate="print"/>
                    <a:stretch>
                      <a:fillRect/>
                    </a:stretch>
                  </pic:blipFill>
                  <pic:spPr>
                    <a:xfrm>
                      <a:off x="0" y="0"/>
                      <a:ext cx="4067175" cy="1743075"/>
                    </a:xfrm>
                    <a:prstGeom prst="rect">
                      <a:avLst/>
                    </a:prstGeom>
                  </pic:spPr>
                </pic:pic>
              </a:graphicData>
            </a:graphic>
          </wp:inline>
        </w:drawing>
      </w:r>
    </w:p>
    <w:p w14:paraId="5390E28D" w14:textId="77777777" w:rsidR="00C9109F" w:rsidRDefault="00655292">
      <w:pPr>
        <w:spacing w:before="0" w:after="160" w:line="276" w:lineRule="auto"/>
        <w:rPr>
          <w:rFonts w:ascii="Times New Roman" w:eastAsia="Calibri" w:hAnsi="Times New Roman" w:cs="Times New Roman"/>
          <w:b/>
          <w:bCs/>
          <w:sz w:val="20"/>
          <w:szCs w:val="20"/>
          <w14:ligatures w14:val="none"/>
        </w:rPr>
      </w:pPr>
      <w:r>
        <w:rPr>
          <w:rFonts w:ascii="Times New Roman" w:eastAsia="Calibri" w:hAnsi="Times New Roman" w:cs="Times New Roman"/>
          <w:b/>
          <w:bCs/>
          <w:sz w:val="20"/>
          <w:szCs w:val="20"/>
          <w14:ligatures w14:val="none"/>
        </w:rPr>
        <w:t>Challenge 1: Increasing Demand and Response Time Pressures</w:t>
      </w:r>
    </w:p>
    <w:p w14:paraId="78502ADD" w14:textId="77777777" w:rsidR="00C9109F" w:rsidRDefault="00655292">
      <w:pPr>
        <w:spacing w:before="0" w:after="160" w:line="276" w:lineRule="auto"/>
        <w:rPr>
          <w:rFonts w:ascii="Times New Roman" w:eastAsia="Calibri" w:hAnsi="Times New Roman" w:cs="Times New Roman"/>
          <w:sz w:val="18"/>
          <w:szCs w:val="18"/>
          <w14:ligatures w14:val="none"/>
        </w:rPr>
      </w:pPr>
      <w:r>
        <w:rPr>
          <w:rFonts w:ascii="Times New Roman" w:eastAsia="Calibri" w:hAnsi="Times New Roman" w:cs="Times New Roman"/>
          <w:sz w:val="18"/>
          <w:szCs w:val="18"/>
          <w14:ligatures w14:val="none"/>
        </w:rPr>
        <w:t>One of the most significant challenges facing UK ambulance services is the continual growth in demand. Several factors contribute to increasing demand, including population growth, an ageing population, rising prevalence of chronic illnesses, and increased use of emergency healthcare services.</w:t>
      </w:r>
    </w:p>
    <w:p w14:paraId="368952DA" w14:textId="77777777" w:rsidR="00C9109F" w:rsidRDefault="00655292">
      <w:pPr>
        <w:spacing w:before="0" w:after="160" w:line="276" w:lineRule="auto"/>
        <w:rPr>
          <w:rFonts w:ascii="Times New Roman" w:eastAsia="Calibri" w:hAnsi="Times New Roman" w:cs="Times New Roman"/>
          <w:sz w:val="18"/>
          <w:szCs w:val="18"/>
          <w14:ligatures w14:val="none"/>
        </w:rPr>
      </w:pPr>
      <w:r>
        <w:rPr>
          <w:rFonts w:ascii="Times New Roman" w:eastAsia="Calibri" w:hAnsi="Times New Roman" w:cs="Times New Roman"/>
          <w:sz w:val="18"/>
          <w:szCs w:val="18"/>
          <w14:ligatures w14:val="none"/>
        </w:rPr>
        <w:t xml:space="preserve">The Association of </w:t>
      </w:r>
      <w:proofErr w:type="gramStart"/>
      <w:r>
        <w:rPr>
          <w:rFonts w:ascii="Times New Roman" w:eastAsia="Calibri" w:hAnsi="Times New Roman" w:cs="Times New Roman"/>
          <w:sz w:val="18"/>
          <w:szCs w:val="18"/>
          <w14:ligatures w14:val="none"/>
        </w:rPr>
        <w:t>Ambulance Chief</w:t>
      </w:r>
      <w:proofErr w:type="gramEnd"/>
      <w:r>
        <w:rPr>
          <w:rFonts w:ascii="Times New Roman" w:eastAsia="Calibri" w:hAnsi="Times New Roman" w:cs="Times New Roman"/>
          <w:sz w:val="18"/>
          <w:szCs w:val="18"/>
          <w14:ligatures w14:val="none"/>
        </w:rPr>
        <w:t xml:space="preserve"> Executives (2024) indicates that NHS ambulance services attended around 8.8 million incidents in the previous year (to September 2024) up from 8.1 million in 2023. The greater the demand, the more problems that ambulance services have in meeting national response-time standards.</w:t>
      </w:r>
    </w:p>
    <w:p w14:paraId="4D3C44B2" w14:textId="77777777" w:rsidR="00C9109F" w:rsidRDefault="00655292">
      <w:pPr>
        <w:spacing w:before="0" w:after="160" w:line="276" w:lineRule="auto"/>
        <w:rPr>
          <w:rFonts w:ascii="Times New Roman" w:eastAsia="Calibri" w:hAnsi="Times New Roman" w:cs="Times New Roman"/>
          <w:sz w:val="18"/>
          <w:szCs w:val="18"/>
          <w14:ligatures w14:val="none"/>
        </w:rPr>
      </w:pPr>
      <w:r>
        <w:rPr>
          <w:rFonts w:ascii="Times New Roman" w:eastAsia="Calibri" w:hAnsi="Times New Roman" w:cs="Times New Roman"/>
          <w:sz w:val="18"/>
          <w:szCs w:val="18"/>
          <w14:ligatures w14:val="none"/>
        </w:rPr>
        <w:t xml:space="preserve">The national target response time for Category 1 incidents – cardiac arrests – is seven minutes. The average response time in 2024/25, however, was around 8 minutes and 19 seconds, and this is an area of continuing pressure (Care Quality Commission, 2025). Delayed responses can impact patient outcomes, especially situations where time is critical, such as in </w:t>
      </w:r>
      <w:proofErr w:type="gramStart"/>
      <w:r>
        <w:rPr>
          <w:rFonts w:ascii="Times New Roman" w:eastAsia="Calibri" w:hAnsi="Times New Roman" w:cs="Times New Roman"/>
          <w:sz w:val="18"/>
          <w:szCs w:val="18"/>
          <w14:ligatures w14:val="none"/>
        </w:rPr>
        <w:t>an emergency situation</w:t>
      </w:r>
      <w:proofErr w:type="gramEnd"/>
    </w:p>
    <w:p w14:paraId="1C242FCA" w14:textId="77777777" w:rsidR="00C9109F" w:rsidRDefault="00655292">
      <w:pPr>
        <w:spacing w:before="0" w:after="160" w:line="276" w:lineRule="auto"/>
        <w:rPr>
          <w:rFonts w:ascii="Times New Roman" w:eastAsia="Calibri" w:hAnsi="Times New Roman" w:cs="Times New Roman"/>
          <w:b/>
          <w:bCs/>
          <w:sz w:val="14"/>
          <w:szCs w:val="14"/>
          <w14:ligatures w14:val="none"/>
        </w:rPr>
      </w:pPr>
      <w:r>
        <w:rPr>
          <w:rFonts w:ascii="Times New Roman" w:eastAsia="Calibri" w:hAnsi="Times New Roman" w:cs="Times New Roman"/>
          <w:noProof/>
          <w:sz w:val="14"/>
          <w:szCs w:val="14"/>
          <w14:ligatures w14:val="none"/>
        </w:rPr>
        <w:drawing>
          <wp:inline distT="0" distB="0" distL="0" distR="0" wp14:anchorId="4F1FCA27" wp14:editId="119B144F">
            <wp:extent cx="4181475" cy="1590675"/>
            <wp:effectExtent l="0" t="0" r="9525" b="9525"/>
            <wp:docPr id="2184539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453990" name="Picture 1"/>
                    <pic:cNvPicPr>
                      <a:picLocks noChangeAspect="1"/>
                    </pic:cNvPicPr>
                  </pic:nvPicPr>
                  <pic:blipFill>
                    <a:blip r:embed="rId10" cstate="print"/>
                    <a:stretch>
                      <a:fillRect/>
                    </a:stretch>
                  </pic:blipFill>
                  <pic:spPr>
                    <a:xfrm>
                      <a:off x="0" y="0"/>
                      <a:ext cx="4181475" cy="1590675"/>
                    </a:xfrm>
                    <a:prstGeom prst="rect">
                      <a:avLst/>
                    </a:prstGeom>
                  </pic:spPr>
                </pic:pic>
              </a:graphicData>
            </a:graphic>
          </wp:inline>
        </w:drawing>
      </w:r>
    </w:p>
    <w:p w14:paraId="334A2B08" w14:textId="77777777" w:rsidR="00C9109F" w:rsidRDefault="00C9109F">
      <w:pPr>
        <w:spacing w:before="0" w:after="160" w:line="276" w:lineRule="auto"/>
        <w:rPr>
          <w:rFonts w:ascii="Times New Roman" w:eastAsia="Calibri" w:hAnsi="Times New Roman" w:cs="Times New Roman"/>
          <w:b/>
          <w:bCs/>
          <w14:ligatures w14:val="none"/>
        </w:rPr>
      </w:pPr>
    </w:p>
    <w:p w14:paraId="3F6192CB" w14:textId="77777777" w:rsidR="00C9109F" w:rsidRDefault="00655292">
      <w:pPr>
        <w:spacing w:before="0" w:after="160" w:line="276" w:lineRule="auto"/>
        <w:rPr>
          <w:rFonts w:ascii="Times New Roman" w:eastAsia="Calibri" w:hAnsi="Times New Roman" w:cs="Times New Roman"/>
          <w:b/>
          <w:bCs/>
          <w14:ligatures w14:val="none"/>
        </w:rPr>
      </w:pPr>
      <w:r>
        <w:rPr>
          <w:rFonts w:ascii="Times New Roman" w:eastAsia="Calibri" w:hAnsi="Times New Roman" w:cs="Times New Roman"/>
          <w:b/>
          <w:bCs/>
          <w14:ligatures w14:val="none"/>
        </w:rPr>
        <w:t>Challenge 2: Hospital Handover Delays</w:t>
      </w:r>
    </w:p>
    <w:p w14:paraId="1D495B20" w14:textId="77777777" w:rsidR="00C9109F" w:rsidRDefault="00655292">
      <w:pPr>
        <w:spacing w:before="0" w:after="160" w:line="276" w:lineRule="auto"/>
        <w:rPr>
          <w:rFonts w:ascii="Times New Roman" w:eastAsia="Calibri" w:hAnsi="Times New Roman" w:cs="Times New Roman"/>
          <w:sz w:val="14"/>
          <w:szCs w:val="14"/>
          <w14:ligatures w14:val="none"/>
        </w:rPr>
      </w:pPr>
      <w:r>
        <w:rPr>
          <w:rFonts w:ascii="Times New Roman" w:eastAsia="Calibri" w:hAnsi="Times New Roman" w:cs="Times New Roman"/>
          <w:sz w:val="14"/>
          <w:szCs w:val="14"/>
          <w14:ligatures w14:val="none"/>
        </w:rPr>
        <w:t xml:space="preserve">Another big problem is the delay in handing over the hospital. The handover is when ambulance crews pass on responsibility for a patient to hospital staff. The National </w:t>
      </w:r>
      <w:proofErr w:type="gramStart"/>
      <w:r>
        <w:rPr>
          <w:rFonts w:ascii="Times New Roman" w:eastAsia="Calibri" w:hAnsi="Times New Roman" w:cs="Times New Roman"/>
          <w:sz w:val="14"/>
          <w:szCs w:val="14"/>
          <w14:ligatures w14:val="none"/>
        </w:rPr>
        <w:t>guidance</w:t>
      </w:r>
      <w:proofErr w:type="gramEnd"/>
      <w:r>
        <w:rPr>
          <w:rFonts w:ascii="Times New Roman" w:eastAsia="Calibri" w:hAnsi="Times New Roman" w:cs="Times New Roman"/>
          <w:sz w:val="14"/>
          <w:szCs w:val="14"/>
          <w14:ligatures w14:val="none"/>
        </w:rPr>
        <w:t xml:space="preserve"> suggests that handovers should take no longer than 15 minutes. But clogged up emergency departments and lack of beds in hospitals often lead to long waits.</w:t>
      </w:r>
    </w:p>
    <w:p w14:paraId="2239AB40" w14:textId="77777777" w:rsidR="00C9109F" w:rsidRDefault="00655292">
      <w:pPr>
        <w:spacing w:before="0" w:after="160" w:line="276" w:lineRule="auto"/>
        <w:rPr>
          <w:rFonts w:ascii="Times New Roman" w:eastAsia="Calibri" w:hAnsi="Times New Roman" w:cs="Times New Roman"/>
          <w:sz w:val="14"/>
          <w:szCs w:val="14"/>
          <w14:ligatures w14:val="none"/>
        </w:rPr>
      </w:pPr>
      <w:r>
        <w:rPr>
          <w:rFonts w:ascii="Times New Roman" w:eastAsia="Calibri" w:hAnsi="Times New Roman" w:cs="Times New Roman"/>
          <w:sz w:val="14"/>
          <w:szCs w:val="14"/>
          <w14:ligatures w14:val="none"/>
        </w:rPr>
        <w:t xml:space="preserve">If ambulances are waiting outside of the hospital, then they cannot receive new calls for ambulance services. This means fewer ambulances available and delays through the health system. The Association of Ambulance Chief Executives (2024) estimated that in September 2023 - September 2024, ambulance services experienced 1.6 million hours of lost operational capability </w:t>
      </w:r>
      <w:proofErr w:type="gramStart"/>
      <w:r>
        <w:rPr>
          <w:rFonts w:ascii="Times New Roman" w:eastAsia="Calibri" w:hAnsi="Times New Roman" w:cs="Times New Roman"/>
          <w:sz w:val="14"/>
          <w:szCs w:val="14"/>
          <w14:ligatures w14:val="none"/>
        </w:rPr>
        <w:t>as a result of</w:t>
      </w:r>
      <w:proofErr w:type="gramEnd"/>
      <w:r>
        <w:rPr>
          <w:rFonts w:ascii="Times New Roman" w:eastAsia="Calibri" w:hAnsi="Times New Roman" w:cs="Times New Roman"/>
          <w:sz w:val="14"/>
          <w:szCs w:val="14"/>
          <w14:ligatures w14:val="none"/>
        </w:rPr>
        <w:t xml:space="preserve"> handover delays of more than 15 minutes.</w:t>
      </w:r>
    </w:p>
    <w:p w14:paraId="196B7AD0" w14:textId="77777777" w:rsidR="00C9109F" w:rsidRDefault="00655292">
      <w:pPr>
        <w:spacing w:before="0" w:after="160" w:line="276" w:lineRule="auto"/>
        <w:rPr>
          <w:rFonts w:ascii="Times New Roman" w:eastAsia="Calibri" w:hAnsi="Times New Roman" w:cs="Times New Roman"/>
          <w:sz w:val="14"/>
          <w:szCs w:val="14"/>
          <w14:ligatures w14:val="none"/>
        </w:rPr>
      </w:pPr>
      <w:r>
        <w:rPr>
          <w:rFonts w:ascii="Times New Roman" w:eastAsia="Calibri" w:hAnsi="Times New Roman" w:cs="Times New Roman"/>
          <w:sz w:val="14"/>
          <w:szCs w:val="14"/>
          <w14:ligatures w14:val="none"/>
        </w:rPr>
        <w:t>In addition, there is evidence that over one-quarter of handovers lasted longer than 30 minutes in 2024/25, indicating the extent of the issue (Nuffield Trust, 2026). The time delays can impact patient safety, cause higher staff stress levels and lower the general effectiveness of emergency care services.</w:t>
      </w:r>
    </w:p>
    <w:p w14:paraId="4B5338C1" w14:textId="77777777" w:rsidR="00C9109F" w:rsidRDefault="00655292">
      <w:pPr>
        <w:spacing w:before="0" w:after="160" w:line="276" w:lineRule="auto"/>
        <w:rPr>
          <w:rFonts w:ascii="Times New Roman" w:eastAsia="Calibri" w:hAnsi="Times New Roman" w:cs="Times New Roman"/>
          <w:b/>
          <w:bCs/>
          <w:color w:val="7030A0"/>
          <w:sz w:val="14"/>
          <w:szCs w:val="14"/>
          <w14:ligatures w14:val="none"/>
        </w:rPr>
      </w:pPr>
      <w:r>
        <w:rPr>
          <w:rFonts w:ascii="Times New Roman" w:eastAsia="Calibri" w:hAnsi="Times New Roman" w:cs="Times New Roman"/>
          <w:noProof/>
          <w:sz w:val="14"/>
          <w:szCs w:val="14"/>
          <w14:ligatures w14:val="none"/>
        </w:rPr>
        <w:drawing>
          <wp:inline distT="0" distB="0" distL="0" distR="0" wp14:anchorId="0566E1E3" wp14:editId="56F46401">
            <wp:extent cx="4152900" cy="1552575"/>
            <wp:effectExtent l="0" t="0" r="0" b="9525"/>
            <wp:docPr id="1618307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307890" name="Picture 1"/>
                    <pic:cNvPicPr>
                      <a:picLocks noChangeAspect="1"/>
                    </pic:cNvPicPr>
                  </pic:nvPicPr>
                  <pic:blipFill>
                    <a:blip r:embed="rId11" cstate="print"/>
                    <a:stretch>
                      <a:fillRect/>
                    </a:stretch>
                  </pic:blipFill>
                  <pic:spPr>
                    <a:xfrm>
                      <a:off x="0" y="0"/>
                      <a:ext cx="4152900" cy="1552575"/>
                    </a:xfrm>
                    <a:prstGeom prst="rect">
                      <a:avLst/>
                    </a:prstGeom>
                  </pic:spPr>
                </pic:pic>
              </a:graphicData>
            </a:graphic>
          </wp:inline>
        </w:drawing>
      </w:r>
    </w:p>
    <w:p w14:paraId="52B530FC" w14:textId="77777777" w:rsidR="00C9109F" w:rsidRDefault="00655292">
      <w:pPr>
        <w:spacing w:before="0" w:after="160" w:line="276" w:lineRule="auto"/>
        <w:rPr>
          <w:rFonts w:ascii="Times New Roman" w:eastAsia="Calibri" w:hAnsi="Times New Roman" w:cs="Times New Roman"/>
          <w:b/>
          <w:bCs/>
          <w:color w:val="7030A0"/>
          <w:sz w:val="14"/>
          <w:szCs w:val="14"/>
          <w14:ligatures w14:val="none"/>
        </w:rPr>
      </w:pPr>
      <w:r>
        <w:rPr>
          <w:rFonts w:ascii="Times New Roman" w:eastAsia="Calibri" w:hAnsi="Times New Roman" w:cs="Times New Roman"/>
          <w:b/>
          <w:bCs/>
          <w:color w:val="7030A0"/>
          <w14:ligatures w14:val="none"/>
        </w:rPr>
        <w:t>Conclusion</w:t>
      </w:r>
    </w:p>
    <w:p w14:paraId="0C250A78" w14:textId="2B6A62B6" w:rsidR="00C9109F" w:rsidRDefault="00655292">
      <w:pPr>
        <w:spacing w:before="0" w:after="160" w:line="276" w:lineRule="auto"/>
        <w:rPr>
          <w:rFonts w:ascii="Times New Roman" w:eastAsia="Calibri" w:hAnsi="Times New Roman" w:cs="Times New Roman"/>
          <w:sz w:val="14"/>
          <w:szCs w:val="14"/>
          <w14:ligatures w14:val="none"/>
        </w:rPr>
      </w:pPr>
      <w:r>
        <w:rPr>
          <w:rFonts w:ascii="Times New Roman" w:eastAsia="Calibri" w:hAnsi="Times New Roman" w:cs="Times New Roman"/>
          <w:sz w:val="14"/>
          <w:szCs w:val="14"/>
          <w14:ligatures w14:val="none"/>
        </w:rPr>
        <w:t xml:space="preserve">Ambulance services are an essential component of the UK's healthcare system, providing rapid emergency and urgent care to millions of people every year. Since their integration into the NHS in 1948, ambulance services have evolved from basic transport providers into highly skilled healthcare </w:t>
      </w:r>
      <w:r w:rsidR="004B6A75">
        <w:rPr>
          <w:rFonts w:ascii="Times New Roman" w:eastAsia="Calibri" w:hAnsi="Times New Roman" w:cs="Times New Roman"/>
          <w:sz w:val="14"/>
          <w:szCs w:val="14"/>
          <w14:ligatures w14:val="none"/>
        </w:rPr>
        <w:t>organizations</w:t>
      </w:r>
      <w:r>
        <w:rPr>
          <w:rFonts w:ascii="Times New Roman" w:eastAsia="Calibri" w:hAnsi="Times New Roman" w:cs="Times New Roman"/>
          <w:sz w:val="14"/>
          <w:szCs w:val="14"/>
          <w14:ligatures w14:val="none"/>
        </w:rPr>
        <w:t xml:space="preserve"> delivering advanced pre-hospital treatment. Despite these developments, increasing demand and hospital handover delays continue to present significant challenges. Addressing these issues is crucial to ensuring that ambulance services can continue to provide timely, effective, and high-quality care to patients across the United Kingdom.</w:t>
      </w:r>
    </w:p>
    <w:p w14:paraId="040F45AF" w14:textId="77777777" w:rsidR="00C9109F" w:rsidRDefault="00655292">
      <w:pPr>
        <w:spacing w:before="0" w:after="160" w:line="276" w:lineRule="auto"/>
        <w:rPr>
          <w:rFonts w:ascii="Times New Roman" w:eastAsia="Calibri" w:hAnsi="Times New Roman" w:cs="Times New Roman"/>
          <w:color w:val="7030A0"/>
          <w14:ligatures w14:val="none"/>
        </w:rPr>
      </w:pPr>
      <w:r>
        <w:rPr>
          <w:rFonts w:ascii="Times New Roman" w:eastAsia="Calibri" w:hAnsi="Times New Roman" w:cs="Times New Roman"/>
          <w:color w:val="7030A0"/>
          <w14:ligatures w14:val="none"/>
        </w:rPr>
        <w:t>References</w:t>
      </w:r>
    </w:p>
    <w:p w14:paraId="58F104DE" w14:textId="77777777" w:rsidR="00C9109F" w:rsidRDefault="00655292">
      <w:pPr>
        <w:spacing w:before="0" w:after="160" w:line="276" w:lineRule="auto"/>
        <w:rPr>
          <w:rFonts w:ascii="Times New Roman" w:eastAsia="Calibri" w:hAnsi="Times New Roman" w:cs="Times New Roman"/>
          <w:sz w:val="14"/>
          <w:szCs w:val="14"/>
          <w14:ligatures w14:val="none"/>
        </w:rPr>
      </w:pPr>
      <w:r>
        <w:rPr>
          <w:rFonts w:ascii="Times New Roman" w:eastAsia="Calibri" w:hAnsi="Times New Roman" w:cs="Times New Roman"/>
          <w:sz w:val="14"/>
          <w:szCs w:val="14"/>
          <w14:ligatures w14:val="none"/>
        </w:rPr>
        <w:t xml:space="preserve">Association of Ambulance Chief Executives (AACE) (2024) </w:t>
      </w:r>
      <w:r>
        <w:rPr>
          <w:rFonts w:ascii="Times New Roman" w:eastAsia="Calibri" w:hAnsi="Times New Roman" w:cs="Times New Roman"/>
          <w:i/>
          <w:iCs/>
          <w:sz w:val="14"/>
          <w:szCs w:val="14"/>
          <w14:ligatures w14:val="none"/>
        </w:rPr>
        <w:t>NHS ambulance services achieve performance improvements despite significant growth in demand and handover delays equating to 183 years of lost ambulance capacity</w:t>
      </w:r>
      <w:r>
        <w:rPr>
          <w:rFonts w:ascii="Times New Roman" w:eastAsia="Calibri" w:hAnsi="Times New Roman" w:cs="Times New Roman"/>
          <w:sz w:val="14"/>
          <w:szCs w:val="14"/>
          <w14:ligatures w14:val="none"/>
        </w:rPr>
        <w:t xml:space="preserve">. Available at: </w:t>
      </w:r>
      <w:hyperlink r:id="rId12" w:tgtFrame="_new" w:history="1">
        <w:r>
          <w:rPr>
            <w:rFonts w:ascii="Times New Roman" w:eastAsia="Calibri" w:hAnsi="Times New Roman" w:cs="Times New Roman"/>
            <w:color w:val="6B9F25"/>
            <w:sz w:val="14"/>
            <w:szCs w:val="14"/>
            <w:u w:val="single"/>
            <w14:ligatures w14:val="none"/>
          </w:rPr>
          <w:t>https://aace.org.uk</w:t>
        </w:r>
      </w:hyperlink>
      <w:r>
        <w:rPr>
          <w:rFonts w:ascii="Times New Roman" w:eastAsia="Calibri" w:hAnsi="Times New Roman" w:cs="Times New Roman"/>
          <w:sz w:val="14"/>
          <w:szCs w:val="14"/>
          <w14:ligatures w14:val="none"/>
        </w:rPr>
        <w:t xml:space="preserve"> </w:t>
      </w:r>
    </w:p>
    <w:p w14:paraId="31549EA1" w14:textId="77777777" w:rsidR="00C9109F" w:rsidRDefault="00655292">
      <w:pPr>
        <w:spacing w:before="0" w:after="160" w:line="276" w:lineRule="auto"/>
        <w:rPr>
          <w:rFonts w:ascii="Times New Roman" w:eastAsia="Calibri" w:hAnsi="Times New Roman" w:cs="Times New Roman"/>
          <w:sz w:val="14"/>
          <w:szCs w:val="14"/>
          <w14:ligatures w14:val="none"/>
        </w:rPr>
      </w:pPr>
      <w:r>
        <w:rPr>
          <w:rFonts w:ascii="Times New Roman" w:eastAsia="Calibri" w:hAnsi="Times New Roman" w:cs="Times New Roman"/>
          <w:sz w:val="14"/>
          <w:szCs w:val="14"/>
          <w14:ligatures w14:val="none"/>
        </w:rPr>
        <w:t xml:space="preserve">Care Quality Commission (CQC) (2025) </w:t>
      </w:r>
      <w:r>
        <w:rPr>
          <w:rFonts w:ascii="Times New Roman" w:eastAsia="Calibri" w:hAnsi="Times New Roman" w:cs="Times New Roman"/>
          <w:i/>
          <w:iCs/>
          <w:sz w:val="14"/>
          <w:szCs w:val="14"/>
          <w14:ligatures w14:val="none"/>
        </w:rPr>
        <w:t>The State of Health Care and Adult Social Care in England 2024/25</w:t>
      </w:r>
      <w:r>
        <w:rPr>
          <w:rFonts w:ascii="Times New Roman" w:eastAsia="Calibri" w:hAnsi="Times New Roman" w:cs="Times New Roman"/>
          <w:sz w:val="14"/>
          <w:szCs w:val="14"/>
          <w14:ligatures w14:val="none"/>
        </w:rPr>
        <w:t>. London: CQC.</w:t>
      </w:r>
    </w:p>
    <w:p w14:paraId="16564222" w14:textId="77777777" w:rsidR="00C9109F" w:rsidRDefault="00655292">
      <w:pPr>
        <w:spacing w:before="0" w:after="160" w:line="276" w:lineRule="auto"/>
        <w:rPr>
          <w:rFonts w:ascii="Times New Roman" w:eastAsia="Calibri" w:hAnsi="Times New Roman" w:cs="Times New Roman"/>
          <w:sz w:val="14"/>
          <w:szCs w:val="14"/>
          <w14:ligatures w14:val="none"/>
        </w:rPr>
      </w:pPr>
      <w:r>
        <w:rPr>
          <w:rFonts w:ascii="Times New Roman" w:eastAsia="Calibri" w:hAnsi="Times New Roman" w:cs="Times New Roman"/>
          <w:sz w:val="14"/>
          <w:szCs w:val="14"/>
          <w14:ligatures w14:val="none"/>
        </w:rPr>
        <w:t xml:space="preserve">Nuffield Trust (2025) </w:t>
      </w:r>
      <w:r>
        <w:rPr>
          <w:rFonts w:ascii="Times New Roman" w:eastAsia="Calibri" w:hAnsi="Times New Roman" w:cs="Times New Roman"/>
          <w:i/>
          <w:iCs/>
          <w:sz w:val="14"/>
          <w:szCs w:val="14"/>
          <w14:ligatures w14:val="none"/>
        </w:rPr>
        <w:t>Ambulance Response Times</w:t>
      </w:r>
      <w:r>
        <w:rPr>
          <w:rFonts w:ascii="Times New Roman" w:eastAsia="Calibri" w:hAnsi="Times New Roman" w:cs="Times New Roman"/>
          <w:sz w:val="14"/>
          <w:szCs w:val="14"/>
          <w14:ligatures w14:val="none"/>
        </w:rPr>
        <w:t xml:space="preserve">. London: Nuffield Trust. Available at: </w:t>
      </w:r>
      <w:hyperlink r:id="rId13" w:tgtFrame="_new" w:history="1">
        <w:r>
          <w:rPr>
            <w:rFonts w:ascii="Times New Roman" w:eastAsia="Calibri" w:hAnsi="Times New Roman" w:cs="Times New Roman"/>
            <w:color w:val="6B9F25"/>
            <w:sz w:val="14"/>
            <w:szCs w:val="14"/>
            <w:u w:val="single"/>
            <w14:ligatures w14:val="none"/>
          </w:rPr>
          <w:t>https://www.nuffieldtrust.org.uk</w:t>
        </w:r>
      </w:hyperlink>
      <w:r>
        <w:rPr>
          <w:rFonts w:ascii="Times New Roman" w:eastAsia="Calibri" w:hAnsi="Times New Roman" w:cs="Times New Roman"/>
          <w:sz w:val="14"/>
          <w:szCs w:val="14"/>
          <w14:ligatures w14:val="none"/>
        </w:rPr>
        <w:t xml:space="preserve"> </w:t>
      </w:r>
    </w:p>
    <w:p w14:paraId="0633DC4F" w14:textId="77777777" w:rsidR="00C9109F" w:rsidRDefault="00655292">
      <w:pPr>
        <w:spacing w:before="0" w:after="160" w:line="276" w:lineRule="auto"/>
        <w:rPr>
          <w:rFonts w:ascii="Times New Roman" w:eastAsia="Calibri" w:hAnsi="Times New Roman" w:cs="Times New Roman"/>
          <w:sz w:val="14"/>
          <w:szCs w:val="14"/>
          <w14:ligatures w14:val="none"/>
        </w:rPr>
      </w:pPr>
      <w:r>
        <w:rPr>
          <w:rFonts w:ascii="Times New Roman" w:eastAsia="Calibri" w:hAnsi="Times New Roman" w:cs="Times New Roman"/>
          <w:sz w:val="14"/>
          <w:szCs w:val="14"/>
          <w14:ligatures w14:val="none"/>
        </w:rPr>
        <w:t xml:space="preserve">Nuffield Trust (2026) </w:t>
      </w:r>
      <w:r>
        <w:rPr>
          <w:rFonts w:ascii="Times New Roman" w:eastAsia="Calibri" w:hAnsi="Times New Roman" w:cs="Times New Roman"/>
          <w:i/>
          <w:iCs/>
          <w:sz w:val="14"/>
          <w:szCs w:val="14"/>
          <w14:ligatures w14:val="none"/>
        </w:rPr>
        <w:t>Ambulance Handover Delays</w:t>
      </w:r>
      <w:r>
        <w:rPr>
          <w:rFonts w:ascii="Times New Roman" w:eastAsia="Calibri" w:hAnsi="Times New Roman" w:cs="Times New Roman"/>
          <w:sz w:val="14"/>
          <w:szCs w:val="14"/>
          <w14:ligatures w14:val="none"/>
        </w:rPr>
        <w:t xml:space="preserve">. London: Nuffield Trust. Available at: </w:t>
      </w:r>
      <w:hyperlink r:id="rId14" w:tgtFrame="_new" w:history="1">
        <w:r>
          <w:rPr>
            <w:rFonts w:ascii="Times New Roman" w:eastAsia="Calibri" w:hAnsi="Times New Roman" w:cs="Times New Roman"/>
            <w:color w:val="6B9F25"/>
            <w:sz w:val="14"/>
            <w:szCs w:val="14"/>
            <w:u w:val="single"/>
            <w14:ligatures w14:val="none"/>
          </w:rPr>
          <w:t>https://www.nuffieldtrust.org.uk</w:t>
        </w:r>
      </w:hyperlink>
      <w:r>
        <w:rPr>
          <w:rFonts w:ascii="Times New Roman" w:eastAsia="Calibri" w:hAnsi="Times New Roman" w:cs="Times New Roman"/>
          <w:sz w:val="14"/>
          <w:szCs w:val="14"/>
          <w14:ligatures w14:val="none"/>
        </w:rPr>
        <w:t xml:space="preserve"> </w:t>
      </w:r>
    </w:p>
    <w:p w14:paraId="0E9780E5" w14:textId="77777777" w:rsidR="00C9109F" w:rsidRDefault="00C9109F">
      <w:pPr>
        <w:spacing w:before="0" w:after="160" w:line="276" w:lineRule="auto"/>
        <w:rPr>
          <w:rFonts w:ascii="Times New Roman" w:eastAsia="Calibri" w:hAnsi="Times New Roman" w:cs="Times New Roman"/>
          <w:sz w:val="14"/>
          <w:szCs w:val="14"/>
          <w14:ligatures w14:val="none"/>
        </w:rPr>
      </w:pPr>
    </w:p>
    <w:p w14:paraId="65387B86" w14:textId="77777777" w:rsidR="00C9109F" w:rsidRDefault="00C9109F">
      <w:pPr>
        <w:spacing w:after="0" w:line="276" w:lineRule="auto"/>
        <w:jc w:val="left"/>
        <w:rPr>
          <w:rFonts w:ascii="Times New Roman" w:hAnsi="Times New Roman" w:cs="Times New Roman"/>
          <w:b/>
          <w:color w:val="385623"/>
        </w:rPr>
      </w:pPr>
    </w:p>
    <w:p w14:paraId="42E7B592" w14:textId="77777777" w:rsidR="00C9109F" w:rsidRDefault="00C9109F">
      <w:pPr>
        <w:spacing w:before="0" w:after="0" w:line="0" w:lineRule="atLeast"/>
        <w:jc w:val="left"/>
        <w:rPr>
          <w:rFonts w:ascii="Times New Roman" w:hAnsi="Times New Roman" w:cs="Times New Roman"/>
          <w:color w:val="FF0000"/>
          <w:sz w:val="2"/>
        </w:rPr>
      </w:pPr>
    </w:p>
    <w:p w14:paraId="4E2D7F79" w14:textId="77777777" w:rsidR="00C9109F" w:rsidRDefault="00655292">
      <w:pPr>
        <w:spacing w:before="0" w:after="0" w:line="0" w:lineRule="atLeast"/>
        <w:jc w:val="left"/>
        <w:rPr>
          <w:rFonts w:ascii="Times New Roman" w:hAnsi="Times New Roman" w:cs="Times New Roman"/>
          <w:color w:val="FF0000"/>
          <w:sz w:val="2"/>
        </w:rPr>
      </w:pPr>
      <w:r>
        <w:rPr>
          <w:rFonts w:ascii="Times New Roman" w:hAnsi="Times New Roman" w:cs="Times New Roman"/>
          <w:color w:val="FF0000"/>
          <w:sz w:val="2"/>
        </w:rPr>
        <w:cr/>
      </w:r>
      <w:r>
        <w:rPr>
          <w:rFonts w:ascii="Times New Roman" w:hAnsi="Times New Roman" w:cs="Times New Roman"/>
          <w:color w:val="FF0000"/>
          <w:sz w:val="2"/>
        </w:rPr>
        <w:br w:type="page"/>
      </w:r>
    </w:p>
    <w:p w14:paraId="42803234" w14:textId="77777777" w:rsidR="00C9109F" w:rsidRDefault="00C9109F">
      <w:pPr>
        <w:pStyle w:val="NoList1"/>
        <w:rPr>
          <w:rFonts w:ascii="Times New Roman" w:hAnsi="Times New Roman" w:cs="Times New Roman"/>
        </w:rPr>
        <w:sectPr w:rsidR="00C9109F">
          <w:pgSz w:w="23811" w:h="16838" w:orient="landscape"/>
          <w:pgMar w:top="1513" w:right="100" w:bottom="0" w:left="521" w:header="720" w:footer="720" w:gutter="0"/>
          <w:pgNumType w:start="1"/>
          <w:cols w:num="3" w:space="720"/>
          <w:docGrid w:linePitch="299"/>
        </w:sectPr>
      </w:pPr>
    </w:p>
    <w:p w14:paraId="4B12C849" w14:textId="77777777" w:rsidR="00C9109F" w:rsidRDefault="00C9109F">
      <w:pPr>
        <w:spacing w:before="0" w:after="0" w:line="0" w:lineRule="atLeast"/>
        <w:jc w:val="left"/>
        <w:rPr>
          <w:rFonts w:ascii="Times New Roman" w:hAnsi="Times New Roman" w:cs="Times New Roman"/>
          <w:color w:val="FF0000"/>
          <w:sz w:val="2"/>
        </w:rPr>
      </w:pPr>
    </w:p>
    <w:p w14:paraId="2A9A78BB" w14:textId="77777777" w:rsidR="00C9109F" w:rsidRDefault="00655292">
      <w:pPr>
        <w:spacing w:before="0" w:after="0" w:line="323" w:lineRule="exact"/>
        <w:jc w:val="left"/>
        <w:rPr>
          <w:rFonts w:ascii="Arial"/>
          <w:b/>
          <w:color w:val="000000"/>
          <w:sz w:val="28"/>
        </w:rPr>
      </w:pPr>
      <w:bookmarkStart w:id="2" w:name="br4"/>
      <w:bookmarkEnd w:id="2"/>
      <w:r>
        <w:rPr>
          <w:rFonts w:ascii="Arial"/>
          <w:b/>
          <w:color w:val="000000"/>
          <w:sz w:val="28"/>
        </w:rPr>
        <w:t>Element 2</w:t>
      </w:r>
    </w:p>
    <w:p w14:paraId="03165A1B" w14:textId="77777777" w:rsidR="00C9109F" w:rsidRDefault="00655292">
      <w:pPr>
        <w:spacing w:after="0" w:line="480" w:lineRule="auto"/>
        <w:rPr>
          <w:rFonts w:ascii="Arial" w:hAnsi="Arial" w:cs="Arial"/>
          <w:sz w:val="24"/>
          <w:szCs w:val="24"/>
        </w:rPr>
      </w:pPr>
      <w:r>
        <w:rPr>
          <w:rFonts w:ascii="Arial" w:hAnsi="Arial" w:cs="Arial"/>
          <w:b/>
          <w:bCs/>
          <w:sz w:val="24"/>
          <w:szCs w:val="24"/>
        </w:rPr>
        <w:t>Residential Care Homes: Origins, Function, and Impact on Quality of Life</w:t>
      </w:r>
    </w:p>
    <w:p w14:paraId="0B8B6BD1" w14:textId="77777777" w:rsidR="00C9109F" w:rsidRDefault="00655292">
      <w:pPr>
        <w:spacing w:before="0" w:after="0" w:line="480" w:lineRule="auto"/>
        <w:rPr>
          <w:rFonts w:ascii="Arial" w:hAnsi="Arial" w:cs="Arial"/>
          <w:sz w:val="24"/>
          <w:szCs w:val="24"/>
        </w:rPr>
      </w:pPr>
      <w:r>
        <w:rPr>
          <w:rFonts w:ascii="Arial" w:hAnsi="Arial" w:cs="Arial"/>
          <w:sz w:val="24"/>
          <w:szCs w:val="24"/>
        </w:rPr>
        <w:t>Residential care homes are a fundamental component of the social care system in the United Kingdom, providing round-the-clock accommodation, personal care, and support for individuals unable to live independently. These services primarily serve older adults, people with physical disabilities, and those with complex health conditions such as dementia. Understanding this service requires an examination of its historical roots, a critical appraisal of its contemporary operation, and an assessment of its role in promoting quality of life.</w:t>
      </w:r>
    </w:p>
    <w:p w14:paraId="7EB3F8A2" w14:textId="77777777" w:rsidR="00C9109F" w:rsidRDefault="00655292">
      <w:pPr>
        <w:spacing w:before="0" w:after="0"/>
        <w:rPr>
          <w:rFonts w:ascii="Arial" w:hAnsi="Arial" w:cs="Arial"/>
        </w:rPr>
      </w:pPr>
      <w:r>
        <w:rPr>
          <w:rFonts w:ascii="Arial" w:eastAsia="Times New Roman" w:hAnsi="Arial" w:cs="Arial"/>
          <w:b/>
          <w:bCs/>
          <w:sz w:val="24"/>
          <w:szCs w:val="24"/>
        </w:rPr>
        <w:t>Historical Origins and Development</w:t>
      </w:r>
    </w:p>
    <w:p w14:paraId="5956492A" w14:textId="34FB5C96" w:rsidR="00C9109F" w:rsidRDefault="00655292">
      <w:pPr>
        <w:spacing w:before="0" w:after="0" w:line="480" w:lineRule="auto"/>
        <w:rPr>
          <w:rFonts w:ascii="Arial" w:hAnsi="Arial" w:cs="Arial"/>
          <w:sz w:val="24"/>
          <w:szCs w:val="24"/>
        </w:rPr>
      </w:pPr>
      <w:r>
        <w:rPr>
          <w:rFonts w:ascii="Arial" w:hAnsi="Arial" w:cs="Arial"/>
          <w:sz w:val="24"/>
          <w:szCs w:val="24"/>
        </w:rPr>
        <w:t xml:space="preserve">Residential care homes can be traced back to the Elizabethan poor law of 1601, which had a legal duty on the part of the parish to care for the poor, elderly and infirm. Care was an afterthought in workhouses, institutions that were </w:t>
      </w:r>
      <w:r w:rsidR="00BE4168">
        <w:rPr>
          <w:rFonts w:ascii="Arial" w:hAnsi="Arial" w:cs="Arial"/>
          <w:sz w:val="24"/>
          <w:szCs w:val="24"/>
        </w:rPr>
        <w:t>characterized</w:t>
      </w:r>
      <w:r>
        <w:rPr>
          <w:rFonts w:ascii="Arial" w:hAnsi="Arial" w:cs="Arial"/>
          <w:sz w:val="24"/>
          <w:szCs w:val="24"/>
        </w:rPr>
        <w:t xml:space="preserve"> by punitive conditions and were deeply discredited in </w:t>
      </w:r>
      <w:r w:rsidR="00BE4168">
        <w:rPr>
          <w:rFonts w:ascii="Arial" w:hAnsi="Arial" w:cs="Arial"/>
          <w:sz w:val="24"/>
          <w:szCs w:val="24"/>
        </w:rPr>
        <w:t>society. The</w:t>
      </w:r>
      <w:r>
        <w:rPr>
          <w:rFonts w:ascii="Arial" w:hAnsi="Arial" w:cs="Arial"/>
          <w:sz w:val="24"/>
          <w:szCs w:val="24"/>
        </w:rPr>
        <w:t xml:space="preserve"> people who could not take care of themselves were placed in workhouses, institutions characterized by punitive conditions and great social stigma, and care was an afterthought. This model remained in place for more than three hundred years, and the orientation of dependency as a sinful not a social responsibility attitude was prevalent in society.</w:t>
      </w:r>
    </w:p>
    <w:p w14:paraId="5E41B795" w14:textId="77777777" w:rsidR="00C9109F" w:rsidRDefault="00655292">
      <w:pPr>
        <w:spacing w:before="0" w:after="0" w:line="480" w:lineRule="auto"/>
        <w:rPr>
          <w:rFonts w:ascii="Arial" w:hAnsi="Arial" w:cs="Arial"/>
          <w:sz w:val="24"/>
          <w:szCs w:val="24"/>
        </w:rPr>
      </w:pPr>
      <w:r>
        <w:rPr>
          <w:rFonts w:ascii="Arial" w:hAnsi="Arial" w:cs="Arial"/>
          <w:sz w:val="24"/>
          <w:szCs w:val="24"/>
        </w:rPr>
        <w:t xml:space="preserve">The National Assistance Act 1948 marked a fundamental change with the demise of the Poor Law and the need for local authorities to have residential provision for older and disabled people. </w:t>
      </w:r>
    </w:p>
    <w:p w14:paraId="1A2CBB7A" w14:textId="77777777" w:rsidR="00C9109F" w:rsidRDefault="00655292">
      <w:pPr>
        <w:spacing w:before="0" w:after="0"/>
        <w:rPr>
          <w:rFonts w:ascii="Arial" w:hAnsi="Arial" w:cs="Arial"/>
        </w:rPr>
      </w:pPr>
      <w:r>
        <w:rPr>
          <w:rFonts w:ascii="Arial" w:eastAsia="Times New Roman" w:hAnsi="Arial" w:cs="Arial"/>
          <w:b/>
          <w:bCs/>
          <w:sz w:val="24"/>
          <w:szCs w:val="24"/>
        </w:rPr>
        <w:t>How Residential Care Homes Function Today</w:t>
      </w:r>
    </w:p>
    <w:p w14:paraId="412103D3" w14:textId="77777777" w:rsidR="00C9109F" w:rsidRDefault="00655292">
      <w:pPr>
        <w:spacing w:before="0" w:after="0" w:line="480" w:lineRule="auto"/>
        <w:rPr>
          <w:rFonts w:ascii="Arial" w:hAnsi="Arial" w:cs="Arial"/>
          <w:sz w:val="24"/>
          <w:szCs w:val="24"/>
        </w:rPr>
      </w:pPr>
      <w:r>
        <w:rPr>
          <w:rFonts w:ascii="Arial" w:hAnsi="Arial" w:cs="Arial"/>
          <w:sz w:val="24"/>
          <w:szCs w:val="24"/>
        </w:rPr>
        <w:t xml:space="preserve">In England, residential care homes are regulated by the Care Quality Commission (CQC) and their services inspected under five domains: safety, effectiveness, </w:t>
      </w:r>
      <w:proofErr w:type="gramStart"/>
      <w:r>
        <w:rPr>
          <w:rFonts w:ascii="Arial" w:hAnsi="Arial" w:cs="Arial"/>
          <w:sz w:val="24"/>
          <w:szCs w:val="24"/>
        </w:rPr>
        <w:t>caring</w:t>
      </w:r>
      <w:proofErr w:type="gramEnd"/>
      <w:r>
        <w:rPr>
          <w:rFonts w:ascii="Arial" w:hAnsi="Arial" w:cs="Arial"/>
          <w:sz w:val="24"/>
          <w:szCs w:val="24"/>
        </w:rPr>
        <w:t>, responsiveness and leadership. Nevertheless, the sector is under great pressures even in such a framework. A significant number of homes remain in need of improvement, staffing issues and concerns are a long-standing cause of poor quality, as identified in the CQC State of Care report, 2023.</w:t>
      </w:r>
    </w:p>
    <w:p w14:paraId="2A9C7A97" w14:textId="77777777" w:rsidR="00C9109F" w:rsidRDefault="00655292">
      <w:pPr>
        <w:spacing w:before="0" w:after="0" w:line="480" w:lineRule="auto"/>
        <w:rPr>
          <w:rFonts w:ascii="Arial" w:hAnsi="Arial" w:cs="Arial"/>
          <w:sz w:val="24"/>
          <w:szCs w:val="24"/>
        </w:rPr>
      </w:pPr>
      <w:r>
        <w:rPr>
          <w:rFonts w:ascii="Arial" w:hAnsi="Arial" w:cs="Arial"/>
          <w:sz w:val="24"/>
          <w:szCs w:val="24"/>
        </w:rPr>
        <w:t xml:space="preserve">Structural issues are critical, and funding comes first. If your assets are higher than £23,250 you will be self-funding, others will be supported by the local authority. But fees are often agreed for less than the cost of providing care, leading to financial insecurity for providers (Competition and Markets Authority, 2022). The COVID-19 pandemic has also highlighted vulnerabilities in the sector, as care homes have a disproportionately high number of COVID-related deaths and have shown </w:t>
      </w:r>
      <w:r>
        <w:rPr>
          <w:rFonts w:ascii="Arial" w:hAnsi="Arial" w:cs="Arial"/>
          <w:sz w:val="24"/>
          <w:szCs w:val="24"/>
        </w:rPr>
        <w:lastRenderedPageBreak/>
        <w:t xml:space="preserve">poor resource management and infection control, as well as a lack of support for employees, etc. (Comas-Herrera et al., 2020). </w:t>
      </w:r>
    </w:p>
    <w:p w14:paraId="5017AA87" w14:textId="77777777" w:rsidR="00C9109F" w:rsidRDefault="00655292">
      <w:pPr>
        <w:spacing w:before="0" w:after="0"/>
        <w:rPr>
          <w:rFonts w:ascii="Arial" w:hAnsi="Arial" w:cs="Arial"/>
        </w:rPr>
      </w:pPr>
      <w:r>
        <w:rPr>
          <w:rFonts w:ascii="Arial" w:eastAsia="Times New Roman" w:hAnsi="Arial" w:cs="Arial"/>
          <w:b/>
          <w:bCs/>
          <w:sz w:val="24"/>
          <w:szCs w:val="24"/>
        </w:rPr>
        <w:t>Significance in Enhancing Quality of Life</w:t>
      </w:r>
    </w:p>
    <w:p w14:paraId="36F5D54F" w14:textId="4B4536BA" w:rsidR="00C9109F" w:rsidRDefault="00655292">
      <w:pPr>
        <w:spacing w:before="0" w:after="0" w:line="480" w:lineRule="auto"/>
        <w:rPr>
          <w:rFonts w:ascii="Arial" w:hAnsi="Arial" w:cs="Arial"/>
          <w:sz w:val="24"/>
          <w:szCs w:val="24"/>
        </w:rPr>
      </w:pPr>
      <w:r>
        <w:rPr>
          <w:rFonts w:ascii="Arial" w:hAnsi="Arial" w:cs="Arial"/>
          <w:sz w:val="24"/>
          <w:szCs w:val="24"/>
        </w:rPr>
        <w:t xml:space="preserve">Residential care homes are essential for people who have high support needs, despite the difficulties. These are suitable for residents with high levels of care needs, such as advanced dementia, and/or poor mobility or several long-term health conditions, where families </w:t>
      </w:r>
      <w:proofErr w:type="gramStart"/>
      <w:r>
        <w:rPr>
          <w:rFonts w:ascii="Arial" w:hAnsi="Arial" w:cs="Arial"/>
          <w:sz w:val="24"/>
          <w:szCs w:val="24"/>
        </w:rPr>
        <w:t>are not able to</w:t>
      </w:r>
      <w:proofErr w:type="gramEnd"/>
      <w:r>
        <w:rPr>
          <w:rFonts w:ascii="Arial" w:hAnsi="Arial" w:cs="Arial"/>
          <w:sz w:val="24"/>
          <w:szCs w:val="24"/>
        </w:rPr>
        <w:t xml:space="preserve"> provide this care. The social aspect is also crucial: Homes with structured activities, peer companionship and regular relationships with staff promote emotional health. Quality of care is quality of relationship as Killett et al. (2021) </w:t>
      </w:r>
      <w:r w:rsidR="001476DB">
        <w:rPr>
          <w:rFonts w:ascii="Arial" w:hAnsi="Arial" w:cs="Arial"/>
          <w:sz w:val="24"/>
          <w:szCs w:val="24"/>
        </w:rPr>
        <w:t>emphasis</w:t>
      </w:r>
      <w:r>
        <w:rPr>
          <w:rFonts w:ascii="Arial" w:hAnsi="Arial" w:cs="Arial"/>
          <w:sz w:val="24"/>
          <w:szCs w:val="24"/>
        </w:rPr>
        <w:t>: relational continuity between staff and residents is a key driver of well-being outcomes.</w:t>
      </w:r>
    </w:p>
    <w:p w14:paraId="1005107E" w14:textId="77777777" w:rsidR="00C9109F" w:rsidRDefault="00655292">
      <w:pPr>
        <w:spacing w:before="0" w:after="0"/>
        <w:rPr>
          <w:rFonts w:ascii="Arial" w:hAnsi="Arial" w:cs="Arial"/>
        </w:rPr>
      </w:pPr>
      <w:r>
        <w:rPr>
          <w:rFonts w:ascii="Arial" w:eastAsia="Times New Roman" w:hAnsi="Arial" w:cs="Arial"/>
          <w:b/>
          <w:bCs/>
          <w:sz w:val="24"/>
          <w:szCs w:val="24"/>
        </w:rPr>
        <w:t>Conclusion</w:t>
      </w:r>
    </w:p>
    <w:p w14:paraId="2D566E9E" w14:textId="77777777" w:rsidR="00C9109F" w:rsidRDefault="00655292">
      <w:pPr>
        <w:spacing w:before="0" w:after="0" w:line="480" w:lineRule="auto"/>
        <w:rPr>
          <w:rFonts w:ascii="Arial" w:hAnsi="Arial" w:cs="Arial"/>
          <w:sz w:val="24"/>
          <w:szCs w:val="24"/>
        </w:rPr>
      </w:pPr>
      <w:r>
        <w:rPr>
          <w:rFonts w:ascii="Arial" w:hAnsi="Arial" w:cs="Arial"/>
          <w:sz w:val="24"/>
          <w:szCs w:val="24"/>
        </w:rPr>
        <w:t xml:space="preserve">The nature of residential care homes has changed significantly from the workhouses of the Poor Law era </w:t>
      </w:r>
      <w:proofErr w:type="gramStart"/>
      <w:r>
        <w:rPr>
          <w:rFonts w:ascii="Arial" w:hAnsi="Arial" w:cs="Arial"/>
          <w:sz w:val="24"/>
          <w:szCs w:val="24"/>
        </w:rPr>
        <w:t>to,</w:t>
      </w:r>
      <w:proofErr w:type="gramEnd"/>
      <w:r>
        <w:rPr>
          <w:rFonts w:ascii="Arial" w:hAnsi="Arial" w:cs="Arial"/>
          <w:sz w:val="24"/>
          <w:szCs w:val="24"/>
        </w:rPr>
        <w:t xml:space="preserve"> regulated services based on rights. These services are crucial for the most vulnerable of our society, but are under threat in today's world because of funding, staffing and quality issues. If residential care homes are to be successful in achieving their potential as being places where people feel their dignity and quality of life </w:t>
      </w:r>
      <w:proofErr w:type="gramStart"/>
      <w:r>
        <w:rPr>
          <w:rFonts w:ascii="Arial" w:hAnsi="Arial" w:cs="Arial"/>
          <w:sz w:val="24"/>
          <w:szCs w:val="24"/>
        </w:rPr>
        <w:t>is</w:t>
      </w:r>
      <w:proofErr w:type="gramEnd"/>
      <w:r>
        <w:rPr>
          <w:rFonts w:ascii="Arial" w:hAnsi="Arial" w:cs="Arial"/>
          <w:sz w:val="24"/>
          <w:szCs w:val="24"/>
        </w:rPr>
        <w:t xml:space="preserve"> </w:t>
      </w:r>
      <w:proofErr w:type="gramStart"/>
      <w:r>
        <w:rPr>
          <w:rFonts w:ascii="Arial" w:hAnsi="Arial" w:cs="Arial"/>
          <w:sz w:val="24"/>
          <w:szCs w:val="24"/>
        </w:rPr>
        <w:t>maintained at all times</w:t>
      </w:r>
      <w:proofErr w:type="gramEnd"/>
      <w:r>
        <w:rPr>
          <w:rFonts w:ascii="Arial" w:hAnsi="Arial" w:cs="Arial"/>
          <w:sz w:val="24"/>
          <w:szCs w:val="24"/>
        </w:rPr>
        <w:t>, they must be supported in a way that is sustained, secure and equitable.</w:t>
      </w:r>
    </w:p>
    <w:p w14:paraId="67DE69C1" w14:textId="77777777" w:rsidR="00C9109F" w:rsidRDefault="00C9109F">
      <w:pPr>
        <w:spacing w:before="400"/>
        <w:rPr>
          <w:rFonts w:ascii="Arial" w:hAnsi="Arial" w:cs="Arial"/>
          <w:sz w:val="24"/>
          <w:szCs w:val="24"/>
        </w:rPr>
      </w:pPr>
    </w:p>
    <w:p w14:paraId="5A8C0075" w14:textId="77777777" w:rsidR="00C9109F" w:rsidRDefault="00C9109F">
      <w:pPr>
        <w:spacing w:before="400"/>
        <w:rPr>
          <w:rFonts w:ascii="Arial" w:hAnsi="Arial" w:cs="Arial"/>
          <w:sz w:val="24"/>
          <w:szCs w:val="24"/>
        </w:rPr>
      </w:pPr>
    </w:p>
    <w:p w14:paraId="47FA5F32" w14:textId="77777777" w:rsidR="00C9109F" w:rsidRDefault="00C9109F">
      <w:pPr>
        <w:spacing w:before="400"/>
        <w:rPr>
          <w:rFonts w:ascii="Arial" w:hAnsi="Arial" w:cs="Arial"/>
          <w:sz w:val="24"/>
          <w:szCs w:val="24"/>
        </w:rPr>
      </w:pPr>
    </w:p>
    <w:p w14:paraId="6B22E112" w14:textId="77777777" w:rsidR="00C9109F" w:rsidRDefault="00C9109F">
      <w:pPr>
        <w:spacing w:before="400"/>
        <w:rPr>
          <w:rFonts w:ascii="Arial" w:hAnsi="Arial" w:cs="Arial"/>
          <w:sz w:val="24"/>
          <w:szCs w:val="24"/>
        </w:rPr>
      </w:pPr>
    </w:p>
    <w:p w14:paraId="34215C90" w14:textId="77777777" w:rsidR="00C9109F" w:rsidRDefault="00C9109F">
      <w:pPr>
        <w:spacing w:before="400"/>
        <w:rPr>
          <w:rFonts w:ascii="Arial" w:hAnsi="Arial" w:cs="Arial"/>
          <w:sz w:val="24"/>
          <w:szCs w:val="24"/>
        </w:rPr>
      </w:pPr>
    </w:p>
    <w:p w14:paraId="7EE8BEE0" w14:textId="77777777" w:rsidR="00C9109F" w:rsidRDefault="00C9109F">
      <w:pPr>
        <w:spacing w:before="400"/>
        <w:rPr>
          <w:rFonts w:ascii="Arial" w:hAnsi="Arial" w:cs="Arial"/>
          <w:sz w:val="24"/>
          <w:szCs w:val="24"/>
        </w:rPr>
      </w:pPr>
    </w:p>
    <w:p w14:paraId="41EF8AEA" w14:textId="77777777" w:rsidR="00C9109F" w:rsidRDefault="00C9109F">
      <w:pPr>
        <w:spacing w:before="400"/>
        <w:rPr>
          <w:rFonts w:ascii="Arial" w:hAnsi="Arial" w:cs="Arial"/>
          <w:sz w:val="24"/>
          <w:szCs w:val="24"/>
        </w:rPr>
      </w:pPr>
    </w:p>
    <w:p w14:paraId="1DB11072" w14:textId="77777777" w:rsidR="00C9109F" w:rsidRDefault="00C9109F">
      <w:pPr>
        <w:spacing w:before="400"/>
        <w:rPr>
          <w:rFonts w:ascii="Arial" w:hAnsi="Arial" w:cs="Arial"/>
          <w:sz w:val="24"/>
          <w:szCs w:val="24"/>
        </w:rPr>
      </w:pPr>
    </w:p>
    <w:p w14:paraId="2CD0AC4C" w14:textId="77777777" w:rsidR="00C9109F" w:rsidRDefault="00C9109F">
      <w:pPr>
        <w:spacing w:before="400"/>
        <w:rPr>
          <w:rFonts w:ascii="Arial" w:hAnsi="Arial" w:cs="Arial"/>
          <w:sz w:val="24"/>
          <w:szCs w:val="24"/>
        </w:rPr>
      </w:pPr>
    </w:p>
    <w:p w14:paraId="5C6EB301" w14:textId="77777777" w:rsidR="00C9109F" w:rsidRDefault="00655292">
      <w:pPr>
        <w:spacing w:before="400"/>
        <w:rPr>
          <w:rFonts w:ascii="Arial" w:hAnsi="Arial" w:cs="Arial"/>
        </w:rPr>
      </w:pPr>
      <w:r>
        <w:rPr>
          <w:rFonts w:ascii="Arial" w:eastAsia="Times New Roman" w:hAnsi="Arial" w:cs="Arial"/>
          <w:b/>
          <w:bCs/>
          <w:sz w:val="24"/>
          <w:szCs w:val="24"/>
          <w:u w:val="single"/>
        </w:rPr>
        <w:lastRenderedPageBreak/>
        <w:t>References</w:t>
      </w:r>
    </w:p>
    <w:p w14:paraId="1DD60D93" w14:textId="77777777" w:rsidR="00C9109F" w:rsidRDefault="00655292">
      <w:pPr>
        <w:spacing w:before="0" w:after="0"/>
        <w:ind w:hanging="720"/>
        <w:rPr>
          <w:rFonts w:ascii="Arial" w:hAnsi="Arial" w:cs="Arial"/>
        </w:rPr>
      </w:pPr>
      <w:r>
        <w:rPr>
          <w:rFonts w:ascii="Arial" w:eastAsia="Times New Roman" w:hAnsi="Arial" w:cs="Arial"/>
          <w:sz w:val="24"/>
          <w:szCs w:val="24"/>
        </w:rPr>
        <w:t>Care Quality Commission (CQC). (2023). State of care 2022/23. Care Quality Commission. https://www.cqc.org.uk/publications/major-report/state-of-care</w:t>
      </w:r>
    </w:p>
    <w:p w14:paraId="37D37C92" w14:textId="34969D3C" w:rsidR="00C9109F" w:rsidRDefault="00655292">
      <w:pPr>
        <w:spacing w:before="0" w:after="0"/>
        <w:ind w:hanging="720"/>
        <w:rPr>
          <w:rFonts w:ascii="Arial" w:hAnsi="Arial" w:cs="Arial"/>
        </w:rPr>
      </w:pPr>
      <w:r>
        <w:rPr>
          <w:rFonts w:ascii="Arial" w:eastAsia="Times New Roman" w:hAnsi="Arial" w:cs="Arial"/>
          <w:sz w:val="24"/>
          <w:szCs w:val="24"/>
        </w:rPr>
        <w:t xml:space="preserve">Comas-Herrera, A., </w:t>
      </w:r>
      <w:r w:rsidR="001476DB">
        <w:rPr>
          <w:rFonts w:ascii="Arial" w:eastAsia="Times New Roman" w:hAnsi="Arial" w:cs="Arial"/>
          <w:sz w:val="24"/>
          <w:szCs w:val="24"/>
        </w:rPr>
        <w:t>Zala ikaite</w:t>
      </w:r>
      <w:r>
        <w:rPr>
          <w:rFonts w:ascii="Arial" w:eastAsia="Times New Roman" w:hAnsi="Arial" w:cs="Arial"/>
          <w:sz w:val="24"/>
          <w:szCs w:val="24"/>
        </w:rPr>
        <w:t>, J., Litwin, C., &amp; Hsu, A. T. (2020). Mortality associated with COVID-19 in care homes: International evidence. International Long-Term Care Policy Network. https://ltccovid.org/2020/04/12/mortality-associated-with-covid-19-outbreaks-in-care-homes-early-international-evidence/</w:t>
      </w:r>
    </w:p>
    <w:p w14:paraId="475EC168" w14:textId="77777777" w:rsidR="00C9109F" w:rsidRDefault="00655292">
      <w:pPr>
        <w:spacing w:before="0" w:after="0"/>
        <w:ind w:hanging="720"/>
        <w:rPr>
          <w:rFonts w:ascii="Arial" w:hAnsi="Arial" w:cs="Arial"/>
        </w:rPr>
      </w:pPr>
      <w:r>
        <w:rPr>
          <w:rFonts w:ascii="Arial" w:eastAsia="Times New Roman" w:hAnsi="Arial" w:cs="Arial"/>
          <w:sz w:val="24"/>
          <w:szCs w:val="24"/>
        </w:rPr>
        <w:t>Competition and Markets Authority. (2022). Care homes: Compliance review. CMA. https://www.gov.uk/government/publications/care-homes-compliance-review</w:t>
      </w:r>
    </w:p>
    <w:p w14:paraId="192EA0DB" w14:textId="4D0C3733" w:rsidR="00C9109F" w:rsidRDefault="00655292">
      <w:pPr>
        <w:spacing w:before="0" w:after="0"/>
        <w:ind w:hanging="720"/>
        <w:rPr>
          <w:rFonts w:ascii="Arial" w:hAnsi="Arial" w:cs="Arial"/>
        </w:rPr>
      </w:pPr>
      <w:r>
        <w:rPr>
          <w:rFonts w:ascii="Arial" w:eastAsia="Times New Roman" w:hAnsi="Arial" w:cs="Arial"/>
          <w:sz w:val="24"/>
          <w:szCs w:val="24"/>
        </w:rPr>
        <w:t xml:space="preserve">Killett, A., Burns, D., Kelly, F., Brooker, D., Bowes, A., La Fontaine, J., Latham, I., Wallace, C., &amp; Wilson, M. (2021). Digging deep: How </w:t>
      </w:r>
      <w:r w:rsidR="001476DB">
        <w:rPr>
          <w:rFonts w:ascii="Arial" w:eastAsia="Times New Roman" w:hAnsi="Arial" w:cs="Arial"/>
          <w:sz w:val="24"/>
          <w:szCs w:val="24"/>
        </w:rPr>
        <w:t>organizational</w:t>
      </w:r>
      <w:r>
        <w:rPr>
          <w:rFonts w:ascii="Arial" w:eastAsia="Times New Roman" w:hAnsi="Arial" w:cs="Arial"/>
          <w:sz w:val="24"/>
          <w:szCs w:val="24"/>
        </w:rPr>
        <w:t xml:space="preserve"> culture affects care home residents’ experiences. Ageing &amp; Society, 41(4), 874–896. https://doi.org/10.1017/S0144686X19001351</w:t>
      </w:r>
    </w:p>
    <w:p w14:paraId="2CDD9E84" w14:textId="77777777" w:rsidR="00C9109F" w:rsidRDefault="00655292">
      <w:pPr>
        <w:spacing w:before="0" w:after="0"/>
        <w:ind w:hanging="720"/>
        <w:rPr>
          <w:rFonts w:ascii="Arial" w:hAnsi="Arial" w:cs="Arial"/>
        </w:rPr>
      </w:pPr>
      <w:r>
        <w:rPr>
          <w:rFonts w:ascii="Arial" w:eastAsia="Times New Roman" w:hAnsi="Arial" w:cs="Arial"/>
          <w:sz w:val="24"/>
          <w:szCs w:val="24"/>
        </w:rPr>
        <w:t>Skills for Care. (2023). The state of the adult social care sector and workforce in England. Skills for Care. https://www.skillsforcare.org.uk</w:t>
      </w:r>
    </w:p>
    <w:p w14:paraId="4D170731" w14:textId="77777777" w:rsidR="00C9109F" w:rsidRDefault="00C9109F">
      <w:pPr>
        <w:spacing w:before="0" w:after="0" w:line="323" w:lineRule="exact"/>
        <w:rPr>
          <w:rFonts w:ascii="Arial"/>
          <w:b/>
          <w:color w:val="000000"/>
          <w:sz w:val="28"/>
        </w:rPr>
      </w:pPr>
    </w:p>
    <w:p w14:paraId="077BC975" w14:textId="77777777" w:rsidR="00C9109F" w:rsidRDefault="00C9109F">
      <w:pPr>
        <w:spacing w:before="0" w:after="0" w:line="0" w:lineRule="atLeast"/>
        <w:rPr>
          <w:rFonts w:ascii="Arial"/>
          <w:color w:val="FF0000"/>
          <w:sz w:val="2"/>
        </w:rPr>
      </w:pPr>
    </w:p>
    <w:p w14:paraId="32EC3B23" w14:textId="77777777" w:rsidR="00C9109F" w:rsidRDefault="00655292">
      <w:pPr>
        <w:spacing w:before="0" w:after="0" w:line="0" w:lineRule="atLeast"/>
        <w:rPr>
          <w:rFonts w:ascii="Arial"/>
          <w:b/>
          <w:color w:val="000000"/>
          <w:sz w:val="28"/>
        </w:rPr>
      </w:pPr>
      <w:r>
        <w:rPr>
          <w:rFonts w:ascii="Arial"/>
          <w:color w:val="FF0000"/>
          <w:sz w:val="2"/>
        </w:rPr>
        <w:cr/>
      </w:r>
      <w:bookmarkStart w:id="3" w:name="br5"/>
      <w:bookmarkEnd w:id="3"/>
    </w:p>
    <w:sectPr w:rsidR="00C9109F">
      <w:pgSz w:w="11900" w:h="16820"/>
      <w:pgMar w:top="1431" w:right="100" w:bottom="0" w:left="1440" w:header="720" w:footer="720" w:gutter="0"/>
      <w:pgNumType w:start="1"/>
      <w:cols w:space="720"/>
      <w:docGrid w:linePitch="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675D1F" w14:textId="77777777" w:rsidR="00D75233" w:rsidRDefault="00D75233">
      <w:pPr>
        <w:spacing w:line="240" w:lineRule="auto"/>
      </w:pPr>
      <w:r>
        <w:separator/>
      </w:r>
    </w:p>
  </w:endnote>
  <w:endnote w:type="continuationSeparator" w:id="0">
    <w:p w14:paraId="5DEF7A7A" w14:textId="77777777" w:rsidR="00D75233" w:rsidRDefault="00D7523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embedRegular r:id="rId1" w:fontKey="{8AC9032E-5C55-4ED3-977A-D0F9FD1240EC}"/>
    <w:embedBold r:id="rId2" w:fontKey="{7F3B8494-26FC-426A-8732-750E165E589D}"/>
    <w:embedItalic r:id="rId3" w:fontKey="{AD06BEBA-356D-4C28-8835-2BB50B2678CF}"/>
    <w:embedBoldItalic r:id="rId4" w:fontKey="{0B8367AC-B404-458A-A6F4-A850B9994E23}"/>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embedRegular r:id="rId5" w:fontKey="{8EFB62B6-479A-4358-915D-B3CC42E2DBA0}"/>
    <w:embedBold r:id="rId6" w:fontKey="{21206014-DC85-46BF-B9C3-0B4CF0987748}"/>
    <w:embedItalic r:id="rId7" w:fontKey="{D0FB3AEA-0121-4983-A406-5A744CF4E0B9}"/>
    <w:embedBoldItalic r:id="rId8" w:fontKey="{848B786A-9990-4FD6-9A86-F1680F828A45}"/>
  </w:font>
  <w:font w:name="Arial">
    <w:panose1 w:val="020B0604020202020204"/>
    <w:charset w:val="00"/>
    <w:family w:val="swiss"/>
    <w:pitch w:val="variable"/>
    <w:sig w:usb0="E0002EFF" w:usb1="C000785B" w:usb2="00000009" w:usb3="00000000" w:csb0="000001FF" w:csb1="00000000"/>
    <w:embedRegular r:id="rId9" w:fontKey="{BCBED80A-7F7B-4B38-97F2-D33EAA97936F}"/>
    <w:embedBold r:id="rId10" w:fontKey="{C5377AEF-B583-448D-878A-B46B61A744FE}"/>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embedRegular r:id="rId11" w:fontKey="{AE2E695E-8BC0-4FF8-B2F1-2BFB3D551FA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010757" w14:textId="77777777" w:rsidR="00D75233" w:rsidRDefault="00D75233">
      <w:pPr>
        <w:spacing w:before="0" w:after="0"/>
      </w:pPr>
      <w:r>
        <w:separator/>
      </w:r>
    </w:p>
  </w:footnote>
  <w:footnote w:type="continuationSeparator" w:id="0">
    <w:p w14:paraId="7362946F" w14:textId="77777777" w:rsidR="00D75233" w:rsidRDefault="00D75233">
      <w:pPr>
        <w:spacing w:before="0"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3"/>
  <w:embedTrueTypeFonts/>
  <w:embedSystemFonts/>
  <w:proofState w:spelling="clean" w:grammar="clean"/>
  <w:defaultTabStop w:val="708"/>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5B2D"/>
    <w:rsid w:val="00070260"/>
    <w:rsid w:val="000D0D0A"/>
    <w:rsid w:val="001476DB"/>
    <w:rsid w:val="002D38B1"/>
    <w:rsid w:val="00370B98"/>
    <w:rsid w:val="004A33BA"/>
    <w:rsid w:val="004B6A75"/>
    <w:rsid w:val="004C047D"/>
    <w:rsid w:val="00506BF6"/>
    <w:rsid w:val="00557EC6"/>
    <w:rsid w:val="00655292"/>
    <w:rsid w:val="007C58E3"/>
    <w:rsid w:val="009941F4"/>
    <w:rsid w:val="009D10CD"/>
    <w:rsid w:val="00A64C5E"/>
    <w:rsid w:val="00AC08F4"/>
    <w:rsid w:val="00B06B85"/>
    <w:rsid w:val="00BA5B2D"/>
    <w:rsid w:val="00BE4168"/>
    <w:rsid w:val="00C8619F"/>
    <w:rsid w:val="00C9109F"/>
    <w:rsid w:val="00D75233"/>
    <w:rsid w:val="00E24E6F"/>
    <w:rsid w:val="00F03723"/>
    <w:rsid w:val="00F365CE"/>
    <w:rsid w:val="09D00FDD"/>
    <w:rsid w:val="5B340EA3"/>
    <w:rsid w:val="65EF424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14:docId w14:val="060120BE"/>
  <w15:docId w15:val="{8D05A2AA-2EC8-40EF-BF89-6B007729CD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GB" w:bidi="ar-SA"/>
      </w:rPr>
    </w:rPrDefault>
    <w:pPrDefault/>
  </w:docDefaults>
  <w:latentStyles w:defLockedState="0" w:defUIPriority="0" w:defSemiHidden="0" w:defUnhideWhenUsed="0" w:defQFormat="0" w:count="376">
    <w:lsdException w:name="Normal" w:qFormat="1"/>
    <w:lsdException w:name="header" w:qFormat="1"/>
    <w:lsdException w:name="footer" w:qFormat="1"/>
    <w:lsdException w:name="Default Paragraph Font" w:semiHidden="1" w:uiPriority="1" w:unhideWhenUsed="1" w:qFormat="1"/>
    <w:lsdException w:name="HTML Top of Form" w:semiHidden="1" w:uiPriority="99" w:unhideWhenUsed="1"/>
    <w:lsdException w:name="HTML Bottom of Form" w:semiHidden="1" w:uiPriority="99" w:unhideWhenUsed="1"/>
    <w:lsdException w:name="Normal Table" w:semiHidden="1" w:uiPriority="99"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spacing w:before="120" w:after="240" w:line="259" w:lineRule="auto"/>
      <w:jc w:val="both"/>
    </w:pPr>
    <w:rPr>
      <w:kern w:val="2"/>
      <w:sz w:val="22"/>
      <w:szCs w:val="22"/>
      <w:lang w:val="en-US"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qFormat/>
    <w:pPr>
      <w:tabs>
        <w:tab w:val="center" w:pos="4680"/>
        <w:tab w:val="right" w:pos="9360"/>
      </w:tabs>
      <w:spacing w:before="0" w:after="0" w:line="240" w:lineRule="auto"/>
    </w:pPr>
  </w:style>
  <w:style w:type="paragraph" w:styleId="Header">
    <w:name w:val="header"/>
    <w:basedOn w:val="Normal"/>
    <w:link w:val="HeaderChar"/>
    <w:qFormat/>
    <w:pPr>
      <w:tabs>
        <w:tab w:val="center" w:pos="4680"/>
        <w:tab w:val="right" w:pos="9360"/>
      </w:tabs>
      <w:spacing w:before="0" w:after="0" w:line="240" w:lineRule="auto"/>
    </w:pPr>
  </w:style>
  <w:style w:type="paragraph" w:customStyle="1" w:styleId="NoList1">
    <w:name w:val="No List1"/>
    <w:semiHidden/>
    <w:qFormat/>
    <w:pPr>
      <w:spacing w:after="160" w:line="259" w:lineRule="auto"/>
    </w:pPr>
    <w:rPr>
      <w:kern w:val="2"/>
      <w:sz w:val="22"/>
      <w:szCs w:val="22"/>
      <w:lang w:val="en-US" w:eastAsia="en-US"/>
      <w14:ligatures w14:val="standardContextual"/>
    </w:rPr>
  </w:style>
  <w:style w:type="character" w:customStyle="1" w:styleId="HeaderChar">
    <w:name w:val="Header Char"/>
    <w:basedOn w:val="DefaultParagraphFont"/>
    <w:link w:val="Header"/>
    <w:qFormat/>
  </w:style>
  <w:style w:type="character" w:customStyle="1" w:styleId="FooterChar">
    <w:name w:val="Footer Char"/>
    <w:basedOn w:val="DefaultParagraphFont"/>
    <w:link w:val="Footer"/>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nuffieldtrust.org.uk" TargetMode="Externa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aace.org.uk"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www.nuffieldtrust.org.uk"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231</TotalTime>
  <Pages>6</Pages>
  <Words>1740</Words>
  <Characters>10557</Characters>
  <Application>Microsoft Office Word</Application>
  <DocSecurity>0</DocSecurity>
  <Lines>199</Lines>
  <Paragraphs>66</Paragraphs>
  <ScaleCrop>false</ScaleCrop>
  <Company/>
  <LinksUpToDate>false</LinksUpToDate>
  <CharactersWithSpaces>12240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root</dc:creator>
  <cp:lastModifiedBy>Abiodun Ojekunle</cp:lastModifiedBy>
  <cp:revision>13</cp:revision>
  <dcterms:created xsi:type="dcterms:W3CDTF">2026-07-09T14:32:00Z</dcterms:created>
  <dcterms:modified xsi:type="dcterms:W3CDTF">2026-07-19T16:30:00Z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eyJoZGlkIjoiMDFlMzA2MmI4NjY0ZjE1NTdkYWMwZTFmMjc3N2RlNWIiLCJ1c2VySWQiOiIzODY1ODAxNzAwMjY2In0=</vt:lpwstr>
  </property>
  <property fmtid="{D5CDD505-2E9C-101B-9397-08002B2CF9AE}" pid="3" name="KSOProductBuildVer">
    <vt:lpwstr>1033-12.1.0.26880</vt:lpwstr>
  </property>
  <property fmtid="{D5CDD505-2E9C-101B-9397-08002B2CF9AE}" pid="4" name="ICV">
    <vt:lpwstr>0751EDB22097494BA9657D0FFFE8EBDE_13</vt:lpwstr>
  </property>
</Properties>
</file>