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CBA38CC" w14:textId="77777777" w:rsidR="000A2FF2" w:rsidRDefault="000A2FF2" w:rsidP="000A2FF2">
      <w:pPr>
        <w:widowControl w:val="0"/>
        <w:autoSpaceDE w:val="0"/>
        <w:autoSpaceDN w:val="0"/>
        <w:adjustRightInd w:val="0"/>
        <w:rPr>
          <w:rFonts w:ascii="Arial" w:hAnsi="Arial" w:cs="Arial"/>
          <w:b/>
          <w:bCs/>
          <w:color w:val="0A4E69"/>
          <w:sz w:val="36"/>
          <w:szCs w:val="36"/>
        </w:rPr>
      </w:pPr>
      <w:r>
        <w:rPr>
          <w:rFonts w:ascii="Arial" w:hAnsi="Arial" w:cs="Arial"/>
          <w:b/>
          <w:bCs/>
          <w:color w:val="0A4E69"/>
          <w:sz w:val="44"/>
          <w:szCs w:val="44"/>
        </w:rPr>
        <w:t>The Conservation of Habitats and Species Regulations 2010</w:t>
      </w:r>
    </w:p>
    <w:p w14:paraId="2F21A71A" w14:textId="77777777" w:rsidR="000A2FF2" w:rsidRDefault="000A2FF2" w:rsidP="000A2FF2">
      <w:pPr>
        <w:widowControl w:val="0"/>
        <w:autoSpaceDE w:val="0"/>
        <w:autoSpaceDN w:val="0"/>
        <w:adjustRightInd w:val="0"/>
        <w:rPr>
          <w:rFonts w:ascii="Arial" w:hAnsi="Arial" w:cs="Arial"/>
          <w:b/>
          <w:bCs/>
          <w:color w:val="0A4E69"/>
          <w:sz w:val="36"/>
          <w:szCs w:val="36"/>
        </w:rPr>
      </w:pPr>
    </w:p>
    <w:p w14:paraId="391464BE" w14:textId="77777777" w:rsidR="000A2FF2" w:rsidRDefault="000A2FF2" w:rsidP="000A2FF2">
      <w:pPr>
        <w:widowControl w:val="0"/>
        <w:autoSpaceDE w:val="0"/>
        <w:autoSpaceDN w:val="0"/>
        <w:adjustRightInd w:val="0"/>
        <w:rPr>
          <w:rFonts w:ascii="Arial" w:hAnsi="Arial" w:cs="Arial"/>
          <w:b/>
          <w:bCs/>
          <w:color w:val="0A4E69"/>
          <w:sz w:val="36"/>
          <w:szCs w:val="36"/>
        </w:rPr>
      </w:pPr>
      <w:r>
        <w:rPr>
          <w:rFonts w:ascii="Arial" w:hAnsi="Arial" w:cs="Arial"/>
          <w:b/>
          <w:bCs/>
          <w:color w:val="0A4E69"/>
          <w:sz w:val="36"/>
          <w:szCs w:val="36"/>
        </w:rPr>
        <w:t>Conservation of Natural Habitats and Habitats of Species</w:t>
      </w:r>
    </w:p>
    <w:p w14:paraId="5E698DC3" w14:textId="77777777" w:rsidR="000A2FF2" w:rsidRDefault="000A2FF2" w:rsidP="000A2FF2">
      <w:pPr>
        <w:widowControl w:val="0"/>
        <w:autoSpaceDE w:val="0"/>
        <w:autoSpaceDN w:val="0"/>
        <w:adjustRightInd w:val="0"/>
        <w:rPr>
          <w:rFonts w:ascii="Arial" w:hAnsi="Arial" w:cs="Arial"/>
        </w:rPr>
      </w:pPr>
    </w:p>
    <w:p w14:paraId="12704949" w14:textId="77777777" w:rsidR="000A2FF2" w:rsidRDefault="000A2FF2" w:rsidP="000A2FF2">
      <w:pPr>
        <w:widowControl w:val="0"/>
        <w:autoSpaceDE w:val="0"/>
        <w:autoSpaceDN w:val="0"/>
        <w:adjustRightInd w:val="0"/>
        <w:rPr>
          <w:rFonts w:ascii="Arial" w:hAnsi="Arial" w:cs="Arial"/>
        </w:rPr>
      </w:pPr>
      <w:r>
        <w:rPr>
          <w:rFonts w:ascii="Arial" w:hAnsi="Arial" w:cs="Arial"/>
        </w:rPr>
        <w:t xml:space="preserve">The Regulations place a duty on the Secretary of State to propose a list of </w:t>
      </w:r>
      <w:proofErr w:type="gramStart"/>
      <w:r>
        <w:rPr>
          <w:rFonts w:ascii="Arial" w:hAnsi="Arial" w:cs="Arial"/>
        </w:rPr>
        <w:t>sites which</w:t>
      </w:r>
      <w:proofErr w:type="gramEnd"/>
      <w:r>
        <w:rPr>
          <w:rFonts w:ascii="Arial" w:hAnsi="Arial" w:cs="Arial"/>
        </w:rPr>
        <w:t xml:space="preserve"> are important for either habitats or species (listed in Annexes I and II of the Habitats Directive respectively) to the European Commission. Once the Commission and EU Member States have agreed that the sites submitted are worthy of designation, they are identified as Sites of Community Importance (SCIs). The EU Member States must then designate these sites as Special Areas of Conservation (SACs) within six years. The Regulations also require the compilation and maintenance of a register of European sites, to include SACs and Special Protection Areas (SPAs) classified under Council Directive 79/409/EEC on the Conservation of Wild Birds (the Birds Directive). These sites form a network termed </w:t>
      </w:r>
      <w:proofErr w:type="spellStart"/>
      <w:r>
        <w:rPr>
          <w:rFonts w:ascii="Arial" w:hAnsi="Arial" w:cs="Arial"/>
        </w:rPr>
        <w:t>Natura</w:t>
      </w:r>
      <w:proofErr w:type="spellEnd"/>
      <w:r>
        <w:rPr>
          <w:rFonts w:ascii="Arial" w:hAnsi="Arial" w:cs="Arial"/>
        </w:rPr>
        <w:t xml:space="preserve"> 2000.</w:t>
      </w:r>
    </w:p>
    <w:p w14:paraId="78B82805" w14:textId="77777777" w:rsidR="000A2FF2" w:rsidRDefault="000A2FF2" w:rsidP="000A2FF2">
      <w:pPr>
        <w:widowControl w:val="0"/>
        <w:autoSpaceDE w:val="0"/>
        <w:autoSpaceDN w:val="0"/>
        <w:adjustRightInd w:val="0"/>
        <w:rPr>
          <w:rFonts w:ascii="Arial" w:hAnsi="Arial" w:cs="Arial"/>
        </w:rPr>
      </w:pPr>
      <w:r>
        <w:rPr>
          <w:rFonts w:ascii="Arial" w:hAnsi="Arial" w:cs="Arial"/>
        </w:rPr>
        <w:t> </w:t>
      </w:r>
    </w:p>
    <w:p w14:paraId="4BE431FD" w14:textId="77777777" w:rsidR="000A2FF2" w:rsidRDefault="000A2FF2" w:rsidP="000A2FF2">
      <w:pPr>
        <w:widowControl w:val="0"/>
        <w:autoSpaceDE w:val="0"/>
        <w:autoSpaceDN w:val="0"/>
        <w:adjustRightInd w:val="0"/>
        <w:rPr>
          <w:rFonts w:ascii="Arial" w:hAnsi="Arial" w:cs="Arial"/>
        </w:rPr>
      </w:pPr>
      <w:r>
        <w:rPr>
          <w:rFonts w:ascii="Arial" w:hAnsi="Arial" w:cs="Arial"/>
        </w:rPr>
        <w:t>The Regulations enable the country agencies to enter into management agreements on land within or adjacent to a European site, in order to secure its conservation. If the agency is unable to conclude such an agreement, or if an agreement is breached, it may acquire the interest in the land compulsorily. The agency may also use its powers to make byelaws to protect European sites. The Regulations also provide for the control of potentially damaging operations, whereby consent from the country agency may only be granted once it has been shown through appropriate assessment that the proposed operation will not adversely affect the integrity of the site.  When considering potentially damaging operations, the country agencies apply the precautionary principle' i.e. consent cannot be given unless it is ascertained that there will be no adverse effect on the integrity of the site.</w:t>
      </w:r>
    </w:p>
    <w:p w14:paraId="0C5E9F97" w14:textId="77777777" w:rsidR="000A2FF2" w:rsidRDefault="000A2FF2" w:rsidP="000A2FF2">
      <w:pPr>
        <w:widowControl w:val="0"/>
        <w:autoSpaceDE w:val="0"/>
        <w:autoSpaceDN w:val="0"/>
        <w:adjustRightInd w:val="0"/>
        <w:rPr>
          <w:rFonts w:ascii="Arial" w:hAnsi="Arial" w:cs="Arial"/>
        </w:rPr>
      </w:pPr>
      <w:r>
        <w:rPr>
          <w:rFonts w:ascii="Arial" w:hAnsi="Arial" w:cs="Arial"/>
        </w:rPr>
        <w:t xml:space="preserve">In instances where damage could occur, the appropriate Minister may, if necessary, make special nature conservation orders, prohibiting any person from carrying out the operation. However, an operation may proceed where it is or forms part of a plan or project with no alternative solutions, which must be carried out for reasons of overriding public interest. In such instances the Secretary of State must secure compensation to ensure the overall integrity of the </w:t>
      </w:r>
      <w:proofErr w:type="spellStart"/>
      <w:r>
        <w:rPr>
          <w:rFonts w:ascii="Arial" w:hAnsi="Arial" w:cs="Arial"/>
        </w:rPr>
        <w:t>Natura</w:t>
      </w:r>
      <w:proofErr w:type="spellEnd"/>
      <w:r>
        <w:rPr>
          <w:rFonts w:ascii="Arial" w:hAnsi="Arial" w:cs="Arial"/>
        </w:rPr>
        <w:t xml:space="preserve"> 2000 system. The country agencies are required to review consents previously granted under the Wildlife and Countryside Act 1981 for land within a European site, and may modify or withdraw those that are incompatible with the conservation objectives of the site.</w:t>
      </w:r>
    </w:p>
    <w:p w14:paraId="251D0DD1" w14:textId="77777777" w:rsidR="000A2FF2" w:rsidRDefault="000A2FF2" w:rsidP="000A2FF2">
      <w:pPr>
        <w:widowControl w:val="0"/>
        <w:autoSpaceDE w:val="0"/>
        <w:autoSpaceDN w:val="0"/>
        <w:adjustRightInd w:val="0"/>
        <w:rPr>
          <w:rFonts w:ascii="Arial" w:hAnsi="Arial" w:cs="Arial"/>
        </w:rPr>
      </w:pPr>
      <w:r>
        <w:rPr>
          <w:rFonts w:ascii="Arial" w:hAnsi="Arial" w:cs="Arial"/>
        </w:rPr>
        <w:t> </w:t>
      </w:r>
    </w:p>
    <w:p w14:paraId="66A7D9F9" w14:textId="77777777" w:rsidR="000A2FF2" w:rsidRDefault="000A2FF2" w:rsidP="000A2FF2">
      <w:pPr>
        <w:widowControl w:val="0"/>
        <w:autoSpaceDE w:val="0"/>
        <w:autoSpaceDN w:val="0"/>
        <w:adjustRightInd w:val="0"/>
        <w:rPr>
          <w:rFonts w:ascii="Arial" w:hAnsi="Arial" w:cs="Arial"/>
        </w:rPr>
      </w:pPr>
      <w:r>
        <w:rPr>
          <w:rFonts w:ascii="Arial" w:hAnsi="Arial" w:cs="Arial"/>
        </w:rPr>
        <w:t xml:space="preserve">The Regulations make special provisions for the protection of European marine sites, requiring the country agencies to advise other authorities of the conservation objectives for a site, and also of the </w:t>
      </w:r>
      <w:proofErr w:type="gramStart"/>
      <w:r>
        <w:rPr>
          <w:rFonts w:ascii="Arial" w:hAnsi="Arial" w:cs="Arial"/>
        </w:rPr>
        <w:t>operations which</w:t>
      </w:r>
      <w:proofErr w:type="gramEnd"/>
      <w:r>
        <w:rPr>
          <w:rFonts w:ascii="Arial" w:hAnsi="Arial" w:cs="Arial"/>
        </w:rPr>
        <w:t xml:space="preserve"> may affect its integrity. The Regulations also enable the establishment of management schemes and byelaws by the relevant authorities and country agencies respectively, for the management and protection of European marine sites.</w:t>
      </w:r>
    </w:p>
    <w:p w14:paraId="5062177F" w14:textId="77777777" w:rsidR="000A2FF2" w:rsidRDefault="000A2FF2" w:rsidP="000A2FF2">
      <w:pPr>
        <w:widowControl w:val="0"/>
        <w:autoSpaceDE w:val="0"/>
        <w:autoSpaceDN w:val="0"/>
        <w:adjustRightInd w:val="0"/>
        <w:rPr>
          <w:rFonts w:ascii="Arial" w:hAnsi="Arial" w:cs="Arial"/>
        </w:rPr>
      </w:pPr>
      <w:r>
        <w:rPr>
          <w:rFonts w:ascii="Arial" w:hAnsi="Arial" w:cs="Arial"/>
        </w:rPr>
        <w:lastRenderedPageBreak/>
        <w:t> </w:t>
      </w:r>
    </w:p>
    <w:p w14:paraId="5E2C4E82" w14:textId="77777777" w:rsidR="000A2FF2" w:rsidRDefault="000A2FF2" w:rsidP="000A2FF2">
      <w:pPr>
        <w:widowControl w:val="0"/>
        <w:autoSpaceDE w:val="0"/>
        <w:autoSpaceDN w:val="0"/>
        <w:adjustRightInd w:val="0"/>
        <w:rPr>
          <w:rFonts w:ascii="Arial" w:hAnsi="Arial" w:cs="Arial"/>
        </w:rPr>
      </w:pPr>
      <w:r>
        <w:rPr>
          <w:rFonts w:ascii="Arial" w:hAnsi="Arial" w:cs="Arial"/>
        </w:rPr>
        <w:t xml:space="preserve">The Habitats Regulations apply only as far as the limit of territorial waters (12 nautical miles from baseline). The </w:t>
      </w:r>
      <w:hyperlink r:id="rId6" w:history="1">
        <w:r>
          <w:rPr>
            <w:rFonts w:ascii="Arial" w:hAnsi="Arial" w:cs="Arial"/>
            <w:color w:val="0A4E69"/>
            <w:u w:val="single" w:color="0A4E69"/>
          </w:rPr>
          <w:t>Offshore Petroleum Activities (Conservation of Habitats) Regulations 2001</w:t>
        </w:r>
      </w:hyperlink>
      <w:r>
        <w:rPr>
          <w:rFonts w:ascii="Arial" w:hAnsi="Arial" w:cs="Arial"/>
        </w:rPr>
        <w:t xml:space="preserve"> apply the Habitats Directive and the Birds Directive in relation to oil and gas plans or projects wholly or partly on the United Kingdom's Continental Shelf and superjacent waters outside territorial waters (the UKCS).</w:t>
      </w:r>
    </w:p>
    <w:p w14:paraId="64CCB63A" w14:textId="77777777" w:rsidR="000A2FF2" w:rsidRDefault="000A2FF2" w:rsidP="000A2FF2">
      <w:pPr>
        <w:widowControl w:val="0"/>
        <w:autoSpaceDE w:val="0"/>
        <w:autoSpaceDN w:val="0"/>
        <w:adjustRightInd w:val="0"/>
        <w:rPr>
          <w:rFonts w:ascii="Arial" w:hAnsi="Arial" w:cs="Arial"/>
        </w:rPr>
      </w:pPr>
      <w:r>
        <w:rPr>
          <w:rFonts w:ascii="Arial" w:hAnsi="Arial" w:cs="Arial"/>
        </w:rPr>
        <w:t> </w:t>
      </w:r>
    </w:p>
    <w:p w14:paraId="1C77C995" w14:textId="77777777" w:rsidR="000A2FF2" w:rsidRDefault="000A2FF2" w:rsidP="000A2FF2">
      <w:pPr>
        <w:widowControl w:val="0"/>
        <w:autoSpaceDE w:val="0"/>
        <w:autoSpaceDN w:val="0"/>
        <w:adjustRightInd w:val="0"/>
        <w:rPr>
          <w:rFonts w:ascii="Arial" w:hAnsi="Arial" w:cs="Arial"/>
          <w:b/>
          <w:bCs/>
          <w:color w:val="0A4E69"/>
          <w:sz w:val="36"/>
          <w:szCs w:val="36"/>
        </w:rPr>
      </w:pPr>
      <w:r>
        <w:rPr>
          <w:rFonts w:ascii="Arial" w:hAnsi="Arial" w:cs="Arial"/>
          <w:b/>
          <w:bCs/>
          <w:color w:val="0A4E69"/>
          <w:sz w:val="36"/>
          <w:szCs w:val="36"/>
        </w:rPr>
        <w:t>Protection of Species</w:t>
      </w:r>
    </w:p>
    <w:p w14:paraId="3A7D0BEE" w14:textId="77777777" w:rsidR="000A2FF2" w:rsidRDefault="000A2FF2" w:rsidP="000A2FF2">
      <w:pPr>
        <w:widowControl w:val="0"/>
        <w:autoSpaceDE w:val="0"/>
        <w:autoSpaceDN w:val="0"/>
        <w:adjustRightInd w:val="0"/>
        <w:rPr>
          <w:rFonts w:ascii="Arial" w:hAnsi="Arial" w:cs="Arial"/>
        </w:rPr>
      </w:pPr>
      <w:r>
        <w:rPr>
          <w:rFonts w:ascii="Arial" w:hAnsi="Arial" w:cs="Arial"/>
        </w:rPr>
        <w:t>The Regulations make it an offence (subject to exceptions) to deliberately capture, kill, disturb, or trade in the animals listed in Schedule 2, or pick, collect, cut, uproot, destroy, or trade in the plants listed in Schedule 4. However, these actions can be made lawful through the granting of licenses by the appropriate authorities. Licenses may be granted for a number of purposes (such as science and education, conservation, preserving public health and safety), but only after the appropriate authority is satisfied that there are no satisfactory alternatives and that such actions will have no detrimental effect on wild population of the species concerned.</w:t>
      </w:r>
    </w:p>
    <w:p w14:paraId="6A3F8924" w14:textId="77777777" w:rsidR="000A2FF2" w:rsidRDefault="000A2FF2" w:rsidP="000A2FF2">
      <w:pPr>
        <w:widowControl w:val="0"/>
        <w:autoSpaceDE w:val="0"/>
        <w:autoSpaceDN w:val="0"/>
        <w:adjustRightInd w:val="0"/>
        <w:rPr>
          <w:rFonts w:ascii="Arial" w:hAnsi="Arial" w:cs="Arial"/>
        </w:rPr>
      </w:pPr>
      <w:r>
        <w:rPr>
          <w:rFonts w:ascii="Arial" w:hAnsi="Arial" w:cs="Arial"/>
        </w:rPr>
        <w:t> </w:t>
      </w:r>
    </w:p>
    <w:p w14:paraId="227D288F" w14:textId="77777777" w:rsidR="000A2FF2" w:rsidRDefault="000A2FF2" w:rsidP="000A2FF2">
      <w:pPr>
        <w:widowControl w:val="0"/>
        <w:autoSpaceDE w:val="0"/>
        <w:autoSpaceDN w:val="0"/>
        <w:adjustRightInd w:val="0"/>
        <w:rPr>
          <w:rFonts w:ascii="Arial" w:hAnsi="Arial" w:cs="Arial"/>
          <w:b/>
          <w:bCs/>
          <w:color w:val="0A4E69"/>
          <w:sz w:val="36"/>
          <w:szCs w:val="36"/>
        </w:rPr>
      </w:pPr>
      <w:r>
        <w:rPr>
          <w:rFonts w:ascii="Arial" w:hAnsi="Arial" w:cs="Arial"/>
          <w:b/>
          <w:bCs/>
          <w:color w:val="0A4E69"/>
          <w:sz w:val="36"/>
          <w:szCs w:val="36"/>
        </w:rPr>
        <w:t>Adaptation of Planning and Other Controls</w:t>
      </w:r>
    </w:p>
    <w:p w14:paraId="3689C0CE" w14:textId="77777777" w:rsidR="000A2FF2" w:rsidRDefault="000A2FF2" w:rsidP="000A2FF2">
      <w:pPr>
        <w:widowControl w:val="0"/>
        <w:autoSpaceDE w:val="0"/>
        <w:autoSpaceDN w:val="0"/>
        <w:adjustRightInd w:val="0"/>
        <w:rPr>
          <w:rFonts w:ascii="Arial" w:hAnsi="Arial" w:cs="Arial"/>
        </w:rPr>
      </w:pPr>
      <w:r>
        <w:rPr>
          <w:rFonts w:ascii="Arial" w:hAnsi="Arial" w:cs="Arial"/>
        </w:rPr>
        <w:t xml:space="preserve">The Regulations require competent authorities to consider or review planning permission, applied for or granted, affecting a European site, and, subject to certain exceptions, restrict or revoke permission where the integrity of the site would be adversely affected. Equivalent consideration and review provisions are made with respects to highways and roads, electricity, </w:t>
      </w:r>
      <w:proofErr w:type="gramStart"/>
      <w:r>
        <w:rPr>
          <w:rFonts w:ascii="Arial" w:hAnsi="Arial" w:cs="Arial"/>
        </w:rPr>
        <w:t>pipe-lines</w:t>
      </w:r>
      <w:proofErr w:type="gramEnd"/>
      <w:r>
        <w:rPr>
          <w:rFonts w:ascii="Arial" w:hAnsi="Arial" w:cs="Arial"/>
        </w:rPr>
        <w:t>, transport and works, and environmental controls (including discharge consents under water pollution legislation). Special provisions are also made as respects general development orders, special development orders, simplified planning zones and enterprise zones.</w:t>
      </w:r>
    </w:p>
    <w:p w14:paraId="5DB663EB" w14:textId="77777777" w:rsidR="000A2FF2" w:rsidRDefault="000A2FF2" w:rsidP="000A2FF2">
      <w:pPr>
        <w:widowControl w:val="0"/>
        <w:autoSpaceDE w:val="0"/>
        <w:autoSpaceDN w:val="0"/>
        <w:adjustRightInd w:val="0"/>
        <w:rPr>
          <w:rFonts w:ascii="Arial" w:hAnsi="Arial" w:cs="Arial"/>
          <w:sz w:val="26"/>
          <w:szCs w:val="26"/>
        </w:rPr>
      </w:pPr>
      <w:r>
        <w:rPr>
          <w:rFonts w:ascii="Arial" w:hAnsi="Arial" w:cs="Arial"/>
          <w:sz w:val="26"/>
          <w:szCs w:val="26"/>
        </w:rPr>
        <w:t> </w:t>
      </w:r>
    </w:p>
    <w:p w14:paraId="39241A58" w14:textId="77777777" w:rsidR="0060326A" w:rsidRDefault="000A2FF2" w:rsidP="000A2FF2">
      <w:pPr>
        <w:rPr>
          <w:rFonts w:ascii="Arial" w:hAnsi="Arial" w:cs="Arial"/>
          <w:sz w:val="26"/>
          <w:szCs w:val="26"/>
        </w:rPr>
      </w:pPr>
      <w:r>
        <w:rPr>
          <w:rFonts w:ascii="Arial" w:hAnsi="Arial" w:cs="Arial"/>
          <w:sz w:val="26"/>
          <w:szCs w:val="26"/>
        </w:rPr>
        <w:t>June 2010</w:t>
      </w:r>
    </w:p>
    <w:p w14:paraId="391371FE" w14:textId="77777777" w:rsidR="001E4C74" w:rsidRDefault="001E4C74" w:rsidP="000A2FF2">
      <w:pPr>
        <w:rPr>
          <w:rFonts w:ascii="Arial" w:hAnsi="Arial" w:cs="Arial"/>
          <w:sz w:val="26"/>
          <w:szCs w:val="26"/>
        </w:rPr>
      </w:pPr>
    </w:p>
    <w:p w14:paraId="3A08F6D0" w14:textId="77777777" w:rsidR="001E4C74" w:rsidRDefault="001E4C74" w:rsidP="001E4C74">
      <w:pPr>
        <w:widowControl w:val="0"/>
        <w:autoSpaceDE w:val="0"/>
        <w:autoSpaceDN w:val="0"/>
        <w:adjustRightInd w:val="0"/>
        <w:rPr>
          <w:rFonts w:ascii="Arial" w:hAnsi="Arial" w:cs="Arial"/>
          <w:b/>
          <w:bCs/>
          <w:color w:val="0A4E69"/>
          <w:sz w:val="44"/>
          <w:szCs w:val="44"/>
        </w:rPr>
      </w:pPr>
      <w:r>
        <w:rPr>
          <w:rFonts w:ascii="Arial" w:hAnsi="Arial" w:cs="Arial"/>
          <w:b/>
          <w:bCs/>
          <w:color w:val="0A4E69"/>
          <w:sz w:val="44"/>
          <w:szCs w:val="44"/>
        </w:rPr>
        <w:t>The Countryside and Rights of Way Act 2000</w:t>
      </w:r>
    </w:p>
    <w:p w14:paraId="04F165BA" w14:textId="77777777" w:rsidR="001E4C74" w:rsidRDefault="001E4C74" w:rsidP="001E4C74">
      <w:pPr>
        <w:widowControl w:val="0"/>
        <w:autoSpaceDE w:val="0"/>
        <w:autoSpaceDN w:val="0"/>
        <w:adjustRightInd w:val="0"/>
        <w:rPr>
          <w:rFonts w:ascii="Arial" w:hAnsi="Arial" w:cs="Arial"/>
        </w:rPr>
      </w:pPr>
      <w:r>
        <w:rPr>
          <w:rFonts w:ascii="Arial" w:hAnsi="Arial" w:cs="Arial"/>
        </w:rPr>
        <w:t> </w:t>
      </w:r>
    </w:p>
    <w:p w14:paraId="3BD85415" w14:textId="77777777" w:rsidR="001E4C74" w:rsidRDefault="001E4C74" w:rsidP="001E4C74">
      <w:pPr>
        <w:widowControl w:val="0"/>
        <w:autoSpaceDE w:val="0"/>
        <w:autoSpaceDN w:val="0"/>
        <w:adjustRightInd w:val="0"/>
        <w:rPr>
          <w:rFonts w:ascii="Arial" w:hAnsi="Arial" w:cs="Arial"/>
          <w:sz w:val="26"/>
          <w:szCs w:val="26"/>
        </w:rPr>
      </w:pPr>
      <w:hyperlink r:id="rId7" w:history="1">
        <w:r>
          <w:rPr>
            <w:rFonts w:ascii="Arial" w:hAnsi="Arial" w:cs="Arial"/>
            <w:color w:val="0A4E69"/>
            <w:sz w:val="26"/>
            <w:szCs w:val="26"/>
            <w:u w:val="single" w:color="0A4E69"/>
          </w:rPr>
          <w:t>The Countryside and Rights of Way Act 2000</w:t>
        </w:r>
      </w:hyperlink>
      <w:r>
        <w:rPr>
          <w:rFonts w:ascii="Arial" w:hAnsi="Arial" w:cs="Arial"/>
          <w:sz w:val="26"/>
          <w:szCs w:val="26"/>
        </w:rPr>
        <w:t xml:space="preserve"> (</w:t>
      </w:r>
      <w:proofErr w:type="spellStart"/>
      <w:r>
        <w:rPr>
          <w:rFonts w:ascii="Arial" w:hAnsi="Arial" w:cs="Arial"/>
          <w:sz w:val="26"/>
          <w:szCs w:val="26"/>
        </w:rPr>
        <w:t>CRoW</w:t>
      </w:r>
      <w:proofErr w:type="spellEnd"/>
      <w:r>
        <w:rPr>
          <w:rFonts w:ascii="Arial" w:hAnsi="Arial" w:cs="Arial"/>
          <w:sz w:val="26"/>
          <w:szCs w:val="26"/>
        </w:rPr>
        <w:t xml:space="preserve"> Act 2000) applies to England and Wales only, received Royal Assent on 30 November 2000, with the provisions it contains being brought into force in incremental steps over subsequent years. Containing five Parts and 16 Schedules, the Act provides for public access on foot to certain types of land, amends the law relating to public rights of way, increases measures for the management and protection for Sites of Special Scientific Interest (SSSI) and strengthens wildlife enforcement legislation, and provides for better management of Areas of Outstanding Natural Beauty (AONB). The Act is compliant with the provisions of the European Convention on Human Rights, requiring consultation where the rights of the individual may be affected by these measures.</w:t>
      </w:r>
    </w:p>
    <w:p w14:paraId="751E765A" w14:textId="77777777" w:rsidR="001E4C74" w:rsidRDefault="001E4C74" w:rsidP="001E4C74">
      <w:pPr>
        <w:widowControl w:val="0"/>
        <w:autoSpaceDE w:val="0"/>
        <w:autoSpaceDN w:val="0"/>
        <w:adjustRightInd w:val="0"/>
        <w:rPr>
          <w:rFonts w:ascii="Arial" w:hAnsi="Arial" w:cs="Arial"/>
          <w:sz w:val="26"/>
          <w:szCs w:val="26"/>
        </w:rPr>
      </w:pPr>
      <w:r>
        <w:rPr>
          <w:rFonts w:ascii="Arial" w:hAnsi="Arial" w:cs="Arial"/>
          <w:sz w:val="26"/>
          <w:szCs w:val="26"/>
        </w:rPr>
        <w:t> </w:t>
      </w:r>
    </w:p>
    <w:p w14:paraId="2CAF5AE6" w14:textId="77777777" w:rsidR="001E4C74" w:rsidRDefault="001E4C74" w:rsidP="001E4C74">
      <w:pPr>
        <w:widowControl w:val="0"/>
        <w:autoSpaceDE w:val="0"/>
        <w:autoSpaceDN w:val="0"/>
        <w:adjustRightInd w:val="0"/>
        <w:rPr>
          <w:rFonts w:ascii="Arial" w:hAnsi="Arial" w:cs="Arial"/>
          <w:b/>
          <w:bCs/>
          <w:color w:val="0A4E69"/>
          <w:sz w:val="36"/>
          <w:szCs w:val="36"/>
        </w:rPr>
      </w:pPr>
      <w:r>
        <w:rPr>
          <w:rFonts w:ascii="Arial" w:hAnsi="Arial" w:cs="Arial"/>
          <w:b/>
          <w:bCs/>
          <w:color w:val="0A4E69"/>
          <w:sz w:val="36"/>
          <w:szCs w:val="36"/>
        </w:rPr>
        <w:t>Access to the Countryside</w:t>
      </w:r>
    </w:p>
    <w:p w14:paraId="5E3EFB4D" w14:textId="77777777" w:rsidR="001E4C74" w:rsidRDefault="001E4C74" w:rsidP="001E4C74">
      <w:pPr>
        <w:widowControl w:val="0"/>
        <w:autoSpaceDE w:val="0"/>
        <w:autoSpaceDN w:val="0"/>
        <w:adjustRightInd w:val="0"/>
        <w:rPr>
          <w:rFonts w:ascii="Arial" w:hAnsi="Arial" w:cs="Arial"/>
          <w:sz w:val="26"/>
          <w:szCs w:val="26"/>
        </w:rPr>
      </w:pPr>
      <w:r>
        <w:rPr>
          <w:rFonts w:ascii="Arial" w:hAnsi="Arial" w:cs="Arial"/>
          <w:sz w:val="26"/>
          <w:szCs w:val="26"/>
        </w:rPr>
        <w:t xml:space="preserve">The Act provides a new right of public access on foot to areas of open land comprising mountain, moor, heath, down, and registered common land, and contains provisions for extending the right to coastal land.  The Act also provides </w:t>
      </w:r>
      <w:proofErr w:type="gramStart"/>
      <w:r>
        <w:rPr>
          <w:rFonts w:ascii="Arial" w:hAnsi="Arial" w:cs="Arial"/>
          <w:sz w:val="26"/>
          <w:szCs w:val="26"/>
        </w:rPr>
        <w:t>safeguards which</w:t>
      </w:r>
      <w:proofErr w:type="gramEnd"/>
      <w:r>
        <w:rPr>
          <w:rFonts w:ascii="Arial" w:hAnsi="Arial" w:cs="Arial"/>
          <w:sz w:val="26"/>
          <w:szCs w:val="26"/>
        </w:rPr>
        <w:t xml:space="preserve"> take into account the needs of landowners and occupiers, and of other interests, including wildlife.</w:t>
      </w:r>
    </w:p>
    <w:p w14:paraId="313B9955" w14:textId="77777777" w:rsidR="001E4C74" w:rsidRDefault="001E4C74" w:rsidP="001E4C74">
      <w:pPr>
        <w:widowControl w:val="0"/>
        <w:autoSpaceDE w:val="0"/>
        <w:autoSpaceDN w:val="0"/>
        <w:adjustRightInd w:val="0"/>
        <w:rPr>
          <w:rFonts w:ascii="Arial" w:hAnsi="Arial" w:cs="Arial"/>
          <w:sz w:val="26"/>
          <w:szCs w:val="26"/>
        </w:rPr>
      </w:pPr>
      <w:r>
        <w:rPr>
          <w:rFonts w:ascii="Arial" w:hAnsi="Arial" w:cs="Arial"/>
          <w:sz w:val="26"/>
          <w:szCs w:val="26"/>
        </w:rPr>
        <w:t> </w:t>
      </w:r>
    </w:p>
    <w:p w14:paraId="56761BFB" w14:textId="77777777" w:rsidR="001E4C74" w:rsidRDefault="001E4C74" w:rsidP="001E4C74">
      <w:pPr>
        <w:widowControl w:val="0"/>
        <w:autoSpaceDE w:val="0"/>
        <w:autoSpaceDN w:val="0"/>
        <w:adjustRightInd w:val="0"/>
        <w:rPr>
          <w:rFonts w:ascii="Arial" w:hAnsi="Arial" w:cs="Arial"/>
          <w:b/>
          <w:bCs/>
          <w:color w:val="0A4E69"/>
          <w:sz w:val="36"/>
          <w:szCs w:val="36"/>
        </w:rPr>
      </w:pPr>
      <w:r>
        <w:rPr>
          <w:rFonts w:ascii="Arial" w:hAnsi="Arial" w:cs="Arial"/>
          <w:b/>
          <w:bCs/>
          <w:color w:val="0A4E69"/>
          <w:sz w:val="36"/>
          <w:szCs w:val="36"/>
        </w:rPr>
        <w:t>Public Rights of Way and Road Traffic</w:t>
      </w:r>
    </w:p>
    <w:p w14:paraId="0C1C5EAD" w14:textId="77777777" w:rsidR="001E4C74" w:rsidRDefault="001E4C74" w:rsidP="001E4C74">
      <w:pPr>
        <w:widowControl w:val="0"/>
        <w:autoSpaceDE w:val="0"/>
        <w:autoSpaceDN w:val="0"/>
        <w:adjustRightInd w:val="0"/>
        <w:rPr>
          <w:rFonts w:ascii="Arial" w:hAnsi="Arial" w:cs="Arial"/>
          <w:sz w:val="26"/>
          <w:szCs w:val="26"/>
        </w:rPr>
      </w:pPr>
      <w:r>
        <w:rPr>
          <w:rFonts w:ascii="Arial" w:hAnsi="Arial" w:cs="Arial"/>
          <w:sz w:val="26"/>
          <w:szCs w:val="26"/>
        </w:rPr>
        <w:t>The Act improves the rights of way legislation by encouraging the creation of new routes and clarifying uncertainties about existing rights. Of particular relevance to nature conservation, the Act introduces powers enabling the diversion of rights of way to protect SSSIs.</w:t>
      </w:r>
    </w:p>
    <w:p w14:paraId="3768DB4E" w14:textId="77777777" w:rsidR="001E4C74" w:rsidRDefault="001E4C74" w:rsidP="001E4C74">
      <w:pPr>
        <w:widowControl w:val="0"/>
        <w:autoSpaceDE w:val="0"/>
        <w:autoSpaceDN w:val="0"/>
        <w:adjustRightInd w:val="0"/>
        <w:rPr>
          <w:rFonts w:ascii="Arial" w:hAnsi="Arial" w:cs="Arial"/>
          <w:sz w:val="26"/>
          <w:szCs w:val="26"/>
        </w:rPr>
      </w:pPr>
      <w:r>
        <w:rPr>
          <w:rFonts w:ascii="Arial" w:hAnsi="Arial" w:cs="Arial"/>
          <w:sz w:val="26"/>
          <w:szCs w:val="26"/>
        </w:rPr>
        <w:t> </w:t>
      </w:r>
    </w:p>
    <w:p w14:paraId="4CB20B9D" w14:textId="77777777" w:rsidR="001E4C74" w:rsidRDefault="001E4C74" w:rsidP="001E4C74">
      <w:pPr>
        <w:widowControl w:val="0"/>
        <w:autoSpaceDE w:val="0"/>
        <w:autoSpaceDN w:val="0"/>
        <w:adjustRightInd w:val="0"/>
        <w:rPr>
          <w:rFonts w:ascii="Arial" w:hAnsi="Arial" w:cs="Arial"/>
          <w:b/>
          <w:bCs/>
          <w:color w:val="0A4E69"/>
          <w:sz w:val="36"/>
          <w:szCs w:val="36"/>
        </w:rPr>
      </w:pPr>
      <w:r>
        <w:rPr>
          <w:rFonts w:ascii="Arial" w:hAnsi="Arial" w:cs="Arial"/>
          <w:b/>
          <w:bCs/>
          <w:color w:val="0A4E69"/>
          <w:sz w:val="36"/>
          <w:szCs w:val="36"/>
        </w:rPr>
        <w:t>Nature Conservation and Wildlife Protection</w:t>
      </w:r>
    </w:p>
    <w:p w14:paraId="65745C6D" w14:textId="77777777" w:rsidR="001E4C74" w:rsidRDefault="001E4C74" w:rsidP="001E4C74">
      <w:pPr>
        <w:widowControl w:val="0"/>
        <w:autoSpaceDE w:val="0"/>
        <w:autoSpaceDN w:val="0"/>
        <w:adjustRightInd w:val="0"/>
        <w:rPr>
          <w:rFonts w:ascii="Arial" w:hAnsi="Arial" w:cs="Arial"/>
          <w:sz w:val="26"/>
          <w:szCs w:val="26"/>
        </w:rPr>
      </w:pPr>
      <w:r>
        <w:rPr>
          <w:rFonts w:ascii="Arial" w:hAnsi="Arial" w:cs="Arial"/>
          <w:sz w:val="26"/>
          <w:szCs w:val="26"/>
        </w:rPr>
        <w:t>The Act places a duty on Government Departments and the National Assembly for Wales to have regard for the conservation of biodiversity and maintain lists of species and habitats for which conservation steps should be taken or promoted, in accordance with the Convention on Biological Diversity.</w:t>
      </w:r>
    </w:p>
    <w:p w14:paraId="3C0AABFF" w14:textId="77777777" w:rsidR="001E4C74" w:rsidRDefault="001E4C74" w:rsidP="001E4C74">
      <w:pPr>
        <w:widowControl w:val="0"/>
        <w:autoSpaceDE w:val="0"/>
        <w:autoSpaceDN w:val="0"/>
        <w:adjustRightInd w:val="0"/>
        <w:rPr>
          <w:rFonts w:ascii="Arial" w:hAnsi="Arial" w:cs="Arial"/>
          <w:sz w:val="26"/>
          <w:szCs w:val="26"/>
        </w:rPr>
      </w:pPr>
      <w:r>
        <w:rPr>
          <w:rFonts w:ascii="Arial" w:hAnsi="Arial" w:cs="Arial"/>
          <w:sz w:val="26"/>
          <w:szCs w:val="26"/>
        </w:rPr>
        <w:t> </w:t>
      </w:r>
    </w:p>
    <w:p w14:paraId="00752CC8" w14:textId="77777777" w:rsidR="001E4C74" w:rsidRDefault="001E4C74" w:rsidP="001E4C74">
      <w:pPr>
        <w:widowControl w:val="0"/>
        <w:autoSpaceDE w:val="0"/>
        <w:autoSpaceDN w:val="0"/>
        <w:adjustRightInd w:val="0"/>
        <w:rPr>
          <w:rFonts w:ascii="Arial" w:hAnsi="Arial" w:cs="Arial"/>
          <w:sz w:val="26"/>
          <w:szCs w:val="26"/>
        </w:rPr>
      </w:pPr>
      <w:r>
        <w:rPr>
          <w:rFonts w:ascii="Arial" w:hAnsi="Arial" w:cs="Arial"/>
          <w:sz w:val="26"/>
          <w:szCs w:val="26"/>
        </w:rPr>
        <w:t>Schedule 9 of the Act amends SSSI provisions of the Wildlife and Countryside Act 1981, including provisions to change SSSIs and providing increased powers for their protection and management. The provisions extend powers for entering into management agreements; place a duty on public bodies to further the conservation and enhancement of SSSIs; increases penalties on conviction where the provisions are breached; and introduce a new offence whereby third parties can be convicted for damaging SSSIs. To ensure compliance with the Human Rights Act 1998, appeal processes are introduced with regards to the notification, management and protection of SSSIs.</w:t>
      </w:r>
    </w:p>
    <w:p w14:paraId="2A43B1A6" w14:textId="77777777" w:rsidR="001E4C74" w:rsidRDefault="001E4C74" w:rsidP="001E4C74">
      <w:pPr>
        <w:widowControl w:val="0"/>
        <w:autoSpaceDE w:val="0"/>
        <w:autoSpaceDN w:val="0"/>
        <w:adjustRightInd w:val="0"/>
        <w:rPr>
          <w:rFonts w:ascii="Arial" w:hAnsi="Arial" w:cs="Arial"/>
          <w:sz w:val="26"/>
          <w:szCs w:val="26"/>
        </w:rPr>
      </w:pPr>
      <w:r>
        <w:rPr>
          <w:rFonts w:ascii="Arial" w:hAnsi="Arial" w:cs="Arial"/>
          <w:sz w:val="26"/>
          <w:szCs w:val="26"/>
        </w:rPr>
        <w:t> </w:t>
      </w:r>
    </w:p>
    <w:p w14:paraId="0203019B" w14:textId="77777777" w:rsidR="001E4C74" w:rsidRDefault="001E4C74" w:rsidP="001E4C74">
      <w:pPr>
        <w:widowControl w:val="0"/>
        <w:autoSpaceDE w:val="0"/>
        <w:autoSpaceDN w:val="0"/>
        <w:adjustRightInd w:val="0"/>
        <w:rPr>
          <w:rFonts w:ascii="Arial" w:hAnsi="Arial" w:cs="Arial"/>
          <w:sz w:val="26"/>
          <w:szCs w:val="26"/>
        </w:rPr>
      </w:pPr>
      <w:r>
        <w:rPr>
          <w:rFonts w:ascii="Arial" w:hAnsi="Arial" w:cs="Arial"/>
          <w:sz w:val="26"/>
          <w:szCs w:val="26"/>
        </w:rPr>
        <w:t>Schedule 12 of the Act amends the species provisions of the Wildlife and Countryside Act 1981, strengthening the legal protection for threatened species. The provisions make certain offences '</w:t>
      </w:r>
      <w:proofErr w:type="spellStart"/>
      <w:r>
        <w:rPr>
          <w:rFonts w:ascii="Arial" w:hAnsi="Arial" w:cs="Arial"/>
          <w:sz w:val="26"/>
          <w:szCs w:val="26"/>
        </w:rPr>
        <w:t>arrestable</w:t>
      </w:r>
      <w:proofErr w:type="spellEnd"/>
      <w:r>
        <w:rPr>
          <w:rFonts w:ascii="Arial" w:hAnsi="Arial" w:cs="Arial"/>
          <w:sz w:val="26"/>
          <w:szCs w:val="26"/>
        </w:rPr>
        <w:t>', create a new offence of reckless disturbance, confer greater powers to police and wildlife inspectors for entering premises and obtaining wildlife tissue samples for DNA analysis, and enable heavier penalties on conviction of wildlife offences.</w:t>
      </w:r>
    </w:p>
    <w:p w14:paraId="48613D2F" w14:textId="77777777" w:rsidR="001E4C74" w:rsidRDefault="001E4C74" w:rsidP="001E4C74">
      <w:pPr>
        <w:widowControl w:val="0"/>
        <w:autoSpaceDE w:val="0"/>
        <w:autoSpaceDN w:val="0"/>
        <w:adjustRightInd w:val="0"/>
        <w:rPr>
          <w:rFonts w:ascii="Arial" w:hAnsi="Arial" w:cs="Arial"/>
          <w:sz w:val="26"/>
          <w:szCs w:val="26"/>
        </w:rPr>
      </w:pPr>
      <w:r>
        <w:rPr>
          <w:rFonts w:ascii="Arial" w:hAnsi="Arial" w:cs="Arial"/>
          <w:sz w:val="26"/>
          <w:szCs w:val="26"/>
        </w:rPr>
        <w:t> </w:t>
      </w:r>
    </w:p>
    <w:p w14:paraId="55751A2A" w14:textId="77777777" w:rsidR="001E4C74" w:rsidRDefault="001E4C74" w:rsidP="001E4C74">
      <w:pPr>
        <w:widowControl w:val="0"/>
        <w:autoSpaceDE w:val="0"/>
        <w:autoSpaceDN w:val="0"/>
        <w:adjustRightInd w:val="0"/>
        <w:rPr>
          <w:rFonts w:ascii="Arial" w:hAnsi="Arial" w:cs="Arial"/>
          <w:b/>
          <w:bCs/>
          <w:color w:val="0A4E69"/>
          <w:sz w:val="36"/>
          <w:szCs w:val="36"/>
        </w:rPr>
      </w:pPr>
      <w:r>
        <w:rPr>
          <w:rFonts w:ascii="Arial" w:hAnsi="Arial" w:cs="Arial"/>
          <w:b/>
          <w:bCs/>
          <w:color w:val="0A4E69"/>
          <w:sz w:val="36"/>
          <w:szCs w:val="36"/>
        </w:rPr>
        <w:t>Areas of Outstanding Natural Beauty (AONBs)</w:t>
      </w:r>
    </w:p>
    <w:p w14:paraId="0879AD81" w14:textId="77777777" w:rsidR="001E4C74" w:rsidRDefault="001E4C74" w:rsidP="001E4C74">
      <w:pPr>
        <w:widowControl w:val="0"/>
        <w:autoSpaceDE w:val="0"/>
        <w:autoSpaceDN w:val="0"/>
        <w:adjustRightInd w:val="0"/>
        <w:rPr>
          <w:rFonts w:ascii="Arial" w:hAnsi="Arial" w:cs="Arial"/>
          <w:sz w:val="26"/>
          <w:szCs w:val="26"/>
        </w:rPr>
      </w:pPr>
      <w:r>
        <w:rPr>
          <w:rFonts w:ascii="Arial" w:hAnsi="Arial" w:cs="Arial"/>
          <w:sz w:val="26"/>
          <w:szCs w:val="26"/>
        </w:rPr>
        <w:t>The Act clarifies the procedure and purpose of designating AONBs, and consolidates the provisions of previous legislation. It requires local authorities to produce management plans for each AONB, and enables the creation of Conservation Boards in order to assume responsibility for AONBs, particularly where the land designated crosses several local authority jurisdictions. The Act also requires all relevant authorities to have regard to the purpose of conserving and enhancing the natural beauty of AONBs when performing their functions.</w:t>
      </w:r>
    </w:p>
    <w:p w14:paraId="3F01E516" w14:textId="77777777" w:rsidR="001E4C74" w:rsidRDefault="001E4C74" w:rsidP="001E4C74">
      <w:pPr>
        <w:widowControl w:val="0"/>
        <w:autoSpaceDE w:val="0"/>
        <w:autoSpaceDN w:val="0"/>
        <w:adjustRightInd w:val="0"/>
        <w:rPr>
          <w:rFonts w:ascii="Arial" w:hAnsi="Arial" w:cs="Arial"/>
          <w:sz w:val="26"/>
          <w:szCs w:val="26"/>
        </w:rPr>
      </w:pPr>
    </w:p>
    <w:p w14:paraId="46BE51D0" w14:textId="77777777" w:rsidR="001E4C74" w:rsidRDefault="001E4C74" w:rsidP="001E4C74">
      <w:pPr>
        <w:widowControl w:val="0"/>
        <w:autoSpaceDE w:val="0"/>
        <w:autoSpaceDN w:val="0"/>
        <w:adjustRightInd w:val="0"/>
        <w:rPr>
          <w:rFonts w:ascii="Arial" w:hAnsi="Arial" w:cs="Arial"/>
          <w:sz w:val="26"/>
          <w:szCs w:val="26"/>
        </w:rPr>
      </w:pPr>
      <w:r>
        <w:rPr>
          <w:rFonts w:ascii="Arial" w:hAnsi="Arial" w:cs="Arial"/>
          <w:sz w:val="26"/>
          <w:szCs w:val="26"/>
        </w:rPr>
        <w:t> </w:t>
      </w:r>
    </w:p>
    <w:p w14:paraId="0E5563B8" w14:textId="77777777" w:rsidR="001E4C74" w:rsidRDefault="001E4C74" w:rsidP="001E4C74">
      <w:pPr>
        <w:rPr>
          <w:rFonts w:ascii="Arial" w:hAnsi="Arial" w:cs="Arial"/>
          <w:sz w:val="26"/>
          <w:szCs w:val="26"/>
        </w:rPr>
      </w:pPr>
      <w:r>
        <w:rPr>
          <w:rFonts w:ascii="Arial" w:hAnsi="Arial" w:cs="Arial"/>
          <w:sz w:val="26"/>
          <w:szCs w:val="26"/>
        </w:rPr>
        <w:t>April 2010</w:t>
      </w:r>
    </w:p>
    <w:p w14:paraId="6A63F1BB" w14:textId="77777777" w:rsidR="00774A0A" w:rsidRDefault="00774A0A" w:rsidP="001E4C74">
      <w:pPr>
        <w:rPr>
          <w:rFonts w:ascii="Arial" w:hAnsi="Arial" w:cs="Arial"/>
          <w:sz w:val="26"/>
          <w:szCs w:val="26"/>
        </w:rPr>
      </w:pPr>
    </w:p>
    <w:p w14:paraId="173D8BF2" w14:textId="77777777" w:rsidR="00774A0A" w:rsidRDefault="00774A0A" w:rsidP="001E4C74">
      <w:pPr>
        <w:rPr>
          <w:rFonts w:ascii="Arial" w:hAnsi="Arial" w:cs="Arial"/>
          <w:sz w:val="26"/>
          <w:szCs w:val="26"/>
        </w:rPr>
      </w:pPr>
    </w:p>
    <w:p w14:paraId="2BFE440D" w14:textId="77777777" w:rsidR="00774A0A" w:rsidRDefault="00774A0A" w:rsidP="00774A0A">
      <w:pPr>
        <w:widowControl w:val="0"/>
        <w:autoSpaceDE w:val="0"/>
        <w:autoSpaceDN w:val="0"/>
        <w:adjustRightInd w:val="0"/>
        <w:rPr>
          <w:rFonts w:ascii="Helvetica" w:hAnsi="Helvetica" w:cs="Helvetica"/>
          <w:color w:val="0B5526"/>
          <w:sz w:val="56"/>
          <w:szCs w:val="56"/>
        </w:rPr>
      </w:pPr>
      <w:r>
        <w:rPr>
          <w:rFonts w:ascii="Helvetica" w:hAnsi="Helvetica" w:cs="Helvetica"/>
          <w:color w:val="0B5526"/>
          <w:sz w:val="56"/>
          <w:szCs w:val="56"/>
        </w:rPr>
        <w:t>The UK Forestry Standard</w:t>
      </w:r>
    </w:p>
    <w:p w14:paraId="1C075B03" w14:textId="77777777" w:rsidR="00774A0A" w:rsidRDefault="00774A0A" w:rsidP="00774A0A">
      <w:pPr>
        <w:widowControl w:val="0"/>
        <w:autoSpaceDE w:val="0"/>
        <w:autoSpaceDN w:val="0"/>
        <w:adjustRightInd w:val="0"/>
        <w:rPr>
          <w:rFonts w:ascii="Verdana Bold Italic" w:hAnsi="Verdana Bold Italic" w:cs="Verdana Bold Italic"/>
          <w:color w:val="FFFFFF"/>
          <w:sz w:val="26"/>
          <w:szCs w:val="26"/>
          <w:u w:val="single" w:color="FFFFFF"/>
        </w:rPr>
      </w:pPr>
      <w:hyperlink r:id="rId8" w:history="1">
        <w:r>
          <w:rPr>
            <w:rFonts w:ascii="Verdana Bold Italic" w:hAnsi="Verdana Bold Italic" w:cs="Verdana Bold Italic"/>
            <w:color w:val="FFFFFF"/>
            <w:sz w:val="26"/>
            <w:szCs w:val="26"/>
            <w:u w:val="single" w:color="FFFFFF"/>
          </w:rPr>
          <w:t>Share</w:t>
        </w:r>
      </w:hyperlink>
    </w:p>
    <w:p w14:paraId="147346FA" w14:textId="1AD47874" w:rsidR="00774A0A" w:rsidRDefault="00774A0A" w:rsidP="00774A0A">
      <w:pPr>
        <w:widowControl w:val="0"/>
        <w:autoSpaceDE w:val="0"/>
        <w:autoSpaceDN w:val="0"/>
        <w:adjustRightInd w:val="0"/>
        <w:rPr>
          <w:rFonts w:ascii="Verdana Bold Italic" w:hAnsi="Verdana Bold Italic" w:cs="Verdana Bold Italic"/>
          <w:color w:val="3F3F3F"/>
          <w:sz w:val="26"/>
          <w:szCs w:val="26"/>
          <w:u w:color="FFFFFF"/>
        </w:rPr>
      </w:pPr>
    </w:p>
    <w:tbl>
      <w:tblPr>
        <w:tblW w:w="0" w:type="auto"/>
        <w:tblBorders>
          <w:top w:val="nil"/>
          <w:left w:val="nil"/>
          <w:right w:val="nil"/>
        </w:tblBorders>
        <w:tblLayout w:type="fixed"/>
        <w:tblLook w:val="0000" w:firstRow="0" w:lastRow="0" w:firstColumn="0" w:lastColumn="0" w:noHBand="0" w:noVBand="0"/>
      </w:tblPr>
      <w:tblGrid>
        <w:gridCol w:w="1400"/>
        <w:gridCol w:w="8200"/>
      </w:tblGrid>
      <w:tr w:rsidR="00774A0A" w:rsidRPr="00774A0A" w14:paraId="1C7536C0" w14:textId="77777777" w:rsidTr="00774A0A">
        <w:tblPrEx>
          <w:tblCellMar>
            <w:top w:w="0" w:type="dxa"/>
            <w:bottom w:w="0" w:type="dxa"/>
          </w:tblCellMar>
        </w:tblPrEx>
        <w:tc>
          <w:tcPr>
            <w:tcW w:w="9600" w:type="dxa"/>
            <w:gridSpan w:val="2"/>
            <w:tcMar>
              <w:top w:w="20" w:type="nil"/>
              <w:left w:w="20" w:type="nil"/>
              <w:bottom w:w="20" w:type="nil"/>
              <w:right w:w="20" w:type="nil"/>
            </w:tcMar>
            <w:vAlign w:val="center"/>
          </w:tcPr>
          <w:p w14:paraId="257692AE" w14:textId="77777777" w:rsidR="00774A0A" w:rsidRPr="00774A0A" w:rsidRDefault="00774A0A">
            <w:pPr>
              <w:widowControl w:val="0"/>
              <w:autoSpaceDE w:val="0"/>
              <w:autoSpaceDN w:val="0"/>
              <w:adjustRightInd w:val="0"/>
              <w:rPr>
                <w:rFonts w:ascii="Arial" w:hAnsi="Arial" w:cs="Arial"/>
                <w:color w:val="3F3F3F"/>
                <w:sz w:val="26"/>
                <w:szCs w:val="26"/>
                <w:u w:color="FFFFFF"/>
              </w:rPr>
            </w:pPr>
            <w:r w:rsidRPr="00774A0A">
              <w:rPr>
                <w:rFonts w:ascii="Arial" w:hAnsi="Arial" w:cs="Arial"/>
                <w:b/>
                <w:bCs/>
                <w:color w:val="3F3F3F"/>
                <w:sz w:val="26"/>
                <w:szCs w:val="26"/>
                <w:u w:color="FFFFFF"/>
              </w:rPr>
              <w:t>The UK Forestry Standard (UKFS) is the reference standard for sustainable forest management in the UK</w:t>
            </w:r>
            <w:r w:rsidRPr="00774A0A">
              <w:rPr>
                <w:rFonts w:ascii="Arial" w:hAnsi="Arial" w:cs="Arial"/>
                <w:color w:val="3F3F3F"/>
                <w:sz w:val="26"/>
                <w:szCs w:val="26"/>
                <w:u w:color="FFFFFF"/>
              </w:rPr>
              <w:t>. The UKFS, supported by its series of Guidelines, outlines the context for forestry in the UK, sets out the approach of the UK governments to sustainable forest management, defines standards and requirements, and provides a basis for regulation and monitoring.</w:t>
            </w:r>
          </w:p>
        </w:tc>
      </w:tr>
      <w:tr w:rsidR="00774A0A" w:rsidRPr="00774A0A" w14:paraId="3DB12962" w14:textId="77777777" w:rsidTr="00774A0A">
        <w:tblPrEx>
          <w:tblBorders>
            <w:top w:val="none" w:sz="0" w:space="0" w:color="auto"/>
          </w:tblBorders>
          <w:tblCellMar>
            <w:top w:w="0" w:type="dxa"/>
            <w:bottom w:w="0" w:type="dxa"/>
          </w:tblCellMar>
        </w:tblPrEx>
        <w:tc>
          <w:tcPr>
            <w:tcW w:w="9600" w:type="dxa"/>
            <w:gridSpan w:val="2"/>
            <w:tcMar>
              <w:top w:w="20" w:type="nil"/>
              <w:left w:w="20" w:type="nil"/>
              <w:bottom w:w="20" w:type="nil"/>
              <w:right w:w="20" w:type="nil"/>
            </w:tcMar>
            <w:vAlign w:val="center"/>
          </w:tcPr>
          <w:p w14:paraId="57C215E0" w14:textId="77777777" w:rsidR="00774A0A" w:rsidRPr="00774A0A" w:rsidRDefault="00774A0A">
            <w:pPr>
              <w:widowControl w:val="0"/>
              <w:autoSpaceDE w:val="0"/>
              <w:autoSpaceDN w:val="0"/>
              <w:adjustRightInd w:val="0"/>
              <w:rPr>
                <w:rFonts w:ascii="Arial" w:hAnsi="Arial" w:cs="Arial"/>
                <w:color w:val="3F3F3F"/>
                <w:sz w:val="26"/>
                <w:szCs w:val="26"/>
                <w:u w:color="FFFFFF"/>
              </w:rPr>
            </w:pPr>
            <w:proofErr w:type="spellStart"/>
            <w:r w:rsidRPr="00774A0A">
              <w:rPr>
                <w:rFonts w:ascii="Arial" w:hAnsi="Arial" w:cs="Arial"/>
                <w:color w:val="3F3F3F"/>
                <w:sz w:val="26"/>
                <w:szCs w:val="26"/>
                <w:u w:color="FFFFFF"/>
              </w:rPr>
              <w:t>Practising</w:t>
            </w:r>
            <w:proofErr w:type="spellEnd"/>
            <w:r w:rsidRPr="00774A0A">
              <w:rPr>
                <w:rFonts w:ascii="Arial" w:hAnsi="Arial" w:cs="Arial"/>
                <w:color w:val="3F3F3F"/>
                <w:sz w:val="26"/>
                <w:szCs w:val="26"/>
                <w:u w:color="FFFFFF"/>
              </w:rPr>
              <w:t xml:space="preserve"> sustainable forestry means managing our forests in a way that meets our needs at present but that does not compromise the ability of future generations to meet their needs. They will rightly expect that their forests and woodlands offer at least the same benefits and opportunities as we enjoy today. At the heart of the UKFS approach is the importance of balancing the environmental, economic and social benefits of forests and the recognition that our forests serve a wide range of objectives. The Guidelines publications define sustainable forest management in the UK under a series of subject areas. The UKFS requirements have been set out in each and guidance given on how to achieve them.</w:t>
            </w:r>
          </w:p>
        </w:tc>
      </w:tr>
      <w:tr w:rsidR="00774A0A" w:rsidRPr="00774A0A" w14:paraId="3B33A417" w14:textId="77777777">
        <w:tblPrEx>
          <w:tblBorders>
            <w:top w:val="none" w:sz="0" w:space="0" w:color="auto"/>
          </w:tblBorders>
          <w:tblCellMar>
            <w:top w:w="0" w:type="dxa"/>
            <w:bottom w:w="0" w:type="dxa"/>
          </w:tblCellMar>
        </w:tblPrEx>
        <w:tc>
          <w:tcPr>
            <w:tcW w:w="1400" w:type="dxa"/>
            <w:tcMar>
              <w:top w:w="20" w:type="nil"/>
              <w:left w:w="20" w:type="nil"/>
              <w:bottom w:w="20" w:type="nil"/>
              <w:right w:w="20" w:type="nil"/>
            </w:tcMar>
            <w:vAlign w:val="center"/>
          </w:tcPr>
          <w:p w14:paraId="508D5C15" w14:textId="0AF958E8" w:rsidR="00774A0A" w:rsidRPr="00774A0A" w:rsidRDefault="00774A0A">
            <w:pPr>
              <w:widowControl w:val="0"/>
              <w:autoSpaceDE w:val="0"/>
              <w:autoSpaceDN w:val="0"/>
              <w:adjustRightInd w:val="0"/>
              <w:rPr>
                <w:rFonts w:ascii="Arial" w:hAnsi="Arial" w:cs="Arial"/>
                <w:color w:val="3F3F3F"/>
                <w:sz w:val="26"/>
                <w:szCs w:val="26"/>
                <w:u w:color="FFFFFF"/>
              </w:rPr>
            </w:pPr>
            <w:r w:rsidRPr="00774A0A">
              <w:rPr>
                <w:rFonts w:ascii="Arial" w:hAnsi="Arial" w:cs="Arial"/>
                <w:noProof/>
                <w:color w:val="3F3F3F"/>
                <w:sz w:val="26"/>
                <w:szCs w:val="26"/>
                <w:u w:color="FFFFFF"/>
              </w:rPr>
              <w:drawing>
                <wp:inline distT="0" distB="0" distL="0" distR="0" wp14:anchorId="22E0FAB2" wp14:editId="0BF32C5B">
                  <wp:extent cx="1778000" cy="2514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78000" cy="2514600"/>
                          </a:xfrm>
                          <a:prstGeom prst="rect">
                            <a:avLst/>
                          </a:prstGeom>
                          <a:noFill/>
                          <a:ln>
                            <a:noFill/>
                          </a:ln>
                        </pic:spPr>
                      </pic:pic>
                    </a:graphicData>
                  </a:graphic>
                </wp:inline>
              </w:drawing>
            </w:r>
          </w:p>
          <w:p w14:paraId="5A127668" w14:textId="77777777" w:rsidR="00774A0A" w:rsidRPr="00774A0A" w:rsidRDefault="00774A0A">
            <w:pPr>
              <w:widowControl w:val="0"/>
              <w:autoSpaceDE w:val="0"/>
              <w:autoSpaceDN w:val="0"/>
              <w:adjustRightInd w:val="0"/>
              <w:rPr>
                <w:rFonts w:ascii="Arial" w:hAnsi="Arial" w:cs="Arial"/>
                <w:color w:val="3F3F3F"/>
                <w:sz w:val="26"/>
                <w:szCs w:val="26"/>
                <w:u w:color="FFFFFF"/>
              </w:rPr>
            </w:pPr>
            <w:hyperlink r:id="rId10" w:history="1">
              <w:r w:rsidRPr="00774A0A">
                <w:rPr>
                  <w:rFonts w:ascii="Arial" w:hAnsi="Arial" w:cs="Arial"/>
                  <w:color w:val="0B5526"/>
                  <w:sz w:val="26"/>
                  <w:szCs w:val="26"/>
                  <w:u w:color="FFFFFF"/>
                </w:rPr>
                <w:t>Download P</w:t>
              </w:r>
              <w:r w:rsidRPr="00774A0A">
                <w:rPr>
                  <w:rFonts w:ascii="Arial" w:hAnsi="Arial" w:cs="Arial"/>
                  <w:color w:val="0B5526"/>
                  <w:sz w:val="26"/>
                  <w:szCs w:val="26"/>
                  <w:u w:color="FFFFFF"/>
                </w:rPr>
                <w:t>D</w:t>
              </w:r>
              <w:r w:rsidRPr="00774A0A">
                <w:rPr>
                  <w:rFonts w:ascii="Arial" w:hAnsi="Arial" w:cs="Arial"/>
                  <w:color w:val="0B5526"/>
                  <w:sz w:val="26"/>
                  <w:szCs w:val="26"/>
                  <w:u w:color="FFFFFF"/>
                </w:rPr>
                <w:t>F</w:t>
              </w:r>
            </w:hyperlink>
            <w:r w:rsidRPr="00774A0A">
              <w:rPr>
                <w:rFonts w:ascii="Arial" w:hAnsi="Arial" w:cs="Arial"/>
                <w:color w:val="3F3F3F"/>
                <w:sz w:val="26"/>
                <w:szCs w:val="26"/>
                <w:u w:color="FFFFFF"/>
              </w:rPr>
              <w:t xml:space="preserve"> </w:t>
            </w:r>
          </w:p>
          <w:p w14:paraId="11555963" w14:textId="77777777" w:rsidR="00774A0A" w:rsidRPr="00774A0A" w:rsidRDefault="00774A0A">
            <w:pPr>
              <w:widowControl w:val="0"/>
              <w:autoSpaceDE w:val="0"/>
              <w:autoSpaceDN w:val="0"/>
              <w:adjustRightInd w:val="0"/>
              <w:rPr>
                <w:rFonts w:ascii="Arial" w:hAnsi="Arial" w:cs="Arial"/>
                <w:color w:val="3F3F3F"/>
                <w:sz w:val="26"/>
                <w:szCs w:val="26"/>
                <w:u w:color="FFFFFF"/>
              </w:rPr>
            </w:pPr>
            <w:r w:rsidRPr="00774A0A">
              <w:rPr>
                <w:rFonts w:ascii="Arial" w:hAnsi="Arial" w:cs="Arial"/>
                <w:color w:val="3F3F3F"/>
                <w:sz w:val="26"/>
                <w:szCs w:val="26"/>
                <w:u w:color="FFFFFF"/>
              </w:rPr>
              <w:t>(File size 4.9 MB)</w:t>
            </w:r>
          </w:p>
        </w:tc>
        <w:tc>
          <w:tcPr>
            <w:tcW w:w="8120" w:type="dxa"/>
            <w:tcMar>
              <w:top w:w="20" w:type="nil"/>
              <w:left w:w="20" w:type="nil"/>
              <w:bottom w:w="20" w:type="nil"/>
              <w:right w:w="20" w:type="nil"/>
            </w:tcMar>
          </w:tcPr>
          <w:p w14:paraId="1252EA22" w14:textId="77777777" w:rsidR="00774A0A" w:rsidRPr="00774A0A" w:rsidRDefault="00774A0A">
            <w:pPr>
              <w:widowControl w:val="0"/>
              <w:autoSpaceDE w:val="0"/>
              <w:autoSpaceDN w:val="0"/>
              <w:adjustRightInd w:val="0"/>
              <w:rPr>
                <w:rFonts w:ascii="Arial" w:hAnsi="Arial" w:cs="Arial"/>
                <w:color w:val="3F3F3F"/>
                <w:sz w:val="26"/>
                <w:szCs w:val="26"/>
                <w:u w:color="FFFFFF"/>
              </w:rPr>
            </w:pPr>
            <w:r w:rsidRPr="00774A0A">
              <w:rPr>
                <w:rFonts w:ascii="Arial" w:hAnsi="Arial" w:cs="Arial"/>
                <w:color w:val="3F3F3F"/>
                <w:sz w:val="26"/>
                <w:szCs w:val="26"/>
                <w:u w:color="FFFFFF"/>
              </w:rPr>
              <w:t>The UKFS Guidelines series covers the following subject areas:</w:t>
            </w:r>
          </w:p>
          <w:p w14:paraId="11ECD28D" w14:textId="77777777" w:rsidR="00774A0A" w:rsidRPr="00774A0A" w:rsidRDefault="00774A0A">
            <w:pPr>
              <w:widowControl w:val="0"/>
              <w:numPr>
                <w:ilvl w:val="0"/>
                <w:numId w:val="1"/>
              </w:numPr>
              <w:tabs>
                <w:tab w:val="left" w:pos="220"/>
                <w:tab w:val="left" w:pos="720"/>
              </w:tabs>
              <w:autoSpaceDE w:val="0"/>
              <w:autoSpaceDN w:val="0"/>
              <w:adjustRightInd w:val="0"/>
              <w:ind w:hanging="720"/>
              <w:rPr>
                <w:rFonts w:ascii="Arial" w:hAnsi="Arial" w:cs="Arial"/>
                <w:color w:val="343434"/>
                <w:sz w:val="26"/>
                <w:szCs w:val="26"/>
                <w:u w:color="FFFFFF"/>
              </w:rPr>
            </w:pPr>
            <w:r w:rsidRPr="00774A0A">
              <w:rPr>
                <w:rFonts w:ascii="Arial" w:hAnsi="Arial" w:cs="Arial"/>
                <w:color w:val="343434"/>
                <w:sz w:val="26"/>
                <w:szCs w:val="26"/>
                <w:u w:color="FFFFFF"/>
              </w:rPr>
              <w:t>Biodiversity</w:t>
            </w:r>
          </w:p>
          <w:p w14:paraId="4556278A" w14:textId="77777777" w:rsidR="00774A0A" w:rsidRPr="00774A0A" w:rsidRDefault="00774A0A">
            <w:pPr>
              <w:widowControl w:val="0"/>
              <w:numPr>
                <w:ilvl w:val="0"/>
                <w:numId w:val="1"/>
              </w:numPr>
              <w:tabs>
                <w:tab w:val="left" w:pos="220"/>
                <w:tab w:val="left" w:pos="720"/>
              </w:tabs>
              <w:autoSpaceDE w:val="0"/>
              <w:autoSpaceDN w:val="0"/>
              <w:adjustRightInd w:val="0"/>
              <w:ind w:hanging="720"/>
              <w:rPr>
                <w:rFonts w:ascii="Arial" w:hAnsi="Arial" w:cs="Arial"/>
                <w:color w:val="343434"/>
                <w:sz w:val="26"/>
                <w:szCs w:val="26"/>
                <w:u w:color="FFFFFF"/>
              </w:rPr>
            </w:pPr>
            <w:r w:rsidRPr="00774A0A">
              <w:rPr>
                <w:rFonts w:ascii="Arial" w:hAnsi="Arial" w:cs="Arial"/>
                <w:color w:val="343434"/>
                <w:sz w:val="26"/>
                <w:szCs w:val="26"/>
                <w:u w:color="FFFFFF"/>
              </w:rPr>
              <w:t>Climate change</w:t>
            </w:r>
          </w:p>
          <w:p w14:paraId="1537BB71" w14:textId="77777777" w:rsidR="00774A0A" w:rsidRPr="00774A0A" w:rsidRDefault="00774A0A">
            <w:pPr>
              <w:widowControl w:val="0"/>
              <w:numPr>
                <w:ilvl w:val="0"/>
                <w:numId w:val="1"/>
              </w:numPr>
              <w:tabs>
                <w:tab w:val="left" w:pos="220"/>
                <w:tab w:val="left" w:pos="720"/>
              </w:tabs>
              <w:autoSpaceDE w:val="0"/>
              <w:autoSpaceDN w:val="0"/>
              <w:adjustRightInd w:val="0"/>
              <w:ind w:hanging="720"/>
              <w:rPr>
                <w:rFonts w:ascii="Arial" w:hAnsi="Arial" w:cs="Arial"/>
                <w:color w:val="343434"/>
                <w:sz w:val="26"/>
                <w:szCs w:val="26"/>
                <w:u w:color="FFFFFF"/>
              </w:rPr>
            </w:pPr>
            <w:r w:rsidRPr="00774A0A">
              <w:rPr>
                <w:rFonts w:ascii="Arial" w:hAnsi="Arial" w:cs="Arial"/>
                <w:color w:val="343434"/>
                <w:sz w:val="26"/>
                <w:szCs w:val="26"/>
                <w:u w:color="FFFFFF"/>
              </w:rPr>
              <w:t>Historic environment</w:t>
            </w:r>
          </w:p>
          <w:p w14:paraId="161E9D85" w14:textId="77777777" w:rsidR="00774A0A" w:rsidRPr="00774A0A" w:rsidRDefault="00774A0A">
            <w:pPr>
              <w:widowControl w:val="0"/>
              <w:numPr>
                <w:ilvl w:val="0"/>
                <w:numId w:val="1"/>
              </w:numPr>
              <w:tabs>
                <w:tab w:val="left" w:pos="220"/>
                <w:tab w:val="left" w:pos="720"/>
              </w:tabs>
              <w:autoSpaceDE w:val="0"/>
              <w:autoSpaceDN w:val="0"/>
              <w:adjustRightInd w:val="0"/>
              <w:ind w:hanging="720"/>
              <w:rPr>
                <w:rFonts w:ascii="Arial" w:hAnsi="Arial" w:cs="Arial"/>
                <w:color w:val="343434"/>
                <w:sz w:val="26"/>
                <w:szCs w:val="26"/>
                <w:u w:color="FFFFFF"/>
              </w:rPr>
            </w:pPr>
            <w:r w:rsidRPr="00774A0A">
              <w:rPr>
                <w:rFonts w:ascii="Arial" w:hAnsi="Arial" w:cs="Arial"/>
                <w:color w:val="343434"/>
                <w:sz w:val="26"/>
                <w:szCs w:val="26"/>
                <w:u w:color="FFFFFF"/>
              </w:rPr>
              <w:t>Landscape</w:t>
            </w:r>
          </w:p>
          <w:p w14:paraId="2F8DA506" w14:textId="77777777" w:rsidR="00774A0A" w:rsidRPr="00774A0A" w:rsidRDefault="00774A0A">
            <w:pPr>
              <w:widowControl w:val="0"/>
              <w:numPr>
                <w:ilvl w:val="0"/>
                <w:numId w:val="1"/>
              </w:numPr>
              <w:tabs>
                <w:tab w:val="left" w:pos="220"/>
                <w:tab w:val="left" w:pos="720"/>
              </w:tabs>
              <w:autoSpaceDE w:val="0"/>
              <w:autoSpaceDN w:val="0"/>
              <w:adjustRightInd w:val="0"/>
              <w:ind w:hanging="720"/>
              <w:rPr>
                <w:rFonts w:ascii="Arial" w:hAnsi="Arial" w:cs="Arial"/>
                <w:color w:val="343434"/>
                <w:sz w:val="26"/>
                <w:szCs w:val="26"/>
                <w:u w:color="FFFFFF"/>
              </w:rPr>
            </w:pPr>
            <w:r w:rsidRPr="00774A0A">
              <w:rPr>
                <w:rFonts w:ascii="Arial" w:hAnsi="Arial" w:cs="Arial"/>
                <w:color w:val="343434"/>
                <w:sz w:val="26"/>
                <w:szCs w:val="26"/>
                <w:u w:color="FFFFFF"/>
              </w:rPr>
              <w:t>People</w:t>
            </w:r>
          </w:p>
          <w:p w14:paraId="6800A960" w14:textId="77777777" w:rsidR="00774A0A" w:rsidRPr="00774A0A" w:rsidRDefault="00774A0A">
            <w:pPr>
              <w:widowControl w:val="0"/>
              <w:numPr>
                <w:ilvl w:val="0"/>
                <w:numId w:val="1"/>
              </w:numPr>
              <w:tabs>
                <w:tab w:val="left" w:pos="220"/>
                <w:tab w:val="left" w:pos="720"/>
              </w:tabs>
              <w:autoSpaceDE w:val="0"/>
              <w:autoSpaceDN w:val="0"/>
              <w:adjustRightInd w:val="0"/>
              <w:ind w:hanging="720"/>
              <w:rPr>
                <w:rFonts w:ascii="Arial" w:hAnsi="Arial" w:cs="Arial"/>
                <w:color w:val="343434"/>
                <w:sz w:val="26"/>
                <w:szCs w:val="26"/>
                <w:u w:color="FFFFFF"/>
              </w:rPr>
            </w:pPr>
            <w:r w:rsidRPr="00774A0A">
              <w:rPr>
                <w:rFonts w:ascii="Arial" w:hAnsi="Arial" w:cs="Arial"/>
                <w:color w:val="343434"/>
                <w:sz w:val="26"/>
                <w:szCs w:val="26"/>
                <w:u w:color="FFFFFF"/>
              </w:rPr>
              <w:t>Soil</w:t>
            </w:r>
          </w:p>
          <w:p w14:paraId="7C6EABAD" w14:textId="77777777" w:rsidR="00774A0A" w:rsidRPr="00774A0A" w:rsidRDefault="00774A0A">
            <w:pPr>
              <w:widowControl w:val="0"/>
              <w:numPr>
                <w:ilvl w:val="0"/>
                <w:numId w:val="1"/>
              </w:numPr>
              <w:tabs>
                <w:tab w:val="left" w:pos="220"/>
                <w:tab w:val="left" w:pos="720"/>
              </w:tabs>
              <w:autoSpaceDE w:val="0"/>
              <w:autoSpaceDN w:val="0"/>
              <w:adjustRightInd w:val="0"/>
              <w:ind w:hanging="720"/>
              <w:rPr>
                <w:rFonts w:ascii="Arial" w:hAnsi="Arial" w:cs="Arial"/>
                <w:color w:val="343434"/>
                <w:sz w:val="26"/>
                <w:szCs w:val="26"/>
                <w:u w:color="FFFFFF"/>
              </w:rPr>
            </w:pPr>
            <w:r w:rsidRPr="00774A0A">
              <w:rPr>
                <w:rFonts w:ascii="Arial" w:hAnsi="Arial" w:cs="Arial"/>
                <w:color w:val="343434"/>
                <w:sz w:val="26"/>
                <w:szCs w:val="26"/>
                <w:u w:color="FFFFFF"/>
              </w:rPr>
              <w:t>Water</w:t>
            </w:r>
          </w:p>
          <w:p w14:paraId="3CBD09F4" w14:textId="77777777" w:rsidR="00774A0A" w:rsidRPr="00774A0A" w:rsidRDefault="00774A0A">
            <w:pPr>
              <w:widowControl w:val="0"/>
              <w:autoSpaceDE w:val="0"/>
              <w:autoSpaceDN w:val="0"/>
              <w:adjustRightInd w:val="0"/>
              <w:rPr>
                <w:rFonts w:ascii="Arial" w:hAnsi="Arial" w:cs="Arial"/>
                <w:color w:val="3F3F3F"/>
                <w:sz w:val="26"/>
                <w:szCs w:val="26"/>
                <w:u w:color="FFFFFF"/>
              </w:rPr>
            </w:pPr>
            <w:r w:rsidRPr="00774A0A">
              <w:rPr>
                <w:rFonts w:ascii="Arial" w:hAnsi="Arial" w:cs="Arial"/>
                <w:color w:val="3F3F3F"/>
                <w:sz w:val="26"/>
                <w:szCs w:val="26"/>
                <w:u w:color="FFFFFF"/>
              </w:rPr>
              <w:t xml:space="preserve">General Forestry Practice is covered by the UKFS </w:t>
            </w:r>
            <w:proofErr w:type="gramStart"/>
            <w:r w:rsidRPr="00774A0A">
              <w:rPr>
                <w:rFonts w:ascii="Arial" w:hAnsi="Arial" w:cs="Arial"/>
                <w:color w:val="3F3F3F"/>
                <w:sz w:val="26"/>
                <w:szCs w:val="26"/>
                <w:u w:color="FFFFFF"/>
              </w:rPr>
              <w:t>itself</w:t>
            </w:r>
            <w:proofErr w:type="gramEnd"/>
            <w:r w:rsidRPr="00774A0A">
              <w:rPr>
                <w:rFonts w:ascii="Arial" w:hAnsi="Arial" w:cs="Arial"/>
                <w:color w:val="3F3F3F"/>
                <w:sz w:val="26"/>
                <w:szCs w:val="26"/>
                <w:u w:color="FFFFFF"/>
              </w:rPr>
              <w:t xml:space="preserve"> as it is common to all el</w:t>
            </w:r>
            <w:bookmarkStart w:id="0" w:name="_GoBack"/>
            <w:bookmarkEnd w:id="0"/>
            <w:r w:rsidRPr="00774A0A">
              <w:rPr>
                <w:rFonts w:ascii="Arial" w:hAnsi="Arial" w:cs="Arial"/>
                <w:color w:val="3F3F3F"/>
                <w:sz w:val="26"/>
                <w:szCs w:val="26"/>
                <w:u w:color="FFFFFF"/>
              </w:rPr>
              <w:t>ements of sustainable forest management.</w:t>
            </w:r>
          </w:p>
        </w:tc>
      </w:tr>
      <w:tr w:rsidR="00774A0A" w:rsidRPr="00774A0A" w14:paraId="5059222E" w14:textId="77777777" w:rsidTr="00774A0A">
        <w:tblPrEx>
          <w:tblBorders>
            <w:top w:val="none" w:sz="0" w:space="0" w:color="auto"/>
          </w:tblBorders>
          <w:tblCellMar>
            <w:top w:w="0" w:type="dxa"/>
            <w:bottom w:w="0" w:type="dxa"/>
          </w:tblCellMar>
        </w:tblPrEx>
        <w:tc>
          <w:tcPr>
            <w:tcW w:w="9600" w:type="dxa"/>
            <w:gridSpan w:val="2"/>
            <w:tcMar>
              <w:top w:w="20" w:type="nil"/>
              <w:left w:w="20" w:type="nil"/>
              <w:bottom w:w="20" w:type="nil"/>
              <w:right w:w="20" w:type="nil"/>
            </w:tcMar>
          </w:tcPr>
          <w:p w14:paraId="472AE703" w14:textId="77777777" w:rsidR="00774A0A" w:rsidRPr="00774A0A" w:rsidRDefault="00774A0A">
            <w:pPr>
              <w:widowControl w:val="0"/>
              <w:autoSpaceDE w:val="0"/>
              <w:autoSpaceDN w:val="0"/>
              <w:adjustRightInd w:val="0"/>
              <w:rPr>
                <w:rFonts w:ascii="Arial" w:hAnsi="Arial" w:cs="Arial"/>
                <w:color w:val="3F3F3F"/>
                <w:sz w:val="26"/>
                <w:szCs w:val="26"/>
                <w:u w:color="FFFFFF"/>
              </w:rPr>
            </w:pPr>
            <w:r w:rsidRPr="00774A0A">
              <w:rPr>
                <w:rFonts w:ascii="Arial" w:hAnsi="Arial" w:cs="Arial"/>
                <w:color w:val="3F3F3F"/>
                <w:sz w:val="26"/>
                <w:szCs w:val="26"/>
                <w:u w:color="FFFFFF"/>
              </w:rPr>
              <w:t xml:space="preserve">The UKFS and Guidelines have been developed by the Forestry Commission in Great Britain and the Forest Service, an agency within the Department of Agriculture and Rural Development in Northern Ireland (see </w:t>
            </w:r>
            <w:hyperlink r:id="rId11" w:history="1">
              <w:r w:rsidRPr="00774A0A">
                <w:rPr>
                  <w:rFonts w:ascii="Arial" w:hAnsi="Arial" w:cs="Arial"/>
                  <w:color w:val="0B5526"/>
                  <w:sz w:val="26"/>
                  <w:szCs w:val="26"/>
                  <w:u w:color="FFFFFF"/>
                </w:rPr>
                <w:t>background</w:t>
              </w:r>
            </w:hyperlink>
            <w:r w:rsidRPr="00774A0A">
              <w:rPr>
                <w:rFonts w:ascii="Arial" w:hAnsi="Arial" w:cs="Arial"/>
                <w:color w:val="3F3F3F"/>
                <w:sz w:val="26"/>
                <w:szCs w:val="26"/>
                <w:u w:color="FFFFFF"/>
              </w:rPr>
              <w:t xml:space="preserve">). The UKFS and Guidelines have been endorsed by the UK and country governments and apply to all UK forests and woodlands. Together with the national forestry policies and strategies of </w:t>
            </w:r>
            <w:hyperlink r:id="rId12" w:history="1">
              <w:r w:rsidRPr="00774A0A">
                <w:rPr>
                  <w:rFonts w:ascii="Arial" w:hAnsi="Arial" w:cs="Arial"/>
                  <w:color w:val="0B5526"/>
                  <w:sz w:val="26"/>
                  <w:szCs w:val="26"/>
                  <w:u w:color="FFFFFF"/>
                </w:rPr>
                <w:t>England</w:t>
              </w:r>
            </w:hyperlink>
            <w:r w:rsidRPr="00774A0A">
              <w:rPr>
                <w:rFonts w:ascii="Arial" w:hAnsi="Arial" w:cs="Arial"/>
                <w:color w:val="3F3F3F"/>
                <w:sz w:val="26"/>
                <w:szCs w:val="26"/>
                <w:u w:color="FFFFFF"/>
              </w:rPr>
              <w:t xml:space="preserve">, </w:t>
            </w:r>
            <w:hyperlink r:id="rId13" w:history="1">
              <w:r w:rsidRPr="00774A0A">
                <w:rPr>
                  <w:rFonts w:ascii="Arial" w:hAnsi="Arial" w:cs="Arial"/>
                  <w:color w:val="0B5526"/>
                  <w:sz w:val="26"/>
                  <w:szCs w:val="26"/>
                  <w:u w:color="FFFFFF"/>
                </w:rPr>
                <w:t>Scotland</w:t>
              </w:r>
            </w:hyperlink>
            <w:r w:rsidRPr="00774A0A">
              <w:rPr>
                <w:rFonts w:ascii="Arial" w:hAnsi="Arial" w:cs="Arial"/>
                <w:color w:val="3F3F3F"/>
                <w:sz w:val="26"/>
                <w:szCs w:val="26"/>
                <w:u w:color="FFFFFF"/>
              </w:rPr>
              <w:t xml:space="preserve">, </w:t>
            </w:r>
            <w:hyperlink r:id="rId14" w:history="1">
              <w:r w:rsidRPr="00774A0A">
                <w:rPr>
                  <w:rFonts w:ascii="Arial" w:hAnsi="Arial" w:cs="Arial"/>
                  <w:color w:val="0B5526"/>
                  <w:sz w:val="26"/>
                  <w:szCs w:val="26"/>
                  <w:u w:color="FFFFFF"/>
                </w:rPr>
                <w:t>Wales</w:t>
              </w:r>
            </w:hyperlink>
            <w:r w:rsidRPr="00774A0A">
              <w:rPr>
                <w:rFonts w:ascii="Arial" w:hAnsi="Arial" w:cs="Arial"/>
                <w:color w:val="3F3F3F"/>
                <w:sz w:val="26"/>
                <w:szCs w:val="26"/>
                <w:u w:color="FFFFFF"/>
              </w:rPr>
              <w:t xml:space="preserve"> and </w:t>
            </w:r>
            <w:hyperlink r:id="rId15" w:history="1">
              <w:r w:rsidRPr="00774A0A">
                <w:rPr>
                  <w:rFonts w:ascii="Arial" w:hAnsi="Arial" w:cs="Arial"/>
                  <w:color w:val="0B5526"/>
                  <w:sz w:val="26"/>
                  <w:szCs w:val="26"/>
                  <w:u w:color="FFFFFF"/>
                </w:rPr>
                <w:t>Northern Ireland</w:t>
              </w:r>
            </w:hyperlink>
            <w:r w:rsidRPr="00774A0A">
              <w:rPr>
                <w:rFonts w:ascii="Arial" w:hAnsi="Arial" w:cs="Arial"/>
                <w:color w:val="3F3F3F"/>
                <w:sz w:val="26"/>
                <w:szCs w:val="26"/>
                <w:u w:color="FFFFFF"/>
              </w:rPr>
              <w:t>, the UKFS provides a framework for the delivery of international agreements on sustainable forest management, alongside policies on implementation.</w:t>
            </w:r>
          </w:p>
        </w:tc>
      </w:tr>
      <w:tr w:rsidR="00774A0A" w:rsidRPr="00774A0A" w14:paraId="0D0803C9" w14:textId="77777777" w:rsidTr="00774A0A">
        <w:tblPrEx>
          <w:tblCellMar>
            <w:top w:w="0" w:type="dxa"/>
            <w:bottom w:w="0" w:type="dxa"/>
          </w:tblCellMar>
        </w:tblPrEx>
        <w:tc>
          <w:tcPr>
            <w:tcW w:w="9600" w:type="dxa"/>
            <w:gridSpan w:val="2"/>
            <w:tcMar>
              <w:top w:w="20" w:type="nil"/>
              <w:left w:w="20" w:type="nil"/>
              <w:bottom w:w="20" w:type="nil"/>
              <w:right w:w="20" w:type="nil"/>
            </w:tcMar>
          </w:tcPr>
          <w:p w14:paraId="06812F08" w14:textId="77777777" w:rsidR="00774A0A" w:rsidRPr="00774A0A" w:rsidRDefault="00774A0A">
            <w:pPr>
              <w:widowControl w:val="0"/>
              <w:autoSpaceDE w:val="0"/>
              <w:autoSpaceDN w:val="0"/>
              <w:adjustRightInd w:val="0"/>
              <w:rPr>
                <w:rFonts w:ascii="Arial" w:hAnsi="Arial" w:cs="Arial"/>
                <w:color w:val="3F3F3F"/>
                <w:sz w:val="26"/>
                <w:szCs w:val="26"/>
                <w:u w:color="FFFFFF"/>
              </w:rPr>
            </w:pPr>
            <w:r w:rsidRPr="00774A0A">
              <w:rPr>
                <w:rFonts w:ascii="Arial" w:hAnsi="Arial" w:cs="Arial"/>
                <w:color w:val="3F3F3F"/>
                <w:sz w:val="26"/>
                <w:szCs w:val="26"/>
                <w:u w:color="FFFFFF"/>
              </w:rPr>
              <w:t>Further reading and useful sources of information are available via the links in the right hand column – on this page for general forestry practice and on the individual Guidelines pages for each element of sustainable forest management. Note that information on individual tree preservation procedures is available in this </w:t>
            </w:r>
            <w:hyperlink r:id="rId16" w:history="1">
              <w:r w:rsidRPr="00774A0A">
                <w:rPr>
                  <w:rFonts w:ascii="Arial" w:hAnsi="Arial" w:cs="Arial"/>
                  <w:color w:val="0B5526"/>
                  <w:sz w:val="26"/>
                  <w:szCs w:val="26"/>
                  <w:u w:color="FFFFFF"/>
                </w:rPr>
                <w:t>web-based planning guidance</w:t>
              </w:r>
            </w:hyperlink>
            <w:r w:rsidRPr="00774A0A">
              <w:rPr>
                <w:rFonts w:ascii="Arial" w:hAnsi="Arial" w:cs="Arial"/>
                <w:color w:val="3F3F3F"/>
                <w:sz w:val="26"/>
                <w:szCs w:val="26"/>
                <w:u w:color="FFFFFF"/>
              </w:rPr>
              <w:t xml:space="preserve"> produced by the Department for Communities and Local Government.</w:t>
            </w:r>
          </w:p>
        </w:tc>
      </w:tr>
    </w:tbl>
    <w:p w14:paraId="2F2E83CE" w14:textId="77777777" w:rsidR="00774A0A" w:rsidRPr="00774A0A" w:rsidRDefault="00774A0A" w:rsidP="001E4C74">
      <w:pPr>
        <w:rPr>
          <w:rFonts w:ascii="Arial" w:hAnsi="Arial" w:cs="Arial"/>
        </w:rPr>
      </w:pPr>
    </w:p>
    <w:sectPr w:rsidR="00774A0A" w:rsidRPr="00774A0A" w:rsidSect="0060326A">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Verdana Bold Italic">
    <w:panose1 w:val="020B08040305040B0204"/>
    <w:charset w:val="00"/>
    <w:family w:val="auto"/>
    <w:notTrueType/>
    <w:pitch w:val="default"/>
    <w:sig w:usb0="00000003" w:usb1="00000000" w:usb2="00000000" w:usb3="00000000" w:csb0="00000001"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A2FF2"/>
    <w:rsid w:val="000A2FF2"/>
    <w:rsid w:val="001E4C74"/>
    <w:rsid w:val="0060326A"/>
    <w:rsid w:val="00774A0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C51582D"/>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74A0A"/>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74A0A"/>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74A0A"/>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74A0A"/>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www.forestry.gov.uk/forestry/INFD-8BVE2N" TargetMode="External"/><Relationship Id="rId12" Type="http://schemas.openxmlformats.org/officeDocument/2006/relationships/hyperlink" Target="http://www.forestry.gov.uk/forestry/HCOU-5YHJS7" TargetMode="External"/><Relationship Id="rId13" Type="http://schemas.openxmlformats.org/officeDocument/2006/relationships/hyperlink" Target="http://scotland.forestry.gov.uk/" TargetMode="External"/><Relationship Id="rId14" Type="http://schemas.openxmlformats.org/officeDocument/2006/relationships/hyperlink" Target="http://www.naturalresourceswales.gov.uk/" TargetMode="External"/><Relationship Id="rId15" Type="http://schemas.openxmlformats.org/officeDocument/2006/relationships/hyperlink" Target="http://www.dardni.gov.uk/forestservice/index.htm" TargetMode="External"/><Relationship Id="rId16" Type="http://schemas.openxmlformats.org/officeDocument/2006/relationships/hyperlink" Target="http://planningguidance.planningportal.gov.uk/blog/guidance/tree-preservation-orders/making-tree-preservation-orders/" TargetMode="Externa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www.legislation.hmso.gov.uk/si/si2001/20011754.htm" TargetMode="External"/><Relationship Id="rId7" Type="http://schemas.openxmlformats.org/officeDocument/2006/relationships/hyperlink" Target="http://www.opsi.gov.uk/acts/acts2000/ukpga_20000037_en_1htm" TargetMode="External"/><Relationship Id="rId8" Type="http://schemas.openxmlformats.org/officeDocument/2006/relationships/hyperlink" Target="https://www.facebook.com/sharer/sharer.php?u=http%3A%2F%2Fwww.forestry.gov.uk/website/forestry.nsf/byunique/infd%968bvecx" TargetMode="External"/><Relationship Id="rId9" Type="http://schemas.openxmlformats.org/officeDocument/2006/relationships/image" Target="media/image1.jpeg"/><Relationship Id="rId10" Type="http://schemas.openxmlformats.org/officeDocument/2006/relationships/hyperlink" Target="http://www.forestry.gov.uk/pdf/FCFC001.pdf/$FILE/FCFC00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5</Pages>
  <Words>1732</Words>
  <Characters>9876</Characters>
  <Application>Microsoft Macintosh Word</Application>
  <DocSecurity>0</DocSecurity>
  <Lines>82</Lines>
  <Paragraphs>23</Paragraphs>
  <ScaleCrop>false</ScaleCrop>
  <Company>Insight2Wales</Company>
  <LinksUpToDate>false</LinksUpToDate>
  <CharactersWithSpaces>11585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Conway Davies</dc:creator>
  <cp:keywords/>
  <dc:description/>
  <cp:lastModifiedBy>Conway Davies</cp:lastModifiedBy>
  <cp:revision>3</cp:revision>
  <dcterms:created xsi:type="dcterms:W3CDTF">2015-11-23T09:08:00Z</dcterms:created>
  <dcterms:modified xsi:type="dcterms:W3CDTF">2015-11-23T09:27:00Z</dcterms:modified>
</cp:coreProperties>
</file>