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EDA200" w14:textId="77777777" w:rsidR="006202A1" w:rsidRPr="00BA1B39" w:rsidRDefault="006202A1" w:rsidP="006202A1">
      <w:pPr>
        <w:spacing w:after="0" w:line="240" w:lineRule="auto"/>
        <w:rPr>
          <w:rFonts w:ascii="Arial" w:eastAsia="SimSun" w:hAnsi="Arial" w:cs="Arial"/>
          <w:color w:val="000000" w:themeColor="text1"/>
          <w:kern w:val="24"/>
          <w14:ligatures w14:val="none"/>
        </w:rPr>
      </w:pPr>
      <w:r w:rsidRPr="00BA1B39">
        <w:rPr>
          <w:rFonts w:ascii="Arial" w:eastAsia="SimSun" w:hAnsi="Arial" w:cs="Arial"/>
          <w:color w:val="000000" w:themeColor="text1"/>
          <w:kern w:val="24"/>
          <w14:ligatures w14:val="none"/>
        </w:rPr>
        <w:t>I confirm that I have not presented any AI generated text as my own work. I confirm I have copies of my drafts, notes, and other resources I used before, and after the use of AI tools which I may be asked to provide in evidence.</w:t>
      </w:r>
    </w:p>
    <w:p w14:paraId="5D6CC539" w14:textId="77777777" w:rsidR="006202A1" w:rsidRPr="00BA1B39" w:rsidRDefault="006202A1" w:rsidP="006202A1">
      <w:pPr>
        <w:spacing w:after="0" w:line="240" w:lineRule="auto"/>
        <w:rPr>
          <w:rFonts w:ascii="Arial" w:eastAsia="SimSun" w:hAnsi="Arial" w:cs="Arial"/>
          <w:color w:val="000000" w:themeColor="text1"/>
          <w:kern w:val="24"/>
          <w14:ligatures w14:val="none"/>
        </w:rPr>
      </w:pPr>
    </w:p>
    <w:p w14:paraId="30D6F2C6" w14:textId="77777777" w:rsidR="006202A1" w:rsidRPr="00BA1B39" w:rsidRDefault="006202A1" w:rsidP="006202A1">
      <w:pPr>
        <w:spacing w:after="0" w:line="240" w:lineRule="auto"/>
        <w:rPr>
          <w:rFonts w:ascii="Arial" w:hAnsi="Arial" w:cs="Arial"/>
          <w:b/>
          <w:bCs/>
          <w:color w:val="000000" w:themeColor="text1"/>
          <w:kern w:val="0"/>
          <w14:ligatures w14:val="none"/>
        </w:rPr>
      </w:pPr>
    </w:p>
    <w:p w14:paraId="6DA7F1A1" w14:textId="5E2C8951" w:rsidR="006202A1" w:rsidRPr="00BA1B39" w:rsidRDefault="006202A1" w:rsidP="000A2BAF">
      <w:pPr>
        <w:pStyle w:val="Heading1"/>
        <w:spacing w:before="0"/>
        <w:divId w:val="280039744"/>
        <w:rPr>
          <w:rFonts w:ascii="Arial" w:eastAsia="Times New Roman" w:hAnsi="Arial" w:cs="Arial"/>
          <w:b/>
          <w:bCs/>
          <w:color w:val="1D2125"/>
          <w:kern w:val="36"/>
          <w:sz w:val="24"/>
          <w:szCs w:val="24"/>
          <w14:ligatures w14:val="none"/>
        </w:rPr>
      </w:pPr>
      <w:r w:rsidRPr="00BA1B39">
        <w:rPr>
          <w:rFonts w:ascii="Arial" w:hAnsi="Arial" w:cs="Arial"/>
          <w:b/>
          <w:bCs/>
          <w:color w:val="000000" w:themeColor="text1"/>
          <w:kern w:val="0"/>
          <w:sz w:val="24"/>
          <w:szCs w:val="24"/>
          <w14:ligatures w14:val="none"/>
        </w:rPr>
        <w:t>People across Time (HPFY3014)</w:t>
      </w:r>
      <w:r w:rsidRPr="00BA1B39">
        <w:rPr>
          <w:rFonts w:ascii="Arial" w:hAnsi="Arial" w:cs="Arial"/>
          <w:color w:val="000000" w:themeColor="text1"/>
          <w:kern w:val="0"/>
          <w:sz w:val="24"/>
          <w:szCs w:val="24"/>
          <w14:ligatures w14:val="none"/>
        </w:rPr>
        <w:t>,</w:t>
      </w:r>
      <w:r w:rsidR="000A2BAF" w:rsidRPr="00BA1B39">
        <w:rPr>
          <w:rFonts w:ascii="Arial" w:eastAsia="Times New Roman" w:hAnsi="Arial" w:cs="Arial"/>
          <w:b/>
          <w:bCs/>
          <w:color w:val="1D2125"/>
          <w:kern w:val="36"/>
          <w:sz w:val="24"/>
          <w:szCs w:val="24"/>
          <w14:ligatures w14:val="none"/>
        </w:rPr>
        <w:t xml:space="preserve"> Source Analysis</w:t>
      </w:r>
    </w:p>
    <w:p w14:paraId="148AE4DA" w14:textId="77777777" w:rsidR="006202A1" w:rsidRPr="00BA1B39" w:rsidRDefault="006202A1" w:rsidP="006202A1">
      <w:pPr>
        <w:spacing w:after="0" w:line="240" w:lineRule="auto"/>
        <w:rPr>
          <w:rFonts w:ascii="Arial" w:eastAsia="Times New Roman" w:hAnsi="Arial" w:cs="Arial"/>
          <w:b/>
          <w:bCs/>
          <w:color w:val="000000" w:themeColor="text1"/>
          <w:kern w:val="0"/>
          <w:shd w:val="clear" w:color="auto" w:fill="FFFFFF"/>
          <w14:ligatures w14:val="none"/>
        </w:rPr>
      </w:pPr>
    </w:p>
    <w:p w14:paraId="39D1FE8E" w14:textId="37AFC867" w:rsidR="00DE5B8F" w:rsidRPr="00BA1B39" w:rsidRDefault="00DE5B8F" w:rsidP="00DE5B8F">
      <w:pPr>
        <w:spacing w:before="100" w:beforeAutospacing="1" w:after="100" w:afterAutospacing="1" w:line="240" w:lineRule="auto"/>
        <w:outlineLvl w:val="0"/>
        <w:rPr>
          <w:rFonts w:ascii="Arial" w:hAnsi="Arial" w:cs="Arial"/>
          <w:b/>
          <w:bCs/>
          <w:kern w:val="36"/>
          <w14:ligatures w14:val="none"/>
        </w:rPr>
      </w:pPr>
      <w:r w:rsidRPr="00BA1B39">
        <w:rPr>
          <w:rFonts w:ascii="Arial" w:eastAsia="Times New Roman" w:hAnsi="Arial" w:cs="Arial"/>
          <w:b/>
          <w:bCs/>
          <w:kern w:val="36"/>
          <w14:ligatures w14:val="none"/>
        </w:rPr>
        <w:t>Gobbet/Source Analysis of Douglas M. Peers’ “Colonial Knowledge and the Military in India, 1780–1860”</w:t>
      </w:r>
    </w:p>
    <w:p w14:paraId="481F55AB" w14:textId="77777777" w:rsidR="00DE5B8F" w:rsidRPr="00BA1B39" w:rsidRDefault="00DE5B8F" w:rsidP="00DE5B8F">
      <w:pPr>
        <w:spacing w:before="100" w:beforeAutospacing="1" w:after="100" w:afterAutospacing="1" w:line="240" w:lineRule="auto"/>
        <w:rPr>
          <w:rFonts w:ascii="Arial" w:hAnsi="Arial" w:cs="Arial"/>
          <w:kern w:val="0"/>
          <w14:ligatures w14:val="none"/>
        </w:rPr>
      </w:pPr>
    </w:p>
    <w:p w14:paraId="59FB325E" w14:textId="450AE722" w:rsidR="00DE5B8F" w:rsidRPr="00BA1B39" w:rsidRDefault="00DE5B8F" w:rsidP="00256934">
      <w:pPr>
        <w:spacing w:before="100" w:beforeAutospacing="1" w:after="100" w:afterAutospacing="1" w:line="240" w:lineRule="auto"/>
        <w:outlineLvl w:val="2"/>
        <w:rPr>
          <w:rFonts w:ascii="Arial" w:eastAsia="Times New Roman" w:hAnsi="Arial" w:cs="Arial"/>
          <w:b/>
          <w:bCs/>
          <w:kern w:val="0"/>
          <w14:ligatures w14:val="none"/>
        </w:rPr>
      </w:pPr>
      <w:r w:rsidRPr="00BA1B39">
        <w:rPr>
          <w:rFonts w:ascii="Arial" w:eastAsia="Times New Roman" w:hAnsi="Arial" w:cs="Arial"/>
          <w:b/>
          <w:bCs/>
          <w:kern w:val="0"/>
          <w14:ligatures w14:val="none"/>
        </w:rPr>
        <w:t>Introduction</w:t>
      </w:r>
    </w:p>
    <w:p w14:paraId="14C828AD" w14:textId="77777777" w:rsidR="00DE5B8F" w:rsidRPr="00BA1B39" w:rsidRDefault="00DE5B8F" w:rsidP="00DE5B8F">
      <w:pPr>
        <w:spacing w:before="100" w:beforeAutospacing="1" w:after="100" w:afterAutospacing="1" w:line="240" w:lineRule="auto"/>
        <w:rPr>
          <w:rFonts w:ascii="Arial" w:hAnsi="Arial" w:cs="Arial"/>
          <w:kern w:val="0"/>
          <w14:ligatures w14:val="none"/>
        </w:rPr>
      </w:pPr>
      <w:r w:rsidRPr="00BA1B39">
        <w:rPr>
          <w:rFonts w:ascii="Arial" w:hAnsi="Arial" w:cs="Arial"/>
          <w:kern w:val="0"/>
          <w14:ligatures w14:val="none"/>
        </w:rPr>
        <w:t>This analysis examines Douglas M. Peers’ chapter, “Colonial Knowledge and the Military in India, 1780–1860”, from the edited volume Colonialism and Science (2013). The work explores how the British military in India developed, appropriated, and applied scientific and cultural knowledge to consolidate colonial power between the late 18th and mid-19th centuries. It is particularly relevant to my essay, “Adapt and Rule: Environmental and Cultural Adaptation in British India, 1757–1857,” as it provides vital insight into how environmental and cultural knowledge shaped British imperial strategy, survival, and governance.</w:t>
      </w:r>
    </w:p>
    <w:p w14:paraId="5DCD373C" w14:textId="19835B63" w:rsidR="00DE5B8F" w:rsidRPr="00BA1B39" w:rsidRDefault="00DE5B8F" w:rsidP="00DE5B8F">
      <w:pPr>
        <w:spacing w:after="0" w:line="240" w:lineRule="auto"/>
        <w:rPr>
          <w:rFonts w:ascii="Arial" w:eastAsia="Times New Roman" w:hAnsi="Arial" w:cs="Arial"/>
          <w:kern w:val="0"/>
          <w14:ligatures w14:val="none"/>
        </w:rPr>
      </w:pPr>
    </w:p>
    <w:p w14:paraId="6057CD48" w14:textId="3F4494BD" w:rsidR="00DE5B8F" w:rsidRPr="00BA1B39" w:rsidRDefault="00DE5B8F" w:rsidP="00256934">
      <w:pPr>
        <w:spacing w:before="100" w:beforeAutospacing="1" w:after="100" w:afterAutospacing="1" w:line="240" w:lineRule="auto"/>
        <w:outlineLvl w:val="2"/>
        <w:rPr>
          <w:rFonts w:ascii="Arial" w:hAnsi="Arial" w:cs="Arial"/>
          <w:b/>
          <w:bCs/>
          <w:kern w:val="0"/>
          <w14:ligatures w14:val="none"/>
        </w:rPr>
      </w:pPr>
      <w:r w:rsidRPr="00BA1B39">
        <w:rPr>
          <w:rFonts w:ascii="Arial" w:eastAsia="Times New Roman" w:hAnsi="Arial" w:cs="Arial"/>
          <w:b/>
          <w:bCs/>
          <w:kern w:val="0"/>
          <w14:ligatures w14:val="none"/>
        </w:rPr>
        <w:t>Type of Work, Audience, and Discipline</w:t>
      </w:r>
    </w:p>
    <w:p w14:paraId="236B3593" w14:textId="5D6D1FD5" w:rsidR="00DE5B8F" w:rsidRPr="00BA1B39" w:rsidRDefault="00DE5B8F" w:rsidP="00DE5B8F">
      <w:pPr>
        <w:spacing w:before="100" w:beforeAutospacing="1" w:after="100" w:afterAutospacing="1" w:line="240" w:lineRule="auto"/>
        <w:rPr>
          <w:rFonts w:ascii="Arial" w:hAnsi="Arial" w:cs="Arial"/>
          <w:kern w:val="0"/>
          <w14:ligatures w14:val="none"/>
        </w:rPr>
      </w:pPr>
      <w:r w:rsidRPr="00BA1B39">
        <w:rPr>
          <w:rFonts w:ascii="Arial" w:hAnsi="Arial" w:cs="Arial"/>
          <w:kern w:val="0"/>
          <w14:ligatures w14:val="none"/>
        </w:rPr>
        <w:t xml:space="preserve">Peers’ chapter is part of an academic, interdisciplinary collection that engages with themes of colonial science and imperialism. As a scholarly publication from </w:t>
      </w:r>
      <w:proofErr w:type="spellStart"/>
      <w:r w:rsidRPr="00BA1B39">
        <w:rPr>
          <w:rFonts w:ascii="Arial" w:hAnsi="Arial" w:cs="Arial"/>
          <w:kern w:val="0"/>
          <w14:ligatures w14:val="none"/>
        </w:rPr>
        <w:t>Routledge</w:t>
      </w:r>
      <w:proofErr w:type="spellEnd"/>
      <w:r w:rsidRPr="00BA1B39">
        <w:rPr>
          <w:rFonts w:ascii="Arial" w:hAnsi="Arial" w:cs="Arial"/>
          <w:kern w:val="0"/>
          <w14:ligatures w14:val="none"/>
        </w:rPr>
        <w:t>, it is written primarily for a university-level audience</w:t>
      </w:r>
      <w:r w:rsidR="00F8487F" w:rsidRPr="00BA1B39">
        <w:rPr>
          <w:rFonts w:ascii="Arial" w:hAnsi="Arial" w:cs="Arial"/>
          <w:kern w:val="0"/>
          <w14:ligatures w14:val="none"/>
        </w:rPr>
        <w:t xml:space="preserve"> </w:t>
      </w:r>
      <w:r w:rsidRPr="00BA1B39">
        <w:rPr>
          <w:rFonts w:ascii="Arial" w:hAnsi="Arial" w:cs="Arial"/>
          <w:kern w:val="0"/>
          <w14:ligatures w14:val="none"/>
        </w:rPr>
        <w:t>historians, colonial studies scholars, and students in imperial, environmental, and military history. The chapter belongs to the discipline of imperial history, intersecting with history of science, military studies, and environmental history. Its academic nature is evident in its critical tone, footnoted evidence, and engagement with historiographical debates.</w:t>
      </w:r>
    </w:p>
    <w:p w14:paraId="62F309E3" w14:textId="36182D0B" w:rsidR="00DE5B8F" w:rsidRPr="00BA1B39" w:rsidRDefault="00DE5B8F" w:rsidP="00DE5B8F">
      <w:pPr>
        <w:spacing w:after="0" w:line="240" w:lineRule="auto"/>
        <w:rPr>
          <w:rFonts w:ascii="Arial" w:eastAsia="Times New Roman" w:hAnsi="Arial" w:cs="Arial"/>
          <w:kern w:val="0"/>
          <w14:ligatures w14:val="none"/>
        </w:rPr>
      </w:pPr>
    </w:p>
    <w:p w14:paraId="49DFC716" w14:textId="4E51E056" w:rsidR="00DE5B8F" w:rsidRPr="00BA1B39" w:rsidRDefault="00DE5B8F" w:rsidP="00256934">
      <w:pPr>
        <w:spacing w:before="100" w:beforeAutospacing="1" w:after="100" w:afterAutospacing="1" w:line="240" w:lineRule="auto"/>
        <w:outlineLvl w:val="2"/>
        <w:rPr>
          <w:rFonts w:ascii="Arial" w:hAnsi="Arial" w:cs="Arial"/>
          <w:b/>
          <w:bCs/>
          <w:kern w:val="0"/>
          <w14:ligatures w14:val="none"/>
        </w:rPr>
      </w:pPr>
      <w:r w:rsidRPr="00BA1B39">
        <w:rPr>
          <w:rFonts w:ascii="Arial" w:eastAsia="Times New Roman" w:hAnsi="Arial" w:cs="Arial"/>
          <w:b/>
          <w:bCs/>
          <w:kern w:val="0"/>
          <w14:ligatures w14:val="none"/>
        </w:rPr>
        <w:t>The Author and Their Approach</w:t>
      </w:r>
    </w:p>
    <w:p w14:paraId="0828CA65" w14:textId="787CFE12" w:rsidR="00DE5B8F" w:rsidRPr="00BA1B39" w:rsidRDefault="00DE5B8F" w:rsidP="00DE5B8F">
      <w:pPr>
        <w:spacing w:before="100" w:beforeAutospacing="1" w:after="100" w:afterAutospacing="1" w:line="240" w:lineRule="auto"/>
        <w:rPr>
          <w:rFonts w:ascii="Arial" w:hAnsi="Arial" w:cs="Arial"/>
          <w:kern w:val="0"/>
          <w14:ligatures w14:val="none"/>
        </w:rPr>
      </w:pPr>
      <w:r w:rsidRPr="00BA1B39">
        <w:rPr>
          <w:rFonts w:ascii="Arial" w:hAnsi="Arial" w:cs="Arial"/>
          <w:kern w:val="0"/>
          <w14:ligatures w14:val="none"/>
        </w:rPr>
        <w:t>Douglas M. Peers is a leading historian of the British Empire and South Asia, particularly known for his work on the military, medicine, and governance in colonial India. He is a professor at the University of Waterloo and has published extensively on the social and institutional history of British imperialism.</w:t>
      </w:r>
    </w:p>
    <w:p w14:paraId="1FE93FD0" w14:textId="512BA738" w:rsidR="00DE5B8F" w:rsidRPr="00BA1B39" w:rsidRDefault="00DE5B8F" w:rsidP="00DE5B8F">
      <w:pPr>
        <w:spacing w:before="100" w:beforeAutospacing="1" w:after="100" w:afterAutospacing="1" w:line="240" w:lineRule="auto"/>
        <w:rPr>
          <w:rFonts w:ascii="Arial" w:hAnsi="Arial" w:cs="Arial"/>
          <w:kern w:val="0"/>
          <w14:ligatures w14:val="none"/>
        </w:rPr>
      </w:pPr>
      <w:r w:rsidRPr="00BA1B39">
        <w:rPr>
          <w:rFonts w:ascii="Arial" w:hAnsi="Arial" w:cs="Arial"/>
          <w:kern w:val="0"/>
          <w14:ligatures w14:val="none"/>
        </w:rPr>
        <w:t xml:space="preserve">Peers adopts a revisionist and interdisciplinary approach, combining military history with cultural and scientific analysis. His work is informed by postcolonial theory and subaltern studies, although he also critiques some of their assumptions. In this chapter, he critiques the traditional view of the British military as purely technocratic </w:t>
      </w:r>
      <w:r w:rsidRPr="00BA1B39">
        <w:rPr>
          <w:rFonts w:ascii="Arial" w:hAnsi="Arial" w:cs="Arial"/>
          <w:kern w:val="0"/>
          <w14:ligatures w14:val="none"/>
        </w:rPr>
        <w:lastRenderedPageBreak/>
        <w:t>and superior, and instead highlights how British survival and dominance relied heavily on adaptation to local climates, diseases, and cultures. He also foregrounds the importance of ‘colonial knowledge’</w:t>
      </w:r>
      <w:r w:rsidR="00F8487F" w:rsidRPr="00BA1B39">
        <w:rPr>
          <w:rFonts w:ascii="Arial" w:hAnsi="Arial" w:cs="Arial"/>
          <w:kern w:val="0"/>
          <w14:ligatures w14:val="none"/>
        </w:rPr>
        <w:t xml:space="preserve"> </w:t>
      </w:r>
      <w:r w:rsidRPr="00BA1B39">
        <w:rPr>
          <w:rFonts w:ascii="Arial" w:hAnsi="Arial" w:cs="Arial"/>
          <w:kern w:val="0"/>
          <w14:ligatures w14:val="none"/>
        </w:rPr>
        <w:t>understood as the formal and informal collection of local environmental, medical, and social information</w:t>
      </w:r>
      <w:r w:rsidR="00F8487F" w:rsidRPr="00BA1B39">
        <w:rPr>
          <w:rFonts w:ascii="Arial" w:hAnsi="Arial" w:cs="Arial"/>
          <w:kern w:val="0"/>
          <w14:ligatures w14:val="none"/>
        </w:rPr>
        <w:t xml:space="preserve"> </w:t>
      </w:r>
      <w:r w:rsidRPr="00BA1B39">
        <w:rPr>
          <w:rFonts w:ascii="Arial" w:hAnsi="Arial" w:cs="Arial"/>
          <w:kern w:val="0"/>
          <w14:ligatures w14:val="none"/>
        </w:rPr>
        <w:t>in shaping British military policy.</w:t>
      </w:r>
    </w:p>
    <w:p w14:paraId="5241CE1A" w14:textId="5884C4C1" w:rsidR="00DE5B8F" w:rsidRPr="00BA1B39" w:rsidRDefault="00DE5B8F" w:rsidP="00DE5B8F">
      <w:pPr>
        <w:spacing w:after="0" w:line="240" w:lineRule="auto"/>
        <w:rPr>
          <w:rFonts w:ascii="Arial" w:eastAsia="Times New Roman" w:hAnsi="Arial" w:cs="Arial"/>
          <w:kern w:val="0"/>
          <w14:ligatures w14:val="none"/>
        </w:rPr>
      </w:pPr>
    </w:p>
    <w:p w14:paraId="418C967C" w14:textId="77777777" w:rsidR="00DE5B8F" w:rsidRPr="00BA1B39" w:rsidRDefault="00DE5B8F" w:rsidP="00DE5B8F">
      <w:pPr>
        <w:spacing w:before="100" w:beforeAutospacing="1" w:after="100" w:afterAutospacing="1" w:line="240" w:lineRule="auto"/>
        <w:outlineLvl w:val="2"/>
        <w:rPr>
          <w:rFonts w:ascii="Arial" w:hAnsi="Arial" w:cs="Arial"/>
          <w:b/>
          <w:bCs/>
          <w:kern w:val="0"/>
          <w14:ligatures w14:val="none"/>
        </w:rPr>
      </w:pPr>
      <w:r w:rsidRPr="00BA1B39">
        <w:rPr>
          <w:rFonts w:ascii="Arial" w:eastAsia="Times New Roman" w:hAnsi="Arial" w:cs="Arial"/>
          <w:b/>
          <w:bCs/>
          <w:kern w:val="0"/>
          <w14:ligatures w14:val="none"/>
        </w:rPr>
        <w:t>Date and Historiographical Context</w:t>
      </w:r>
    </w:p>
    <w:p w14:paraId="1E7D3146" w14:textId="6E2BF032" w:rsidR="00DE5B8F" w:rsidRPr="00BA1B39" w:rsidRDefault="00DE5B8F" w:rsidP="00DE5B8F">
      <w:pPr>
        <w:spacing w:before="100" w:beforeAutospacing="1" w:after="100" w:afterAutospacing="1" w:line="240" w:lineRule="auto"/>
        <w:rPr>
          <w:rFonts w:ascii="Arial" w:hAnsi="Arial" w:cs="Arial"/>
          <w:kern w:val="0"/>
          <w14:ligatures w14:val="none"/>
        </w:rPr>
      </w:pPr>
      <w:r w:rsidRPr="00BA1B39">
        <w:rPr>
          <w:rFonts w:ascii="Arial" w:hAnsi="Arial" w:cs="Arial"/>
          <w:kern w:val="0"/>
          <w14:ligatures w14:val="none"/>
        </w:rPr>
        <w:t xml:space="preserve">Published in 2013, Peers’ chapter reflects the wider postcolonial turn in imperial historiography, which challenged Eurocentric narratives and </w:t>
      </w:r>
      <w:r w:rsidR="00B632D2" w:rsidRPr="00BA1B39">
        <w:rPr>
          <w:rFonts w:ascii="Arial" w:hAnsi="Arial" w:cs="Arial"/>
          <w:kern w:val="0"/>
          <w14:ligatures w14:val="none"/>
        </w:rPr>
        <w:t>emphasised</w:t>
      </w:r>
      <w:r w:rsidRPr="00BA1B39">
        <w:rPr>
          <w:rFonts w:ascii="Arial" w:hAnsi="Arial" w:cs="Arial"/>
          <w:kern w:val="0"/>
          <w14:ligatures w14:val="none"/>
        </w:rPr>
        <w:t xml:space="preserve"> the agency of </w:t>
      </w:r>
      <w:r w:rsidR="00B632D2" w:rsidRPr="00BA1B39">
        <w:rPr>
          <w:rFonts w:ascii="Arial" w:hAnsi="Arial" w:cs="Arial"/>
          <w:kern w:val="0"/>
          <w14:ligatures w14:val="none"/>
        </w:rPr>
        <w:t>colonised</w:t>
      </w:r>
      <w:r w:rsidRPr="00BA1B39">
        <w:rPr>
          <w:rFonts w:ascii="Arial" w:hAnsi="Arial" w:cs="Arial"/>
          <w:kern w:val="0"/>
          <w14:ligatures w14:val="none"/>
        </w:rPr>
        <w:t xml:space="preserve"> peoples and environments. The early 21st century also saw growing interest in the entanglements of science, empire, and the environment, particularly how imperial powers adapted to and tried to control unfamiliar climates and diseases.</w:t>
      </w:r>
    </w:p>
    <w:p w14:paraId="43D80433" w14:textId="5B2EF100" w:rsidR="00DE5B8F" w:rsidRPr="00BA1B39" w:rsidRDefault="00DE5B8F" w:rsidP="00DE5B8F">
      <w:pPr>
        <w:spacing w:before="100" w:beforeAutospacing="1" w:after="100" w:afterAutospacing="1" w:line="240" w:lineRule="auto"/>
        <w:rPr>
          <w:rFonts w:ascii="Arial" w:hAnsi="Arial" w:cs="Arial"/>
          <w:kern w:val="0"/>
          <w14:ligatures w14:val="none"/>
        </w:rPr>
      </w:pPr>
      <w:r w:rsidRPr="00BA1B39">
        <w:rPr>
          <w:rFonts w:ascii="Arial" w:hAnsi="Arial" w:cs="Arial"/>
          <w:kern w:val="0"/>
          <w14:ligatures w14:val="none"/>
        </w:rPr>
        <w:t xml:space="preserve">Peers’ work builds on and critiques earlier narratives of British superiority and control, particularly those found in traditional military histories. He also responds to the work of scholars like David Arnold, who </w:t>
      </w:r>
      <w:r w:rsidR="00B632D2" w:rsidRPr="00BA1B39">
        <w:rPr>
          <w:rFonts w:ascii="Arial" w:hAnsi="Arial" w:cs="Arial"/>
          <w:kern w:val="0"/>
          <w14:ligatures w14:val="none"/>
        </w:rPr>
        <w:t>emphasised</w:t>
      </w:r>
      <w:r w:rsidRPr="00BA1B39">
        <w:rPr>
          <w:rFonts w:ascii="Arial" w:hAnsi="Arial" w:cs="Arial"/>
          <w:kern w:val="0"/>
          <w14:ligatures w14:val="none"/>
        </w:rPr>
        <w:t xml:space="preserve"> the “colonisation of the body” through tropical medicine, and C.A. </w:t>
      </w:r>
      <w:proofErr w:type="spellStart"/>
      <w:r w:rsidRPr="00BA1B39">
        <w:rPr>
          <w:rFonts w:ascii="Arial" w:hAnsi="Arial" w:cs="Arial"/>
          <w:kern w:val="0"/>
          <w14:ligatures w14:val="none"/>
        </w:rPr>
        <w:t>Bayly</w:t>
      </w:r>
      <w:proofErr w:type="spellEnd"/>
      <w:r w:rsidRPr="00BA1B39">
        <w:rPr>
          <w:rFonts w:ascii="Arial" w:hAnsi="Arial" w:cs="Arial"/>
          <w:kern w:val="0"/>
          <w14:ligatures w14:val="none"/>
        </w:rPr>
        <w:t>, who discussed the production of knowledge in empire. His chapter sits within a growing historiography that seeks to deconstruct imperial myths of invulnerability by showing how environmental vulnerability forced adaptation.</w:t>
      </w:r>
    </w:p>
    <w:p w14:paraId="5125F417" w14:textId="26AAB184" w:rsidR="00DE5B8F" w:rsidRPr="00BA1B39" w:rsidRDefault="00DE5B8F" w:rsidP="00DE5B8F">
      <w:pPr>
        <w:spacing w:after="0" w:line="240" w:lineRule="auto"/>
        <w:rPr>
          <w:rFonts w:ascii="Arial" w:eastAsia="Times New Roman" w:hAnsi="Arial" w:cs="Arial"/>
          <w:kern w:val="0"/>
          <w14:ligatures w14:val="none"/>
        </w:rPr>
      </w:pPr>
    </w:p>
    <w:p w14:paraId="2304C22A" w14:textId="7D68D876" w:rsidR="00DE5B8F" w:rsidRPr="00BA1B39" w:rsidRDefault="00DE5B8F" w:rsidP="00256934">
      <w:pPr>
        <w:spacing w:before="100" w:beforeAutospacing="1" w:after="100" w:afterAutospacing="1" w:line="240" w:lineRule="auto"/>
        <w:outlineLvl w:val="2"/>
        <w:rPr>
          <w:rFonts w:ascii="Arial" w:hAnsi="Arial" w:cs="Arial"/>
          <w:b/>
          <w:bCs/>
          <w:kern w:val="0"/>
          <w14:ligatures w14:val="none"/>
        </w:rPr>
      </w:pPr>
      <w:r w:rsidRPr="00BA1B39">
        <w:rPr>
          <w:rFonts w:ascii="Arial" w:eastAsia="Times New Roman" w:hAnsi="Arial" w:cs="Arial"/>
          <w:b/>
          <w:bCs/>
          <w:kern w:val="0"/>
          <w14:ligatures w14:val="none"/>
        </w:rPr>
        <w:t>Main Arguments</w:t>
      </w:r>
    </w:p>
    <w:p w14:paraId="080658EE" w14:textId="3A4519F5" w:rsidR="00DE5B8F" w:rsidRPr="00BA1B39" w:rsidRDefault="00DE5B8F" w:rsidP="00DE5B8F">
      <w:pPr>
        <w:spacing w:before="100" w:beforeAutospacing="1" w:after="100" w:afterAutospacing="1" w:line="240" w:lineRule="auto"/>
        <w:rPr>
          <w:rFonts w:ascii="Arial" w:hAnsi="Arial" w:cs="Arial"/>
          <w:kern w:val="0"/>
          <w14:ligatures w14:val="none"/>
        </w:rPr>
      </w:pPr>
      <w:r w:rsidRPr="00BA1B39">
        <w:rPr>
          <w:rFonts w:ascii="Arial" w:hAnsi="Arial" w:cs="Arial"/>
          <w:kern w:val="0"/>
          <w14:ligatures w14:val="none"/>
        </w:rPr>
        <w:t>Peers’ core argument is that the British military in India was far more dependent on adaptation and local knowledge than previously acknowledged. He argues that between 1780 and 1860, the British army shifted from a rigid, European-style force to one that increasingly sought to understand and manipulate Indian climates, diseases, and societies in order to survive and rule.</w:t>
      </w:r>
    </w:p>
    <w:p w14:paraId="768E60E0" w14:textId="77777777" w:rsidR="00DE5B8F" w:rsidRPr="00BA1B39" w:rsidRDefault="00DE5B8F" w:rsidP="00DE5B8F">
      <w:pPr>
        <w:spacing w:before="100" w:beforeAutospacing="1" w:after="100" w:afterAutospacing="1" w:line="240" w:lineRule="auto"/>
        <w:rPr>
          <w:rFonts w:ascii="Arial" w:hAnsi="Arial" w:cs="Arial"/>
          <w:kern w:val="0"/>
          <w14:ligatures w14:val="none"/>
        </w:rPr>
      </w:pPr>
      <w:r w:rsidRPr="00BA1B39">
        <w:rPr>
          <w:rFonts w:ascii="Arial" w:hAnsi="Arial" w:cs="Arial"/>
          <w:kern w:val="0"/>
          <w14:ligatures w14:val="none"/>
        </w:rPr>
        <w:t>He outlines several key points:</w:t>
      </w:r>
    </w:p>
    <w:p w14:paraId="4F2756FA" w14:textId="77777777" w:rsidR="00DE5B8F" w:rsidRPr="00BA1B39" w:rsidRDefault="00DE5B8F" w:rsidP="00DE5B8F">
      <w:pPr>
        <w:numPr>
          <w:ilvl w:val="0"/>
          <w:numId w:val="2"/>
        </w:numPr>
        <w:spacing w:before="100" w:beforeAutospacing="1" w:after="100" w:afterAutospacing="1" w:line="240" w:lineRule="auto"/>
        <w:rPr>
          <w:rFonts w:ascii="Arial" w:hAnsi="Arial" w:cs="Arial"/>
          <w:kern w:val="0"/>
          <w14:ligatures w14:val="none"/>
        </w:rPr>
      </w:pPr>
      <w:r w:rsidRPr="00BA1B39">
        <w:rPr>
          <w:rFonts w:ascii="Arial" w:hAnsi="Arial" w:cs="Arial"/>
          <w:kern w:val="0"/>
          <w14:ligatures w14:val="none"/>
        </w:rPr>
        <w:t>The British military engaged in systematic observation of weather, disease, terrain, and native customs, forming a body of “colonial science.”</w:t>
      </w:r>
    </w:p>
    <w:p w14:paraId="33409A59" w14:textId="77777777" w:rsidR="00DE5B8F" w:rsidRPr="00BA1B39" w:rsidRDefault="00DE5B8F" w:rsidP="00DE5B8F">
      <w:pPr>
        <w:numPr>
          <w:ilvl w:val="0"/>
          <w:numId w:val="2"/>
        </w:numPr>
        <w:spacing w:before="100" w:beforeAutospacing="1" w:after="100" w:afterAutospacing="1" w:line="240" w:lineRule="auto"/>
        <w:rPr>
          <w:rFonts w:ascii="Arial" w:hAnsi="Arial" w:cs="Arial"/>
          <w:kern w:val="0"/>
          <w14:ligatures w14:val="none"/>
        </w:rPr>
      </w:pPr>
      <w:r w:rsidRPr="00BA1B39">
        <w:rPr>
          <w:rFonts w:ascii="Arial" w:hAnsi="Arial" w:cs="Arial"/>
          <w:kern w:val="0"/>
          <w14:ligatures w14:val="none"/>
        </w:rPr>
        <w:t>British officers and medical staff often borrowed Indian knowledge, particularly in dealing with tropical diseases, despite presenting themselves as scientifically superior.</w:t>
      </w:r>
    </w:p>
    <w:p w14:paraId="506E26E4" w14:textId="77777777" w:rsidR="00DE5B8F" w:rsidRPr="00BA1B39" w:rsidRDefault="00DE5B8F" w:rsidP="00DE5B8F">
      <w:pPr>
        <w:numPr>
          <w:ilvl w:val="0"/>
          <w:numId w:val="2"/>
        </w:numPr>
        <w:spacing w:before="100" w:beforeAutospacing="1" w:after="100" w:afterAutospacing="1" w:line="240" w:lineRule="auto"/>
        <w:rPr>
          <w:rFonts w:ascii="Arial" w:hAnsi="Arial" w:cs="Arial"/>
          <w:kern w:val="0"/>
          <w14:ligatures w14:val="none"/>
        </w:rPr>
      </w:pPr>
      <w:r w:rsidRPr="00BA1B39">
        <w:rPr>
          <w:rFonts w:ascii="Arial" w:hAnsi="Arial" w:cs="Arial"/>
          <w:kern w:val="0"/>
          <w14:ligatures w14:val="none"/>
        </w:rPr>
        <w:t>The military’s willingness to adapt was pragmatic rather than ideological; survival and operational efficiency in India depended on it.</w:t>
      </w:r>
    </w:p>
    <w:p w14:paraId="49AFEC88" w14:textId="08407021" w:rsidR="00DE5B8F" w:rsidRPr="00BA1B39" w:rsidRDefault="00DE5B8F" w:rsidP="00DE5B8F">
      <w:pPr>
        <w:numPr>
          <w:ilvl w:val="0"/>
          <w:numId w:val="2"/>
        </w:numPr>
        <w:spacing w:before="100" w:beforeAutospacing="1" w:after="100" w:afterAutospacing="1" w:line="240" w:lineRule="auto"/>
        <w:rPr>
          <w:rFonts w:ascii="Arial" w:hAnsi="Arial" w:cs="Arial"/>
          <w:kern w:val="0"/>
          <w14:ligatures w14:val="none"/>
        </w:rPr>
      </w:pPr>
      <w:r w:rsidRPr="00BA1B39">
        <w:rPr>
          <w:rFonts w:ascii="Arial" w:hAnsi="Arial" w:cs="Arial"/>
          <w:kern w:val="0"/>
          <w14:ligatures w14:val="none"/>
        </w:rPr>
        <w:t xml:space="preserve">Over time, this adaptive process led to the </w:t>
      </w:r>
      <w:r w:rsidR="00B632D2" w:rsidRPr="00BA1B39">
        <w:rPr>
          <w:rFonts w:ascii="Arial" w:hAnsi="Arial" w:cs="Arial"/>
          <w:kern w:val="0"/>
          <w14:ligatures w14:val="none"/>
        </w:rPr>
        <w:t>institutionalisation</w:t>
      </w:r>
      <w:r w:rsidRPr="00BA1B39">
        <w:rPr>
          <w:rFonts w:ascii="Arial" w:hAnsi="Arial" w:cs="Arial"/>
          <w:kern w:val="0"/>
          <w14:ligatures w14:val="none"/>
        </w:rPr>
        <w:t xml:space="preserve"> of “colonial knowledge” in the form of military manuals, medical treatises, and surveys.</w:t>
      </w:r>
    </w:p>
    <w:p w14:paraId="7D12033B" w14:textId="77777777" w:rsidR="00DE5B8F" w:rsidRPr="00BA1B39" w:rsidRDefault="00DE5B8F" w:rsidP="00DE5B8F">
      <w:pPr>
        <w:spacing w:before="100" w:beforeAutospacing="1" w:after="100" w:afterAutospacing="1" w:line="240" w:lineRule="auto"/>
        <w:rPr>
          <w:rFonts w:ascii="Arial" w:hAnsi="Arial" w:cs="Arial"/>
          <w:kern w:val="0"/>
          <w14:ligatures w14:val="none"/>
        </w:rPr>
      </w:pPr>
      <w:r w:rsidRPr="00BA1B39">
        <w:rPr>
          <w:rFonts w:ascii="Arial" w:hAnsi="Arial" w:cs="Arial"/>
          <w:kern w:val="0"/>
          <w14:ligatures w14:val="none"/>
        </w:rPr>
        <w:t>This challenges the older narrative of technological and disciplinary superiority, showing instead that imperial survival was dependent on learning from the very people and environments the British sought to dominate.</w:t>
      </w:r>
    </w:p>
    <w:p w14:paraId="3712E8DE" w14:textId="59BDA76B" w:rsidR="00DE5B8F" w:rsidRPr="00BA1B39" w:rsidRDefault="00DE5B8F" w:rsidP="00DE5B8F">
      <w:pPr>
        <w:spacing w:after="0" w:line="240" w:lineRule="auto"/>
        <w:rPr>
          <w:rFonts w:ascii="Arial" w:eastAsia="Times New Roman" w:hAnsi="Arial" w:cs="Arial"/>
          <w:kern w:val="0"/>
          <w14:ligatures w14:val="none"/>
        </w:rPr>
      </w:pPr>
    </w:p>
    <w:p w14:paraId="1D4F6847" w14:textId="2B1A5145" w:rsidR="00DE5B8F" w:rsidRPr="00BA1B39" w:rsidRDefault="00DE5B8F" w:rsidP="00256934">
      <w:pPr>
        <w:spacing w:before="100" w:beforeAutospacing="1" w:after="100" w:afterAutospacing="1" w:line="240" w:lineRule="auto"/>
        <w:outlineLvl w:val="2"/>
        <w:rPr>
          <w:rFonts w:ascii="Arial" w:hAnsi="Arial" w:cs="Arial"/>
          <w:b/>
          <w:bCs/>
          <w:kern w:val="0"/>
          <w14:ligatures w14:val="none"/>
        </w:rPr>
      </w:pPr>
      <w:r w:rsidRPr="00BA1B39">
        <w:rPr>
          <w:rFonts w:ascii="Arial" w:eastAsia="Times New Roman" w:hAnsi="Arial" w:cs="Arial"/>
          <w:b/>
          <w:bCs/>
          <w:kern w:val="0"/>
          <w14:ligatures w14:val="none"/>
        </w:rPr>
        <w:t>Sources Used and Evaluation</w:t>
      </w:r>
    </w:p>
    <w:p w14:paraId="0A601D2D" w14:textId="77777777" w:rsidR="00DE5B8F" w:rsidRPr="00BA1B39" w:rsidRDefault="00DE5B8F" w:rsidP="00DE5B8F">
      <w:pPr>
        <w:spacing w:before="100" w:beforeAutospacing="1" w:after="100" w:afterAutospacing="1" w:line="240" w:lineRule="auto"/>
        <w:rPr>
          <w:rFonts w:ascii="Arial" w:hAnsi="Arial" w:cs="Arial"/>
          <w:kern w:val="0"/>
          <w14:ligatures w14:val="none"/>
        </w:rPr>
      </w:pPr>
      <w:r w:rsidRPr="00BA1B39">
        <w:rPr>
          <w:rFonts w:ascii="Arial" w:hAnsi="Arial" w:cs="Arial"/>
          <w:kern w:val="0"/>
          <w14:ligatures w14:val="none"/>
        </w:rPr>
        <w:t>Peers makes use of a rich array of primary and secondary sources, including:</w:t>
      </w:r>
    </w:p>
    <w:p w14:paraId="244BEF5D" w14:textId="77777777" w:rsidR="00DE5B8F" w:rsidRPr="00BA1B39" w:rsidRDefault="00DE5B8F" w:rsidP="00DE5B8F">
      <w:pPr>
        <w:numPr>
          <w:ilvl w:val="0"/>
          <w:numId w:val="3"/>
        </w:numPr>
        <w:spacing w:before="100" w:beforeAutospacing="1" w:after="100" w:afterAutospacing="1" w:line="240" w:lineRule="auto"/>
        <w:rPr>
          <w:rFonts w:ascii="Arial" w:hAnsi="Arial" w:cs="Arial"/>
          <w:kern w:val="0"/>
          <w14:ligatures w14:val="none"/>
        </w:rPr>
      </w:pPr>
      <w:r w:rsidRPr="00BA1B39">
        <w:rPr>
          <w:rFonts w:ascii="Arial" w:hAnsi="Arial" w:cs="Arial"/>
          <w:kern w:val="0"/>
          <w14:ligatures w14:val="none"/>
        </w:rPr>
        <w:t>Military and medical records, such as reports from the Army Medical Department.</w:t>
      </w:r>
    </w:p>
    <w:p w14:paraId="102A761D" w14:textId="77777777" w:rsidR="00DE5B8F" w:rsidRPr="00BA1B39" w:rsidRDefault="00DE5B8F" w:rsidP="00DE5B8F">
      <w:pPr>
        <w:numPr>
          <w:ilvl w:val="0"/>
          <w:numId w:val="3"/>
        </w:numPr>
        <w:spacing w:before="100" w:beforeAutospacing="1" w:after="100" w:afterAutospacing="1" w:line="240" w:lineRule="auto"/>
        <w:rPr>
          <w:rFonts w:ascii="Arial" w:hAnsi="Arial" w:cs="Arial"/>
          <w:kern w:val="0"/>
          <w14:ligatures w14:val="none"/>
        </w:rPr>
      </w:pPr>
      <w:r w:rsidRPr="00BA1B39">
        <w:rPr>
          <w:rFonts w:ascii="Arial" w:hAnsi="Arial" w:cs="Arial"/>
          <w:kern w:val="0"/>
          <w14:ligatures w14:val="none"/>
        </w:rPr>
        <w:t>Travel accounts and journals written by British officers and surgeons.</w:t>
      </w:r>
    </w:p>
    <w:p w14:paraId="4801FA45" w14:textId="77777777" w:rsidR="00DE5B8F" w:rsidRPr="00BA1B39" w:rsidRDefault="00DE5B8F" w:rsidP="00DE5B8F">
      <w:pPr>
        <w:numPr>
          <w:ilvl w:val="0"/>
          <w:numId w:val="3"/>
        </w:numPr>
        <w:spacing w:before="100" w:beforeAutospacing="1" w:after="100" w:afterAutospacing="1" w:line="240" w:lineRule="auto"/>
        <w:rPr>
          <w:rFonts w:ascii="Arial" w:hAnsi="Arial" w:cs="Arial"/>
          <w:kern w:val="0"/>
          <w14:ligatures w14:val="none"/>
        </w:rPr>
      </w:pPr>
      <w:r w:rsidRPr="00BA1B39">
        <w:rPr>
          <w:rFonts w:ascii="Arial" w:hAnsi="Arial" w:cs="Arial"/>
          <w:kern w:val="0"/>
          <w14:ligatures w14:val="none"/>
        </w:rPr>
        <w:t>Institutional documents, including those from the East India Company.</w:t>
      </w:r>
    </w:p>
    <w:p w14:paraId="6A064280" w14:textId="4900FD28" w:rsidR="00DE5B8F" w:rsidRPr="00BA1B39" w:rsidRDefault="00DE5B8F" w:rsidP="00DE5B8F">
      <w:pPr>
        <w:numPr>
          <w:ilvl w:val="0"/>
          <w:numId w:val="3"/>
        </w:numPr>
        <w:spacing w:before="100" w:beforeAutospacing="1" w:after="100" w:afterAutospacing="1" w:line="240" w:lineRule="auto"/>
        <w:rPr>
          <w:rFonts w:ascii="Arial" w:hAnsi="Arial" w:cs="Arial"/>
          <w:kern w:val="0"/>
          <w14:ligatures w14:val="none"/>
        </w:rPr>
      </w:pPr>
      <w:r w:rsidRPr="00BA1B39">
        <w:rPr>
          <w:rFonts w:ascii="Arial" w:hAnsi="Arial" w:cs="Arial"/>
          <w:kern w:val="0"/>
          <w14:ligatures w14:val="none"/>
        </w:rPr>
        <w:t>Contemporary scientific publications on tropical medicine and geography.</w:t>
      </w:r>
    </w:p>
    <w:p w14:paraId="57421F38" w14:textId="2BAC8F25" w:rsidR="00DE5B8F" w:rsidRPr="00BA1B39" w:rsidRDefault="00DE5B8F" w:rsidP="00DE5B8F">
      <w:pPr>
        <w:spacing w:before="100" w:beforeAutospacing="1" w:after="100" w:afterAutospacing="1" w:line="240" w:lineRule="auto"/>
        <w:rPr>
          <w:rFonts w:ascii="Arial" w:hAnsi="Arial" w:cs="Arial"/>
          <w:kern w:val="0"/>
          <w14:ligatures w14:val="none"/>
        </w:rPr>
      </w:pPr>
      <w:r w:rsidRPr="00BA1B39">
        <w:rPr>
          <w:rFonts w:ascii="Arial" w:hAnsi="Arial" w:cs="Arial"/>
          <w:kern w:val="0"/>
          <w14:ligatures w14:val="none"/>
        </w:rPr>
        <w:t>The strength of Peers’ source base lies in its diversity and the way it blends administrative, personal, and scientific voices. By drawing on both elite and everyday texts, Peers gives a nuanced picture of how knowledge was produced and used within the British military establishment.</w:t>
      </w:r>
    </w:p>
    <w:p w14:paraId="1EB4847B" w14:textId="5D73875C" w:rsidR="00DE5B8F" w:rsidRPr="00BA1B39" w:rsidRDefault="00DE5B8F" w:rsidP="00DE5B8F">
      <w:pPr>
        <w:spacing w:before="100" w:beforeAutospacing="1" w:after="100" w:afterAutospacing="1" w:line="240" w:lineRule="auto"/>
        <w:rPr>
          <w:rFonts w:ascii="Arial" w:hAnsi="Arial" w:cs="Arial"/>
          <w:kern w:val="0"/>
          <w14:ligatures w14:val="none"/>
        </w:rPr>
      </w:pPr>
      <w:r w:rsidRPr="00BA1B39">
        <w:rPr>
          <w:rFonts w:ascii="Arial" w:hAnsi="Arial" w:cs="Arial"/>
          <w:kern w:val="0"/>
          <w14:ligatures w14:val="none"/>
        </w:rPr>
        <w:t>A limitation, however, is that Indian voices are largely absent</w:t>
      </w:r>
      <w:r w:rsidR="00F8487F" w:rsidRPr="00BA1B39">
        <w:rPr>
          <w:rFonts w:ascii="Arial" w:hAnsi="Arial" w:cs="Arial"/>
          <w:kern w:val="0"/>
          <w14:ligatures w14:val="none"/>
        </w:rPr>
        <w:t xml:space="preserve">, </w:t>
      </w:r>
      <w:r w:rsidRPr="00BA1B39">
        <w:rPr>
          <w:rFonts w:ascii="Arial" w:hAnsi="Arial" w:cs="Arial"/>
          <w:kern w:val="0"/>
          <w14:ligatures w14:val="none"/>
        </w:rPr>
        <w:t>not due to oversight, but because most of the primary documents are produced by British agents. As a result, while the work reveals how the British learned from India, it cannot fully explore how Indians may have influenced, resisted, or subverted this process. Nonetheless, Peers acknowledges this limitation and discusses it critically.</w:t>
      </w:r>
    </w:p>
    <w:p w14:paraId="0E4B340F" w14:textId="05278FA0" w:rsidR="00DE5B8F" w:rsidRPr="00BA1B39" w:rsidRDefault="00DE5B8F" w:rsidP="00DE5B8F">
      <w:pPr>
        <w:spacing w:after="0" w:line="240" w:lineRule="auto"/>
        <w:rPr>
          <w:rFonts w:ascii="Arial" w:eastAsia="Times New Roman" w:hAnsi="Arial" w:cs="Arial"/>
          <w:kern w:val="0"/>
          <w14:ligatures w14:val="none"/>
        </w:rPr>
      </w:pPr>
    </w:p>
    <w:p w14:paraId="337B4271" w14:textId="45FCD54D" w:rsidR="00DE5B8F" w:rsidRPr="00BA1B39" w:rsidRDefault="00DE5B8F" w:rsidP="00256934">
      <w:pPr>
        <w:spacing w:before="100" w:beforeAutospacing="1" w:after="100" w:afterAutospacing="1" w:line="240" w:lineRule="auto"/>
        <w:outlineLvl w:val="2"/>
        <w:rPr>
          <w:rFonts w:ascii="Arial" w:hAnsi="Arial" w:cs="Arial"/>
          <w:b/>
          <w:bCs/>
          <w:kern w:val="0"/>
          <w14:ligatures w14:val="none"/>
        </w:rPr>
      </w:pPr>
      <w:r w:rsidRPr="00BA1B39">
        <w:rPr>
          <w:rFonts w:ascii="Arial" w:eastAsia="Times New Roman" w:hAnsi="Arial" w:cs="Arial"/>
          <w:b/>
          <w:bCs/>
          <w:kern w:val="0"/>
          <w14:ligatures w14:val="none"/>
        </w:rPr>
        <w:t>Strengths and Weaknesses of the Work</w:t>
      </w:r>
    </w:p>
    <w:p w14:paraId="07DB9167" w14:textId="0F8FC8C9" w:rsidR="00DE5B8F" w:rsidRPr="00BA1B39" w:rsidRDefault="00DE5B8F" w:rsidP="00DE5B8F">
      <w:pPr>
        <w:spacing w:before="100" w:beforeAutospacing="1" w:after="100" w:afterAutospacing="1" w:line="240" w:lineRule="auto"/>
        <w:rPr>
          <w:rFonts w:ascii="Arial" w:hAnsi="Arial" w:cs="Arial"/>
          <w:kern w:val="0"/>
          <w14:ligatures w14:val="none"/>
        </w:rPr>
      </w:pPr>
      <w:r w:rsidRPr="00BA1B39">
        <w:rPr>
          <w:rFonts w:ascii="Arial" w:hAnsi="Arial" w:cs="Arial"/>
          <w:kern w:val="0"/>
          <w14:ligatures w14:val="none"/>
        </w:rPr>
        <w:t>One of the key strengths of Peers’ chapter is its interdisciplinary method. By combining military history with the history of science and environmental history, he offers a far richer understanding of colonial adaptation than older, narrowly focused military narratives. He also writes clearly and concisely, making complex ideas accessible without oversimplifying them.</w:t>
      </w:r>
    </w:p>
    <w:p w14:paraId="17CDFFE1" w14:textId="1A168A62" w:rsidR="00DE5B8F" w:rsidRPr="00BA1B39" w:rsidRDefault="00DE5B8F" w:rsidP="00DE5B8F">
      <w:pPr>
        <w:spacing w:before="100" w:beforeAutospacing="1" w:after="100" w:afterAutospacing="1" w:line="240" w:lineRule="auto"/>
        <w:rPr>
          <w:rFonts w:ascii="Arial" w:hAnsi="Arial" w:cs="Arial"/>
          <w:kern w:val="0"/>
          <w14:ligatures w14:val="none"/>
        </w:rPr>
      </w:pPr>
      <w:r w:rsidRPr="00BA1B39">
        <w:rPr>
          <w:rFonts w:ascii="Arial" w:hAnsi="Arial" w:cs="Arial"/>
          <w:kern w:val="0"/>
          <w14:ligatures w14:val="none"/>
        </w:rPr>
        <w:t>Another strength is his willingness to challenge imperial myths. Peers avoids glorifying the British military and instead shows how it struggled, adapted, and often relied on indigenous knowledge systems to function.</w:t>
      </w:r>
    </w:p>
    <w:p w14:paraId="54DE2A16" w14:textId="4B39534E" w:rsidR="00DE5B8F" w:rsidRPr="00BA1B39" w:rsidRDefault="00DE5B8F" w:rsidP="00DE5B8F">
      <w:pPr>
        <w:spacing w:before="100" w:beforeAutospacing="1" w:after="100" w:afterAutospacing="1" w:line="240" w:lineRule="auto"/>
        <w:rPr>
          <w:rFonts w:ascii="Arial" w:hAnsi="Arial" w:cs="Arial"/>
          <w:kern w:val="0"/>
          <w14:ligatures w14:val="none"/>
        </w:rPr>
      </w:pPr>
      <w:r w:rsidRPr="00BA1B39">
        <w:rPr>
          <w:rFonts w:ascii="Arial" w:hAnsi="Arial" w:cs="Arial"/>
          <w:kern w:val="0"/>
          <w14:ligatures w14:val="none"/>
        </w:rPr>
        <w:t xml:space="preserve">A potential weakness is that the chapter’s scope is quite broad, covering 80 years in under 30 pages. This leads to some </w:t>
      </w:r>
      <w:r w:rsidR="00F8487F" w:rsidRPr="00BA1B39">
        <w:rPr>
          <w:rFonts w:ascii="Arial" w:hAnsi="Arial" w:cs="Arial"/>
          <w:kern w:val="0"/>
          <w14:ligatures w14:val="none"/>
        </w:rPr>
        <w:t>generalisations</w:t>
      </w:r>
      <w:r w:rsidRPr="00BA1B39">
        <w:rPr>
          <w:rFonts w:ascii="Arial" w:hAnsi="Arial" w:cs="Arial"/>
          <w:kern w:val="0"/>
          <w14:ligatures w14:val="none"/>
        </w:rPr>
        <w:t xml:space="preserve"> and brief treatment of some regional variations. A more detailed focus on a specific campaign or region might have offered greater depth.</w:t>
      </w:r>
    </w:p>
    <w:p w14:paraId="6A01758A" w14:textId="4F5BC20E" w:rsidR="00DE5B8F" w:rsidRPr="00BA1B39" w:rsidRDefault="00DE5B8F" w:rsidP="00DE5B8F">
      <w:pPr>
        <w:spacing w:after="0" w:line="240" w:lineRule="auto"/>
        <w:rPr>
          <w:rFonts w:ascii="Arial" w:eastAsia="Times New Roman" w:hAnsi="Arial" w:cs="Arial"/>
          <w:kern w:val="0"/>
          <w14:ligatures w14:val="none"/>
        </w:rPr>
      </w:pPr>
    </w:p>
    <w:p w14:paraId="0FD8061B" w14:textId="6DC79064" w:rsidR="00DE5B8F" w:rsidRPr="00BA1B39" w:rsidRDefault="00DE5B8F" w:rsidP="00256934">
      <w:pPr>
        <w:spacing w:before="100" w:beforeAutospacing="1" w:after="100" w:afterAutospacing="1" w:line="240" w:lineRule="auto"/>
        <w:outlineLvl w:val="2"/>
        <w:rPr>
          <w:rFonts w:ascii="Arial" w:hAnsi="Arial" w:cs="Arial"/>
          <w:b/>
          <w:bCs/>
          <w:kern w:val="0"/>
          <w14:ligatures w14:val="none"/>
        </w:rPr>
      </w:pPr>
      <w:r w:rsidRPr="00BA1B39">
        <w:rPr>
          <w:rFonts w:ascii="Arial" w:eastAsia="Times New Roman" w:hAnsi="Arial" w:cs="Arial"/>
          <w:b/>
          <w:bCs/>
          <w:kern w:val="0"/>
          <w14:ligatures w14:val="none"/>
        </w:rPr>
        <w:t>Value as an Academic Aid</w:t>
      </w:r>
    </w:p>
    <w:p w14:paraId="565ABB1E" w14:textId="1BFB2E69" w:rsidR="00DE5B8F" w:rsidRPr="00BA1B39" w:rsidRDefault="00DE5B8F" w:rsidP="00DE5B8F">
      <w:pPr>
        <w:spacing w:before="100" w:beforeAutospacing="1" w:after="100" w:afterAutospacing="1" w:line="240" w:lineRule="auto"/>
        <w:rPr>
          <w:rFonts w:ascii="Arial" w:hAnsi="Arial" w:cs="Arial"/>
          <w:kern w:val="0"/>
          <w14:ligatures w14:val="none"/>
        </w:rPr>
      </w:pPr>
      <w:r w:rsidRPr="00BA1B39">
        <w:rPr>
          <w:rFonts w:ascii="Arial" w:hAnsi="Arial" w:cs="Arial"/>
          <w:kern w:val="0"/>
          <w14:ligatures w14:val="none"/>
        </w:rPr>
        <w:t xml:space="preserve">Peers’ work is highly valuable to my own research and understanding of how British imperial power was sustained in India through adaptation rather than dominance alone. It complements my essay, which argued that cultural and environmental adaptation were key to British rule between 1757 and 1857. While my essay focuses </w:t>
      </w:r>
      <w:r w:rsidRPr="00BA1B39">
        <w:rPr>
          <w:rFonts w:ascii="Arial" w:hAnsi="Arial" w:cs="Arial"/>
          <w:kern w:val="0"/>
          <w14:ligatures w14:val="none"/>
        </w:rPr>
        <w:lastRenderedPageBreak/>
        <w:t>more on pragmatic governance, Peers shows how scientific and military institutions were also shaped by the Indian context.</w:t>
      </w:r>
    </w:p>
    <w:p w14:paraId="71C95512" w14:textId="7D1FB52A" w:rsidR="00DE5B8F" w:rsidRPr="00BA1B39" w:rsidRDefault="00DE5B8F" w:rsidP="00DE5B8F">
      <w:pPr>
        <w:spacing w:before="100" w:beforeAutospacing="1" w:after="100" w:afterAutospacing="1" w:line="240" w:lineRule="auto"/>
        <w:rPr>
          <w:rFonts w:ascii="Arial" w:hAnsi="Arial" w:cs="Arial"/>
          <w:kern w:val="0"/>
          <w14:ligatures w14:val="none"/>
        </w:rPr>
      </w:pPr>
      <w:r w:rsidRPr="00BA1B39">
        <w:rPr>
          <w:rFonts w:ascii="Arial" w:hAnsi="Arial" w:cs="Arial"/>
          <w:kern w:val="0"/>
          <w14:ligatures w14:val="none"/>
        </w:rPr>
        <w:t xml:space="preserve">Compared to other scholarship, such as David Arnold’s </w:t>
      </w:r>
      <w:r w:rsidR="00F8487F" w:rsidRPr="00BA1B39">
        <w:rPr>
          <w:rFonts w:ascii="Arial" w:hAnsi="Arial" w:cs="Arial"/>
          <w:kern w:val="0"/>
          <w14:ligatures w14:val="none"/>
        </w:rPr>
        <w:t>Colonising</w:t>
      </w:r>
      <w:r w:rsidRPr="00BA1B39">
        <w:rPr>
          <w:rFonts w:ascii="Arial" w:hAnsi="Arial" w:cs="Arial"/>
          <w:kern w:val="0"/>
          <w14:ligatures w14:val="none"/>
        </w:rPr>
        <w:t xml:space="preserve"> the Body or Mark Harrison’s Medicine and Colonial Identity, Peers offers a more </w:t>
      </w:r>
      <w:r w:rsidR="003000E6" w:rsidRPr="00BA1B39">
        <w:rPr>
          <w:rFonts w:ascii="Arial" w:hAnsi="Arial" w:cs="Arial"/>
          <w:kern w:val="0"/>
          <w14:ligatures w14:val="none"/>
        </w:rPr>
        <w:t>military-centred</w:t>
      </w:r>
      <w:r w:rsidRPr="00BA1B39">
        <w:rPr>
          <w:rFonts w:ascii="Arial" w:hAnsi="Arial" w:cs="Arial"/>
          <w:kern w:val="0"/>
          <w14:ligatures w14:val="none"/>
        </w:rPr>
        <w:t xml:space="preserve"> but equally nuanced view of adaptation and knowledge-making. It reinforces the view that colonial power was unstable, negotiated, and highly dependent on local conditions.</w:t>
      </w:r>
    </w:p>
    <w:p w14:paraId="53D19850" w14:textId="6E4E5D3C" w:rsidR="00DE5B8F" w:rsidRPr="00BA1B39" w:rsidRDefault="00DE5B8F" w:rsidP="00DE5B8F">
      <w:pPr>
        <w:spacing w:after="0" w:line="240" w:lineRule="auto"/>
        <w:rPr>
          <w:rFonts w:ascii="Arial" w:eastAsia="Times New Roman" w:hAnsi="Arial" w:cs="Arial"/>
          <w:kern w:val="0"/>
          <w14:ligatures w14:val="none"/>
        </w:rPr>
      </w:pPr>
    </w:p>
    <w:p w14:paraId="16FE0E63" w14:textId="0E304325" w:rsidR="00DE5B8F" w:rsidRPr="00BA1B39" w:rsidRDefault="00DE5B8F" w:rsidP="00256934">
      <w:pPr>
        <w:spacing w:before="100" w:beforeAutospacing="1" w:after="100" w:afterAutospacing="1" w:line="240" w:lineRule="auto"/>
        <w:outlineLvl w:val="2"/>
        <w:rPr>
          <w:rFonts w:ascii="Arial" w:hAnsi="Arial" w:cs="Arial"/>
          <w:b/>
          <w:bCs/>
          <w:kern w:val="0"/>
          <w14:ligatures w14:val="none"/>
        </w:rPr>
      </w:pPr>
      <w:r w:rsidRPr="00BA1B39">
        <w:rPr>
          <w:rFonts w:ascii="Arial" w:eastAsia="Times New Roman" w:hAnsi="Arial" w:cs="Arial"/>
          <w:b/>
          <w:bCs/>
          <w:kern w:val="0"/>
          <w14:ligatures w14:val="none"/>
        </w:rPr>
        <w:t>Conclusion</w:t>
      </w:r>
    </w:p>
    <w:p w14:paraId="2B7AAAAE" w14:textId="77777777" w:rsidR="00DE5B8F" w:rsidRPr="00BA1B39" w:rsidRDefault="00DE5B8F" w:rsidP="00DE5B8F">
      <w:pPr>
        <w:spacing w:before="100" w:beforeAutospacing="1" w:after="100" w:afterAutospacing="1" w:line="240" w:lineRule="auto"/>
        <w:rPr>
          <w:rFonts w:ascii="Arial" w:hAnsi="Arial" w:cs="Arial"/>
          <w:kern w:val="0"/>
          <w14:ligatures w14:val="none"/>
        </w:rPr>
      </w:pPr>
      <w:r w:rsidRPr="00BA1B39">
        <w:rPr>
          <w:rFonts w:ascii="Arial" w:hAnsi="Arial" w:cs="Arial"/>
          <w:kern w:val="0"/>
          <w14:ligatures w14:val="none"/>
        </w:rPr>
        <w:t>Douglas M. Peers’ “Colonial Knowledge and the Military in India, 1780–1860” is a rigorous and thought-provoking study of how the British military adapted to the environmental and cultural challenges of colonial India. Through careful engagement with a wide range of sources and a critical historiographical lens, Peers demonstrates that British rule was not just enforced with muskets and discipline, but also sustained through adaptation, appropriation, and scientific learning. As such, the work is an invaluable aid in understanding both the mechanics of empire and the fragility underlying imperial strength.</w:t>
      </w:r>
    </w:p>
    <w:p w14:paraId="1BF2B054" w14:textId="79AABB97" w:rsidR="00DE5B8F" w:rsidRPr="00BA1B39" w:rsidRDefault="00DE5B8F" w:rsidP="00DE5B8F">
      <w:pPr>
        <w:spacing w:after="0" w:line="240" w:lineRule="auto"/>
        <w:rPr>
          <w:rFonts w:ascii="Arial" w:eastAsia="Times New Roman" w:hAnsi="Arial" w:cs="Arial"/>
          <w:kern w:val="0"/>
          <w14:ligatures w14:val="none"/>
        </w:rPr>
      </w:pPr>
    </w:p>
    <w:p w14:paraId="20FC9F39" w14:textId="6C8CA37A" w:rsidR="00DE5B8F" w:rsidRPr="00BA1B39" w:rsidRDefault="00DE5B8F" w:rsidP="00776B94">
      <w:pPr>
        <w:spacing w:before="100" w:beforeAutospacing="1" w:after="100" w:afterAutospacing="1" w:line="240" w:lineRule="auto"/>
        <w:jc w:val="center"/>
        <w:outlineLvl w:val="2"/>
        <w:rPr>
          <w:rFonts w:ascii="Arial" w:hAnsi="Arial" w:cs="Arial"/>
          <w:b/>
          <w:bCs/>
          <w:kern w:val="0"/>
          <w14:ligatures w14:val="none"/>
        </w:rPr>
      </w:pPr>
      <w:r w:rsidRPr="00BA1B39">
        <w:rPr>
          <w:rFonts w:ascii="Arial" w:eastAsia="Times New Roman" w:hAnsi="Arial" w:cs="Arial"/>
          <w:b/>
          <w:bCs/>
          <w:kern w:val="0"/>
          <w14:ligatures w14:val="none"/>
        </w:rPr>
        <w:t>Bibliography</w:t>
      </w:r>
    </w:p>
    <w:p w14:paraId="1675224E" w14:textId="77777777" w:rsidR="00DE5B8F" w:rsidRPr="00BA1B39" w:rsidRDefault="00DE5B8F" w:rsidP="00776B94">
      <w:pPr>
        <w:spacing w:before="100" w:beforeAutospacing="1" w:after="100" w:afterAutospacing="1" w:line="240" w:lineRule="auto"/>
        <w:ind w:left="720" w:hanging="720"/>
        <w:rPr>
          <w:rFonts w:ascii="Arial" w:hAnsi="Arial" w:cs="Arial"/>
          <w:kern w:val="0"/>
          <w14:ligatures w14:val="none"/>
        </w:rPr>
      </w:pPr>
      <w:r w:rsidRPr="00BA1B39">
        <w:rPr>
          <w:rFonts w:ascii="Arial" w:hAnsi="Arial" w:cs="Arial"/>
          <w:kern w:val="0"/>
          <w14:ligatures w14:val="none"/>
        </w:rPr>
        <w:t xml:space="preserve">Peers, Douglas M. (2013). “Colonial Knowledge and the Military in India, 1780–1860.” In Esme </w:t>
      </w:r>
      <w:proofErr w:type="spellStart"/>
      <w:r w:rsidRPr="00BA1B39">
        <w:rPr>
          <w:rFonts w:ascii="Arial" w:hAnsi="Arial" w:cs="Arial"/>
          <w:kern w:val="0"/>
          <w14:ligatures w14:val="none"/>
        </w:rPr>
        <w:t>Cleall</w:t>
      </w:r>
      <w:proofErr w:type="spellEnd"/>
      <w:r w:rsidRPr="00BA1B39">
        <w:rPr>
          <w:rFonts w:ascii="Arial" w:hAnsi="Arial" w:cs="Arial"/>
          <w:kern w:val="0"/>
          <w14:ligatures w14:val="none"/>
        </w:rPr>
        <w:t xml:space="preserve"> (Ed.), Colonialism and Science: Saint Domingue to Latin America and India. Oxford: </w:t>
      </w:r>
      <w:proofErr w:type="spellStart"/>
      <w:r w:rsidRPr="00BA1B39">
        <w:rPr>
          <w:rFonts w:ascii="Arial" w:hAnsi="Arial" w:cs="Arial"/>
          <w:kern w:val="0"/>
          <w14:ligatures w14:val="none"/>
        </w:rPr>
        <w:t>Routledge</w:t>
      </w:r>
      <w:proofErr w:type="spellEnd"/>
      <w:r w:rsidRPr="00BA1B39">
        <w:rPr>
          <w:rFonts w:ascii="Arial" w:hAnsi="Arial" w:cs="Arial"/>
          <w:kern w:val="0"/>
          <w14:ligatures w14:val="none"/>
        </w:rPr>
        <w:t>, pp. 136–158.</w:t>
      </w:r>
    </w:p>
    <w:p w14:paraId="4D7EBD03" w14:textId="467914BA" w:rsidR="00DE5B8F" w:rsidRPr="00BA1B39" w:rsidRDefault="00DE5B8F" w:rsidP="00DE5B8F">
      <w:pPr>
        <w:spacing w:after="0" w:line="240" w:lineRule="auto"/>
        <w:rPr>
          <w:rFonts w:ascii="Arial" w:eastAsia="Times New Roman" w:hAnsi="Arial" w:cs="Arial"/>
          <w:kern w:val="0"/>
          <w14:ligatures w14:val="none"/>
        </w:rPr>
      </w:pPr>
    </w:p>
    <w:sectPr w:rsidR="00DE5B8F" w:rsidRPr="00BA1B39">
      <w:headerReference w:type="even" r:id="rId7"/>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F8D306" w14:textId="77777777" w:rsidR="00776B94" w:rsidRDefault="00776B94" w:rsidP="00776B94">
      <w:pPr>
        <w:spacing w:after="0" w:line="240" w:lineRule="auto"/>
      </w:pPr>
      <w:r>
        <w:separator/>
      </w:r>
    </w:p>
  </w:endnote>
  <w:endnote w:type="continuationSeparator" w:id="0">
    <w:p w14:paraId="193FEDF7" w14:textId="77777777" w:rsidR="00776B94" w:rsidRDefault="00776B94" w:rsidP="00776B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7F2DE7" w14:textId="79135D12" w:rsidR="006202A1" w:rsidRPr="006202A1" w:rsidRDefault="006202A1" w:rsidP="006202A1">
    <w:pPr>
      <w:spacing w:after="0" w:line="240" w:lineRule="auto"/>
      <w:rPr>
        <w:rFonts w:ascii="Arial" w:eastAsia="Times New Roman" w:hAnsi="Arial" w:cs="Arial"/>
        <w:b/>
        <w:bCs/>
        <w:color w:val="000000" w:themeColor="text1"/>
        <w:kern w:val="0"/>
        <w:shd w:val="clear" w:color="auto" w:fill="FFFFFF"/>
        <w14:ligatures w14:val="none"/>
      </w:rPr>
    </w:pPr>
    <w:r w:rsidRPr="006202A1">
      <w:rPr>
        <w:rFonts w:ascii="Arial" w:hAnsi="Arial" w:cs="Arial"/>
        <w:b/>
        <w:bCs/>
        <w:color w:val="000000" w:themeColor="text1"/>
        <w:kern w:val="0"/>
        <w14:ligatures w14:val="none"/>
      </w:rPr>
      <w:t>People across Time (HPFY3014)</w:t>
    </w:r>
    <w:r w:rsidRPr="006202A1">
      <w:rPr>
        <w:rFonts w:ascii="Arial" w:hAnsi="Arial" w:cs="Arial"/>
        <w:color w:val="000000" w:themeColor="text1"/>
        <w:kern w:val="0"/>
        <w14:ligatures w14:val="none"/>
      </w:rPr>
      <w:t xml:space="preserve">, </w:t>
    </w:r>
    <w:r w:rsidRPr="006202A1">
      <w:rPr>
        <w:rFonts w:ascii="Arial" w:eastAsia="Times New Roman" w:hAnsi="Arial" w:cs="Arial"/>
        <w:b/>
        <w:bCs/>
        <w:color w:val="000000" w:themeColor="text1"/>
        <w:kern w:val="0"/>
        <w:shd w:val="clear" w:color="auto" w:fill="FFFFFF"/>
        <w14:ligatures w14:val="none"/>
      </w:rPr>
      <w:t>Essay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FADF0D" w14:textId="77777777" w:rsidR="00776B94" w:rsidRDefault="00776B94" w:rsidP="00776B94">
      <w:pPr>
        <w:spacing w:after="0" w:line="240" w:lineRule="auto"/>
      </w:pPr>
      <w:r>
        <w:separator/>
      </w:r>
    </w:p>
  </w:footnote>
  <w:footnote w:type="continuationSeparator" w:id="0">
    <w:p w14:paraId="68F47F60" w14:textId="77777777" w:rsidR="00776B94" w:rsidRDefault="00776B94" w:rsidP="00776B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56032474"/>
      <w:docPartObj>
        <w:docPartGallery w:val="Page Numbers (Top of Page)"/>
        <w:docPartUnique/>
      </w:docPartObj>
    </w:sdtPr>
    <w:sdtEndPr>
      <w:rPr>
        <w:rStyle w:val="PageNumber"/>
      </w:rPr>
    </w:sdtEndPr>
    <w:sdtContent>
      <w:p w14:paraId="1167D8B2" w14:textId="4DD74C4B" w:rsidR="00A824A6" w:rsidRDefault="00A824A6" w:rsidP="006C1CBA">
        <w:pPr>
          <w:pStyle w:val="Head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811E0C" w14:textId="77777777" w:rsidR="00776B94" w:rsidRDefault="00776B94" w:rsidP="00A824A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59673197"/>
      <w:docPartObj>
        <w:docPartGallery w:val="Page Numbers (Top of Page)"/>
        <w:docPartUnique/>
      </w:docPartObj>
    </w:sdtPr>
    <w:sdtEndPr>
      <w:rPr>
        <w:rStyle w:val="PageNumber"/>
      </w:rPr>
    </w:sdtEndPr>
    <w:sdtContent>
      <w:p w14:paraId="475B3C19" w14:textId="05C5B8B9" w:rsidR="00A824A6" w:rsidRDefault="00A824A6" w:rsidP="006C1CBA">
        <w:pPr>
          <w:pStyle w:val="Head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DEC333" w14:textId="0A7D9F63" w:rsidR="00776B94" w:rsidRPr="00F8487F" w:rsidRDefault="00F8487F" w:rsidP="00F8487F">
    <w:pPr>
      <w:tabs>
        <w:tab w:val="center" w:pos="4513"/>
        <w:tab w:val="right" w:pos="9026"/>
      </w:tabs>
      <w:spacing w:after="0" w:line="240" w:lineRule="auto"/>
      <w:rPr>
        <w:rFonts w:ascii="Arial" w:eastAsiaTheme="minorHAnsi" w:hAnsi="Arial" w:cs="Arial"/>
        <w:kern w:val="0"/>
        <w:sz w:val="22"/>
        <w:szCs w:val="22"/>
        <w:lang w:eastAsia="en-US"/>
        <w14:ligatures w14:val="none"/>
      </w:rPr>
    </w:pPr>
    <w:r w:rsidRPr="00F8487F">
      <w:rPr>
        <w:rFonts w:ascii="Arial" w:eastAsiaTheme="minorHAnsi" w:hAnsi="Arial" w:cs="Arial"/>
        <w:kern w:val="0"/>
        <w:sz w:val="22"/>
        <w:szCs w:val="22"/>
        <w:lang w:eastAsia="en-US"/>
        <w14:ligatures w14:val="none"/>
      </w:rPr>
      <w:t>Callum Carter 2404122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56275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A361C1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C5336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5809359">
    <w:abstractNumId w:val="1"/>
  </w:num>
  <w:num w:numId="2" w16cid:durableId="1736508596">
    <w:abstractNumId w:val="2"/>
  </w:num>
  <w:num w:numId="3" w16cid:durableId="11697123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2"/>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B8F"/>
    <w:rsid w:val="000A2BAF"/>
    <w:rsid w:val="00256934"/>
    <w:rsid w:val="003000E6"/>
    <w:rsid w:val="00334056"/>
    <w:rsid w:val="006202A1"/>
    <w:rsid w:val="00776B94"/>
    <w:rsid w:val="00A30406"/>
    <w:rsid w:val="00A824A6"/>
    <w:rsid w:val="00B632D2"/>
    <w:rsid w:val="00BA1B39"/>
    <w:rsid w:val="00DE5B8F"/>
    <w:rsid w:val="00F8487F"/>
    <w:rsid w:val="00FF0C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CA2699"/>
  <w15:chartTrackingRefBased/>
  <w15:docId w15:val="{7CCF0095-A626-7E4F-B314-547A189FC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5B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5B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E5B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5B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5B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5B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5B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5B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5B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B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5B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5B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5B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5B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5B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5B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5B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5B8F"/>
    <w:rPr>
      <w:rFonts w:eastAsiaTheme="majorEastAsia" w:cstheme="majorBidi"/>
      <w:color w:val="272727" w:themeColor="text1" w:themeTint="D8"/>
    </w:rPr>
  </w:style>
  <w:style w:type="paragraph" w:styleId="Title">
    <w:name w:val="Title"/>
    <w:basedOn w:val="Normal"/>
    <w:next w:val="Normal"/>
    <w:link w:val="TitleChar"/>
    <w:uiPriority w:val="10"/>
    <w:qFormat/>
    <w:rsid w:val="00DE5B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5B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5B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5B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5B8F"/>
    <w:pPr>
      <w:spacing w:before="160"/>
      <w:jc w:val="center"/>
    </w:pPr>
    <w:rPr>
      <w:i/>
      <w:iCs/>
      <w:color w:val="404040" w:themeColor="text1" w:themeTint="BF"/>
    </w:rPr>
  </w:style>
  <w:style w:type="character" w:customStyle="1" w:styleId="QuoteChar">
    <w:name w:val="Quote Char"/>
    <w:basedOn w:val="DefaultParagraphFont"/>
    <w:link w:val="Quote"/>
    <w:uiPriority w:val="29"/>
    <w:rsid w:val="00DE5B8F"/>
    <w:rPr>
      <w:i/>
      <w:iCs/>
      <w:color w:val="404040" w:themeColor="text1" w:themeTint="BF"/>
    </w:rPr>
  </w:style>
  <w:style w:type="paragraph" w:styleId="ListParagraph">
    <w:name w:val="List Paragraph"/>
    <w:basedOn w:val="Normal"/>
    <w:uiPriority w:val="34"/>
    <w:qFormat/>
    <w:rsid w:val="00DE5B8F"/>
    <w:pPr>
      <w:ind w:left="720"/>
      <w:contextualSpacing/>
    </w:pPr>
  </w:style>
  <w:style w:type="character" w:styleId="IntenseEmphasis">
    <w:name w:val="Intense Emphasis"/>
    <w:basedOn w:val="DefaultParagraphFont"/>
    <w:uiPriority w:val="21"/>
    <w:qFormat/>
    <w:rsid w:val="00DE5B8F"/>
    <w:rPr>
      <w:i/>
      <w:iCs/>
      <w:color w:val="0F4761" w:themeColor="accent1" w:themeShade="BF"/>
    </w:rPr>
  </w:style>
  <w:style w:type="paragraph" w:styleId="IntenseQuote">
    <w:name w:val="Intense Quote"/>
    <w:basedOn w:val="Normal"/>
    <w:next w:val="Normal"/>
    <w:link w:val="IntenseQuoteChar"/>
    <w:uiPriority w:val="30"/>
    <w:qFormat/>
    <w:rsid w:val="00DE5B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5B8F"/>
    <w:rPr>
      <w:i/>
      <w:iCs/>
      <w:color w:val="0F4761" w:themeColor="accent1" w:themeShade="BF"/>
    </w:rPr>
  </w:style>
  <w:style w:type="character" w:styleId="IntenseReference">
    <w:name w:val="Intense Reference"/>
    <w:basedOn w:val="DefaultParagraphFont"/>
    <w:uiPriority w:val="32"/>
    <w:qFormat/>
    <w:rsid w:val="00DE5B8F"/>
    <w:rPr>
      <w:b/>
      <w:bCs/>
      <w:smallCaps/>
      <w:color w:val="0F4761" w:themeColor="accent1" w:themeShade="BF"/>
      <w:spacing w:val="5"/>
    </w:rPr>
  </w:style>
  <w:style w:type="paragraph" w:customStyle="1" w:styleId="p1">
    <w:name w:val="p1"/>
    <w:basedOn w:val="Normal"/>
    <w:rsid w:val="00DE5B8F"/>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DE5B8F"/>
  </w:style>
  <w:style w:type="character" w:customStyle="1" w:styleId="s2">
    <w:name w:val="s2"/>
    <w:basedOn w:val="DefaultParagraphFont"/>
    <w:rsid w:val="00DE5B8F"/>
  </w:style>
  <w:style w:type="character" w:customStyle="1" w:styleId="s3">
    <w:name w:val="s3"/>
    <w:basedOn w:val="DefaultParagraphFont"/>
    <w:rsid w:val="00DE5B8F"/>
  </w:style>
  <w:style w:type="character" w:customStyle="1" w:styleId="apple-converted-space">
    <w:name w:val="apple-converted-space"/>
    <w:basedOn w:val="DefaultParagraphFont"/>
    <w:rsid w:val="00DE5B8F"/>
  </w:style>
  <w:style w:type="paragraph" w:customStyle="1" w:styleId="p3">
    <w:name w:val="p3"/>
    <w:basedOn w:val="Normal"/>
    <w:rsid w:val="00DE5B8F"/>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DE5B8F"/>
  </w:style>
  <w:style w:type="paragraph" w:styleId="Header">
    <w:name w:val="header"/>
    <w:basedOn w:val="Normal"/>
    <w:link w:val="HeaderChar"/>
    <w:uiPriority w:val="99"/>
    <w:unhideWhenUsed/>
    <w:rsid w:val="00776B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6B94"/>
  </w:style>
  <w:style w:type="paragraph" w:styleId="Footer">
    <w:name w:val="footer"/>
    <w:basedOn w:val="Normal"/>
    <w:link w:val="FooterChar"/>
    <w:uiPriority w:val="99"/>
    <w:unhideWhenUsed/>
    <w:rsid w:val="00776B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6B94"/>
  </w:style>
  <w:style w:type="character" w:styleId="PageNumber">
    <w:name w:val="page number"/>
    <w:basedOn w:val="DefaultParagraphFont"/>
    <w:uiPriority w:val="99"/>
    <w:semiHidden/>
    <w:unhideWhenUsed/>
    <w:rsid w:val="00A824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0039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1275</Words>
  <Characters>7273</Characters>
  <Application>Microsoft Office Word</Application>
  <DocSecurity>0</DocSecurity>
  <Lines>60</Lines>
  <Paragraphs>17</Paragraphs>
  <ScaleCrop>false</ScaleCrop>
  <Company/>
  <LinksUpToDate>false</LinksUpToDate>
  <CharactersWithSpaces>8531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Carter (2404122)</dc:creator>
  <cp:keywords/>
  <dc:description/>
  <cp:lastModifiedBy>Callum Carter (2404122)</cp:lastModifiedBy>
  <cp:revision>8</cp:revision>
  <dcterms:created xsi:type="dcterms:W3CDTF">2025-08-05T21:41:00Z</dcterms:created>
  <dcterms:modified xsi:type="dcterms:W3CDTF">2025-08-05T21:44:00Z</dcterms:modified>
</cp:coreProperties>
</file>