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7C35059" w14:textId="5126B7A9" w:rsidR="003575DB" w:rsidRDefault="7317E9E0" w:rsidP="7317E9E0">
      <w:pPr>
        <w:spacing w:line="360" w:lineRule="auto"/>
        <w:jc w:val="center"/>
        <w:rPr>
          <w:color w:val="000000" w:themeColor="text1"/>
          <w:sz w:val="32"/>
          <w:szCs w:val="32"/>
          <w:lang w:val="en-US"/>
        </w:rPr>
      </w:pPr>
      <w:bookmarkStart w:id="0" w:name="_GoBack"/>
      <w:bookmarkEnd w:id="0"/>
      <w:r w:rsidRPr="7317E9E0">
        <w:rPr>
          <w:sz w:val="24"/>
          <w:szCs w:val="24"/>
        </w:rPr>
        <w:t>Review of Awareness Campaign</w:t>
      </w:r>
    </w:p>
    <w:p w14:paraId="46D069E2" w14:textId="4D18B422" w:rsidR="003575DB" w:rsidRDefault="1BFDDF47" w:rsidP="009308A5">
      <w:pPr>
        <w:spacing w:line="360" w:lineRule="auto"/>
        <w:jc w:val="both"/>
        <w:rPr>
          <w:color w:val="000000" w:themeColor="text1"/>
          <w:sz w:val="24"/>
          <w:szCs w:val="28"/>
          <w:lang w:val="en-US"/>
        </w:rPr>
      </w:pPr>
      <w:r w:rsidRPr="00900E44">
        <w:rPr>
          <w:color w:val="000000" w:themeColor="text1"/>
          <w:sz w:val="24"/>
          <w:szCs w:val="28"/>
          <w:lang w:val="en-US"/>
        </w:rPr>
        <w:t xml:space="preserve">This essay will review </w:t>
      </w:r>
      <w:r w:rsidR="003575DB">
        <w:rPr>
          <w:color w:val="000000" w:themeColor="text1"/>
          <w:sz w:val="24"/>
          <w:szCs w:val="28"/>
          <w:lang w:val="en-US"/>
        </w:rPr>
        <w:t>an</w:t>
      </w:r>
      <w:r w:rsidRPr="00900E44">
        <w:rPr>
          <w:color w:val="000000" w:themeColor="text1"/>
          <w:sz w:val="24"/>
          <w:szCs w:val="28"/>
          <w:lang w:val="en-US"/>
        </w:rPr>
        <w:t xml:space="preserve"> </w:t>
      </w:r>
      <w:r w:rsidR="009308A5">
        <w:rPr>
          <w:color w:val="000000" w:themeColor="text1"/>
          <w:sz w:val="24"/>
          <w:szCs w:val="28"/>
          <w:lang w:val="en-US"/>
        </w:rPr>
        <w:t xml:space="preserve">awareness </w:t>
      </w:r>
      <w:r w:rsidR="003575DB">
        <w:rPr>
          <w:color w:val="000000" w:themeColor="text1"/>
          <w:sz w:val="24"/>
          <w:szCs w:val="28"/>
          <w:lang w:val="en-US"/>
        </w:rPr>
        <w:t xml:space="preserve">event for </w:t>
      </w:r>
      <w:r w:rsidR="009308A5">
        <w:rPr>
          <w:color w:val="000000" w:themeColor="text1"/>
          <w:sz w:val="24"/>
          <w:szCs w:val="28"/>
          <w:lang w:val="en-US"/>
        </w:rPr>
        <w:t xml:space="preserve">general </w:t>
      </w:r>
      <w:r w:rsidRPr="00900E44">
        <w:rPr>
          <w:color w:val="000000" w:themeColor="text1"/>
          <w:sz w:val="24"/>
          <w:szCs w:val="28"/>
          <w:lang w:val="en-US"/>
        </w:rPr>
        <w:t>health services which supports people of all ages</w:t>
      </w:r>
      <w:r w:rsidR="009308A5">
        <w:rPr>
          <w:color w:val="000000" w:themeColor="text1"/>
          <w:sz w:val="24"/>
          <w:szCs w:val="28"/>
          <w:lang w:val="en-US"/>
        </w:rPr>
        <w:t>.</w:t>
      </w:r>
    </w:p>
    <w:p w14:paraId="1748AE6D" w14:textId="1A1BBA56" w:rsidR="003575DB" w:rsidRPr="00900E44" w:rsidRDefault="49CD5181" w:rsidP="49CD5181">
      <w:pPr>
        <w:spacing w:line="360" w:lineRule="auto"/>
        <w:jc w:val="both"/>
        <w:rPr>
          <w:color w:val="000000" w:themeColor="text1"/>
          <w:sz w:val="24"/>
          <w:szCs w:val="24"/>
          <w:lang w:val="en-US"/>
        </w:rPr>
      </w:pPr>
      <w:r w:rsidRPr="49CD5181">
        <w:rPr>
          <w:color w:val="000000" w:themeColor="text1"/>
          <w:sz w:val="24"/>
          <w:szCs w:val="24"/>
          <w:lang w:val="en-US"/>
        </w:rPr>
        <w:t xml:space="preserve">The definition of health is a person’s physical and mental state being free injury and illness of mental, physical and social well-being of the individual. WHO (2018) states that health is not just an absence of illness or injury, but an overall ability to manage with challenges to an individual’s physical, mental and social well-being. This suggest that a person of good health someone who as the capacity to face everyday challenges. </w:t>
      </w:r>
    </w:p>
    <w:p w14:paraId="3DAC373C" w14:textId="28E1E771" w:rsidR="36DBD12A" w:rsidRDefault="7317E9E0" w:rsidP="7317E9E0">
      <w:pPr>
        <w:spacing w:line="360" w:lineRule="auto"/>
        <w:jc w:val="both"/>
        <w:rPr>
          <w:rFonts w:ascii="Calibri" w:eastAsia="Calibri" w:hAnsi="Calibri" w:cs="Calibri"/>
          <w:sz w:val="24"/>
          <w:szCs w:val="24"/>
          <w:lang w:val="en-US"/>
        </w:rPr>
      </w:pPr>
      <w:r w:rsidRPr="7317E9E0">
        <w:rPr>
          <w:color w:val="000000" w:themeColor="text1"/>
          <w:sz w:val="24"/>
          <w:szCs w:val="24"/>
          <w:lang w:val="en-US"/>
        </w:rPr>
        <w:t xml:space="preserve">The campaign event was held to raise awareness of general health, the number of attendees was a minimum of fifteen students. The overall marketing strategy was not effective as there was not many marketing strategies put in place to advertise the event.  </w:t>
      </w:r>
      <w:r w:rsidRPr="7317E9E0">
        <w:rPr>
          <w:rFonts w:ascii="Calibri" w:eastAsia="Calibri" w:hAnsi="Calibri" w:cs="Calibri"/>
          <w:sz w:val="24"/>
          <w:szCs w:val="24"/>
          <w:lang w:val="en-US"/>
        </w:rPr>
        <w:t xml:space="preserve"> With an aging population, there requires many health services in which can provide and be beneficial for both future and present society. With growing epidemics of chronic diseases, health services are more at risk and being under pressure of increased health issues such as obesity, smoking and alcohol. Edwards (2014) suggests that interventions are put in place to reduce the number of health admissions in hospitals and the length of stay, waiting times to see general practitioners and primary and secondary care.</w:t>
      </w:r>
    </w:p>
    <w:p w14:paraId="28CD0168" w14:textId="7D272338" w:rsidR="36DBD12A" w:rsidRDefault="49CD5181" w:rsidP="49CD5181">
      <w:pPr>
        <w:spacing w:line="360" w:lineRule="auto"/>
        <w:jc w:val="both"/>
        <w:rPr>
          <w:rFonts w:ascii="Calibri" w:eastAsia="Calibri" w:hAnsi="Calibri" w:cs="Calibri"/>
          <w:sz w:val="24"/>
          <w:szCs w:val="24"/>
          <w:lang w:val="en-US"/>
        </w:rPr>
      </w:pPr>
      <w:r w:rsidRPr="49CD5181">
        <w:rPr>
          <w:rFonts w:ascii="Calibri" w:eastAsia="Calibri" w:hAnsi="Calibri" w:cs="Calibri"/>
          <w:sz w:val="24"/>
          <w:szCs w:val="24"/>
          <w:lang w:val="en-US"/>
        </w:rPr>
        <w:t xml:space="preserve">The stall was presented with a great number of brochures places all over the surface of the table, the brochures were information provided about health services for all ages and health issues, however there was no clear sign for what the students were raising awareness for. The stall was presented by three students who when asked what they were raising awareness for, replied with general health support services. One of the students then informed us of an activity table which its focus was stress management, it provided an alternative approach with managing stress. Stress is commonly known by the emotional and mental pressures; however physical and psychological stress is just as important as it affects the person’s way of thinking, feeling and behaving. Toussaint et al (2016) suggests that there may be a strong connection between stress and physical and mental health. The impact of stress may cause the person to have many physical reactions, which symptoms can be characterized by physical and mental disorders, these </w:t>
      </w:r>
      <w:r w:rsidRPr="49CD5181">
        <w:rPr>
          <w:rFonts w:ascii="Calibri" w:eastAsia="Calibri" w:hAnsi="Calibri" w:cs="Calibri"/>
          <w:sz w:val="24"/>
          <w:szCs w:val="24"/>
          <w:lang w:val="en-US"/>
        </w:rPr>
        <w:lastRenderedPageBreak/>
        <w:t xml:space="preserve">symptoms may include the person experiencing sleep disturbances, general negative thoughts and attitudes, frustration and a decreased contact with family and friends. </w:t>
      </w:r>
    </w:p>
    <w:p w14:paraId="399567D4" w14:textId="57BF9C2B" w:rsidR="36DBD12A" w:rsidRDefault="49CD5181" w:rsidP="49CD5181">
      <w:pPr>
        <w:spacing w:line="360" w:lineRule="auto"/>
        <w:jc w:val="both"/>
        <w:rPr>
          <w:rFonts w:ascii="Calibri" w:eastAsia="Calibri" w:hAnsi="Calibri" w:cs="Calibri"/>
          <w:sz w:val="24"/>
          <w:szCs w:val="24"/>
          <w:lang w:val="en-US"/>
        </w:rPr>
      </w:pPr>
      <w:r w:rsidRPr="49CD5181">
        <w:rPr>
          <w:rFonts w:ascii="Calibri" w:eastAsia="Calibri" w:hAnsi="Calibri" w:cs="Calibri"/>
          <w:sz w:val="24"/>
          <w:szCs w:val="24"/>
          <w:lang w:val="en-US"/>
        </w:rPr>
        <w:t>Initial impression of the awareness stall is that there was a lot of brochures that provided information of general health services, however the stall was an overload of information. There was no clear structure to the topic of awareness of general health. The turnout of the event was very low as not enough students showed up to the event, this may be due to not enough students being aware of the event. The marketing strategy was not that effective as there were no resource materials that advertised of the stall awareness, this could have been improved by clearly presenting an awareness for the stall, statistics and clear graphs. YAL (</w:t>
      </w:r>
      <w:proofErr w:type="spellStart"/>
      <w:r w:rsidRPr="49CD5181">
        <w:rPr>
          <w:rFonts w:ascii="Calibri" w:eastAsia="Calibri" w:hAnsi="Calibri" w:cs="Calibri"/>
          <w:sz w:val="24"/>
          <w:szCs w:val="24"/>
          <w:lang w:val="en-US"/>
        </w:rPr>
        <w:t>n.d</w:t>
      </w:r>
      <w:proofErr w:type="spellEnd"/>
      <w:r w:rsidRPr="49CD5181">
        <w:rPr>
          <w:rFonts w:ascii="Calibri" w:eastAsia="Calibri" w:hAnsi="Calibri" w:cs="Calibri"/>
          <w:sz w:val="24"/>
          <w:szCs w:val="24"/>
          <w:lang w:val="en-US"/>
        </w:rPr>
        <w:t xml:space="preserve">) states that without effective promotion and communication to attendees the communication strategy may become a barrier for the event. This suggest that it is important to communicate with the target audience and that there must be enough research to be able to effectively communicate about the awareness. </w:t>
      </w:r>
    </w:p>
    <w:p w14:paraId="46DF021E" w14:textId="5298E8D4" w:rsidR="36DBD12A" w:rsidRDefault="49CD5181" w:rsidP="49CD5181">
      <w:pPr>
        <w:spacing w:line="360" w:lineRule="auto"/>
        <w:jc w:val="both"/>
        <w:rPr>
          <w:rFonts w:ascii="Calibri" w:eastAsia="Calibri" w:hAnsi="Calibri" w:cs="Calibri"/>
          <w:sz w:val="24"/>
          <w:szCs w:val="24"/>
          <w:lang w:val="en-US"/>
        </w:rPr>
      </w:pPr>
      <w:r w:rsidRPr="49CD5181">
        <w:rPr>
          <w:rFonts w:ascii="Calibri" w:eastAsia="Calibri" w:hAnsi="Calibri" w:cs="Calibri"/>
          <w:sz w:val="24"/>
          <w:szCs w:val="24"/>
          <w:lang w:val="en-US"/>
        </w:rPr>
        <w:t xml:space="preserve">The most effective part of the stall was the activity table which provided information on managing stress. Although the main stall had many weaknesses regarding structure and information overload, the activity table provided to be a strength regarding stress management. The table consisted of an alternative approach of managing stress, self-helping the person by creating a day to day planner of events, planning a holiday, being more active and looking at a religious approach. Stress is the feeling of being overwhelmed by a situation or problem and consistently feeling negative thoughts, way of thinking and behaving. MIND (2015) suggests that engaging in alternative therapies of stress management the person may be able to manage with their feelings of stress. This suggest that stress may be an issue for the persons mental health, struggling to manage with feelings day to day with way lead to feelings of anxiety and depression. If this awareness were to be repeated, for future recommendation the stall may need to be focused on stress management as the group would be able to focus on one topic and provide enough information to support the awareness.  </w:t>
      </w:r>
    </w:p>
    <w:p w14:paraId="4302F619" w14:textId="3A4ACB2F" w:rsidR="7317E9E0" w:rsidRDefault="49CD5181" w:rsidP="49CD5181">
      <w:pPr>
        <w:spacing w:line="360" w:lineRule="auto"/>
        <w:jc w:val="both"/>
        <w:rPr>
          <w:rFonts w:ascii="Calibri" w:eastAsia="Calibri" w:hAnsi="Calibri" w:cs="Calibri"/>
          <w:sz w:val="24"/>
          <w:szCs w:val="24"/>
          <w:lang w:val="en-US"/>
        </w:rPr>
      </w:pPr>
      <w:r w:rsidRPr="49CD5181">
        <w:rPr>
          <w:rFonts w:ascii="Calibri" w:eastAsia="Calibri" w:hAnsi="Calibri" w:cs="Calibri"/>
          <w:sz w:val="24"/>
          <w:szCs w:val="24"/>
          <w:lang w:val="en-US"/>
        </w:rPr>
        <w:t xml:space="preserve">The main stall engagement with the attendees could have been improved by being more engaged with presenting resources of the main topic of the table, providing graphs or statistics of the </w:t>
      </w:r>
      <w:r w:rsidRPr="49CD5181">
        <w:rPr>
          <w:rFonts w:ascii="Calibri" w:eastAsia="Calibri" w:hAnsi="Calibri" w:cs="Calibri"/>
          <w:sz w:val="24"/>
          <w:szCs w:val="24"/>
          <w:lang w:val="en-US"/>
        </w:rPr>
        <w:lastRenderedPageBreak/>
        <w:t xml:space="preserve">amount of people that attend general support services or reviewing what people think about using general support services and how they can be improved. The table that focused on stress management engaged with the attendees provided to be effective as there was information being provided on an alternative approach of stress management, however it was not the focus of the main stall awareness being a weakness. The group could have provided a health portfolio of the materials used in collecting and finding resources for the awareness stall, the portfolio could have supported the stall awareness by displaying that the group had contacted support services by social media. When presenting information, the reader should be able to know what the information is referring to by clearly identifying the resources. SSC (2000) suggest that when presenting data information for attendees, the reader should be able to understand them without need of detailed reference. This suggests that without detailed information being presented for the reader, the attendee would be unable to clearly refer to the information being displayed. </w:t>
      </w:r>
    </w:p>
    <w:p w14:paraId="2E47708A" w14:textId="1E7DC678" w:rsidR="49CD5181" w:rsidRDefault="49CD5181" w:rsidP="49CD5181">
      <w:pPr>
        <w:spacing w:line="360" w:lineRule="auto"/>
        <w:jc w:val="both"/>
        <w:rPr>
          <w:rFonts w:ascii="Calibri" w:eastAsia="Calibri" w:hAnsi="Calibri" w:cs="Calibri"/>
          <w:sz w:val="24"/>
          <w:szCs w:val="24"/>
          <w:lang w:val="en-US"/>
        </w:rPr>
      </w:pPr>
      <w:r w:rsidRPr="49CD5181">
        <w:rPr>
          <w:rFonts w:ascii="Calibri" w:eastAsia="Calibri" w:hAnsi="Calibri" w:cs="Calibri"/>
          <w:sz w:val="24"/>
          <w:szCs w:val="24"/>
          <w:lang w:val="en-US"/>
        </w:rPr>
        <w:t xml:space="preserve">There was no behavior change model during this stall awareness, there was no encouragement to be able to change the way in which a person identifies themselves as the barrier to improving their own health or wanting to help improve their health. Public health needs an intervention, behavior change is an approach to changing the persons way of behaving in society. NICE, (2018) suggest that the outcome of behavior change may improve a person’s health and potential diseases. This suggest that if this change is successful, diseases and mortality rates may decrease improving the way society lives and behaves. </w:t>
      </w:r>
    </w:p>
    <w:p w14:paraId="11F88820" w14:textId="0291FBAE" w:rsidR="7317E9E0" w:rsidRDefault="49CD5181" w:rsidP="49CD5181">
      <w:pPr>
        <w:spacing w:line="360" w:lineRule="auto"/>
        <w:jc w:val="both"/>
        <w:rPr>
          <w:color w:val="000000" w:themeColor="text1"/>
          <w:sz w:val="24"/>
          <w:szCs w:val="24"/>
          <w:lang w:val="en-US"/>
        </w:rPr>
      </w:pPr>
      <w:r w:rsidRPr="49CD5181">
        <w:rPr>
          <w:color w:val="000000" w:themeColor="text1"/>
          <w:sz w:val="24"/>
          <w:szCs w:val="24"/>
          <w:lang w:val="en-US"/>
        </w:rPr>
        <w:t xml:space="preserve">The Health psychology approach focuses on providing people with information regarding their health and well-being, the prevention strategy benefits people by preventing health problems before they start. HM (2010) states that by being a healthier person may lead to a positive ripple effect, happy people tend to lead a more active role in society. This suggest that if there is role model in the family, more of the family members may contribute to society, therefore benefiting from the knowledge of being and living healthy.  </w:t>
      </w:r>
    </w:p>
    <w:p w14:paraId="0E292CA3" w14:textId="46F0F7BE" w:rsidR="4DD292BE" w:rsidRDefault="7317E9E0" w:rsidP="7317E9E0">
      <w:pPr>
        <w:spacing w:line="360" w:lineRule="auto"/>
        <w:jc w:val="both"/>
        <w:rPr>
          <w:color w:val="000000" w:themeColor="text1"/>
          <w:sz w:val="24"/>
          <w:szCs w:val="24"/>
          <w:lang w:val="en-US"/>
        </w:rPr>
      </w:pPr>
      <w:r w:rsidRPr="7317E9E0">
        <w:rPr>
          <w:color w:val="000000" w:themeColor="text1"/>
          <w:sz w:val="24"/>
          <w:szCs w:val="24"/>
          <w:lang w:val="en-US"/>
        </w:rPr>
        <w:t xml:space="preserve">To conclude this review, the group provided an alternative approach in self-help of managing stress, this included a day to day planner to cope with stress, planning a holiday, being more </w:t>
      </w:r>
      <w:r w:rsidRPr="7317E9E0">
        <w:rPr>
          <w:color w:val="000000" w:themeColor="text1"/>
          <w:sz w:val="24"/>
          <w:szCs w:val="24"/>
          <w:lang w:val="en-US"/>
        </w:rPr>
        <w:lastRenderedPageBreak/>
        <w:t xml:space="preserve">active and looking at a religious approach. The group explained that there are other ways in which someone can cope with stress, that as an alternative to taking medication they could look at a more self-help management approach. Although they provided a few examples of how someone may feel that they could help themselves to one of the options mentioned, some of the issues may be that the person is not able to be active as they have limited physical abilities, financial issues or do not have religious beliefs. Another alternative approach the group could have approached this topic is by contacting local health services. The group provided many brochures on health services in which they have come in contacted with, however recommendations for future awareness include contacting a spokesperson who is able to share information for all ages within the local area and perhaps be more prepared by providing proof of contacting support workers or volunteers in the local area. </w:t>
      </w:r>
    </w:p>
    <w:p w14:paraId="00E07675" w14:textId="0F3A3C80" w:rsidR="00434149" w:rsidRDefault="00434149" w:rsidP="009308A5">
      <w:pPr>
        <w:spacing w:line="360" w:lineRule="auto"/>
        <w:jc w:val="both"/>
        <w:rPr>
          <w:color w:val="000000" w:themeColor="text1"/>
          <w:sz w:val="24"/>
          <w:szCs w:val="28"/>
          <w:lang w:val="en-US"/>
        </w:rPr>
      </w:pPr>
    </w:p>
    <w:p w14:paraId="79E08E0F" w14:textId="4A8B22DB" w:rsidR="4DD292BE" w:rsidRDefault="4DD292BE" w:rsidP="4DD292BE">
      <w:pPr>
        <w:spacing w:line="360" w:lineRule="auto"/>
        <w:jc w:val="both"/>
        <w:rPr>
          <w:color w:val="000000" w:themeColor="text1"/>
          <w:sz w:val="28"/>
          <w:szCs w:val="28"/>
          <w:lang w:val="en-US"/>
        </w:rPr>
      </w:pPr>
    </w:p>
    <w:p w14:paraId="5606B3BD" w14:textId="130E1420" w:rsidR="4DD292BE" w:rsidRDefault="4DD292BE" w:rsidP="4DD292BE">
      <w:pPr>
        <w:spacing w:line="360" w:lineRule="auto"/>
        <w:jc w:val="both"/>
        <w:rPr>
          <w:color w:val="000000" w:themeColor="text1"/>
          <w:sz w:val="28"/>
          <w:szCs w:val="28"/>
          <w:lang w:val="en-US"/>
        </w:rPr>
      </w:pPr>
    </w:p>
    <w:p w14:paraId="2E88336B" w14:textId="3B310BD9" w:rsidR="4DD292BE" w:rsidRDefault="4DD292BE" w:rsidP="4DD292BE">
      <w:pPr>
        <w:spacing w:line="360" w:lineRule="auto"/>
        <w:jc w:val="both"/>
        <w:rPr>
          <w:color w:val="000000" w:themeColor="text1"/>
          <w:sz w:val="28"/>
          <w:szCs w:val="28"/>
          <w:lang w:val="en-US"/>
        </w:rPr>
      </w:pPr>
    </w:p>
    <w:p w14:paraId="04B96FE6" w14:textId="46D2831C" w:rsidR="4DD292BE" w:rsidRDefault="4DD292BE" w:rsidP="4DD292BE">
      <w:pPr>
        <w:spacing w:line="360" w:lineRule="auto"/>
        <w:jc w:val="both"/>
        <w:rPr>
          <w:color w:val="000000" w:themeColor="text1"/>
          <w:sz w:val="28"/>
          <w:szCs w:val="28"/>
          <w:lang w:val="en-US"/>
        </w:rPr>
      </w:pPr>
    </w:p>
    <w:p w14:paraId="63D186CC" w14:textId="29F5497B" w:rsidR="4DD292BE" w:rsidRDefault="4DD292BE" w:rsidP="4DD292BE">
      <w:pPr>
        <w:spacing w:line="360" w:lineRule="auto"/>
        <w:jc w:val="both"/>
        <w:rPr>
          <w:color w:val="000000" w:themeColor="text1"/>
          <w:sz w:val="28"/>
          <w:szCs w:val="28"/>
          <w:lang w:val="en-US"/>
        </w:rPr>
      </w:pPr>
    </w:p>
    <w:p w14:paraId="309AA903" w14:textId="3D3723B6" w:rsidR="4DD292BE" w:rsidRDefault="4DD292BE" w:rsidP="4DD292BE">
      <w:pPr>
        <w:spacing w:line="360" w:lineRule="auto"/>
        <w:jc w:val="both"/>
        <w:rPr>
          <w:color w:val="000000" w:themeColor="text1"/>
          <w:sz w:val="28"/>
          <w:szCs w:val="28"/>
          <w:lang w:val="en-US"/>
        </w:rPr>
      </w:pPr>
    </w:p>
    <w:p w14:paraId="3904355C" w14:textId="60E7AD60" w:rsidR="4DD292BE" w:rsidRDefault="4DD292BE" w:rsidP="4DD292BE">
      <w:pPr>
        <w:spacing w:line="360" w:lineRule="auto"/>
        <w:jc w:val="both"/>
        <w:rPr>
          <w:color w:val="000000" w:themeColor="text1"/>
          <w:sz w:val="28"/>
          <w:szCs w:val="28"/>
          <w:lang w:val="en-US"/>
        </w:rPr>
      </w:pPr>
    </w:p>
    <w:p w14:paraId="1186F8A9" w14:textId="0517CCB1" w:rsidR="4DD292BE" w:rsidRDefault="4DD292BE" w:rsidP="4DD292BE">
      <w:pPr>
        <w:spacing w:line="360" w:lineRule="auto"/>
        <w:jc w:val="both"/>
        <w:rPr>
          <w:color w:val="000000" w:themeColor="text1"/>
          <w:sz w:val="28"/>
          <w:szCs w:val="28"/>
          <w:lang w:val="en-US"/>
        </w:rPr>
      </w:pPr>
    </w:p>
    <w:p w14:paraId="7CB3D1B3" w14:textId="1637C63D" w:rsidR="4DD292BE" w:rsidRDefault="4DD292BE" w:rsidP="4DD292BE">
      <w:pPr>
        <w:spacing w:line="360" w:lineRule="auto"/>
        <w:jc w:val="both"/>
        <w:rPr>
          <w:color w:val="000000" w:themeColor="text1"/>
          <w:sz w:val="28"/>
          <w:szCs w:val="28"/>
          <w:lang w:val="en-US"/>
        </w:rPr>
      </w:pPr>
    </w:p>
    <w:p w14:paraId="4D8AAE38" w14:textId="360767F5" w:rsidR="4DD292BE" w:rsidRDefault="4DD292BE" w:rsidP="4DD292BE">
      <w:pPr>
        <w:spacing w:line="360" w:lineRule="auto"/>
        <w:jc w:val="both"/>
        <w:rPr>
          <w:color w:val="000000" w:themeColor="text1"/>
          <w:sz w:val="28"/>
          <w:szCs w:val="28"/>
          <w:lang w:val="en-US"/>
        </w:rPr>
      </w:pPr>
    </w:p>
    <w:p w14:paraId="4FF163A3" w14:textId="77A19851" w:rsidR="49CD5181" w:rsidRDefault="49CD5181" w:rsidP="49CD5181">
      <w:pPr>
        <w:spacing w:line="360" w:lineRule="auto"/>
        <w:jc w:val="both"/>
        <w:rPr>
          <w:color w:val="000000" w:themeColor="text1"/>
          <w:sz w:val="24"/>
          <w:szCs w:val="24"/>
          <w:lang w:val="en-US"/>
        </w:rPr>
      </w:pPr>
    </w:p>
    <w:p w14:paraId="73BC99C7" w14:textId="1DD83C16" w:rsidR="4DD292BE" w:rsidRDefault="49CD5181" w:rsidP="49CD5181">
      <w:pPr>
        <w:spacing w:line="360" w:lineRule="auto"/>
        <w:jc w:val="both"/>
        <w:rPr>
          <w:color w:val="000000" w:themeColor="text1"/>
          <w:sz w:val="24"/>
          <w:szCs w:val="24"/>
          <w:lang w:val="en-US"/>
        </w:rPr>
      </w:pPr>
      <w:r w:rsidRPr="49CD5181">
        <w:rPr>
          <w:color w:val="000000" w:themeColor="text1"/>
          <w:sz w:val="24"/>
          <w:szCs w:val="24"/>
          <w:lang w:val="en-US"/>
        </w:rPr>
        <w:lastRenderedPageBreak/>
        <w:t>Reference list</w:t>
      </w:r>
    </w:p>
    <w:p w14:paraId="16784FA0" w14:textId="258520C6" w:rsidR="0670040F" w:rsidRDefault="49CD5181" w:rsidP="49CD5181">
      <w:pPr>
        <w:spacing w:line="360" w:lineRule="auto"/>
        <w:jc w:val="both"/>
        <w:rPr>
          <w:color w:val="000000" w:themeColor="text1"/>
          <w:sz w:val="24"/>
          <w:szCs w:val="24"/>
          <w:lang w:val="en-US"/>
        </w:rPr>
      </w:pPr>
      <w:r w:rsidRPr="49CD5181">
        <w:rPr>
          <w:color w:val="000000" w:themeColor="text1"/>
          <w:sz w:val="24"/>
          <w:szCs w:val="24"/>
          <w:lang w:val="en-US"/>
        </w:rPr>
        <w:t xml:space="preserve">Department of Health, 2010. Our health and wellbeing today. PDF. HM Government. Available at: </w:t>
      </w:r>
      <w:hyperlink r:id="rId7">
        <w:r w:rsidRPr="49CD5181">
          <w:rPr>
            <w:rStyle w:val="Hyperlink"/>
            <w:rFonts w:ascii="Calibri" w:eastAsia="Calibri" w:hAnsi="Calibri" w:cs="Calibri"/>
            <w:sz w:val="24"/>
            <w:szCs w:val="24"/>
            <w:lang w:val="en-US"/>
          </w:rPr>
          <w:t>https://assets.publishing.service.gov.uk/government/uploads/system/uploads/attachment_data/file/215911/dh_122238</w:t>
        </w:r>
      </w:hyperlink>
      <w:r w:rsidRPr="49CD5181">
        <w:rPr>
          <w:rFonts w:ascii="Calibri" w:eastAsia="Calibri" w:hAnsi="Calibri" w:cs="Calibri"/>
          <w:sz w:val="24"/>
          <w:szCs w:val="24"/>
          <w:lang w:val="en-US"/>
        </w:rPr>
        <w:t>.</w:t>
      </w:r>
      <w:r w:rsidRPr="49CD5181">
        <w:rPr>
          <w:color w:val="000000" w:themeColor="text1"/>
          <w:sz w:val="24"/>
          <w:szCs w:val="24"/>
          <w:lang w:val="en-US"/>
        </w:rPr>
        <w:t xml:space="preserve"> Accessed 25.11.18. </w:t>
      </w:r>
    </w:p>
    <w:p w14:paraId="5A9CC16A" w14:textId="198402A9" w:rsidR="49CD5181" w:rsidRDefault="49CD5181" w:rsidP="49CD5181">
      <w:pPr>
        <w:spacing w:line="360" w:lineRule="auto"/>
        <w:jc w:val="both"/>
        <w:rPr>
          <w:rFonts w:ascii="Calibri" w:eastAsia="Calibri" w:hAnsi="Calibri" w:cs="Calibri"/>
          <w:sz w:val="24"/>
          <w:szCs w:val="24"/>
          <w:lang w:val="en-US"/>
        </w:rPr>
      </w:pPr>
      <w:r w:rsidRPr="49CD5181">
        <w:rPr>
          <w:rFonts w:ascii="Calibri" w:eastAsia="Calibri" w:hAnsi="Calibri" w:cs="Calibri"/>
          <w:sz w:val="24"/>
          <w:szCs w:val="24"/>
          <w:lang w:val="en-US"/>
        </w:rPr>
        <w:t xml:space="preserve">Edwards, 2014. Community services: how they can transform care. PDF. Available at: </w:t>
      </w:r>
      <w:hyperlink r:id="rId8">
        <w:r w:rsidRPr="49CD5181">
          <w:rPr>
            <w:rStyle w:val="Hyperlink"/>
            <w:rFonts w:ascii="Calibri" w:eastAsia="Calibri" w:hAnsi="Calibri" w:cs="Calibri"/>
            <w:sz w:val="24"/>
            <w:szCs w:val="24"/>
            <w:lang w:val="en-US"/>
          </w:rPr>
          <w:t>https://www.kingsfund.org.uk/sites/default/files/field/field_publication_file/community-services-nigel-edwards-feb14.pdf</w:t>
        </w:r>
      </w:hyperlink>
      <w:r w:rsidRPr="49CD5181">
        <w:rPr>
          <w:rFonts w:ascii="Calibri" w:eastAsia="Calibri" w:hAnsi="Calibri" w:cs="Calibri"/>
          <w:sz w:val="24"/>
          <w:szCs w:val="24"/>
          <w:lang w:val="en-US"/>
        </w:rPr>
        <w:t>. Accessed 04.12.18.</w:t>
      </w:r>
    </w:p>
    <w:p w14:paraId="4D21BEAD" w14:textId="5DDBA71D" w:rsidR="49CD5181" w:rsidRDefault="49CD5181" w:rsidP="49CD5181">
      <w:pPr>
        <w:spacing w:line="360" w:lineRule="auto"/>
        <w:jc w:val="both"/>
        <w:rPr>
          <w:rFonts w:ascii="Calibri" w:eastAsia="Calibri" w:hAnsi="Calibri" w:cs="Calibri"/>
          <w:sz w:val="24"/>
          <w:szCs w:val="24"/>
          <w:lang w:val="en-US"/>
        </w:rPr>
      </w:pPr>
      <w:r w:rsidRPr="49CD5181">
        <w:rPr>
          <w:rFonts w:ascii="Calibri" w:eastAsia="Calibri" w:hAnsi="Calibri" w:cs="Calibri"/>
          <w:sz w:val="24"/>
          <w:szCs w:val="24"/>
          <w:lang w:val="en-US"/>
        </w:rPr>
        <w:t xml:space="preserve">MIND, 2015. How to manage stress. PDF. Available at: </w:t>
      </w:r>
      <w:hyperlink r:id="rId9">
        <w:r w:rsidRPr="49CD5181">
          <w:rPr>
            <w:rStyle w:val="Hyperlink"/>
            <w:rFonts w:ascii="Calibri" w:eastAsia="Calibri" w:hAnsi="Calibri" w:cs="Calibri"/>
            <w:sz w:val="24"/>
            <w:szCs w:val="24"/>
            <w:lang w:val="en-US"/>
          </w:rPr>
          <w:t>https://www.mind.org.uk/media/1993364/how-to-manage-stress_2015.pdf</w:t>
        </w:r>
      </w:hyperlink>
      <w:r w:rsidRPr="49CD5181">
        <w:rPr>
          <w:rFonts w:ascii="Calibri" w:eastAsia="Calibri" w:hAnsi="Calibri" w:cs="Calibri"/>
          <w:sz w:val="24"/>
          <w:szCs w:val="24"/>
          <w:lang w:val="en-US"/>
        </w:rPr>
        <w:t xml:space="preserve">. Accessed 05.12.18. </w:t>
      </w:r>
    </w:p>
    <w:p w14:paraId="2C3355C4" w14:textId="542E9C4D" w:rsidR="49CD5181" w:rsidRDefault="49CD5181" w:rsidP="49CD5181">
      <w:pPr>
        <w:spacing w:line="360" w:lineRule="auto"/>
        <w:jc w:val="both"/>
        <w:rPr>
          <w:rFonts w:ascii="Calibri" w:eastAsia="Calibri" w:hAnsi="Calibri" w:cs="Calibri"/>
          <w:sz w:val="24"/>
          <w:szCs w:val="24"/>
          <w:lang w:val="en-US"/>
        </w:rPr>
      </w:pPr>
      <w:r w:rsidRPr="49CD5181">
        <w:rPr>
          <w:rFonts w:ascii="Calibri" w:eastAsia="Calibri" w:hAnsi="Calibri" w:cs="Calibri"/>
          <w:sz w:val="24"/>
          <w:szCs w:val="24"/>
          <w:lang w:val="en-US"/>
        </w:rPr>
        <w:t xml:space="preserve">National Institute for Health and Care Excellence, 2018. Behavior change: general approaches. Online. Available at: </w:t>
      </w:r>
      <w:hyperlink r:id="rId10">
        <w:r w:rsidRPr="49CD5181">
          <w:rPr>
            <w:rStyle w:val="Hyperlink"/>
            <w:rFonts w:ascii="Calibri" w:eastAsia="Calibri" w:hAnsi="Calibri" w:cs="Calibri"/>
            <w:sz w:val="24"/>
            <w:szCs w:val="24"/>
            <w:lang w:val="en-US"/>
          </w:rPr>
          <w:t>https://www.nice.org.uk/guidance/ph6/chapter/1-Public-health-need-and-practice</w:t>
        </w:r>
      </w:hyperlink>
      <w:r w:rsidRPr="49CD5181">
        <w:rPr>
          <w:rFonts w:ascii="Calibri" w:eastAsia="Calibri" w:hAnsi="Calibri" w:cs="Calibri"/>
          <w:sz w:val="24"/>
          <w:szCs w:val="24"/>
          <w:lang w:val="en-US"/>
        </w:rPr>
        <w:t xml:space="preserve">. Accessed 05.12.18. </w:t>
      </w:r>
    </w:p>
    <w:p w14:paraId="76031BFA" w14:textId="3CA0C8B0" w:rsidR="49CD5181" w:rsidRDefault="49CD5181" w:rsidP="49CD5181">
      <w:pPr>
        <w:jc w:val="both"/>
        <w:rPr>
          <w:sz w:val="24"/>
          <w:szCs w:val="24"/>
          <w:lang w:val="en-US"/>
        </w:rPr>
      </w:pPr>
      <w:r w:rsidRPr="49CD5181">
        <w:rPr>
          <w:rFonts w:ascii="Calibri" w:eastAsia="Calibri" w:hAnsi="Calibri" w:cs="Calibri"/>
          <w:sz w:val="24"/>
          <w:szCs w:val="24"/>
          <w:lang w:val="en-US"/>
        </w:rPr>
        <w:t xml:space="preserve">Statistical Services Centre, 2000. </w:t>
      </w:r>
      <w:r w:rsidRPr="49CD5181">
        <w:rPr>
          <w:sz w:val="24"/>
          <w:szCs w:val="24"/>
          <w:lang w:val="en-US"/>
        </w:rPr>
        <w:t xml:space="preserve">Informative Presentation of tables, graphs and statistics. PDF. The university of reading. UK. Available at: </w:t>
      </w:r>
      <w:hyperlink r:id="rId11">
        <w:r w:rsidRPr="49CD5181">
          <w:rPr>
            <w:rStyle w:val="Hyperlink"/>
            <w:rFonts w:ascii="Calibri" w:eastAsia="Calibri" w:hAnsi="Calibri" w:cs="Calibri"/>
            <w:sz w:val="24"/>
            <w:szCs w:val="24"/>
            <w:lang w:val="en-US"/>
          </w:rPr>
          <w:t>https://www.ilri.org/biometrics/TrainingResources/Documents/University%20of%20Reading/Guides/Guides%20on%20presentation/InfoPresentTables.pdf</w:t>
        </w:r>
      </w:hyperlink>
      <w:r w:rsidRPr="49CD5181">
        <w:rPr>
          <w:rFonts w:ascii="Calibri" w:eastAsia="Calibri" w:hAnsi="Calibri" w:cs="Calibri"/>
          <w:sz w:val="24"/>
          <w:szCs w:val="24"/>
          <w:lang w:val="en-US"/>
        </w:rPr>
        <w:t xml:space="preserve">. Accessed. 05.12.18. </w:t>
      </w:r>
    </w:p>
    <w:p w14:paraId="2179A507" w14:textId="4F8D5389" w:rsidR="49CD5181" w:rsidRDefault="49CD5181" w:rsidP="49CD5181">
      <w:pPr>
        <w:spacing w:line="360" w:lineRule="auto"/>
        <w:jc w:val="both"/>
        <w:rPr>
          <w:rFonts w:ascii="Calibri" w:eastAsia="Calibri" w:hAnsi="Calibri" w:cs="Calibri"/>
          <w:sz w:val="24"/>
          <w:szCs w:val="24"/>
          <w:lang w:val="en-US"/>
        </w:rPr>
      </w:pPr>
      <w:r w:rsidRPr="49CD5181">
        <w:rPr>
          <w:rFonts w:ascii="Calibri" w:eastAsia="Calibri" w:hAnsi="Calibri" w:cs="Calibri"/>
          <w:sz w:val="24"/>
          <w:szCs w:val="24"/>
          <w:lang w:val="en-US"/>
        </w:rPr>
        <w:t xml:space="preserve">Toussaint,. L. Shields,. G. Dorn,. G. </w:t>
      </w:r>
      <w:proofErr w:type="spellStart"/>
      <w:r w:rsidRPr="49CD5181">
        <w:rPr>
          <w:rFonts w:ascii="Calibri" w:eastAsia="Calibri" w:hAnsi="Calibri" w:cs="Calibri"/>
          <w:sz w:val="24"/>
          <w:szCs w:val="24"/>
          <w:lang w:val="en-US"/>
        </w:rPr>
        <w:t>Slavich</w:t>
      </w:r>
      <w:proofErr w:type="spellEnd"/>
      <w:r w:rsidRPr="49CD5181">
        <w:rPr>
          <w:rFonts w:ascii="Calibri" w:eastAsia="Calibri" w:hAnsi="Calibri" w:cs="Calibri"/>
          <w:sz w:val="24"/>
          <w:szCs w:val="24"/>
          <w:lang w:val="en-US"/>
        </w:rPr>
        <w:t xml:space="preserve">,. G. 2016. Effects of lifetime stress exposure on mental and physical health in young adulthood: How stress degrades, and forgiveness protects health. PDF. SAGE.  Available at: </w:t>
      </w:r>
      <w:hyperlink r:id="rId12">
        <w:r w:rsidRPr="49CD5181">
          <w:rPr>
            <w:rStyle w:val="Hyperlink"/>
            <w:rFonts w:ascii="Calibri" w:eastAsia="Calibri" w:hAnsi="Calibri" w:cs="Calibri"/>
            <w:sz w:val="24"/>
            <w:szCs w:val="24"/>
            <w:lang w:val="en-US"/>
          </w:rPr>
          <w:t>http://www.uclastresslab.org/pubs/Toussaint_JHP_2016.pdf</w:t>
        </w:r>
      </w:hyperlink>
      <w:r w:rsidRPr="49CD5181">
        <w:rPr>
          <w:rFonts w:ascii="Calibri" w:eastAsia="Calibri" w:hAnsi="Calibri" w:cs="Calibri"/>
          <w:sz w:val="24"/>
          <w:szCs w:val="24"/>
          <w:lang w:val="en-US"/>
        </w:rPr>
        <w:t xml:space="preserve">. Accessed 04.12.18.  </w:t>
      </w:r>
    </w:p>
    <w:p w14:paraId="50E191A6" w14:textId="7EF36390" w:rsidR="6BC6C38E" w:rsidRDefault="6BC6C38E" w:rsidP="6BC6C38E">
      <w:pPr>
        <w:spacing w:line="360" w:lineRule="auto"/>
        <w:jc w:val="both"/>
        <w:rPr>
          <w:color w:val="000000" w:themeColor="text1"/>
          <w:sz w:val="28"/>
          <w:szCs w:val="28"/>
          <w:lang w:val="en-US"/>
        </w:rPr>
      </w:pPr>
      <w:r w:rsidRPr="6BC6C38E">
        <w:rPr>
          <w:color w:val="000000" w:themeColor="text1"/>
          <w:sz w:val="24"/>
          <w:szCs w:val="24"/>
          <w:lang w:val="en-US"/>
        </w:rPr>
        <w:t xml:space="preserve">World Health Organization, 2018. </w:t>
      </w:r>
      <w:r w:rsidRPr="6BC6C38E">
        <w:rPr>
          <w:i/>
          <w:iCs/>
          <w:color w:val="000000" w:themeColor="text1"/>
          <w:sz w:val="24"/>
          <w:szCs w:val="24"/>
          <w:lang w:val="en-US"/>
        </w:rPr>
        <w:t>About Who</w:t>
      </w:r>
      <w:r w:rsidRPr="6BC6C38E">
        <w:rPr>
          <w:color w:val="000000" w:themeColor="text1"/>
          <w:sz w:val="24"/>
          <w:szCs w:val="24"/>
          <w:lang w:val="en-US"/>
        </w:rPr>
        <w:t xml:space="preserve">. Online. Available at: </w:t>
      </w:r>
      <w:hyperlink r:id="rId13">
        <w:r w:rsidRPr="6BC6C38E">
          <w:rPr>
            <w:rStyle w:val="Hyperlink"/>
            <w:rFonts w:ascii="Calibri" w:eastAsia="Calibri" w:hAnsi="Calibri" w:cs="Calibri"/>
            <w:sz w:val="24"/>
            <w:szCs w:val="24"/>
            <w:lang w:val="en-US"/>
          </w:rPr>
          <w:t>https://www.who.int/about/mission/en/</w:t>
        </w:r>
      </w:hyperlink>
      <w:r w:rsidRPr="6BC6C38E">
        <w:rPr>
          <w:rFonts w:ascii="Calibri" w:eastAsia="Calibri" w:hAnsi="Calibri" w:cs="Calibri"/>
          <w:sz w:val="24"/>
          <w:szCs w:val="24"/>
          <w:lang w:val="en-US"/>
        </w:rPr>
        <w:t xml:space="preserve">. Accessed 25.11.18. </w:t>
      </w:r>
      <w:r w:rsidRPr="6BC6C38E">
        <w:rPr>
          <w:color w:val="000000" w:themeColor="text1"/>
          <w:sz w:val="24"/>
          <w:szCs w:val="24"/>
          <w:lang w:val="en-US"/>
        </w:rPr>
        <w:t xml:space="preserve"> </w:t>
      </w:r>
    </w:p>
    <w:p w14:paraId="7630F069" w14:textId="7DA773ED" w:rsidR="49CD5181" w:rsidRDefault="49CD5181" w:rsidP="49CD5181">
      <w:pPr>
        <w:spacing w:line="360" w:lineRule="auto"/>
        <w:jc w:val="both"/>
        <w:rPr>
          <w:rFonts w:ascii="Calibri" w:eastAsia="Calibri" w:hAnsi="Calibri" w:cs="Calibri"/>
          <w:sz w:val="24"/>
          <w:szCs w:val="24"/>
          <w:lang w:val="en-US"/>
        </w:rPr>
      </w:pPr>
      <w:r w:rsidRPr="49CD5181">
        <w:rPr>
          <w:rFonts w:ascii="Calibri" w:eastAsia="Calibri" w:hAnsi="Calibri" w:cs="Calibri"/>
          <w:sz w:val="24"/>
          <w:szCs w:val="24"/>
          <w:lang w:val="en-US"/>
        </w:rPr>
        <w:t xml:space="preserve">Your Article Library, </w:t>
      </w:r>
      <w:proofErr w:type="spellStart"/>
      <w:r w:rsidRPr="49CD5181">
        <w:rPr>
          <w:rFonts w:ascii="Calibri" w:eastAsia="Calibri" w:hAnsi="Calibri" w:cs="Calibri"/>
          <w:sz w:val="24"/>
          <w:szCs w:val="24"/>
          <w:lang w:val="en-US"/>
        </w:rPr>
        <w:t>n.d.</w:t>
      </w:r>
      <w:proofErr w:type="spellEnd"/>
      <w:r w:rsidRPr="49CD5181">
        <w:rPr>
          <w:rFonts w:ascii="Calibri" w:eastAsia="Calibri" w:hAnsi="Calibri" w:cs="Calibri"/>
          <w:sz w:val="24"/>
          <w:szCs w:val="24"/>
          <w:lang w:val="en-US"/>
        </w:rPr>
        <w:t xml:space="preserve"> </w:t>
      </w:r>
      <w:r w:rsidRPr="49CD5181">
        <w:rPr>
          <w:rFonts w:ascii="Calibri" w:eastAsia="Calibri" w:hAnsi="Calibri" w:cs="Calibri"/>
          <w:i/>
          <w:iCs/>
          <w:sz w:val="24"/>
          <w:szCs w:val="24"/>
          <w:lang w:val="en-US"/>
        </w:rPr>
        <w:t>Event Marketing: Meaning, Features and Importance of Event Marketing</w:t>
      </w:r>
      <w:r w:rsidRPr="49CD5181">
        <w:rPr>
          <w:rFonts w:ascii="Calibri" w:eastAsia="Calibri" w:hAnsi="Calibri" w:cs="Calibri"/>
          <w:sz w:val="24"/>
          <w:szCs w:val="24"/>
          <w:lang w:val="en-US"/>
        </w:rPr>
        <w:t xml:space="preserve">. Online. Available at: </w:t>
      </w:r>
      <w:hyperlink r:id="rId14">
        <w:r w:rsidRPr="49CD5181">
          <w:rPr>
            <w:rStyle w:val="Hyperlink"/>
            <w:rFonts w:ascii="Calibri" w:eastAsia="Calibri" w:hAnsi="Calibri" w:cs="Calibri"/>
            <w:sz w:val="24"/>
            <w:szCs w:val="24"/>
            <w:lang w:val="en-US"/>
          </w:rPr>
          <w:t>http://www.yourarticlelibrary.com/marketing/event-marketing-meaning-features-and-importance-of-event-marketing/32327</w:t>
        </w:r>
      </w:hyperlink>
      <w:r w:rsidRPr="49CD5181">
        <w:rPr>
          <w:rFonts w:ascii="Calibri" w:eastAsia="Calibri" w:hAnsi="Calibri" w:cs="Calibri"/>
          <w:sz w:val="24"/>
          <w:szCs w:val="24"/>
          <w:lang w:val="en-US"/>
        </w:rPr>
        <w:t>. Accessed 05.12.18.</w:t>
      </w:r>
    </w:p>
    <w:p w14:paraId="58736C89" w14:textId="352DC5D4" w:rsidR="4DD292BE" w:rsidRDefault="4DD292BE" w:rsidP="49CD5181">
      <w:pPr>
        <w:spacing w:line="360" w:lineRule="auto"/>
        <w:jc w:val="both"/>
        <w:rPr>
          <w:color w:val="000000" w:themeColor="text1"/>
          <w:sz w:val="24"/>
          <w:szCs w:val="24"/>
          <w:lang w:val="en-US"/>
        </w:rPr>
      </w:pPr>
    </w:p>
    <w:sectPr w:rsidR="4DD292BE">
      <w:headerReference w:type="default" r:id="rId15"/>
      <w:footerReference w:type="default" r:id="rId16"/>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913E630" w14:textId="77777777" w:rsidR="00000000" w:rsidRDefault="00310F82">
      <w:pPr>
        <w:spacing w:after="0" w:line="240" w:lineRule="auto"/>
      </w:pPr>
      <w:r>
        <w:separator/>
      </w:r>
    </w:p>
  </w:endnote>
  <w:endnote w:type="continuationSeparator" w:id="0">
    <w:p w14:paraId="4AEE8CB7" w14:textId="77777777" w:rsidR="00000000" w:rsidRDefault="00310F82">
      <w:pPr>
        <w:spacing w:after="0" w:line="240" w:lineRule="auto"/>
      </w:pPr>
      <w:r>
        <w:continuationSeparator/>
      </w:r>
    </w:p>
  </w:endnote>
  <w:endnote w:type="continuationNotice" w:id="1">
    <w:p w14:paraId="34E577F0" w14:textId="77777777" w:rsidR="00310F82" w:rsidRDefault="00310F8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4A0" w:firstRow="1" w:lastRow="0" w:firstColumn="1" w:lastColumn="0" w:noHBand="0" w:noVBand="1"/>
    </w:tblPr>
    <w:tblGrid>
      <w:gridCol w:w="3120"/>
      <w:gridCol w:w="3120"/>
      <w:gridCol w:w="3120"/>
    </w:tblGrid>
    <w:tr w:rsidR="7317E9E0" w14:paraId="39A2110F" w14:textId="77777777" w:rsidTr="7317E9E0">
      <w:tc>
        <w:tcPr>
          <w:tcW w:w="3120" w:type="dxa"/>
        </w:tcPr>
        <w:p w14:paraId="7821F5F4" w14:textId="303582E2" w:rsidR="7317E9E0" w:rsidRDefault="7317E9E0" w:rsidP="7317E9E0">
          <w:pPr>
            <w:pStyle w:val="Header"/>
            <w:ind w:left="-115"/>
          </w:pPr>
        </w:p>
      </w:tc>
      <w:tc>
        <w:tcPr>
          <w:tcW w:w="3120" w:type="dxa"/>
        </w:tcPr>
        <w:p w14:paraId="4D1A785A" w14:textId="1E5DB34B" w:rsidR="7317E9E0" w:rsidRDefault="7317E9E0" w:rsidP="7317E9E0">
          <w:pPr>
            <w:pStyle w:val="Header"/>
            <w:jc w:val="center"/>
          </w:pPr>
        </w:p>
      </w:tc>
      <w:tc>
        <w:tcPr>
          <w:tcW w:w="3120" w:type="dxa"/>
        </w:tcPr>
        <w:p w14:paraId="3AE6A8F4" w14:textId="62E02216" w:rsidR="7317E9E0" w:rsidRDefault="7317E9E0" w:rsidP="7317E9E0">
          <w:pPr>
            <w:pStyle w:val="Header"/>
            <w:ind w:right="-115"/>
            <w:jc w:val="right"/>
          </w:pPr>
        </w:p>
      </w:tc>
    </w:tr>
  </w:tbl>
  <w:p w14:paraId="47998994" w14:textId="6D47E2BF" w:rsidR="7317E9E0" w:rsidRDefault="7317E9E0" w:rsidP="7317E9E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8DD38A9" w14:textId="77777777" w:rsidR="00000000" w:rsidRDefault="00310F82">
      <w:pPr>
        <w:spacing w:after="0" w:line="240" w:lineRule="auto"/>
      </w:pPr>
      <w:r>
        <w:separator/>
      </w:r>
    </w:p>
  </w:footnote>
  <w:footnote w:type="continuationSeparator" w:id="0">
    <w:p w14:paraId="700DB01C" w14:textId="77777777" w:rsidR="00000000" w:rsidRDefault="00310F82">
      <w:pPr>
        <w:spacing w:after="0" w:line="240" w:lineRule="auto"/>
      </w:pPr>
      <w:r>
        <w:continuationSeparator/>
      </w:r>
    </w:p>
  </w:footnote>
  <w:footnote w:type="continuationNotice" w:id="1">
    <w:p w14:paraId="6D271C54" w14:textId="77777777" w:rsidR="00310F82" w:rsidRDefault="00310F82">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4A0" w:firstRow="1" w:lastRow="0" w:firstColumn="1" w:lastColumn="0" w:noHBand="0" w:noVBand="1"/>
    </w:tblPr>
    <w:tblGrid>
      <w:gridCol w:w="3120"/>
      <w:gridCol w:w="3120"/>
      <w:gridCol w:w="3120"/>
    </w:tblGrid>
    <w:tr w:rsidR="7317E9E0" w14:paraId="00957E5A" w14:textId="77777777" w:rsidTr="7317E9E0">
      <w:tc>
        <w:tcPr>
          <w:tcW w:w="3120" w:type="dxa"/>
        </w:tcPr>
        <w:p w14:paraId="340C7D69" w14:textId="1BA5989F" w:rsidR="7317E9E0" w:rsidRDefault="7317E9E0" w:rsidP="7317E9E0">
          <w:pPr>
            <w:pStyle w:val="Header"/>
            <w:ind w:left="-115"/>
          </w:pPr>
          <w:r>
            <w:t>P147461</w:t>
          </w:r>
        </w:p>
      </w:tc>
      <w:tc>
        <w:tcPr>
          <w:tcW w:w="3120" w:type="dxa"/>
        </w:tcPr>
        <w:p w14:paraId="34CE75F9" w14:textId="6377A73D" w:rsidR="7317E9E0" w:rsidRDefault="7317E9E0" w:rsidP="7317E9E0">
          <w:pPr>
            <w:pStyle w:val="Header"/>
            <w:jc w:val="center"/>
          </w:pPr>
        </w:p>
      </w:tc>
      <w:tc>
        <w:tcPr>
          <w:tcW w:w="3120" w:type="dxa"/>
        </w:tcPr>
        <w:p w14:paraId="4D4FB6AC" w14:textId="657688AE" w:rsidR="7317E9E0" w:rsidRDefault="7317E9E0" w:rsidP="7317E9E0">
          <w:pPr>
            <w:pStyle w:val="Header"/>
            <w:ind w:right="-115"/>
            <w:jc w:val="right"/>
          </w:pPr>
          <w:r>
            <w:t>Kelly Evans</w:t>
          </w:r>
        </w:p>
      </w:tc>
    </w:tr>
  </w:tbl>
  <w:p w14:paraId="780B4998" w14:textId="2DAB6DE4" w:rsidR="7317E9E0" w:rsidRDefault="7317E9E0" w:rsidP="7317E9E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6F90FBE"/>
    <w:multiLevelType w:val="hybridMultilevel"/>
    <w:tmpl w:val="FFFFFFFF"/>
    <w:lvl w:ilvl="0" w:tplc="2F6A4DEC">
      <w:start w:val="1"/>
      <w:numFmt w:val="bullet"/>
      <w:lvlText w:val=""/>
      <w:lvlJc w:val="left"/>
      <w:pPr>
        <w:ind w:left="720" w:hanging="360"/>
      </w:pPr>
      <w:rPr>
        <w:rFonts w:ascii="Symbol" w:hAnsi="Symbol" w:hint="default"/>
      </w:rPr>
    </w:lvl>
    <w:lvl w:ilvl="1" w:tplc="F0C8B85C">
      <w:start w:val="1"/>
      <w:numFmt w:val="bullet"/>
      <w:lvlText w:val="o"/>
      <w:lvlJc w:val="left"/>
      <w:pPr>
        <w:ind w:left="1440" w:hanging="360"/>
      </w:pPr>
      <w:rPr>
        <w:rFonts w:ascii="Courier New" w:hAnsi="Courier New" w:hint="default"/>
      </w:rPr>
    </w:lvl>
    <w:lvl w:ilvl="2" w:tplc="45ECE354">
      <w:start w:val="1"/>
      <w:numFmt w:val="bullet"/>
      <w:lvlText w:val=""/>
      <w:lvlJc w:val="left"/>
      <w:pPr>
        <w:ind w:left="2160" w:hanging="360"/>
      </w:pPr>
      <w:rPr>
        <w:rFonts w:ascii="Wingdings" w:hAnsi="Wingdings" w:hint="default"/>
      </w:rPr>
    </w:lvl>
    <w:lvl w:ilvl="3" w:tplc="9D28895A">
      <w:start w:val="1"/>
      <w:numFmt w:val="bullet"/>
      <w:lvlText w:val=""/>
      <w:lvlJc w:val="left"/>
      <w:pPr>
        <w:ind w:left="2880" w:hanging="360"/>
      </w:pPr>
      <w:rPr>
        <w:rFonts w:ascii="Symbol" w:hAnsi="Symbol" w:hint="default"/>
      </w:rPr>
    </w:lvl>
    <w:lvl w:ilvl="4" w:tplc="C69C0A82">
      <w:start w:val="1"/>
      <w:numFmt w:val="bullet"/>
      <w:lvlText w:val="o"/>
      <w:lvlJc w:val="left"/>
      <w:pPr>
        <w:ind w:left="3600" w:hanging="360"/>
      </w:pPr>
      <w:rPr>
        <w:rFonts w:ascii="Courier New" w:hAnsi="Courier New" w:hint="default"/>
      </w:rPr>
    </w:lvl>
    <w:lvl w:ilvl="5" w:tplc="8452BAB0">
      <w:start w:val="1"/>
      <w:numFmt w:val="bullet"/>
      <w:lvlText w:val=""/>
      <w:lvlJc w:val="left"/>
      <w:pPr>
        <w:ind w:left="4320" w:hanging="360"/>
      </w:pPr>
      <w:rPr>
        <w:rFonts w:ascii="Wingdings" w:hAnsi="Wingdings" w:hint="default"/>
      </w:rPr>
    </w:lvl>
    <w:lvl w:ilvl="6" w:tplc="6F464332">
      <w:start w:val="1"/>
      <w:numFmt w:val="bullet"/>
      <w:lvlText w:val=""/>
      <w:lvlJc w:val="left"/>
      <w:pPr>
        <w:ind w:left="5040" w:hanging="360"/>
      </w:pPr>
      <w:rPr>
        <w:rFonts w:ascii="Symbol" w:hAnsi="Symbol" w:hint="default"/>
      </w:rPr>
    </w:lvl>
    <w:lvl w:ilvl="7" w:tplc="57D04C3C">
      <w:start w:val="1"/>
      <w:numFmt w:val="bullet"/>
      <w:lvlText w:val="o"/>
      <w:lvlJc w:val="left"/>
      <w:pPr>
        <w:ind w:left="5760" w:hanging="360"/>
      </w:pPr>
      <w:rPr>
        <w:rFonts w:ascii="Courier New" w:hAnsi="Courier New" w:hint="default"/>
      </w:rPr>
    </w:lvl>
    <w:lvl w:ilvl="8" w:tplc="01708114">
      <w:start w:val="1"/>
      <w:numFmt w:val="bullet"/>
      <w:lvlText w:val=""/>
      <w:lvlJc w:val="left"/>
      <w:pPr>
        <w:ind w:left="6480" w:hanging="360"/>
      </w:pPr>
      <w:rPr>
        <w:rFonts w:ascii="Wingdings" w:hAnsi="Wingdings" w:hint="default"/>
      </w:rPr>
    </w:lvl>
  </w:abstractNum>
  <w:abstractNum w:abstractNumId="1" w15:restartNumberingAfterBreak="0">
    <w:nsid w:val="1D476FE6"/>
    <w:multiLevelType w:val="hybridMultilevel"/>
    <w:tmpl w:val="D9EA6EB6"/>
    <w:lvl w:ilvl="0" w:tplc="0809000F">
      <w:start w:val="1"/>
      <w:numFmt w:val="decimal"/>
      <w:lvlText w:val="%1."/>
      <w:lvlJc w:val="left"/>
      <w:pPr>
        <w:ind w:left="720" w:hanging="360"/>
      </w:pPr>
      <w:rPr>
        <w:rFonts w:hint="default"/>
      </w:rPr>
    </w:lvl>
    <w:lvl w:ilvl="1" w:tplc="44C23F06">
      <w:start w:val="1"/>
      <w:numFmt w:val="lowerLetter"/>
      <w:lvlText w:val="%2."/>
      <w:lvlJc w:val="left"/>
      <w:pPr>
        <w:ind w:left="1440" w:hanging="360"/>
      </w:pPr>
    </w:lvl>
    <w:lvl w:ilvl="2" w:tplc="3FECB5A0">
      <w:start w:val="1"/>
      <w:numFmt w:val="lowerRoman"/>
      <w:lvlText w:val="%3."/>
      <w:lvlJc w:val="right"/>
      <w:pPr>
        <w:ind w:left="2160" w:hanging="180"/>
      </w:pPr>
    </w:lvl>
    <w:lvl w:ilvl="3" w:tplc="4C861F24">
      <w:start w:val="1"/>
      <w:numFmt w:val="decimal"/>
      <w:lvlText w:val="%4."/>
      <w:lvlJc w:val="left"/>
      <w:pPr>
        <w:ind w:left="2880" w:hanging="360"/>
      </w:pPr>
    </w:lvl>
    <w:lvl w:ilvl="4" w:tplc="2A08C408">
      <w:start w:val="1"/>
      <w:numFmt w:val="lowerLetter"/>
      <w:lvlText w:val="%5."/>
      <w:lvlJc w:val="left"/>
      <w:pPr>
        <w:ind w:left="3600" w:hanging="360"/>
      </w:pPr>
    </w:lvl>
    <w:lvl w:ilvl="5" w:tplc="2236E182">
      <w:start w:val="1"/>
      <w:numFmt w:val="lowerRoman"/>
      <w:lvlText w:val="%6."/>
      <w:lvlJc w:val="right"/>
      <w:pPr>
        <w:ind w:left="4320" w:hanging="180"/>
      </w:pPr>
    </w:lvl>
    <w:lvl w:ilvl="6" w:tplc="CBBC9A2A">
      <w:start w:val="1"/>
      <w:numFmt w:val="decimal"/>
      <w:lvlText w:val="%7."/>
      <w:lvlJc w:val="left"/>
      <w:pPr>
        <w:ind w:left="5040" w:hanging="360"/>
      </w:pPr>
    </w:lvl>
    <w:lvl w:ilvl="7" w:tplc="AE8474FE">
      <w:start w:val="1"/>
      <w:numFmt w:val="lowerLetter"/>
      <w:lvlText w:val="%8."/>
      <w:lvlJc w:val="left"/>
      <w:pPr>
        <w:ind w:left="5760" w:hanging="360"/>
      </w:pPr>
    </w:lvl>
    <w:lvl w:ilvl="8" w:tplc="93D6F842">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6"/>
  <w:proofState w:spelling="clean"/>
  <w:defaultTabStop w:val="720"/>
  <w:characterSpacingControl w:val="doNotCompres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11E74"/>
    <w:rsid w:val="002260E8"/>
    <w:rsid w:val="002F77BC"/>
    <w:rsid w:val="00310F82"/>
    <w:rsid w:val="003575DB"/>
    <w:rsid w:val="00434149"/>
    <w:rsid w:val="007772F6"/>
    <w:rsid w:val="007E50CB"/>
    <w:rsid w:val="00900E44"/>
    <w:rsid w:val="009239C7"/>
    <w:rsid w:val="009308A5"/>
    <w:rsid w:val="00982031"/>
    <w:rsid w:val="009931A7"/>
    <w:rsid w:val="009A3093"/>
    <w:rsid w:val="00A00728"/>
    <w:rsid w:val="00A84EF0"/>
    <w:rsid w:val="00AC21A7"/>
    <w:rsid w:val="00AE390C"/>
    <w:rsid w:val="00B751C3"/>
    <w:rsid w:val="00BE1C9D"/>
    <w:rsid w:val="00C66900"/>
    <w:rsid w:val="00D11E74"/>
    <w:rsid w:val="00D272DA"/>
    <w:rsid w:val="00D436ED"/>
    <w:rsid w:val="00E615C2"/>
    <w:rsid w:val="0670040F"/>
    <w:rsid w:val="1BFDDF47"/>
    <w:rsid w:val="36DBD12A"/>
    <w:rsid w:val="4022DCB9"/>
    <w:rsid w:val="49CD5181"/>
    <w:rsid w:val="4AE706A0"/>
    <w:rsid w:val="4DD292BE"/>
    <w:rsid w:val="6BC6C38E"/>
    <w:rsid w:val="6CE0D953"/>
    <w:rsid w:val="7317E9E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36E126"/>
  <w15:chartTrackingRefBased/>
  <w15:docId w15:val="{E2F1E8AE-CFD0-EF4B-92D9-13C3CCD7C2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3414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7E50CB"/>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Pr>
      <w:color w:val="0563C1" w:themeColor="hyperlink"/>
      <w:u w:val="single"/>
    </w:rPr>
  </w:style>
  <w:style w:type="character" w:customStyle="1" w:styleId="Heading1Char">
    <w:name w:val="Heading 1 Char"/>
    <w:basedOn w:val="DefaultParagraphFont"/>
    <w:link w:val="Heading1"/>
    <w:uiPriority w:val="9"/>
    <w:rsid w:val="00434149"/>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7E50CB"/>
    <w:rPr>
      <w:rFonts w:asciiTheme="majorHAnsi" w:eastAsiaTheme="majorEastAsia" w:hAnsiTheme="majorHAnsi" w:cstheme="majorBidi"/>
      <w:color w:val="2F5496" w:themeColor="accent1" w:themeShade="BF"/>
      <w:sz w:val="26"/>
      <w:szCs w:val="26"/>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kingsfund.org.uk/sites/default/files/field/field_publication_file/community-services-nigel-edwards-feb14.pdf" TargetMode="External" /><Relationship Id="rId13" Type="http://schemas.openxmlformats.org/officeDocument/2006/relationships/hyperlink" Target="https://www.who.int/about/mission/en/" TargetMode="External" /><Relationship Id="rId18" Type="http://schemas.openxmlformats.org/officeDocument/2006/relationships/theme" Target="theme/theme1.xml" /><Relationship Id="rId3" Type="http://schemas.openxmlformats.org/officeDocument/2006/relationships/settings" Target="settings.xml" /><Relationship Id="rId7" Type="http://schemas.openxmlformats.org/officeDocument/2006/relationships/hyperlink" Target="https://assets.publishing.service.gov.uk/government/uploads/system/uploads/attachment_data/file/215911/dh_122238" TargetMode="External" /><Relationship Id="rId12" Type="http://schemas.openxmlformats.org/officeDocument/2006/relationships/hyperlink" Target="http://www.uclastresslab.org/pubs/Toussaint_JHP_2016.pdf" TargetMode="External" /><Relationship Id="rId17" Type="http://schemas.openxmlformats.org/officeDocument/2006/relationships/fontTable" Target="fontTable.xml" /><Relationship Id="rId2" Type="http://schemas.openxmlformats.org/officeDocument/2006/relationships/styles" Target="styles.xml" /><Relationship Id="rId16" Type="http://schemas.openxmlformats.org/officeDocument/2006/relationships/footer" Target="footer1.xml"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hyperlink" Target="https://www.ilri.org/biometrics/TrainingResources/Documents/University%20of%20Reading/Guides/Guides%20on%20presentation/InfoPresentTables.pdf" TargetMode="External" /><Relationship Id="rId5" Type="http://schemas.openxmlformats.org/officeDocument/2006/relationships/footnotes" Target="footnotes.xml" /><Relationship Id="rId15" Type="http://schemas.openxmlformats.org/officeDocument/2006/relationships/header" Target="header1.xml" /><Relationship Id="rId10" Type="http://schemas.openxmlformats.org/officeDocument/2006/relationships/hyperlink" Target="https://www.nice.org.uk/guidance/ph6/chapter/1-Public-health-need-and-practice" TargetMode="External" /><Relationship Id="rId4" Type="http://schemas.openxmlformats.org/officeDocument/2006/relationships/webSettings" Target="webSettings.xml" /><Relationship Id="rId9" Type="http://schemas.openxmlformats.org/officeDocument/2006/relationships/hyperlink" Target="https://www.mind.org.uk/media/1993364/how-to-manage-stress_2015.pdf" TargetMode="External" /><Relationship Id="rId14" Type="http://schemas.openxmlformats.org/officeDocument/2006/relationships/hyperlink" Target="http://www.yourarticlelibrary.com/marketing/event-marketing-meaning-features-and-importance-of-event-marketing/32327"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1644</Words>
  <Characters>9375</Characters>
  <Application>Microsoft Office Word</Application>
  <DocSecurity>0</DocSecurity>
  <Lines>78</Lines>
  <Paragraphs>21</Paragraphs>
  <ScaleCrop>false</ScaleCrop>
  <Company/>
  <LinksUpToDate>false</LinksUpToDate>
  <CharactersWithSpaces>10998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Kelly Evans</dc:creator>
  <cp:keywords/>
  <dc:description/>
  <cp:lastModifiedBy>Kelly Evans</cp:lastModifiedBy>
  <cp:revision>2</cp:revision>
  <dcterms:created xsi:type="dcterms:W3CDTF">2018-12-05T11:19:00Z</dcterms:created>
  <dcterms:modified xsi:type="dcterms:W3CDTF">2018-12-05T11:19:00Z</dcterms:modified>
</cp:coreProperties>
</file>