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F8BF76" w14:textId="228F576B" w:rsidR="00992EB8" w:rsidRPr="00F10CDD" w:rsidRDefault="00000000">
      <w:pPr>
        <w:pStyle w:val="Heading1"/>
        <w:rPr>
          <w:rFonts w:ascii="Arial" w:hAnsi="Arial" w:cs="Arial"/>
          <w:sz w:val="24"/>
          <w:szCs w:val="24"/>
        </w:rPr>
      </w:pPr>
      <w:bookmarkStart w:id="0" w:name="annotated-bibliography"/>
      <w:r w:rsidRPr="00F10CDD">
        <w:rPr>
          <w:rFonts w:ascii="Arial" w:hAnsi="Arial" w:cs="Arial"/>
          <w:sz w:val="24"/>
          <w:szCs w:val="24"/>
        </w:rPr>
        <w:t>Annotated Bibliography</w:t>
      </w:r>
      <w:r w:rsidR="00F10CDD" w:rsidRPr="00F10CDD">
        <w:rPr>
          <w:rFonts w:ascii="Arial" w:hAnsi="Arial" w:cs="Arial"/>
          <w:sz w:val="24"/>
          <w:szCs w:val="24"/>
        </w:rPr>
        <w:t xml:space="preserve"> and Short Report</w:t>
      </w:r>
    </w:p>
    <w:p w14:paraId="23D5E710" w14:textId="1E47C471" w:rsidR="00992EB8" w:rsidRPr="00F10CDD" w:rsidRDefault="00992EB8">
      <w:pPr>
        <w:rPr>
          <w:rFonts w:ascii="Arial" w:hAnsi="Arial" w:cs="Arial"/>
          <w:sz w:val="22"/>
          <w:szCs w:val="22"/>
        </w:rPr>
      </w:pPr>
    </w:p>
    <w:p w14:paraId="17CC99C5" w14:textId="3AA05970" w:rsidR="00992EB8" w:rsidRPr="004735CD" w:rsidRDefault="00000000">
      <w:pPr>
        <w:pStyle w:val="FirstParagraph"/>
        <w:rPr>
          <w:rFonts w:ascii="Arial" w:hAnsi="Arial" w:cs="Arial"/>
          <w:sz w:val="22"/>
          <w:szCs w:val="22"/>
        </w:rPr>
      </w:pPr>
      <w:bookmarkStart w:id="1" w:name="title-page"/>
      <w:r w:rsidRPr="004735CD">
        <w:rPr>
          <w:rFonts w:ascii="Arial" w:hAnsi="Arial" w:cs="Arial"/>
          <w:b/>
          <w:bCs/>
          <w:sz w:val="22"/>
          <w:szCs w:val="22"/>
        </w:rPr>
        <w:t>Name:</w:t>
      </w:r>
      <w:r w:rsidRPr="004735CD">
        <w:rPr>
          <w:rFonts w:ascii="Arial" w:hAnsi="Arial" w:cs="Arial"/>
          <w:sz w:val="22"/>
          <w:szCs w:val="22"/>
        </w:rPr>
        <w:t xml:space="preserve"> Rehana Begum Parvin</w:t>
      </w:r>
      <w:r w:rsidRPr="004735CD">
        <w:rPr>
          <w:rFonts w:ascii="Arial" w:hAnsi="Arial" w:cs="Arial"/>
          <w:sz w:val="22"/>
          <w:szCs w:val="22"/>
        </w:rPr>
        <w:br/>
      </w:r>
      <w:r w:rsidRPr="004735CD">
        <w:rPr>
          <w:rFonts w:ascii="Arial" w:hAnsi="Arial" w:cs="Arial"/>
          <w:b/>
          <w:bCs/>
          <w:sz w:val="22"/>
          <w:szCs w:val="22"/>
        </w:rPr>
        <w:t>Student Number:</w:t>
      </w:r>
      <w:r w:rsidRPr="004735CD">
        <w:rPr>
          <w:rFonts w:ascii="Arial" w:hAnsi="Arial" w:cs="Arial"/>
          <w:sz w:val="22"/>
          <w:szCs w:val="22"/>
        </w:rPr>
        <w:t xml:space="preserve"> 2435923</w:t>
      </w:r>
      <w:r w:rsidRPr="004735CD">
        <w:rPr>
          <w:rFonts w:ascii="Arial" w:hAnsi="Arial" w:cs="Arial"/>
          <w:sz w:val="22"/>
          <w:szCs w:val="22"/>
        </w:rPr>
        <w:br/>
      </w:r>
      <w:r w:rsidRPr="004735CD">
        <w:rPr>
          <w:rFonts w:ascii="Arial" w:hAnsi="Arial" w:cs="Arial"/>
          <w:b/>
          <w:bCs/>
          <w:sz w:val="22"/>
          <w:szCs w:val="22"/>
        </w:rPr>
        <w:t>Module Code:</w:t>
      </w:r>
      <w:r w:rsidRPr="004735CD">
        <w:rPr>
          <w:rFonts w:ascii="Arial" w:hAnsi="Arial" w:cs="Arial"/>
          <w:sz w:val="22"/>
          <w:szCs w:val="22"/>
        </w:rPr>
        <w:t xml:space="preserve"> LCHS40</w:t>
      </w:r>
      <w:r w:rsidR="004735CD" w:rsidRPr="004735CD">
        <w:rPr>
          <w:rFonts w:ascii="Arial" w:hAnsi="Arial" w:cs="Arial"/>
          <w:sz w:val="22"/>
          <w:szCs w:val="22"/>
        </w:rPr>
        <w:t>10</w:t>
      </w:r>
      <w:r w:rsidRPr="004735CD">
        <w:rPr>
          <w:rFonts w:ascii="Arial" w:hAnsi="Arial" w:cs="Arial"/>
          <w:sz w:val="22"/>
          <w:szCs w:val="22"/>
        </w:rPr>
        <w:t>_BIRM</w:t>
      </w:r>
      <w:r w:rsidRPr="004735CD">
        <w:rPr>
          <w:rFonts w:ascii="Arial" w:hAnsi="Arial" w:cs="Arial"/>
          <w:sz w:val="22"/>
          <w:szCs w:val="22"/>
        </w:rPr>
        <w:br/>
      </w:r>
      <w:r w:rsidRPr="004735CD">
        <w:rPr>
          <w:rFonts w:ascii="Arial" w:hAnsi="Arial" w:cs="Arial"/>
          <w:b/>
          <w:bCs/>
          <w:sz w:val="22"/>
          <w:szCs w:val="22"/>
        </w:rPr>
        <w:t>Module Title:</w:t>
      </w:r>
      <w:r w:rsidRPr="004735CD">
        <w:rPr>
          <w:rFonts w:ascii="Arial" w:hAnsi="Arial" w:cs="Arial"/>
          <w:sz w:val="22"/>
          <w:szCs w:val="22"/>
        </w:rPr>
        <w:t xml:space="preserve"> </w:t>
      </w:r>
      <w:r w:rsidR="004735CD" w:rsidRPr="00CF63DE">
        <w:rPr>
          <w:rFonts w:ascii="Arial" w:hAnsi="Arial" w:cs="Arial"/>
          <w:bCs/>
          <w:sz w:val="22"/>
          <w:szCs w:val="22"/>
        </w:rPr>
        <w:t>Psychology</w:t>
      </w:r>
      <w:r w:rsidR="004735CD" w:rsidRPr="00CF63DE">
        <w:rPr>
          <w:rFonts w:ascii="Arial" w:hAnsi="Arial" w:cs="Arial"/>
          <w:bCs/>
          <w:spacing w:val="-6"/>
          <w:sz w:val="22"/>
          <w:szCs w:val="22"/>
        </w:rPr>
        <w:t xml:space="preserve"> </w:t>
      </w:r>
      <w:r w:rsidR="004735CD" w:rsidRPr="00CF63DE">
        <w:rPr>
          <w:rFonts w:ascii="Arial" w:hAnsi="Arial" w:cs="Arial"/>
          <w:bCs/>
          <w:sz w:val="22"/>
          <w:szCs w:val="22"/>
        </w:rPr>
        <w:t>in</w:t>
      </w:r>
      <w:r w:rsidR="004735CD" w:rsidRPr="00CF63DE">
        <w:rPr>
          <w:rFonts w:ascii="Arial" w:hAnsi="Arial" w:cs="Arial"/>
          <w:bCs/>
          <w:spacing w:val="-4"/>
          <w:sz w:val="22"/>
          <w:szCs w:val="22"/>
        </w:rPr>
        <w:t xml:space="preserve"> </w:t>
      </w:r>
      <w:r w:rsidR="004735CD" w:rsidRPr="00CF63DE">
        <w:rPr>
          <w:rFonts w:ascii="Arial" w:hAnsi="Arial" w:cs="Arial"/>
          <w:bCs/>
          <w:sz w:val="22"/>
          <w:szCs w:val="22"/>
        </w:rPr>
        <w:t>Health</w:t>
      </w:r>
      <w:r w:rsidR="004735CD" w:rsidRPr="00CF63DE">
        <w:rPr>
          <w:rFonts w:ascii="Arial" w:hAnsi="Arial" w:cs="Arial"/>
          <w:bCs/>
          <w:spacing w:val="-3"/>
          <w:sz w:val="22"/>
          <w:szCs w:val="22"/>
        </w:rPr>
        <w:t xml:space="preserve"> </w:t>
      </w:r>
      <w:r w:rsidR="004735CD" w:rsidRPr="00CF63DE">
        <w:rPr>
          <w:rFonts w:ascii="Arial" w:hAnsi="Arial" w:cs="Arial"/>
          <w:bCs/>
          <w:sz w:val="22"/>
          <w:szCs w:val="22"/>
        </w:rPr>
        <w:t>and</w:t>
      </w:r>
      <w:r w:rsidR="004735CD" w:rsidRPr="00CF63DE">
        <w:rPr>
          <w:rFonts w:ascii="Arial" w:hAnsi="Arial" w:cs="Arial"/>
          <w:bCs/>
          <w:spacing w:val="-4"/>
          <w:sz w:val="22"/>
          <w:szCs w:val="22"/>
        </w:rPr>
        <w:t xml:space="preserve"> </w:t>
      </w:r>
      <w:r w:rsidR="004735CD" w:rsidRPr="00CF63DE">
        <w:rPr>
          <w:rFonts w:ascii="Arial" w:hAnsi="Arial" w:cs="Arial"/>
          <w:bCs/>
          <w:sz w:val="22"/>
          <w:szCs w:val="22"/>
        </w:rPr>
        <w:t>Social</w:t>
      </w:r>
      <w:r w:rsidR="004735CD" w:rsidRPr="00CF63DE">
        <w:rPr>
          <w:rFonts w:ascii="Arial" w:hAnsi="Arial" w:cs="Arial"/>
          <w:bCs/>
          <w:spacing w:val="-4"/>
          <w:sz w:val="22"/>
          <w:szCs w:val="22"/>
        </w:rPr>
        <w:t xml:space="preserve"> Care</w:t>
      </w:r>
      <w:r w:rsidRPr="004735CD">
        <w:rPr>
          <w:rFonts w:ascii="Arial" w:hAnsi="Arial" w:cs="Arial"/>
          <w:sz w:val="22"/>
          <w:szCs w:val="22"/>
        </w:rPr>
        <w:br/>
      </w:r>
      <w:r w:rsidRPr="004735CD">
        <w:rPr>
          <w:rFonts w:ascii="Arial" w:hAnsi="Arial" w:cs="Arial"/>
          <w:b/>
          <w:bCs/>
          <w:sz w:val="22"/>
          <w:szCs w:val="22"/>
        </w:rPr>
        <w:t>Lecturer:</w:t>
      </w:r>
      <w:r w:rsidRPr="004735CD">
        <w:rPr>
          <w:rFonts w:ascii="Arial" w:hAnsi="Arial" w:cs="Arial"/>
          <w:sz w:val="22"/>
          <w:szCs w:val="22"/>
        </w:rPr>
        <w:t xml:space="preserve"> </w:t>
      </w:r>
      <w:r w:rsidR="004735CD" w:rsidRPr="004735CD">
        <w:rPr>
          <w:sz w:val="22"/>
          <w:szCs w:val="22"/>
        </w:rPr>
        <w:t>Neale Haddon</w:t>
      </w:r>
      <w:r w:rsidRPr="004735CD">
        <w:rPr>
          <w:rFonts w:ascii="Arial" w:hAnsi="Arial" w:cs="Arial"/>
          <w:sz w:val="22"/>
          <w:szCs w:val="22"/>
        </w:rPr>
        <w:br/>
      </w:r>
      <w:r w:rsidRPr="004735CD">
        <w:rPr>
          <w:rFonts w:ascii="Arial" w:hAnsi="Arial" w:cs="Arial"/>
          <w:b/>
          <w:bCs/>
          <w:sz w:val="22"/>
          <w:szCs w:val="22"/>
        </w:rPr>
        <w:t>Assignment Title:</w:t>
      </w:r>
      <w:r w:rsidRPr="004735CD">
        <w:rPr>
          <w:rFonts w:ascii="Arial" w:hAnsi="Arial" w:cs="Arial"/>
          <w:sz w:val="22"/>
          <w:szCs w:val="22"/>
        </w:rPr>
        <w:t xml:space="preserve"> Annotated Bibliography</w:t>
      </w:r>
      <w:r w:rsidR="004735CD" w:rsidRPr="004735CD">
        <w:rPr>
          <w:rFonts w:ascii="Arial" w:hAnsi="Arial" w:cs="Arial"/>
          <w:sz w:val="22"/>
          <w:szCs w:val="22"/>
        </w:rPr>
        <w:t xml:space="preserve"> and Short report</w:t>
      </w:r>
    </w:p>
    <w:p w14:paraId="1F33D191" w14:textId="4247D554" w:rsidR="00992EB8" w:rsidRPr="00F10CDD" w:rsidRDefault="00992EB8">
      <w:pPr>
        <w:rPr>
          <w:rFonts w:ascii="Arial" w:hAnsi="Arial" w:cs="Arial"/>
          <w:sz w:val="22"/>
          <w:szCs w:val="22"/>
        </w:rPr>
      </w:pPr>
    </w:p>
    <w:p w14:paraId="05500D76" w14:textId="77777777" w:rsidR="004C536B" w:rsidRPr="004C536B" w:rsidRDefault="004C536B" w:rsidP="004C536B">
      <w:pPr>
        <w:rPr>
          <w:rFonts w:ascii="Arial" w:eastAsiaTheme="majorEastAsia" w:hAnsi="Arial" w:cs="Arial"/>
          <w:b/>
          <w:bCs/>
          <w:sz w:val="22"/>
          <w:szCs w:val="22"/>
          <w:lang w:val="en-GB"/>
        </w:rPr>
      </w:pPr>
      <w:bookmarkStart w:id="2" w:name="part-a-annotated-bibliography"/>
      <w:bookmarkStart w:id="3" w:name="X05280a6776eb484e8dc41c9c540772dde522f13"/>
      <w:bookmarkEnd w:id="1"/>
      <w:r w:rsidRPr="004C536B">
        <w:rPr>
          <w:rFonts w:ascii="Arial" w:eastAsiaTheme="majorEastAsia" w:hAnsi="Arial" w:cs="Arial"/>
          <w:b/>
          <w:bCs/>
          <w:sz w:val="22"/>
          <w:szCs w:val="22"/>
          <w:lang w:val="en-GB"/>
        </w:rPr>
        <w:t>Part A – Annotated Bibliography</w:t>
      </w:r>
    </w:p>
    <w:p w14:paraId="6B212322" w14:textId="77777777" w:rsidR="004C536B" w:rsidRPr="004C536B" w:rsidRDefault="004C536B" w:rsidP="004C536B">
      <w:pPr>
        <w:rPr>
          <w:rFonts w:ascii="Arial" w:eastAsiaTheme="majorEastAsia" w:hAnsi="Arial" w:cs="Arial"/>
          <w:b/>
          <w:bCs/>
          <w:sz w:val="22"/>
          <w:szCs w:val="22"/>
          <w:lang w:val="en-GB"/>
        </w:rPr>
      </w:pPr>
      <w:r w:rsidRPr="004C536B">
        <w:rPr>
          <w:rFonts w:ascii="Arial" w:eastAsiaTheme="majorEastAsia" w:hAnsi="Arial" w:cs="Arial"/>
          <w:b/>
          <w:bCs/>
          <w:sz w:val="22"/>
          <w:szCs w:val="22"/>
          <w:lang w:val="en-GB"/>
        </w:rPr>
        <w:t>Theory 1: Erikson's Psychosocial Theory</w:t>
      </w:r>
    </w:p>
    <w:p w14:paraId="714DC330" w14:textId="77777777" w:rsidR="004C536B" w:rsidRPr="004C536B" w:rsidRDefault="004C536B" w:rsidP="004C536B">
      <w:pPr>
        <w:rPr>
          <w:rFonts w:ascii="Arial" w:eastAsiaTheme="majorEastAsia" w:hAnsi="Arial" w:cs="Arial"/>
          <w:b/>
          <w:bCs/>
          <w:sz w:val="22"/>
          <w:szCs w:val="22"/>
          <w:lang w:val="en-GB"/>
        </w:rPr>
      </w:pPr>
      <w:r w:rsidRPr="004C536B">
        <w:rPr>
          <w:rFonts w:ascii="Arial" w:eastAsiaTheme="majorEastAsia" w:hAnsi="Arial" w:cs="Arial"/>
          <w:b/>
          <w:bCs/>
          <w:sz w:val="22"/>
          <w:szCs w:val="22"/>
          <w:lang w:val="en-GB"/>
        </w:rPr>
        <w:t>Source 1</w:t>
      </w:r>
    </w:p>
    <w:p w14:paraId="4F4601BF"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Reference</w:t>
      </w:r>
    </w:p>
    <w:p w14:paraId="4BBDD939"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 xml:space="preserve">Gilleard, C. (2020) ‘The final stage of human development? Erikson’s view of integrity and old age’, </w:t>
      </w:r>
      <w:r w:rsidRPr="004C536B">
        <w:rPr>
          <w:rFonts w:ascii="Arial" w:eastAsiaTheme="majorEastAsia" w:hAnsi="Arial" w:cs="Arial"/>
          <w:i/>
          <w:iCs/>
          <w:sz w:val="22"/>
          <w:szCs w:val="22"/>
          <w:lang w:val="en-GB"/>
        </w:rPr>
        <w:t>International Journal of Ageing and Later Life</w:t>
      </w:r>
      <w:r w:rsidRPr="004C536B">
        <w:rPr>
          <w:rFonts w:ascii="Arial" w:eastAsiaTheme="majorEastAsia" w:hAnsi="Arial" w:cs="Arial"/>
          <w:sz w:val="22"/>
          <w:szCs w:val="22"/>
          <w:lang w:val="en-GB"/>
        </w:rPr>
        <w:t>, 14(2), pp. 139–162. doi:10.3384/ijal.1652-8670.1471.</w:t>
      </w:r>
    </w:p>
    <w:p w14:paraId="4D433B92"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Summary</w:t>
      </w:r>
    </w:p>
    <w:p w14:paraId="27511E0B" w14:textId="77777777" w:rsidR="004C536B" w:rsidRPr="004C536B" w:rsidRDefault="004C536B" w:rsidP="004C536B">
      <w:pPr>
        <w:rPr>
          <w:rFonts w:ascii="Arial" w:eastAsiaTheme="majorEastAsia" w:hAnsi="Arial" w:cs="Arial"/>
          <w:sz w:val="22"/>
          <w:szCs w:val="22"/>
          <w:lang w:val="en-GB"/>
        </w:rPr>
      </w:pPr>
      <w:proofErr w:type="spellStart"/>
      <w:r w:rsidRPr="004C536B">
        <w:rPr>
          <w:rFonts w:ascii="Arial" w:eastAsiaTheme="majorEastAsia" w:hAnsi="Arial" w:cs="Arial"/>
          <w:sz w:val="22"/>
          <w:szCs w:val="22"/>
          <w:lang w:val="en-GB"/>
        </w:rPr>
        <w:t>Gilleard</w:t>
      </w:r>
      <w:proofErr w:type="spellEnd"/>
      <w:r w:rsidRPr="004C536B">
        <w:rPr>
          <w:rFonts w:ascii="Arial" w:eastAsiaTheme="majorEastAsia" w:hAnsi="Arial" w:cs="Arial"/>
          <w:sz w:val="22"/>
          <w:szCs w:val="22"/>
          <w:lang w:val="en-GB"/>
        </w:rPr>
        <w:t xml:space="preserve"> (2020) discusses Erikson’s final psychosocial stage, Integrity versus Despair, and its importance in older adulthood. The article explains that Erikson believed older adults achieve integrity when they accept their life as meaningful and complete, while despair is linked to regret and dissatisfaction. However, the author questions whether psychological development always happens in fixed stages and suggests that Erikson’s later stages may be better understood as ongoing themes throughout adult life rather than stages that occur only once.</w:t>
      </w:r>
    </w:p>
    <w:p w14:paraId="34E330CF"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This source is useful because it provides a critical discussion of Erikson’s theory instead of simply explaining it. It reminds health and social care professionals that older adults have different life experiences and may not all develop in the same way. This supports a person-centred approach when providing care. However, the article mainly provides a critical discussion of Erikson’s theory rather than presenting new empirical research. Therefore, it is most useful when read alongside research studies that investigate the theory in practice.</w:t>
      </w:r>
    </w:p>
    <w:p w14:paraId="0AD45509" w14:textId="01ED4E07" w:rsidR="004C536B" w:rsidRPr="004C536B" w:rsidRDefault="004C536B" w:rsidP="004C536B">
      <w:pPr>
        <w:rPr>
          <w:rFonts w:ascii="Arial" w:eastAsiaTheme="majorEastAsia" w:hAnsi="Arial" w:cs="Arial"/>
          <w:sz w:val="22"/>
          <w:szCs w:val="22"/>
          <w:lang w:val="en-GB"/>
        </w:rPr>
      </w:pPr>
    </w:p>
    <w:p w14:paraId="0ECEF9F6" w14:textId="77777777" w:rsidR="004C536B" w:rsidRPr="004C536B" w:rsidRDefault="004C536B" w:rsidP="004C536B">
      <w:pPr>
        <w:rPr>
          <w:rFonts w:ascii="Arial" w:eastAsiaTheme="majorEastAsia" w:hAnsi="Arial" w:cs="Arial"/>
          <w:b/>
          <w:bCs/>
          <w:sz w:val="22"/>
          <w:szCs w:val="22"/>
          <w:lang w:val="en-GB"/>
        </w:rPr>
      </w:pPr>
      <w:r w:rsidRPr="004C536B">
        <w:rPr>
          <w:rFonts w:ascii="Arial" w:eastAsiaTheme="majorEastAsia" w:hAnsi="Arial" w:cs="Arial"/>
          <w:b/>
          <w:bCs/>
          <w:sz w:val="22"/>
          <w:szCs w:val="22"/>
          <w:lang w:val="en-GB"/>
        </w:rPr>
        <w:t>Source 2</w:t>
      </w:r>
    </w:p>
    <w:p w14:paraId="355814FB"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Reference</w:t>
      </w:r>
    </w:p>
    <w:p w14:paraId="0F29A705"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 xml:space="preserve">Chen, P.-Y., Ho, W.-C., Lo, C. and Yeh, T.-P. (2021) ‘Predicting ego integrity using prior ego development stages for older adults in the community’, </w:t>
      </w:r>
      <w:r w:rsidRPr="004C536B">
        <w:rPr>
          <w:rFonts w:ascii="Arial" w:eastAsiaTheme="majorEastAsia" w:hAnsi="Arial" w:cs="Arial"/>
          <w:i/>
          <w:iCs/>
          <w:sz w:val="22"/>
          <w:szCs w:val="22"/>
          <w:lang w:val="en-GB"/>
        </w:rPr>
        <w:t>International Journal of Environmental Research and Public Health</w:t>
      </w:r>
      <w:r w:rsidRPr="004C536B">
        <w:rPr>
          <w:rFonts w:ascii="Arial" w:eastAsiaTheme="majorEastAsia" w:hAnsi="Arial" w:cs="Arial"/>
          <w:sz w:val="22"/>
          <w:szCs w:val="22"/>
          <w:lang w:val="en-GB"/>
        </w:rPr>
        <w:t>, 18(18), p. 9490. doi:10.3390/ijerph18189490.</w:t>
      </w:r>
    </w:p>
    <w:p w14:paraId="4BF92962"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Summary</w:t>
      </w:r>
    </w:p>
    <w:p w14:paraId="30B561C7"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lastRenderedPageBreak/>
        <w:t>Chen et al. (2021) investigated whether earlier stages of Erikson’s psychosocial theory influence ego integrity in later life. The researchers carried out a study involving 292 adults aged between 65 and 90 years. They found that all eight psychosocial stages were related to each other and that Generativity versus Stagnation had the strongest relationship with Integrity versus Despair. The study concluded that experiences during adulthood have an important influence on psychological wellbeing in later life.</w:t>
      </w:r>
    </w:p>
    <w:p w14:paraId="55A4C913"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A strength of this study is that it provides research evidence to support Erikson’s theory rather than only explaining it. The findings show that earlier life experiences can influence emotional wellbeing in older adulthood, which is important when providing person-centred care. However, the participants were community-dwelling older adults in Taiwan, so the findings may not apply to every older adult living in residential care or in other countries. Even so, the study provides useful evidence that supports Erikson’s theory in later life.</w:t>
      </w:r>
    </w:p>
    <w:p w14:paraId="2DC2B98B" w14:textId="07D71366" w:rsidR="004C536B" w:rsidRPr="004C536B" w:rsidRDefault="004C536B" w:rsidP="004C536B">
      <w:pPr>
        <w:rPr>
          <w:rFonts w:ascii="Arial" w:eastAsiaTheme="majorEastAsia" w:hAnsi="Arial" w:cs="Arial"/>
          <w:sz w:val="22"/>
          <w:szCs w:val="22"/>
          <w:lang w:val="en-GB"/>
        </w:rPr>
      </w:pPr>
    </w:p>
    <w:p w14:paraId="2254C298" w14:textId="77777777" w:rsidR="004C536B" w:rsidRPr="004C536B" w:rsidRDefault="004C536B" w:rsidP="004C536B">
      <w:pPr>
        <w:rPr>
          <w:rFonts w:ascii="Arial" w:eastAsiaTheme="majorEastAsia" w:hAnsi="Arial" w:cs="Arial"/>
          <w:b/>
          <w:bCs/>
          <w:sz w:val="22"/>
          <w:szCs w:val="22"/>
          <w:lang w:val="en-GB"/>
        </w:rPr>
      </w:pPr>
      <w:r w:rsidRPr="004C536B">
        <w:rPr>
          <w:rFonts w:ascii="Arial" w:eastAsiaTheme="majorEastAsia" w:hAnsi="Arial" w:cs="Arial"/>
          <w:b/>
          <w:bCs/>
          <w:sz w:val="22"/>
          <w:szCs w:val="22"/>
          <w:lang w:val="en-GB"/>
        </w:rPr>
        <w:t>Theory 2: Positive Psychology</w:t>
      </w:r>
    </w:p>
    <w:p w14:paraId="28BA046E" w14:textId="77777777" w:rsidR="004C536B" w:rsidRPr="004C536B" w:rsidRDefault="004C536B" w:rsidP="004C536B">
      <w:pPr>
        <w:rPr>
          <w:rFonts w:ascii="Arial" w:eastAsiaTheme="majorEastAsia" w:hAnsi="Arial" w:cs="Arial"/>
          <w:b/>
          <w:bCs/>
          <w:sz w:val="22"/>
          <w:szCs w:val="22"/>
          <w:lang w:val="en-GB"/>
        </w:rPr>
      </w:pPr>
      <w:r w:rsidRPr="004C536B">
        <w:rPr>
          <w:rFonts w:ascii="Arial" w:eastAsiaTheme="majorEastAsia" w:hAnsi="Arial" w:cs="Arial"/>
          <w:b/>
          <w:bCs/>
          <w:sz w:val="22"/>
          <w:szCs w:val="22"/>
          <w:lang w:val="en-GB"/>
        </w:rPr>
        <w:t>Source 3</w:t>
      </w:r>
    </w:p>
    <w:p w14:paraId="0348C72E"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Reference</w:t>
      </w:r>
    </w:p>
    <w:p w14:paraId="1A0DF3AC"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 xml:space="preserve">Seligman, M.E.P. and Csikszentmihalyi, M. (2000) ‘Positive psychology: An introduction’, </w:t>
      </w:r>
      <w:r w:rsidRPr="004C536B">
        <w:rPr>
          <w:rFonts w:ascii="Arial" w:eastAsiaTheme="majorEastAsia" w:hAnsi="Arial" w:cs="Arial"/>
          <w:i/>
          <w:iCs/>
          <w:sz w:val="22"/>
          <w:szCs w:val="22"/>
          <w:lang w:val="en-GB"/>
        </w:rPr>
        <w:t>American Psychologist</w:t>
      </w:r>
      <w:r w:rsidRPr="004C536B">
        <w:rPr>
          <w:rFonts w:ascii="Arial" w:eastAsiaTheme="majorEastAsia" w:hAnsi="Arial" w:cs="Arial"/>
          <w:sz w:val="22"/>
          <w:szCs w:val="22"/>
          <w:lang w:val="en-GB"/>
        </w:rPr>
        <w:t>, 55(1), pp. 5–14. doi:10.1037/0003-066X.55.1.5.</w:t>
      </w:r>
    </w:p>
    <w:p w14:paraId="2449DDA9"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Summary</w:t>
      </w:r>
    </w:p>
    <w:p w14:paraId="40C97483" w14:textId="1059A70B"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 xml:space="preserve">Seligman and Csikszentmihalyi (2000) introduce Positive Psychology as the scientific study of positive experiences, personal strengths and positive institutions. The authors argue that psychology should not only focus on treating mental illness but should also help people build strengths, improve wellbeing and live fulfilling lives. They explain that Positive Psychology encourages qualities such as hope, optimism, courage and wisdom, which can help people and </w:t>
      </w:r>
      <w:r w:rsidRPr="004C536B">
        <w:rPr>
          <w:rFonts w:ascii="Arial" w:eastAsiaTheme="majorEastAsia" w:hAnsi="Arial" w:cs="Arial"/>
          <w:sz w:val="22"/>
          <w:szCs w:val="22"/>
          <w:lang w:val="en-GB"/>
        </w:rPr>
        <w:t>communities</w:t>
      </w:r>
      <w:r w:rsidRPr="004C536B">
        <w:rPr>
          <w:rFonts w:ascii="Arial" w:eastAsiaTheme="majorEastAsia" w:hAnsi="Arial" w:cs="Arial"/>
          <w:sz w:val="22"/>
          <w:szCs w:val="22"/>
          <w:lang w:val="en-GB"/>
        </w:rPr>
        <w:t xml:space="preserve"> flourish.</w:t>
      </w:r>
    </w:p>
    <w:p w14:paraId="6ABD2A7F"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This article is useful because it provides the foundation for Positive Psychology and explains why focusing on strengths can improve wellbeing. This is relevant in health and social care because professionals can support older adults by recognising their abilities instead of focusing only on illness or disability. However, the article introduces the theory rather than focusing specifically on older adults. Therefore, it should be used alongside research that applies Positive Psychology to ageing.</w:t>
      </w:r>
    </w:p>
    <w:p w14:paraId="7614361B" w14:textId="1492F51D" w:rsidR="004C536B" w:rsidRPr="004C536B" w:rsidRDefault="004C536B" w:rsidP="004C536B">
      <w:pPr>
        <w:rPr>
          <w:rFonts w:ascii="Arial" w:eastAsiaTheme="majorEastAsia" w:hAnsi="Arial" w:cs="Arial"/>
          <w:sz w:val="22"/>
          <w:szCs w:val="22"/>
          <w:lang w:val="en-GB"/>
        </w:rPr>
      </w:pPr>
    </w:p>
    <w:p w14:paraId="006CA033" w14:textId="77777777" w:rsidR="004C536B" w:rsidRPr="004C536B" w:rsidRDefault="004C536B" w:rsidP="004C536B">
      <w:pPr>
        <w:rPr>
          <w:rFonts w:ascii="Arial" w:eastAsiaTheme="majorEastAsia" w:hAnsi="Arial" w:cs="Arial"/>
          <w:b/>
          <w:bCs/>
          <w:sz w:val="22"/>
          <w:szCs w:val="22"/>
          <w:lang w:val="en-GB"/>
        </w:rPr>
      </w:pPr>
      <w:r w:rsidRPr="004C536B">
        <w:rPr>
          <w:rFonts w:ascii="Arial" w:eastAsiaTheme="majorEastAsia" w:hAnsi="Arial" w:cs="Arial"/>
          <w:b/>
          <w:bCs/>
          <w:sz w:val="22"/>
          <w:szCs w:val="22"/>
          <w:lang w:val="en-GB"/>
        </w:rPr>
        <w:t>Source 4</w:t>
      </w:r>
    </w:p>
    <w:p w14:paraId="624A77B4"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Reference</w:t>
      </w:r>
    </w:p>
    <w:p w14:paraId="5DDF108D"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 xml:space="preserve">Ranzijn, R. (2002) ‘Towards a positive psychology of ageing: Potentials and barriers’, </w:t>
      </w:r>
      <w:r w:rsidRPr="004C536B">
        <w:rPr>
          <w:rFonts w:ascii="Arial" w:eastAsiaTheme="majorEastAsia" w:hAnsi="Arial" w:cs="Arial"/>
          <w:i/>
          <w:iCs/>
          <w:sz w:val="22"/>
          <w:szCs w:val="22"/>
          <w:lang w:val="en-GB"/>
        </w:rPr>
        <w:t>Australian Psychologist</w:t>
      </w:r>
      <w:r w:rsidRPr="004C536B">
        <w:rPr>
          <w:rFonts w:ascii="Arial" w:eastAsiaTheme="majorEastAsia" w:hAnsi="Arial" w:cs="Arial"/>
          <w:sz w:val="22"/>
          <w:szCs w:val="22"/>
          <w:lang w:val="en-GB"/>
        </w:rPr>
        <w:t>, 37(2), pp. 79–85.</w:t>
      </w:r>
    </w:p>
    <w:p w14:paraId="518AE68F"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b/>
          <w:bCs/>
          <w:sz w:val="22"/>
          <w:szCs w:val="22"/>
          <w:lang w:val="en-GB"/>
        </w:rPr>
        <w:t>Summary</w:t>
      </w:r>
    </w:p>
    <w:p w14:paraId="58BBE705" w14:textId="77777777" w:rsidR="004C536B" w:rsidRPr="004C536B" w:rsidRDefault="004C536B" w:rsidP="004C536B">
      <w:pPr>
        <w:rPr>
          <w:rFonts w:ascii="Arial" w:eastAsiaTheme="majorEastAsia" w:hAnsi="Arial" w:cs="Arial"/>
          <w:sz w:val="22"/>
          <w:szCs w:val="22"/>
          <w:lang w:val="en-GB"/>
        </w:rPr>
      </w:pPr>
      <w:proofErr w:type="spellStart"/>
      <w:r w:rsidRPr="004C536B">
        <w:rPr>
          <w:rFonts w:ascii="Arial" w:eastAsiaTheme="majorEastAsia" w:hAnsi="Arial" w:cs="Arial"/>
          <w:sz w:val="22"/>
          <w:szCs w:val="22"/>
          <w:lang w:val="en-GB"/>
        </w:rPr>
        <w:t>Ranzijn</w:t>
      </w:r>
      <w:proofErr w:type="spellEnd"/>
      <w:r w:rsidRPr="004C536B">
        <w:rPr>
          <w:rFonts w:ascii="Arial" w:eastAsiaTheme="majorEastAsia" w:hAnsi="Arial" w:cs="Arial"/>
          <w:sz w:val="22"/>
          <w:szCs w:val="22"/>
          <w:lang w:val="en-GB"/>
        </w:rPr>
        <w:t xml:space="preserve"> (2002) explains how Positive Psychology can be applied to ageing. The article argues that research has often focused on the problems and decline associated with older age while </w:t>
      </w:r>
      <w:r w:rsidRPr="004C536B">
        <w:rPr>
          <w:rFonts w:ascii="Arial" w:eastAsiaTheme="majorEastAsia" w:hAnsi="Arial" w:cs="Arial"/>
          <w:sz w:val="22"/>
          <w:szCs w:val="22"/>
          <w:lang w:val="en-GB"/>
        </w:rPr>
        <w:lastRenderedPageBreak/>
        <w:t>giving less attention to older adults’ strengths and opportunities for growth. The author suggests that older adults have valuable skills, abilities and contributions that are often overlooked. The article also explains that Positive Psychology can help professionals recognise and support these strengths.</w:t>
      </w:r>
    </w:p>
    <w:p w14:paraId="351EAD54" w14:textId="77777777" w:rsidR="004C536B" w:rsidRPr="004C536B" w:rsidRDefault="004C536B" w:rsidP="004C536B">
      <w:pPr>
        <w:rPr>
          <w:rFonts w:ascii="Arial" w:eastAsiaTheme="majorEastAsia" w:hAnsi="Arial" w:cs="Arial"/>
          <w:sz w:val="22"/>
          <w:szCs w:val="22"/>
          <w:lang w:val="en-GB"/>
        </w:rPr>
      </w:pPr>
      <w:r w:rsidRPr="004C536B">
        <w:rPr>
          <w:rFonts w:ascii="Arial" w:eastAsiaTheme="majorEastAsia" w:hAnsi="Arial" w:cs="Arial"/>
          <w:sz w:val="22"/>
          <w:szCs w:val="22"/>
          <w:lang w:val="en-GB"/>
        </w:rPr>
        <w:t>This source is useful because it encourages health and social care professionals to focus on the strengths and potential of older adults instead of only their limitations. This can help promote independence, confidence and psychological wellbeing. However, the article mainly discusses ideas and emerging evidence rather than reporting findings from a single empirical study. Therefore, it is most useful when combined with other research on Positive Psychology and older adults.</w:t>
      </w:r>
    </w:p>
    <w:p w14:paraId="3D644F69" w14:textId="77777777" w:rsidR="00AC7658" w:rsidRPr="00F10CDD" w:rsidRDefault="00AC7658">
      <w:pPr>
        <w:rPr>
          <w:rFonts w:ascii="Arial" w:hAnsi="Arial" w:cs="Arial"/>
          <w:sz w:val="22"/>
          <w:szCs w:val="22"/>
        </w:rPr>
      </w:pPr>
    </w:p>
    <w:p w14:paraId="5CA2A3AD" w14:textId="77777777" w:rsidR="00AC7658" w:rsidRPr="00AC7658" w:rsidRDefault="00AC7658" w:rsidP="00CF4074">
      <w:pPr>
        <w:pStyle w:val="Heading1"/>
        <w:rPr>
          <w:lang w:val="en-GB"/>
        </w:rPr>
      </w:pPr>
      <w:r w:rsidRPr="00AC7658">
        <w:rPr>
          <w:lang w:val="en-GB"/>
        </w:rPr>
        <w:t>Part B: Short Report</w:t>
      </w:r>
    </w:p>
    <w:p w14:paraId="666DFCB6"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Introduction</w:t>
      </w:r>
    </w:p>
    <w:p w14:paraId="2484BC4B" w14:textId="7545C313"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Promoting psychological wellbeing is essential for establishing effective residential care practices which provide services to older adults. The process of ag</w:t>
      </w:r>
      <w:r w:rsidR="004C536B">
        <w:rPr>
          <w:rFonts w:ascii="Arial" w:hAnsi="Arial" w:cs="Arial"/>
          <w:sz w:val="22"/>
          <w:szCs w:val="22"/>
          <w:lang w:val="en-GB"/>
        </w:rPr>
        <w:t>e</w:t>
      </w:r>
      <w:r w:rsidRPr="00AC7658">
        <w:rPr>
          <w:rFonts w:ascii="Arial" w:hAnsi="Arial" w:cs="Arial"/>
          <w:sz w:val="22"/>
          <w:szCs w:val="22"/>
          <w:lang w:val="en-GB"/>
        </w:rPr>
        <w:t>ing results in major life transitions which affect multiple aspects of a person's existence including their health status, level of independence and social identity, along with their social relationships. Psychological theories enable professionals to acquire understanding about human experiences while they develop methods which promote emotional resilience and life satisfaction in others. This report shows how residential care facilities use Erikson's Psychosocial Theory by applying its Integrity vs Despair stage to enhance resident wellbeing. The case scenario demonstrates how to implement the method and then the main obstacle gets identified with its corresponding solution method.</w:t>
      </w:r>
    </w:p>
    <w:p w14:paraId="13384B7C"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Applying Erikson’s Theory to improve Wellbeing in Residential Care</w:t>
      </w:r>
    </w:p>
    <w:p w14:paraId="71B49D66"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Erikson's theory proposes that human beings keep developing throughout their entire lives, with their development divided into distinct stages that include major psychological conflicts. The period after middle age marks the time when people face the vital struggle between Integrity and Despair. At this point, individuals contemplate their life experiences, accomplishments, relationships, and lingering regrets. The successful resolution of this conflict brings people integrity, acceptance, and wisdom, while the unresolved conflict leads to despair, hopelessness, and death-related fears.</w:t>
      </w:r>
    </w:p>
    <w:p w14:paraId="39074B97"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Supporting Life Review</w:t>
      </w:r>
    </w:p>
    <w:p w14:paraId="67EBAB4E"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Residential care personnel can apply Erikson’s theory to improve life-review activities which allow residents to explore their life stories and understand their past experiences. This may include, reminiscence sessions which use photographs and music and personal items, the creation of life-story books or digital memory profiles, the process of encouraging residents to share their personal stories with others including staff members, the activities establish a connection to past identities while they help people build self-worth and express their feelings which contributes to their mental health development.</w:t>
      </w:r>
    </w:p>
    <w:p w14:paraId="5717CC2A"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Enhancing Identity and Dignity</w:t>
      </w:r>
    </w:p>
    <w:p w14:paraId="7354C525" w14:textId="08A46F70" w:rsidR="00AC7658" w:rsidRPr="00F10CDD" w:rsidRDefault="00AC7658" w:rsidP="00AC7658">
      <w:pPr>
        <w:rPr>
          <w:rFonts w:ascii="Arial" w:hAnsi="Arial" w:cs="Arial"/>
          <w:sz w:val="22"/>
          <w:szCs w:val="22"/>
          <w:lang w:val="en-GB"/>
        </w:rPr>
      </w:pPr>
      <w:r w:rsidRPr="00AC7658">
        <w:rPr>
          <w:rFonts w:ascii="Arial" w:hAnsi="Arial" w:cs="Arial"/>
          <w:sz w:val="22"/>
          <w:szCs w:val="22"/>
          <w:lang w:val="en-GB"/>
        </w:rPr>
        <w:lastRenderedPageBreak/>
        <w:t>Staff members recognize that integrity is critical to their work because it helps them to treat residents as unique individuals who need different types of assistance. The process of developing</w:t>
      </w:r>
      <w:r w:rsidR="00CF4074">
        <w:rPr>
          <w:rFonts w:ascii="Arial" w:hAnsi="Arial" w:cs="Arial"/>
          <w:sz w:val="22"/>
          <w:szCs w:val="22"/>
          <w:lang w:val="en-GB"/>
        </w:rPr>
        <w:t xml:space="preserve"> </w:t>
      </w:r>
      <w:r w:rsidRPr="00AC7658">
        <w:rPr>
          <w:rFonts w:ascii="Arial" w:hAnsi="Arial" w:cs="Arial"/>
          <w:sz w:val="22"/>
          <w:szCs w:val="22"/>
          <w:lang w:val="en-GB"/>
        </w:rPr>
        <w:t>care plans needs to include personal preferences and cultural backgrounds and previous roles in order to maintain dignity and build a strong sense of identity.</w:t>
      </w:r>
    </w:p>
    <w:p w14:paraId="35C2F737" w14:textId="77777777" w:rsidR="00965B13" w:rsidRPr="00F10CDD" w:rsidRDefault="00965B13" w:rsidP="00AC7658">
      <w:pPr>
        <w:rPr>
          <w:rFonts w:ascii="Arial" w:hAnsi="Arial" w:cs="Arial"/>
          <w:sz w:val="22"/>
          <w:szCs w:val="22"/>
          <w:lang w:val="en-GB"/>
        </w:rPr>
      </w:pPr>
    </w:p>
    <w:p w14:paraId="032FEE25" w14:textId="77777777" w:rsidR="00965B13" w:rsidRDefault="00965B13" w:rsidP="00AC7658">
      <w:pPr>
        <w:rPr>
          <w:rFonts w:ascii="Arial" w:hAnsi="Arial" w:cs="Arial"/>
          <w:sz w:val="22"/>
          <w:szCs w:val="22"/>
          <w:lang w:val="en-GB"/>
        </w:rPr>
      </w:pPr>
    </w:p>
    <w:p w14:paraId="2EDEFB79" w14:textId="77777777" w:rsidR="00F10CDD" w:rsidRDefault="00F10CDD" w:rsidP="00AC7658">
      <w:pPr>
        <w:rPr>
          <w:rFonts w:ascii="Arial" w:hAnsi="Arial" w:cs="Arial"/>
          <w:sz w:val="22"/>
          <w:szCs w:val="22"/>
          <w:lang w:val="en-GB"/>
        </w:rPr>
      </w:pPr>
    </w:p>
    <w:p w14:paraId="3DD1BFA6" w14:textId="77777777" w:rsidR="00F10CDD" w:rsidRDefault="00F10CDD" w:rsidP="00AC7658">
      <w:pPr>
        <w:rPr>
          <w:rFonts w:ascii="Arial" w:hAnsi="Arial" w:cs="Arial"/>
          <w:sz w:val="22"/>
          <w:szCs w:val="22"/>
          <w:lang w:val="en-GB"/>
        </w:rPr>
      </w:pPr>
    </w:p>
    <w:p w14:paraId="730CC907" w14:textId="77777777" w:rsidR="00F10CDD" w:rsidRDefault="00F10CDD" w:rsidP="00AC7658">
      <w:pPr>
        <w:rPr>
          <w:rFonts w:ascii="Arial" w:hAnsi="Arial" w:cs="Arial"/>
          <w:sz w:val="22"/>
          <w:szCs w:val="22"/>
          <w:lang w:val="en-GB"/>
        </w:rPr>
      </w:pPr>
    </w:p>
    <w:p w14:paraId="57E5B168" w14:textId="77777777" w:rsidR="00CF4074" w:rsidRPr="00AC7658" w:rsidRDefault="00CF4074" w:rsidP="00AC7658">
      <w:pPr>
        <w:rPr>
          <w:rFonts w:ascii="Arial" w:hAnsi="Arial" w:cs="Arial"/>
          <w:sz w:val="22"/>
          <w:szCs w:val="22"/>
          <w:lang w:val="en-GB"/>
        </w:rPr>
      </w:pPr>
    </w:p>
    <w:p w14:paraId="161C002D"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Promoting Purpose and Contribution</w:t>
      </w:r>
    </w:p>
    <w:p w14:paraId="4B3F68D5"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Erikson demonstrates that people need to see their existence as purposeful in order to achieve genuine happiness. The care homes create pathways for residents to connect with others through their mentoring of younger staff and active participation in group activities and sharing their expertise. The experiences create two positive outcomes which include enhanced feelings of usefulness and a deepened sense of belonging.</w:t>
      </w:r>
    </w:p>
    <w:p w14:paraId="5AA58CD8"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Case Scenario – Applying the Theory in Practice</w:t>
      </w:r>
    </w:p>
    <w:p w14:paraId="1C190FAA" w14:textId="77777777" w:rsidR="00AC7658" w:rsidRPr="00AC7658" w:rsidRDefault="00AC7658" w:rsidP="00AC7658">
      <w:pPr>
        <w:rPr>
          <w:rFonts w:ascii="Arial" w:hAnsi="Arial" w:cs="Arial"/>
          <w:sz w:val="22"/>
          <w:szCs w:val="22"/>
          <w:lang w:val="en-GB"/>
        </w:rPr>
      </w:pPr>
      <w:proofErr w:type="gramStart"/>
      <w:r w:rsidRPr="00AC7658">
        <w:rPr>
          <w:rFonts w:ascii="Arial" w:hAnsi="Arial" w:cs="Arial"/>
          <w:sz w:val="22"/>
          <w:szCs w:val="22"/>
          <w:lang w:val="en-GB"/>
        </w:rPr>
        <w:t>A</w:t>
      </w:r>
      <w:proofErr w:type="gramEnd"/>
      <w:r w:rsidRPr="00AC7658">
        <w:rPr>
          <w:rFonts w:ascii="Arial" w:hAnsi="Arial" w:cs="Arial"/>
          <w:sz w:val="22"/>
          <w:szCs w:val="22"/>
          <w:lang w:val="en-GB"/>
        </w:rPr>
        <w:t xml:space="preserve"> 87-year-old woman named Mrs. A moved to a care home because she had a fall. She appears to be distant from others while she constantly expresses disappointment about what she considers her failures in life. She expresses her feeling of being a burden to others by showing no desire to participate in social activities.</w:t>
      </w:r>
    </w:p>
    <w:p w14:paraId="087AB465" w14:textId="77777777" w:rsidR="00AC7658" w:rsidRPr="00AC7658" w:rsidRDefault="00AC7658" w:rsidP="00AC7658">
      <w:pPr>
        <w:rPr>
          <w:rFonts w:ascii="Arial" w:hAnsi="Arial" w:cs="Arial"/>
          <w:b/>
          <w:bCs/>
          <w:sz w:val="22"/>
          <w:szCs w:val="22"/>
          <w:lang w:val="en-GB"/>
        </w:rPr>
      </w:pPr>
      <w:r w:rsidRPr="00AC7658">
        <w:rPr>
          <w:rFonts w:ascii="Arial" w:hAnsi="Arial" w:cs="Arial"/>
          <w:b/>
          <w:bCs/>
          <w:sz w:val="22"/>
          <w:szCs w:val="22"/>
          <w:lang w:val="en-GB"/>
        </w:rPr>
        <w:t>Based on Erikson’s Theory</w:t>
      </w:r>
    </w:p>
    <w:p w14:paraId="66672CAE" w14:textId="08E744D0"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 xml:space="preserve">A senior care worker initiates weekly life-review sessions with Mrs. A. The worker uses her old photographs and youthful music collection to help her proceed through her life story which includes her childhood and family history and community activities. Mrs. A recounts tales of raising her children, her volunteer work at a local charity, and her enthusiasm for gardening. The </w:t>
      </w:r>
      <w:r w:rsidR="00CF4074" w:rsidRPr="00AC7658">
        <w:rPr>
          <w:rFonts w:ascii="Arial" w:hAnsi="Arial" w:cs="Arial"/>
          <w:sz w:val="22"/>
          <w:szCs w:val="22"/>
          <w:lang w:val="en-GB"/>
        </w:rPr>
        <w:t>health</w:t>
      </w:r>
      <w:r w:rsidRPr="00AC7658">
        <w:rPr>
          <w:rFonts w:ascii="Arial" w:hAnsi="Arial" w:cs="Arial"/>
          <w:sz w:val="22"/>
          <w:szCs w:val="22"/>
          <w:lang w:val="en-GB"/>
        </w:rPr>
        <w:t xml:space="preserve"> care team could create personalised and person-</w:t>
      </w:r>
      <w:r w:rsidR="00CF4074" w:rsidRPr="00AC7658">
        <w:rPr>
          <w:rFonts w:ascii="Arial" w:hAnsi="Arial" w:cs="Arial"/>
          <w:sz w:val="22"/>
          <w:szCs w:val="22"/>
          <w:lang w:val="en-GB"/>
        </w:rPr>
        <w:t>centred</w:t>
      </w:r>
      <w:r w:rsidRPr="00AC7658">
        <w:rPr>
          <w:rFonts w:ascii="Arial" w:hAnsi="Arial" w:cs="Arial"/>
          <w:sz w:val="22"/>
          <w:szCs w:val="22"/>
          <w:lang w:val="en-GB"/>
        </w:rPr>
        <w:t xml:space="preserve"> story books based on their life, they could also invite her over to help around in the garden and could encourage her to share some knowledge about gardening with other residents in the area.</w:t>
      </w:r>
    </w:p>
    <w:p w14:paraId="1F29EC93" w14:textId="77777777" w:rsidR="00AC7658" w:rsidRPr="00F10CDD" w:rsidRDefault="00AC7658" w:rsidP="00AC7658">
      <w:pPr>
        <w:rPr>
          <w:rFonts w:ascii="Arial" w:hAnsi="Arial" w:cs="Arial"/>
          <w:sz w:val="22"/>
          <w:szCs w:val="22"/>
          <w:lang w:val="en-GB"/>
        </w:rPr>
      </w:pPr>
      <w:r w:rsidRPr="00AC7658">
        <w:rPr>
          <w:rFonts w:ascii="Arial" w:hAnsi="Arial" w:cs="Arial"/>
          <w:sz w:val="22"/>
          <w:szCs w:val="22"/>
          <w:lang w:val="en-GB"/>
        </w:rPr>
        <w:t xml:space="preserve">Time advancements lead to Mrs. </w:t>
      </w:r>
      <w:proofErr w:type="gramStart"/>
      <w:r w:rsidRPr="00AC7658">
        <w:rPr>
          <w:rFonts w:ascii="Arial" w:hAnsi="Arial" w:cs="Arial"/>
          <w:sz w:val="22"/>
          <w:szCs w:val="22"/>
          <w:lang w:val="en-GB"/>
        </w:rPr>
        <w:t>A</w:t>
      </w:r>
      <w:proofErr w:type="gramEnd"/>
      <w:r w:rsidRPr="00AC7658">
        <w:rPr>
          <w:rFonts w:ascii="Arial" w:hAnsi="Arial" w:cs="Arial"/>
          <w:sz w:val="22"/>
          <w:szCs w:val="22"/>
          <w:lang w:val="en-GB"/>
        </w:rPr>
        <w:t xml:space="preserve"> achieving greater self-confidence through her increasing participation in activities. She values her past work achievements and wants to receive recognition for her gardening abilities. Her integrity understanding becomes more profound while her feelings of despair start to fade. The theory of Erikson shows how it can lead to the development of major personal development programs which help people achieve improved health outcomes.</w:t>
      </w:r>
    </w:p>
    <w:p w14:paraId="1C3F82D5" w14:textId="77777777" w:rsidR="00965B13" w:rsidRPr="00F10CDD" w:rsidRDefault="00965B13" w:rsidP="00AC7658">
      <w:pPr>
        <w:rPr>
          <w:rFonts w:ascii="Arial" w:hAnsi="Arial" w:cs="Arial"/>
          <w:sz w:val="22"/>
          <w:szCs w:val="22"/>
          <w:lang w:val="en-GB"/>
        </w:rPr>
      </w:pPr>
    </w:p>
    <w:p w14:paraId="29439482" w14:textId="77777777" w:rsidR="00965B13" w:rsidRPr="00F10CDD" w:rsidRDefault="00965B13" w:rsidP="00AC7658">
      <w:pPr>
        <w:rPr>
          <w:rFonts w:ascii="Arial" w:hAnsi="Arial" w:cs="Arial"/>
          <w:sz w:val="22"/>
          <w:szCs w:val="22"/>
          <w:lang w:val="en-GB"/>
        </w:rPr>
      </w:pPr>
    </w:p>
    <w:p w14:paraId="754FDA6B" w14:textId="77777777" w:rsidR="00965B13" w:rsidRPr="00F10CDD" w:rsidRDefault="00965B13" w:rsidP="00AC7658">
      <w:pPr>
        <w:rPr>
          <w:rFonts w:ascii="Arial" w:hAnsi="Arial" w:cs="Arial"/>
          <w:sz w:val="22"/>
          <w:szCs w:val="22"/>
          <w:lang w:val="en-GB"/>
        </w:rPr>
      </w:pPr>
    </w:p>
    <w:p w14:paraId="78C722F5" w14:textId="77777777" w:rsidR="00965B13" w:rsidRPr="00F10CDD" w:rsidRDefault="00965B13" w:rsidP="00AC7658">
      <w:pPr>
        <w:rPr>
          <w:rFonts w:ascii="Arial" w:hAnsi="Arial" w:cs="Arial"/>
          <w:sz w:val="22"/>
          <w:szCs w:val="22"/>
          <w:lang w:val="en-GB"/>
        </w:rPr>
      </w:pPr>
    </w:p>
    <w:p w14:paraId="1335166A" w14:textId="77777777" w:rsidR="00965B13" w:rsidRPr="00F10CDD" w:rsidRDefault="00965B13" w:rsidP="00AC7658">
      <w:pPr>
        <w:rPr>
          <w:rFonts w:ascii="Arial" w:hAnsi="Arial" w:cs="Arial"/>
          <w:sz w:val="22"/>
          <w:szCs w:val="22"/>
          <w:lang w:val="en-GB"/>
        </w:rPr>
      </w:pPr>
    </w:p>
    <w:p w14:paraId="6628737B" w14:textId="77777777" w:rsidR="00965B13" w:rsidRPr="00F10CDD" w:rsidRDefault="00965B13" w:rsidP="00AC7658">
      <w:pPr>
        <w:rPr>
          <w:rFonts w:ascii="Arial" w:hAnsi="Arial" w:cs="Arial"/>
          <w:sz w:val="22"/>
          <w:szCs w:val="22"/>
          <w:lang w:val="en-GB"/>
        </w:rPr>
      </w:pPr>
    </w:p>
    <w:p w14:paraId="7AB78F43" w14:textId="77777777" w:rsidR="00965B13" w:rsidRPr="00F10CDD" w:rsidRDefault="00965B13" w:rsidP="00AC7658">
      <w:pPr>
        <w:rPr>
          <w:rFonts w:ascii="Arial" w:hAnsi="Arial" w:cs="Arial"/>
          <w:sz w:val="22"/>
          <w:szCs w:val="22"/>
          <w:lang w:val="en-GB"/>
        </w:rPr>
      </w:pPr>
    </w:p>
    <w:p w14:paraId="6B6FA91B" w14:textId="77777777" w:rsidR="00965B13" w:rsidRDefault="00965B13" w:rsidP="00AC7658">
      <w:pPr>
        <w:rPr>
          <w:rFonts w:ascii="Arial" w:hAnsi="Arial" w:cs="Arial"/>
          <w:sz w:val="22"/>
          <w:szCs w:val="22"/>
          <w:lang w:val="en-GB"/>
        </w:rPr>
      </w:pPr>
    </w:p>
    <w:p w14:paraId="416F1EA7" w14:textId="77777777" w:rsidR="00F10CDD" w:rsidRDefault="00F10CDD" w:rsidP="00AC7658">
      <w:pPr>
        <w:rPr>
          <w:rFonts w:ascii="Arial" w:hAnsi="Arial" w:cs="Arial"/>
          <w:sz w:val="22"/>
          <w:szCs w:val="22"/>
          <w:lang w:val="en-GB"/>
        </w:rPr>
      </w:pPr>
    </w:p>
    <w:p w14:paraId="6039F569" w14:textId="77777777" w:rsidR="00F10CDD" w:rsidRDefault="00F10CDD" w:rsidP="00AC7658">
      <w:pPr>
        <w:rPr>
          <w:rFonts w:ascii="Arial" w:hAnsi="Arial" w:cs="Arial"/>
          <w:sz w:val="22"/>
          <w:szCs w:val="22"/>
          <w:lang w:val="en-GB"/>
        </w:rPr>
      </w:pPr>
    </w:p>
    <w:p w14:paraId="55237292" w14:textId="77777777" w:rsidR="00F10CDD" w:rsidRPr="00AC7658" w:rsidRDefault="00F10CDD" w:rsidP="00AC7658">
      <w:pPr>
        <w:rPr>
          <w:rFonts w:ascii="Arial" w:hAnsi="Arial" w:cs="Arial"/>
          <w:sz w:val="22"/>
          <w:szCs w:val="22"/>
          <w:lang w:val="en-GB"/>
        </w:rPr>
      </w:pPr>
    </w:p>
    <w:p w14:paraId="26658351" w14:textId="713EAF5F" w:rsidR="00AC7658" w:rsidRPr="00AC7658" w:rsidRDefault="00AC7658" w:rsidP="00AC7658">
      <w:pPr>
        <w:rPr>
          <w:rFonts w:ascii="Arial" w:hAnsi="Arial" w:cs="Arial"/>
          <w:sz w:val="22"/>
          <w:szCs w:val="22"/>
          <w:lang w:val="en-GB"/>
        </w:rPr>
      </w:pPr>
      <w:r w:rsidRPr="00AC7658">
        <w:rPr>
          <w:rFonts w:ascii="Arial" w:hAnsi="Arial" w:cs="Arial"/>
          <w:b/>
          <w:bCs/>
          <w:sz w:val="22"/>
          <w:szCs w:val="22"/>
          <w:lang w:val="en-GB"/>
        </w:rPr>
        <w:t>Challenges in applying t</w:t>
      </w:r>
      <w:r w:rsidR="004C536B">
        <w:rPr>
          <w:rFonts w:ascii="Arial" w:hAnsi="Arial" w:cs="Arial"/>
          <w:b/>
          <w:bCs/>
          <w:sz w:val="22"/>
          <w:szCs w:val="22"/>
          <w:lang w:val="en-GB"/>
        </w:rPr>
        <w:t>he</w:t>
      </w:r>
      <w:r w:rsidRPr="00AC7658">
        <w:rPr>
          <w:rFonts w:ascii="Arial" w:hAnsi="Arial" w:cs="Arial"/>
          <w:b/>
          <w:bCs/>
          <w:sz w:val="22"/>
          <w:szCs w:val="22"/>
          <w:lang w:val="en-GB"/>
        </w:rPr>
        <w:t xml:space="preserve"> Theory</w:t>
      </w:r>
      <w:r w:rsidRPr="00AC7658">
        <w:rPr>
          <w:rFonts w:ascii="Arial" w:hAnsi="Arial" w:cs="Arial"/>
          <w:sz w:val="22"/>
          <w:szCs w:val="22"/>
          <w:lang w:val="en-GB"/>
        </w:rPr>
        <w:t>:</w:t>
      </w:r>
    </w:p>
    <w:p w14:paraId="1F6B91F2"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The implementation of Erikson's theory faces a major challenge because life review procedures will bring about emotional distress for those who undergo them. Some residents will have to face their distressing memories and their unresolved problems and their experiences of trauma. The</w:t>
      </w:r>
    </w:p>
    <w:p w14:paraId="7CCAAA61"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situation leads to three different emotional responses which include sadness and anxiety and social withdrawal. People who want to engage in deep reflection should not be forced to do so because it will create negative effects for them.</w:t>
      </w:r>
    </w:p>
    <w:p w14:paraId="05F757A8"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 xml:space="preserve">The most effective strategy requires implementation of a sensitive approach which </w:t>
      </w:r>
      <w:proofErr w:type="spellStart"/>
      <w:r w:rsidRPr="00AC7658">
        <w:rPr>
          <w:rFonts w:ascii="Arial" w:hAnsi="Arial" w:cs="Arial"/>
          <w:sz w:val="22"/>
          <w:szCs w:val="22"/>
          <w:lang w:val="en-GB"/>
        </w:rPr>
        <w:t>centers</w:t>
      </w:r>
      <w:proofErr w:type="spellEnd"/>
      <w:r w:rsidRPr="00AC7658">
        <w:rPr>
          <w:rFonts w:ascii="Arial" w:hAnsi="Arial" w:cs="Arial"/>
          <w:sz w:val="22"/>
          <w:szCs w:val="22"/>
          <w:lang w:val="en-GB"/>
        </w:rPr>
        <w:t xml:space="preserve"> on the needs of individuals. Health care professionals would need to build trust through their dedication to treat others with compassion through all their interactions. Residents should have the authority to determine how their discussions will proceed through both time and content. The team should use soft prompts to guide users instead of using direct questioning techniques. The health care professionals should focus on positive attributes together with their achievements and good memories. They should seek help from mental health experts whenever they need it. People who want to express themselves without using words should have access to different well-being activities which include art music and sensory experiences. The methodology ensures that interventions maintain their supportive and respectful character while providing residents with safe spaces to conduct life review sessions.</w:t>
      </w:r>
    </w:p>
    <w:p w14:paraId="7CEA8ACA" w14:textId="77777777" w:rsidR="00AC7658" w:rsidRPr="00AC7658" w:rsidRDefault="00AC7658" w:rsidP="00AC7658">
      <w:pPr>
        <w:rPr>
          <w:rFonts w:ascii="Arial" w:hAnsi="Arial" w:cs="Arial"/>
          <w:sz w:val="22"/>
          <w:szCs w:val="22"/>
          <w:lang w:val="en-GB"/>
        </w:rPr>
      </w:pPr>
      <w:r w:rsidRPr="00AC7658">
        <w:rPr>
          <w:rFonts w:ascii="Arial" w:hAnsi="Arial" w:cs="Arial"/>
          <w:sz w:val="22"/>
          <w:szCs w:val="22"/>
          <w:lang w:val="en-GB"/>
        </w:rPr>
        <w:t>Erikson's Psychosocial Theory provides a vital framework which helps understand the emotional and existential needs of elderly people who live in residential care facilities. The professional staff can enhance the mental health of residents through their work which helps people review their lives while they establish their identity and personal value and life purpose. Sensitive person-</w:t>
      </w:r>
      <w:proofErr w:type="spellStart"/>
      <w:r w:rsidRPr="00AC7658">
        <w:rPr>
          <w:rFonts w:ascii="Arial" w:hAnsi="Arial" w:cs="Arial"/>
          <w:sz w:val="22"/>
          <w:szCs w:val="22"/>
          <w:lang w:val="en-GB"/>
        </w:rPr>
        <w:t>centered</w:t>
      </w:r>
      <w:proofErr w:type="spellEnd"/>
      <w:r w:rsidRPr="00AC7658">
        <w:rPr>
          <w:rFonts w:ascii="Arial" w:hAnsi="Arial" w:cs="Arial"/>
          <w:sz w:val="22"/>
          <w:szCs w:val="22"/>
          <w:lang w:val="en-GB"/>
        </w:rPr>
        <w:t xml:space="preserve"> methods enable staff members to handle emotional distress together with other challenges which arise during their work. Daily care practices which incorporate Erikson's theory create a compassionate environment which helps older adults feel valued and understood while they experience peace with their life histories.</w:t>
      </w:r>
    </w:p>
    <w:p w14:paraId="787DDB9D" w14:textId="77777777" w:rsidR="00AC7658" w:rsidRPr="00F10CDD" w:rsidRDefault="00AC7658">
      <w:pPr>
        <w:rPr>
          <w:rFonts w:ascii="Arial" w:hAnsi="Arial" w:cs="Arial"/>
          <w:sz w:val="22"/>
          <w:szCs w:val="22"/>
        </w:rPr>
      </w:pPr>
    </w:p>
    <w:p w14:paraId="3DE85669" w14:textId="77777777" w:rsidR="00AC7658" w:rsidRPr="00F10CDD" w:rsidRDefault="00AC7658">
      <w:pPr>
        <w:rPr>
          <w:rFonts w:ascii="Arial" w:hAnsi="Arial" w:cs="Arial"/>
          <w:sz w:val="22"/>
          <w:szCs w:val="22"/>
        </w:rPr>
      </w:pPr>
    </w:p>
    <w:p w14:paraId="2631957E" w14:textId="77777777" w:rsidR="00AC7658" w:rsidRPr="00F10CDD" w:rsidRDefault="00AC7658">
      <w:pPr>
        <w:rPr>
          <w:rFonts w:ascii="Arial" w:hAnsi="Arial" w:cs="Arial"/>
          <w:sz w:val="22"/>
          <w:szCs w:val="22"/>
        </w:rPr>
      </w:pPr>
    </w:p>
    <w:p w14:paraId="192DBBD1" w14:textId="77777777" w:rsidR="00AC7658" w:rsidRPr="00F10CDD" w:rsidRDefault="00AC7658">
      <w:pPr>
        <w:rPr>
          <w:rFonts w:ascii="Arial" w:hAnsi="Arial" w:cs="Arial"/>
          <w:sz w:val="22"/>
          <w:szCs w:val="22"/>
        </w:rPr>
      </w:pPr>
    </w:p>
    <w:p w14:paraId="1EEEBCB5" w14:textId="77777777" w:rsidR="00AC7658" w:rsidRPr="00F10CDD" w:rsidRDefault="00AC7658">
      <w:pPr>
        <w:rPr>
          <w:rFonts w:ascii="Arial" w:hAnsi="Arial" w:cs="Arial"/>
          <w:sz w:val="22"/>
          <w:szCs w:val="22"/>
        </w:rPr>
      </w:pPr>
    </w:p>
    <w:p w14:paraId="4FEEF387" w14:textId="77777777" w:rsidR="00AC7658" w:rsidRPr="00F10CDD" w:rsidRDefault="00AC7658">
      <w:pPr>
        <w:rPr>
          <w:rFonts w:ascii="Arial" w:hAnsi="Arial" w:cs="Arial"/>
          <w:sz w:val="22"/>
          <w:szCs w:val="22"/>
        </w:rPr>
      </w:pPr>
    </w:p>
    <w:p w14:paraId="003FC0C1" w14:textId="77777777" w:rsidR="00AC7658" w:rsidRDefault="00AC7658">
      <w:pPr>
        <w:rPr>
          <w:rFonts w:ascii="Arial" w:hAnsi="Arial" w:cs="Arial"/>
          <w:sz w:val="22"/>
          <w:szCs w:val="22"/>
        </w:rPr>
      </w:pPr>
    </w:p>
    <w:p w14:paraId="32FE9F89" w14:textId="77777777" w:rsidR="00F10CDD" w:rsidRDefault="00F10CDD">
      <w:pPr>
        <w:rPr>
          <w:rFonts w:ascii="Arial" w:hAnsi="Arial" w:cs="Arial"/>
          <w:sz w:val="22"/>
          <w:szCs w:val="22"/>
        </w:rPr>
      </w:pPr>
    </w:p>
    <w:p w14:paraId="418853AC" w14:textId="77777777" w:rsidR="00F10CDD" w:rsidRDefault="00F10CDD">
      <w:pPr>
        <w:rPr>
          <w:rFonts w:ascii="Arial" w:hAnsi="Arial" w:cs="Arial"/>
          <w:sz w:val="22"/>
          <w:szCs w:val="22"/>
        </w:rPr>
      </w:pPr>
    </w:p>
    <w:p w14:paraId="57C3FA5D" w14:textId="77777777" w:rsidR="00F10CDD" w:rsidRPr="00F10CDD" w:rsidRDefault="00F10CDD">
      <w:pPr>
        <w:rPr>
          <w:rFonts w:ascii="Arial" w:hAnsi="Arial" w:cs="Arial"/>
          <w:sz w:val="22"/>
          <w:szCs w:val="22"/>
        </w:rPr>
      </w:pPr>
    </w:p>
    <w:p w14:paraId="0FFB5CCB" w14:textId="77777777" w:rsidR="00992EB8" w:rsidRPr="00F10CDD" w:rsidRDefault="00000000">
      <w:pPr>
        <w:pStyle w:val="Heading2"/>
        <w:rPr>
          <w:rFonts w:ascii="Arial" w:hAnsi="Arial" w:cs="Arial"/>
          <w:sz w:val="22"/>
          <w:szCs w:val="22"/>
        </w:rPr>
      </w:pPr>
      <w:bookmarkStart w:id="4" w:name="reference-list"/>
      <w:bookmarkEnd w:id="2"/>
      <w:bookmarkEnd w:id="3"/>
      <w:r w:rsidRPr="00F10CDD">
        <w:rPr>
          <w:rFonts w:ascii="Arial" w:hAnsi="Arial" w:cs="Arial"/>
          <w:sz w:val="22"/>
          <w:szCs w:val="22"/>
        </w:rPr>
        <w:t>Reference List</w:t>
      </w:r>
    </w:p>
    <w:p w14:paraId="5525B356" w14:textId="77777777" w:rsidR="004C536B" w:rsidRPr="004C536B" w:rsidRDefault="004C536B" w:rsidP="004C536B">
      <w:pPr>
        <w:pStyle w:val="FirstParagraph"/>
        <w:rPr>
          <w:rFonts w:ascii="Arial" w:hAnsi="Arial" w:cs="Arial"/>
          <w:sz w:val="22"/>
          <w:szCs w:val="22"/>
          <w:lang w:val="en-GB"/>
        </w:rPr>
      </w:pPr>
      <w:bookmarkStart w:id="5" w:name="final-checks-before-submission"/>
      <w:bookmarkEnd w:id="0"/>
      <w:bookmarkEnd w:id="4"/>
      <w:bookmarkEnd w:id="5"/>
      <w:r w:rsidRPr="004C536B">
        <w:rPr>
          <w:rFonts w:ascii="Arial" w:hAnsi="Arial" w:cs="Arial"/>
          <w:sz w:val="22"/>
          <w:szCs w:val="22"/>
          <w:lang w:val="en-GB"/>
        </w:rPr>
        <w:t xml:space="preserve">Chen, P.-Y., Ho, W.-C., Lo, C. and Yeh, T.-P. (2021) ‘Predicting ego integrity using prior ego development stages for older adults in the community’, </w:t>
      </w:r>
      <w:r w:rsidRPr="004C536B">
        <w:rPr>
          <w:rFonts w:ascii="Arial" w:hAnsi="Arial" w:cs="Arial"/>
          <w:i/>
          <w:iCs/>
          <w:sz w:val="22"/>
          <w:szCs w:val="22"/>
          <w:lang w:val="en-GB"/>
        </w:rPr>
        <w:t>International Journal of Environmental Research and Public Health</w:t>
      </w:r>
      <w:r w:rsidRPr="004C536B">
        <w:rPr>
          <w:rFonts w:ascii="Arial" w:hAnsi="Arial" w:cs="Arial"/>
          <w:sz w:val="22"/>
          <w:szCs w:val="22"/>
          <w:lang w:val="en-GB"/>
        </w:rPr>
        <w:t>, 18(18), p. 9490. doi:10.3390/ijerph18189490.</w:t>
      </w:r>
    </w:p>
    <w:p w14:paraId="225DD40B" w14:textId="77777777" w:rsidR="004C536B" w:rsidRPr="004C536B" w:rsidRDefault="004C536B" w:rsidP="004C536B">
      <w:pPr>
        <w:pStyle w:val="FirstParagraph"/>
        <w:rPr>
          <w:rFonts w:ascii="Arial" w:hAnsi="Arial" w:cs="Arial"/>
          <w:sz w:val="22"/>
          <w:szCs w:val="22"/>
          <w:lang w:val="en-GB"/>
        </w:rPr>
      </w:pPr>
      <w:r w:rsidRPr="004C536B">
        <w:rPr>
          <w:rFonts w:ascii="Arial" w:hAnsi="Arial" w:cs="Arial"/>
          <w:sz w:val="22"/>
          <w:szCs w:val="22"/>
          <w:lang w:val="en-GB"/>
        </w:rPr>
        <w:t xml:space="preserve">Gilleard, C. (2020) ‘The final stage of human development? Erikson’s view of integrity and old age’, </w:t>
      </w:r>
      <w:r w:rsidRPr="004C536B">
        <w:rPr>
          <w:rFonts w:ascii="Arial" w:hAnsi="Arial" w:cs="Arial"/>
          <w:i/>
          <w:iCs/>
          <w:sz w:val="22"/>
          <w:szCs w:val="22"/>
          <w:lang w:val="en-GB"/>
        </w:rPr>
        <w:t>International Journal of Ageing and Later Life</w:t>
      </w:r>
      <w:r w:rsidRPr="004C536B">
        <w:rPr>
          <w:rFonts w:ascii="Arial" w:hAnsi="Arial" w:cs="Arial"/>
          <w:sz w:val="22"/>
          <w:szCs w:val="22"/>
          <w:lang w:val="en-GB"/>
        </w:rPr>
        <w:t>, 14(2), pp. 139–162. doi:10.3384/ijal.1652-8670.1471.</w:t>
      </w:r>
    </w:p>
    <w:p w14:paraId="049C6FC2" w14:textId="77777777" w:rsidR="004C536B" w:rsidRPr="004C536B" w:rsidRDefault="004C536B" w:rsidP="004C536B">
      <w:pPr>
        <w:pStyle w:val="FirstParagraph"/>
        <w:rPr>
          <w:rFonts w:ascii="Arial" w:hAnsi="Arial" w:cs="Arial"/>
          <w:sz w:val="22"/>
          <w:szCs w:val="22"/>
          <w:lang w:val="en-GB"/>
        </w:rPr>
      </w:pPr>
      <w:r w:rsidRPr="004C536B">
        <w:rPr>
          <w:rFonts w:ascii="Arial" w:hAnsi="Arial" w:cs="Arial"/>
          <w:sz w:val="22"/>
          <w:szCs w:val="22"/>
          <w:lang w:val="en-GB"/>
        </w:rPr>
        <w:t xml:space="preserve">Ranzijn, R. (2002) ‘Towards a positive psychology of ageing: Potentials and barriers’, </w:t>
      </w:r>
      <w:r w:rsidRPr="004C536B">
        <w:rPr>
          <w:rFonts w:ascii="Arial" w:hAnsi="Arial" w:cs="Arial"/>
          <w:i/>
          <w:iCs/>
          <w:sz w:val="22"/>
          <w:szCs w:val="22"/>
          <w:lang w:val="en-GB"/>
        </w:rPr>
        <w:t>Australian Psychologist</w:t>
      </w:r>
      <w:r w:rsidRPr="004C536B">
        <w:rPr>
          <w:rFonts w:ascii="Arial" w:hAnsi="Arial" w:cs="Arial"/>
          <w:sz w:val="22"/>
          <w:szCs w:val="22"/>
          <w:lang w:val="en-GB"/>
        </w:rPr>
        <w:t>, 37(2), pp. 79–85.</w:t>
      </w:r>
    </w:p>
    <w:p w14:paraId="00781D14" w14:textId="77777777" w:rsidR="004C536B" w:rsidRPr="004C536B" w:rsidRDefault="004C536B" w:rsidP="004C536B">
      <w:pPr>
        <w:pStyle w:val="FirstParagraph"/>
        <w:rPr>
          <w:rFonts w:ascii="Arial" w:hAnsi="Arial" w:cs="Arial"/>
          <w:sz w:val="22"/>
          <w:szCs w:val="22"/>
          <w:lang w:val="en-GB"/>
        </w:rPr>
      </w:pPr>
      <w:r w:rsidRPr="004C536B">
        <w:rPr>
          <w:rFonts w:ascii="Arial" w:hAnsi="Arial" w:cs="Arial"/>
          <w:sz w:val="22"/>
          <w:szCs w:val="22"/>
          <w:lang w:val="en-GB"/>
        </w:rPr>
        <w:t xml:space="preserve">Seligman, M.E.P. and Csikszentmihalyi, M. (2000) ‘Positive psychology: An introduction’, </w:t>
      </w:r>
      <w:r w:rsidRPr="004C536B">
        <w:rPr>
          <w:rFonts w:ascii="Arial" w:hAnsi="Arial" w:cs="Arial"/>
          <w:i/>
          <w:iCs/>
          <w:sz w:val="22"/>
          <w:szCs w:val="22"/>
          <w:lang w:val="en-GB"/>
        </w:rPr>
        <w:t>American Psychologist</w:t>
      </w:r>
      <w:r w:rsidRPr="004C536B">
        <w:rPr>
          <w:rFonts w:ascii="Arial" w:hAnsi="Arial" w:cs="Arial"/>
          <w:sz w:val="22"/>
          <w:szCs w:val="22"/>
          <w:lang w:val="en-GB"/>
        </w:rPr>
        <w:t>, 55(1), pp. 5–14. doi:10.1037/0003-066X.55.1.5.</w:t>
      </w:r>
    </w:p>
    <w:p w14:paraId="14E708AD" w14:textId="79286655" w:rsidR="00992EB8" w:rsidRPr="00F10CDD" w:rsidRDefault="00992EB8" w:rsidP="004C536B">
      <w:pPr>
        <w:pStyle w:val="FirstParagraph"/>
        <w:rPr>
          <w:rFonts w:ascii="Arial" w:hAnsi="Arial" w:cs="Arial"/>
          <w:sz w:val="22"/>
          <w:szCs w:val="22"/>
        </w:rPr>
      </w:pPr>
    </w:p>
    <w:sectPr w:rsidR="00992EB8" w:rsidRPr="00F10CDD">
      <w:footnotePr>
        <w:numRestart w:val="eachSect"/>
      </w:footnotePr>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0"/>
    <w:multiLevelType w:val="multilevel"/>
    <w:tmpl w:val="B2F02C04"/>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1" w15:restartNumberingAfterBreak="0">
    <w:nsid w:val="0000A991"/>
    <w:multiLevelType w:val="multilevel"/>
    <w:tmpl w:val="43D46ED8"/>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 w16cid:durableId="792478291">
    <w:abstractNumId w:val="0"/>
  </w:num>
  <w:num w:numId="2" w16cid:durableId="186528633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0004" w:allStyles="0" w:customStyles="0" w:latentStyles="1" w:stylesInUse="0" w:headingStyles="0" w:numberingStyles="0" w:tableStyles="0" w:directFormattingOnRuns="0" w:directFormattingOnParagraphs="0" w:directFormattingOnNumbering="0" w:directFormattingOnTables="0" w:clearFormatting="0" w:top3HeadingStyles="0" w:visibleStyles="0" w:alternateStyleNames="0"/>
  <w:doNotTrackMoves/>
  <w:defaultTabStop w:val="720"/>
  <w:drawingGridHorizontalSpacing w:val="360"/>
  <w:drawingGridVerticalSpacing w:val="360"/>
  <w:displayHorizontalDrawingGridEvery w:val="0"/>
  <w:displayVerticalDrawingGridEvery w:val="0"/>
  <w:characterSpacingControl w:val="doNotCompress"/>
  <w:footnotePr>
    <w:numRestart w:val="eachSect"/>
  </w:footnotePr>
  <w:compat>
    <w:compatSetting w:name="compatibilityMode" w:uri="http://schemas.microsoft.com/office/word" w:val="12"/>
    <w:compatSetting w:name="useWord2013TrackBottomHyphenation" w:uri="http://schemas.microsoft.com/office/word" w:val="1"/>
  </w:compat>
  <w:rsids>
    <w:rsidRoot w:val="00992EB8"/>
    <w:rsid w:val="004735CD"/>
    <w:rsid w:val="004C536B"/>
    <w:rsid w:val="005C618D"/>
    <w:rsid w:val="006C429E"/>
    <w:rsid w:val="00965B13"/>
    <w:rsid w:val="00992EB8"/>
    <w:rsid w:val="00AC7658"/>
    <w:rsid w:val="00CD27E2"/>
    <w:rsid w:val="00CD5E7F"/>
    <w:rsid w:val="00CF4074"/>
    <w:rsid w:val="00CF63DE"/>
    <w:rsid w:val="00D71910"/>
    <w:rsid w:val="00F10C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B50DD"/>
  <w15:docId w15:val="{027BB819-B9FA-40D4-930E-F3250B0D1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US" w:eastAsia="en-US" w:bidi="ar-SA"/>
      </w:rPr>
    </w:rPrDefault>
    <w:pPrDefault>
      <w:pPr>
        <w:spacing w:after="200"/>
      </w:pPr>
    </w:pPrDefault>
  </w:docDefaults>
  <w:latentStyles w:defLockedState="0" w:defUIPriority="0" w:defSemiHidden="0" w:defUnhideWhenUsed="0" w:defQFormat="0" w:count="376">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style>
  <w:style w:type="paragraph" w:styleId="Heading1">
    <w:name w:val="heading 1"/>
    <w:basedOn w:val="Normal"/>
    <w:next w:val="BodyText"/>
    <w:link w:val="Heading1Char"/>
    <w:uiPriority w:val="9"/>
    <w:qFormat/>
    <w:rsid w:val="00A10FD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BodyText"/>
    <w:link w:val="Heading2Char"/>
    <w:uiPriority w:val="9"/>
    <w:semiHidden/>
    <w:unhideWhenUsed/>
    <w:qFormat/>
    <w:rsid w:val="00A10FD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BodyText"/>
    <w:link w:val="Heading3Char"/>
    <w:uiPriority w:val="9"/>
    <w:semiHidden/>
    <w:unhideWhenUsed/>
    <w:qFormat/>
    <w:rsid w:val="00A10FD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BodyText"/>
    <w:link w:val="Heading4Char"/>
    <w:uiPriority w:val="9"/>
    <w:semiHidden/>
    <w:unhideWhenUsed/>
    <w:qFormat/>
    <w:rsid w:val="00A10FD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BodyText"/>
    <w:link w:val="Heading5Char"/>
    <w:uiPriority w:val="9"/>
    <w:semiHidden/>
    <w:unhideWhenUsed/>
    <w:qFormat/>
    <w:rsid w:val="00A10FD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BodyText"/>
    <w:link w:val="Heading6Char"/>
    <w:uiPriority w:val="9"/>
    <w:semiHidden/>
    <w:unhideWhenUsed/>
    <w:qFormat/>
    <w:rsid w:val="00A10FD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BodyText"/>
    <w:link w:val="Heading7Char"/>
    <w:uiPriority w:val="9"/>
    <w:semiHidden/>
    <w:unhideWhenUsed/>
    <w:qFormat/>
    <w:rsid w:val="00A10FD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BodyText"/>
    <w:link w:val="Heading8Char"/>
    <w:uiPriority w:val="9"/>
    <w:semiHidden/>
    <w:unhideWhenUsed/>
    <w:qFormat/>
    <w:rsid w:val="00A10FD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BodyText"/>
    <w:link w:val="Heading9Char"/>
    <w:uiPriority w:val="9"/>
    <w:semiHidden/>
    <w:unhideWhenUsed/>
    <w:qFormat/>
    <w:rsid w:val="00A10FD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qFormat/>
    <w:pPr>
      <w:spacing w:before="180" w:after="180"/>
    </w:pPr>
  </w:style>
  <w:style w:type="paragraph" w:customStyle="1" w:styleId="FirstParagraph">
    <w:name w:val="First Paragraph"/>
    <w:basedOn w:val="BodyText"/>
    <w:next w:val="BodyText"/>
    <w:qFormat/>
  </w:style>
  <w:style w:type="paragraph" w:customStyle="1" w:styleId="Compact">
    <w:name w:val="Compact"/>
    <w:basedOn w:val="BodyText"/>
    <w:qFormat/>
    <w:pPr>
      <w:spacing w:before="36" w:after="36"/>
    </w:pPr>
  </w:style>
  <w:style w:type="paragraph" w:styleId="Title">
    <w:name w:val="Title"/>
    <w:basedOn w:val="Normal"/>
    <w:next w:val="BodyText"/>
    <w:link w:val="TitleChar"/>
    <w:uiPriority w:val="10"/>
    <w:qFormat/>
    <w:rsid w:val="00A10FD9"/>
    <w:pPr>
      <w:spacing w:after="80"/>
      <w:contextualSpacing/>
      <w:jc w:val="center"/>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0FD9"/>
    <w:rPr>
      <w:rFonts w:asciiTheme="majorHAnsi" w:eastAsiaTheme="majorEastAsia" w:hAnsiTheme="majorHAnsi" w:cstheme="majorBidi"/>
      <w:spacing w:val="-10"/>
      <w:kern w:val="28"/>
      <w:sz w:val="56"/>
      <w:szCs w:val="56"/>
    </w:rPr>
  </w:style>
  <w:style w:type="paragraph" w:styleId="Subtitle">
    <w:name w:val="Subtitle"/>
    <w:basedOn w:val="Title"/>
    <w:next w:val="BodyText"/>
    <w:link w:val="SubtitleChar"/>
    <w:uiPriority w:val="11"/>
    <w:qFormat/>
    <w:rsid w:val="00A10FD9"/>
    <w:pPr>
      <w:numPr>
        <w:ilvl w:val="1"/>
      </w:numPr>
    </w:pPr>
    <w:rPr>
      <w:spacing w:val="15"/>
      <w:sz w:val="28"/>
      <w:szCs w:val="28"/>
    </w:rPr>
  </w:style>
  <w:style w:type="character" w:customStyle="1" w:styleId="SubtitleChar">
    <w:name w:val="Subtitle Char"/>
    <w:basedOn w:val="DefaultParagraphFont"/>
    <w:link w:val="Subtitle"/>
    <w:uiPriority w:val="11"/>
    <w:rsid w:val="00A10FD9"/>
    <w:rPr>
      <w:rFonts w:eastAsiaTheme="majorEastAsia" w:cstheme="majorBidi"/>
      <w:color w:val="595959" w:themeColor="text1" w:themeTint="A6"/>
      <w:spacing w:val="15"/>
      <w:sz w:val="28"/>
      <w:szCs w:val="28"/>
    </w:rPr>
  </w:style>
  <w:style w:type="paragraph" w:customStyle="1" w:styleId="Author">
    <w:name w:val="Author"/>
    <w:next w:val="BodyText"/>
    <w:qFormat/>
    <w:pPr>
      <w:keepNext/>
      <w:keepLines/>
      <w:jc w:val="center"/>
    </w:pPr>
  </w:style>
  <w:style w:type="paragraph" w:styleId="Date">
    <w:name w:val="Date"/>
    <w:next w:val="BodyText"/>
    <w:qFormat/>
    <w:pPr>
      <w:keepNext/>
      <w:keepLines/>
      <w:jc w:val="center"/>
    </w:pPr>
  </w:style>
  <w:style w:type="paragraph" w:customStyle="1" w:styleId="AbstractTitle">
    <w:name w:val="Abstract Title"/>
    <w:basedOn w:val="Normal"/>
    <w:next w:val="Abstract"/>
    <w:qFormat/>
    <w:pPr>
      <w:keepNext/>
      <w:keepLines/>
      <w:spacing w:before="300" w:after="0"/>
      <w:jc w:val="center"/>
    </w:pPr>
    <w:rPr>
      <w:b/>
      <w:sz w:val="20"/>
      <w:szCs w:val="20"/>
    </w:rPr>
  </w:style>
  <w:style w:type="paragraph" w:customStyle="1" w:styleId="Abstract">
    <w:name w:val="Abstract"/>
    <w:basedOn w:val="Normal"/>
    <w:next w:val="BodyText"/>
    <w:qFormat/>
    <w:pPr>
      <w:keepNext/>
      <w:keepLines/>
      <w:spacing w:before="100" w:after="300"/>
    </w:pPr>
    <w:rPr>
      <w:sz w:val="20"/>
      <w:szCs w:val="20"/>
    </w:rPr>
  </w:style>
  <w:style w:type="paragraph" w:styleId="Bibliography">
    <w:name w:val="Bibliography"/>
    <w:basedOn w:val="Normal"/>
    <w:qFormat/>
  </w:style>
  <w:style w:type="character" w:customStyle="1" w:styleId="Heading1Char">
    <w:name w:val="Heading 1 Char"/>
    <w:basedOn w:val="DefaultParagraphFont"/>
    <w:link w:val="Heading1"/>
    <w:uiPriority w:val="9"/>
    <w:rsid w:val="00A10FD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0FD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0FD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0FD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0FD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0FD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0FD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0FD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0FD9"/>
    <w:rPr>
      <w:rFonts w:eastAsiaTheme="majorEastAsia" w:cstheme="majorBidi"/>
      <w:color w:val="272727" w:themeColor="text1" w:themeTint="D8"/>
    </w:rPr>
  </w:style>
  <w:style w:type="paragraph" w:styleId="BlockText">
    <w:name w:val="Block Text"/>
    <w:basedOn w:val="BodyText"/>
    <w:next w:val="BodyText"/>
    <w:uiPriority w:val="9"/>
    <w:unhideWhenUsed/>
    <w:qFormat/>
    <w:pPr>
      <w:spacing w:before="100" w:after="100"/>
      <w:ind w:left="480" w:right="480"/>
    </w:pPr>
  </w:style>
  <w:style w:type="paragraph" w:styleId="FootnoteText">
    <w:name w:val="footnote text"/>
    <w:basedOn w:val="Normal"/>
    <w:uiPriority w:val="9"/>
    <w:unhideWhenUsed/>
    <w:qFormat/>
  </w:style>
  <w:style w:type="paragraph" w:customStyle="1" w:styleId="FootnoteBlockText">
    <w:name w:val="Footnote Block Text"/>
    <w:basedOn w:val="FootnoteText"/>
    <w:next w:val="FootnoteText"/>
    <w:uiPriority w:val="9"/>
    <w:unhideWhenUsed/>
    <w:qFormat/>
    <w:pPr>
      <w:spacing w:before="100" w:after="100"/>
      <w:ind w:left="480" w:right="480"/>
    </w:pPr>
  </w:style>
  <w:style w:type="table" w:customStyle="1" w:styleId="Table">
    <w:name w:val="Table"/>
    <w:semiHidden/>
    <w:unhideWhenUsed/>
    <w:qFormat/>
    <w:tblPr>
      <w:tblInd w:w="0" w:type="dxa"/>
      <w:tblCellMar>
        <w:top w:w="0" w:type="dxa"/>
        <w:left w:w="108" w:type="dxa"/>
        <w:bottom w:w="0" w:type="dxa"/>
        <w:right w:w="108" w:type="dxa"/>
      </w:tblCellMar>
    </w:tblPr>
    <w:tblStylePr w:type="firstRow">
      <w:tblPr>
        <w:jc w:val="left"/>
      </w:tblPr>
      <w:trPr>
        <w:jc w:val="left"/>
      </w:trPr>
      <w:tcPr>
        <w:tcBorders>
          <w:bottom w:val="single" w:sz="0" w:space="0" w:color="auto"/>
        </w:tcBorders>
        <w:vAlign w:val="bottom"/>
      </w:tcPr>
    </w:tblStylePr>
  </w:style>
  <w:style w:type="paragraph" w:customStyle="1" w:styleId="DefinitionTerm">
    <w:name w:val="Definition Term"/>
    <w:basedOn w:val="Normal"/>
    <w:next w:val="Definition"/>
    <w:pPr>
      <w:keepNext/>
      <w:keepLines/>
      <w:spacing w:after="0"/>
    </w:pPr>
    <w:rPr>
      <w:b/>
    </w:rPr>
  </w:style>
  <w:style w:type="paragraph" w:customStyle="1" w:styleId="Definition">
    <w:name w:val="Definition"/>
    <w:basedOn w:val="Normal"/>
  </w:style>
  <w:style w:type="paragraph" w:styleId="Caption">
    <w:name w:val="caption"/>
    <w:basedOn w:val="Normal"/>
    <w:link w:val="CaptionChar"/>
    <w:pPr>
      <w:spacing w:after="120"/>
    </w:pPr>
    <w:rPr>
      <w:i/>
    </w:rPr>
  </w:style>
  <w:style w:type="paragraph" w:customStyle="1" w:styleId="TableCaption">
    <w:name w:val="Table Caption"/>
    <w:basedOn w:val="Caption"/>
    <w:pPr>
      <w:keepNext/>
    </w:pPr>
  </w:style>
  <w:style w:type="paragraph" w:customStyle="1" w:styleId="ImageCaption">
    <w:name w:val="Image Caption"/>
    <w:basedOn w:val="Caption"/>
  </w:style>
  <w:style w:type="paragraph" w:customStyle="1" w:styleId="Figure">
    <w:name w:val="Figure"/>
    <w:basedOn w:val="Normal"/>
  </w:style>
  <w:style w:type="paragraph" w:customStyle="1" w:styleId="CaptionedFigure">
    <w:name w:val="Captioned Figure"/>
    <w:basedOn w:val="Figure"/>
    <w:pPr>
      <w:keepNext/>
    </w:pPr>
  </w:style>
  <w:style w:type="character" w:customStyle="1" w:styleId="CaptionChar">
    <w:name w:val="Caption Char"/>
    <w:basedOn w:val="DefaultParagraphFont"/>
    <w:link w:val="Caption"/>
  </w:style>
  <w:style w:type="character" w:customStyle="1" w:styleId="VerbatimChar">
    <w:name w:val="Verbatim Char"/>
    <w:basedOn w:val="CaptionChar"/>
    <w:link w:val="SourceCode"/>
    <w:rPr>
      <w:rFonts w:ascii="Consolas" w:hAnsi="Consolas"/>
      <w:sz w:val="22"/>
    </w:rPr>
  </w:style>
  <w:style w:type="character" w:customStyle="1" w:styleId="SectionNumber">
    <w:name w:val="Section Number"/>
    <w:basedOn w:val="CaptionChar"/>
  </w:style>
  <w:style w:type="character" w:styleId="FootnoteReference">
    <w:name w:val="footnote reference"/>
    <w:basedOn w:val="CaptionChar"/>
    <w:rPr>
      <w:vertAlign w:val="superscript"/>
    </w:rPr>
  </w:style>
  <w:style w:type="character" w:styleId="Hyperlink">
    <w:name w:val="Hyperlink"/>
    <w:basedOn w:val="CaptionChar"/>
    <w:rPr>
      <w:color w:val="156082" w:themeColor="accent1"/>
    </w:rPr>
  </w:style>
  <w:style w:type="paragraph" w:styleId="TOCHeading">
    <w:name w:val="TOC Heading"/>
    <w:basedOn w:val="Heading1"/>
    <w:next w:val="BodyText"/>
    <w:uiPriority w:val="39"/>
    <w:unhideWhenUsed/>
    <w:qFormat/>
    <w:pPr>
      <w:spacing w:before="240" w:line="259" w:lineRule="auto"/>
      <w:outlineLvl w:val="9"/>
    </w:pPr>
  </w:style>
  <w:style w:type="paragraph" w:customStyle="1" w:styleId="SourceCode">
    <w:name w:val="Source Code"/>
    <w:basedOn w:val="Normal"/>
    <w:link w:val="VerbatimChar"/>
    <w:pPr>
      <w:wordWrap w:val="0"/>
    </w:pPr>
  </w:style>
  <w:style w:type="character" w:customStyle="1" w:styleId="KeywordTok">
    <w:name w:val="KeywordTok"/>
    <w:basedOn w:val="VerbatimChar"/>
    <w:rPr>
      <w:rFonts w:ascii="Consolas" w:hAnsi="Consolas"/>
      <w:b/>
      <w:color w:val="007020"/>
      <w:sz w:val="22"/>
    </w:rPr>
  </w:style>
  <w:style w:type="character" w:customStyle="1" w:styleId="DataTypeTok">
    <w:name w:val="DataTypeTok"/>
    <w:basedOn w:val="VerbatimChar"/>
    <w:rPr>
      <w:rFonts w:ascii="Consolas" w:hAnsi="Consolas"/>
      <w:color w:val="902000"/>
      <w:sz w:val="22"/>
    </w:rPr>
  </w:style>
  <w:style w:type="character" w:customStyle="1" w:styleId="DecValTok">
    <w:name w:val="DecValTok"/>
    <w:basedOn w:val="VerbatimChar"/>
    <w:rPr>
      <w:rFonts w:ascii="Consolas" w:hAnsi="Consolas"/>
      <w:color w:val="40A070"/>
      <w:sz w:val="22"/>
    </w:rPr>
  </w:style>
  <w:style w:type="character" w:customStyle="1" w:styleId="BaseNTok">
    <w:name w:val="BaseNTok"/>
    <w:basedOn w:val="VerbatimChar"/>
    <w:rPr>
      <w:rFonts w:ascii="Consolas" w:hAnsi="Consolas"/>
      <w:color w:val="40A070"/>
      <w:sz w:val="22"/>
    </w:rPr>
  </w:style>
  <w:style w:type="character" w:customStyle="1" w:styleId="FloatTok">
    <w:name w:val="FloatTok"/>
    <w:basedOn w:val="VerbatimChar"/>
    <w:rPr>
      <w:rFonts w:ascii="Consolas" w:hAnsi="Consolas"/>
      <w:color w:val="40A070"/>
      <w:sz w:val="22"/>
    </w:rPr>
  </w:style>
  <w:style w:type="character" w:customStyle="1" w:styleId="ConstantTok">
    <w:name w:val="ConstantTok"/>
    <w:basedOn w:val="VerbatimChar"/>
    <w:rPr>
      <w:rFonts w:ascii="Consolas" w:hAnsi="Consolas"/>
      <w:color w:val="880000"/>
      <w:sz w:val="22"/>
    </w:rPr>
  </w:style>
  <w:style w:type="character" w:customStyle="1" w:styleId="CharTok">
    <w:name w:val="CharTok"/>
    <w:basedOn w:val="VerbatimChar"/>
    <w:rPr>
      <w:rFonts w:ascii="Consolas" w:hAnsi="Consolas"/>
      <w:color w:val="4070A0"/>
      <w:sz w:val="22"/>
    </w:rPr>
  </w:style>
  <w:style w:type="character" w:customStyle="1" w:styleId="SpecialCharTok">
    <w:name w:val="SpecialCharTok"/>
    <w:basedOn w:val="VerbatimChar"/>
    <w:rPr>
      <w:rFonts w:ascii="Consolas" w:hAnsi="Consolas"/>
      <w:color w:val="4070A0"/>
      <w:sz w:val="22"/>
    </w:rPr>
  </w:style>
  <w:style w:type="character" w:customStyle="1" w:styleId="StringTok">
    <w:name w:val="StringTok"/>
    <w:basedOn w:val="VerbatimChar"/>
    <w:rPr>
      <w:rFonts w:ascii="Consolas" w:hAnsi="Consolas"/>
      <w:color w:val="4070A0"/>
      <w:sz w:val="22"/>
    </w:rPr>
  </w:style>
  <w:style w:type="character" w:customStyle="1" w:styleId="VerbatimStringTok">
    <w:name w:val="VerbatimStringTok"/>
    <w:basedOn w:val="VerbatimChar"/>
    <w:rPr>
      <w:rFonts w:ascii="Consolas" w:hAnsi="Consolas"/>
      <w:color w:val="4070A0"/>
      <w:sz w:val="22"/>
    </w:rPr>
  </w:style>
  <w:style w:type="character" w:customStyle="1" w:styleId="SpecialStringTok">
    <w:name w:val="SpecialStringTok"/>
    <w:basedOn w:val="VerbatimChar"/>
    <w:rPr>
      <w:rFonts w:ascii="Consolas" w:hAnsi="Consolas"/>
      <w:color w:val="BB6688"/>
      <w:sz w:val="22"/>
    </w:rPr>
  </w:style>
  <w:style w:type="character" w:customStyle="1" w:styleId="ImportTok">
    <w:name w:val="ImportTok"/>
    <w:basedOn w:val="VerbatimChar"/>
    <w:rPr>
      <w:rFonts w:ascii="Consolas" w:hAnsi="Consolas"/>
      <w:b/>
      <w:color w:val="008000"/>
      <w:sz w:val="22"/>
    </w:rPr>
  </w:style>
  <w:style w:type="character" w:customStyle="1" w:styleId="CommentTok">
    <w:name w:val="CommentTok"/>
    <w:basedOn w:val="VerbatimChar"/>
    <w:rPr>
      <w:rFonts w:ascii="Consolas" w:hAnsi="Consolas"/>
      <w:i/>
      <w:color w:val="60A0B0"/>
      <w:sz w:val="22"/>
    </w:rPr>
  </w:style>
  <w:style w:type="character" w:customStyle="1" w:styleId="DocumentationTok">
    <w:name w:val="DocumentationTok"/>
    <w:basedOn w:val="VerbatimChar"/>
    <w:rPr>
      <w:rFonts w:ascii="Consolas" w:hAnsi="Consolas"/>
      <w:i/>
      <w:color w:val="BA2121"/>
      <w:sz w:val="22"/>
    </w:rPr>
  </w:style>
  <w:style w:type="character" w:customStyle="1" w:styleId="AnnotationTok">
    <w:name w:val="AnnotationTok"/>
    <w:basedOn w:val="VerbatimChar"/>
    <w:rPr>
      <w:rFonts w:ascii="Consolas" w:hAnsi="Consolas"/>
      <w:b/>
      <w:i/>
      <w:color w:val="60A0B0"/>
      <w:sz w:val="22"/>
    </w:rPr>
  </w:style>
  <w:style w:type="character" w:customStyle="1" w:styleId="CommentVarTok">
    <w:name w:val="CommentVarTok"/>
    <w:basedOn w:val="VerbatimChar"/>
    <w:rPr>
      <w:rFonts w:ascii="Consolas" w:hAnsi="Consolas"/>
      <w:b/>
      <w:i/>
      <w:color w:val="60A0B0"/>
      <w:sz w:val="22"/>
    </w:rPr>
  </w:style>
  <w:style w:type="character" w:customStyle="1" w:styleId="OtherTok">
    <w:name w:val="OtherTok"/>
    <w:basedOn w:val="VerbatimChar"/>
    <w:rPr>
      <w:rFonts w:ascii="Consolas" w:hAnsi="Consolas"/>
      <w:color w:val="007020"/>
      <w:sz w:val="22"/>
    </w:rPr>
  </w:style>
  <w:style w:type="character" w:customStyle="1" w:styleId="FunctionTok">
    <w:name w:val="FunctionTok"/>
    <w:basedOn w:val="VerbatimChar"/>
    <w:rPr>
      <w:rFonts w:ascii="Consolas" w:hAnsi="Consolas"/>
      <w:color w:val="06287E"/>
      <w:sz w:val="22"/>
    </w:rPr>
  </w:style>
  <w:style w:type="character" w:customStyle="1" w:styleId="VariableTok">
    <w:name w:val="VariableTok"/>
    <w:basedOn w:val="VerbatimChar"/>
    <w:rPr>
      <w:rFonts w:ascii="Consolas" w:hAnsi="Consolas"/>
      <w:color w:val="19177C"/>
      <w:sz w:val="22"/>
    </w:rPr>
  </w:style>
  <w:style w:type="character" w:customStyle="1" w:styleId="ControlFlowTok">
    <w:name w:val="ControlFlowTok"/>
    <w:basedOn w:val="VerbatimChar"/>
    <w:rPr>
      <w:rFonts w:ascii="Consolas" w:hAnsi="Consolas"/>
      <w:b/>
      <w:color w:val="007020"/>
      <w:sz w:val="22"/>
    </w:rPr>
  </w:style>
  <w:style w:type="character" w:customStyle="1" w:styleId="OperatorTok">
    <w:name w:val="OperatorTok"/>
    <w:basedOn w:val="VerbatimChar"/>
    <w:rPr>
      <w:rFonts w:ascii="Consolas" w:hAnsi="Consolas"/>
      <w:color w:val="666666"/>
      <w:sz w:val="22"/>
    </w:rPr>
  </w:style>
  <w:style w:type="character" w:customStyle="1" w:styleId="BuiltInTok">
    <w:name w:val="BuiltInTok"/>
    <w:basedOn w:val="VerbatimChar"/>
    <w:rPr>
      <w:rFonts w:ascii="Consolas" w:hAnsi="Consolas"/>
      <w:color w:val="008000"/>
      <w:sz w:val="22"/>
    </w:rPr>
  </w:style>
  <w:style w:type="character" w:customStyle="1" w:styleId="ExtensionTok">
    <w:name w:val="ExtensionTok"/>
    <w:basedOn w:val="VerbatimChar"/>
    <w:rPr>
      <w:rFonts w:ascii="Consolas" w:hAnsi="Consolas"/>
      <w:sz w:val="22"/>
    </w:rPr>
  </w:style>
  <w:style w:type="character" w:customStyle="1" w:styleId="PreprocessorTok">
    <w:name w:val="PreprocessorTok"/>
    <w:basedOn w:val="VerbatimChar"/>
    <w:rPr>
      <w:rFonts w:ascii="Consolas" w:hAnsi="Consolas"/>
      <w:color w:val="BC7A00"/>
      <w:sz w:val="22"/>
    </w:rPr>
  </w:style>
  <w:style w:type="character" w:customStyle="1" w:styleId="AttributeTok">
    <w:name w:val="AttributeTok"/>
    <w:basedOn w:val="VerbatimChar"/>
    <w:rPr>
      <w:rFonts w:ascii="Consolas" w:hAnsi="Consolas"/>
      <w:color w:val="7D9029"/>
      <w:sz w:val="22"/>
    </w:rPr>
  </w:style>
  <w:style w:type="character" w:customStyle="1" w:styleId="RegionMarkerTok">
    <w:name w:val="RegionMarkerTok"/>
    <w:basedOn w:val="VerbatimChar"/>
    <w:rPr>
      <w:rFonts w:ascii="Consolas" w:hAnsi="Consolas"/>
      <w:sz w:val="22"/>
    </w:rPr>
  </w:style>
  <w:style w:type="character" w:customStyle="1" w:styleId="InformationTok">
    <w:name w:val="InformationTok"/>
    <w:basedOn w:val="VerbatimChar"/>
    <w:rPr>
      <w:rFonts w:ascii="Consolas" w:hAnsi="Consolas"/>
      <w:b/>
      <w:i/>
      <w:color w:val="60A0B0"/>
      <w:sz w:val="22"/>
    </w:rPr>
  </w:style>
  <w:style w:type="character" w:customStyle="1" w:styleId="WarningTok">
    <w:name w:val="WarningTok"/>
    <w:basedOn w:val="VerbatimChar"/>
    <w:rPr>
      <w:rFonts w:ascii="Consolas" w:hAnsi="Consolas"/>
      <w:b/>
      <w:i/>
      <w:color w:val="60A0B0"/>
      <w:sz w:val="22"/>
    </w:rPr>
  </w:style>
  <w:style w:type="character" w:customStyle="1" w:styleId="AlertTok">
    <w:name w:val="AlertTok"/>
    <w:basedOn w:val="VerbatimChar"/>
    <w:rPr>
      <w:rFonts w:ascii="Consolas" w:hAnsi="Consolas"/>
      <w:b/>
      <w:color w:val="FF0000"/>
      <w:sz w:val="22"/>
    </w:rPr>
  </w:style>
  <w:style w:type="character" w:customStyle="1" w:styleId="ErrorTok">
    <w:name w:val="ErrorTok"/>
    <w:basedOn w:val="VerbatimChar"/>
    <w:rPr>
      <w:rFonts w:ascii="Consolas" w:hAnsi="Consolas"/>
      <w:b/>
      <w:color w:val="FF0000"/>
      <w:sz w:val="22"/>
    </w:rPr>
  </w:style>
  <w:style w:type="character" w:customStyle="1" w:styleId="NormalTok">
    <w:name w:val="NormalTok"/>
    <w:basedOn w:val="VerbatimChar"/>
    <w:rPr>
      <w:rFonts w:ascii="Consolas" w:hAnsi="Consolas"/>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1929</Words>
  <Characters>10996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Mohammed Muhibur Rahman</dc:creator>
  <cp:keywords/>
  <cp:lastModifiedBy>Mohammed Muhibur Rahman</cp:lastModifiedBy>
  <cp:revision>2</cp:revision>
  <dcterms:created xsi:type="dcterms:W3CDTF">2026-08-07T00:31:00Z</dcterms:created>
  <dcterms:modified xsi:type="dcterms:W3CDTF">2026-08-07T00:31:00Z</dcterms:modified>
</cp:coreProperties>
</file>