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7A1906" w:rsidRDefault="00ED5964">
      <w:pPr>
        <w:rPr>
          <w:rFonts w:cs="Segoe UI"/>
        </w:rPr>
      </w:pPr>
      <w:r w:rsidRPr="007A1906">
        <w:rPr>
          <w:rFonts w:cs="Segoe UI"/>
          <w:noProof/>
          <w:lang w:val="en-US" w:eastAsia="en-US"/>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7A1906" w:rsidRDefault="00ED5964">
      <w:pPr>
        <w:rPr>
          <w:rFonts w:cs="Segoe UI"/>
        </w:rPr>
      </w:pPr>
    </w:p>
    <w:p w14:paraId="478C11A1" w14:textId="77777777" w:rsidR="00ED5964" w:rsidRPr="007A1906" w:rsidRDefault="00ED5964">
      <w:pPr>
        <w:rPr>
          <w:rFonts w:cs="Segoe UI"/>
        </w:rPr>
      </w:pPr>
    </w:p>
    <w:p w14:paraId="6B8ADB81" w14:textId="77777777" w:rsidR="006A5CFC" w:rsidRPr="007A1906" w:rsidRDefault="006A5CFC">
      <w:pPr>
        <w:rPr>
          <w:rFonts w:cs="Segoe UI"/>
        </w:rPr>
      </w:pPr>
    </w:p>
    <w:p w14:paraId="168F467C" w14:textId="77777777" w:rsidR="006A5CFC" w:rsidRPr="007A1906" w:rsidRDefault="006A5CFC">
      <w:pPr>
        <w:rPr>
          <w:rFonts w:cs="Segoe UI"/>
        </w:rPr>
      </w:pPr>
    </w:p>
    <w:p w14:paraId="3BEDB360" w14:textId="77777777" w:rsidR="00ED5964" w:rsidRPr="007A1906" w:rsidRDefault="00ED5964">
      <w:pPr>
        <w:rPr>
          <w:rFonts w:cs="Segoe UI"/>
        </w:rPr>
      </w:pPr>
    </w:p>
    <w:p w14:paraId="2EF804A0" w14:textId="52912B77" w:rsidR="00ED5964" w:rsidRPr="00500EF8" w:rsidRDefault="00ED5964" w:rsidP="00ED5964">
      <w:pPr>
        <w:jc w:val="both"/>
        <w:rPr>
          <w:rFonts w:ascii="Arial" w:hAnsi="Arial" w:cs="Arial"/>
          <w:sz w:val="28"/>
          <w:szCs w:val="28"/>
        </w:rPr>
      </w:pPr>
      <w:r w:rsidRPr="00500EF8">
        <w:rPr>
          <w:rFonts w:ascii="Arial" w:hAnsi="Arial" w:cs="Arial"/>
          <w:sz w:val="28"/>
          <w:szCs w:val="28"/>
        </w:rPr>
        <w:t xml:space="preserve">Name: </w:t>
      </w:r>
      <w:r w:rsidR="00500EF8" w:rsidRPr="00500EF8">
        <w:rPr>
          <w:rFonts w:ascii="Arial" w:hAnsi="Arial" w:cs="Arial"/>
          <w:sz w:val="28"/>
          <w:szCs w:val="28"/>
        </w:rPr>
        <w:t>Shamaila Shafaq</w:t>
      </w:r>
      <w:r w:rsidR="00500EF8" w:rsidRPr="00500EF8">
        <w:rPr>
          <w:rFonts w:ascii="Arial" w:hAnsi="Arial" w:cs="Arial"/>
          <w:sz w:val="28"/>
          <w:szCs w:val="28"/>
        </w:rPr>
        <w:tab/>
      </w:r>
      <w:r w:rsidR="00500EF8" w:rsidRPr="00500EF8">
        <w:rPr>
          <w:rFonts w:ascii="Arial" w:hAnsi="Arial" w:cs="Arial"/>
          <w:sz w:val="28"/>
          <w:szCs w:val="28"/>
        </w:rPr>
        <w:tab/>
      </w:r>
    </w:p>
    <w:p w14:paraId="485B6F49" w14:textId="0726E2F5" w:rsidR="00ED5964" w:rsidRPr="00500EF8" w:rsidRDefault="00ED5964" w:rsidP="00ED5964">
      <w:pPr>
        <w:jc w:val="both"/>
        <w:rPr>
          <w:rFonts w:ascii="Arial" w:hAnsi="Arial" w:cs="Arial"/>
          <w:sz w:val="28"/>
          <w:szCs w:val="28"/>
        </w:rPr>
      </w:pPr>
      <w:r w:rsidRPr="00500EF8">
        <w:rPr>
          <w:rFonts w:ascii="Arial" w:hAnsi="Arial" w:cs="Arial"/>
          <w:sz w:val="28"/>
          <w:szCs w:val="28"/>
        </w:rPr>
        <w:t xml:space="preserve">Student ID: </w:t>
      </w:r>
      <w:r w:rsidR="00500EF8" w:rsidRPr="00500EF8">
        <w:rPr>
          <w:rFonts w:ascii="Arial" w:hAnsi="Arial" w:cs="Arial"/>
          <w:sz w:val="28"/>
          <w:szCs w:val="28"/>
        </w:rPr>
        <w:t>2504607</w:t>
      </w:r>
    </w:p>
    <w:p w14:paraId="3C1E7A20" w14:textId="1BB089B0" w:rsidR="00ED5964" w:rsidRPr="00500EF8" w:rsidRDefault="00ED5964" w:rsidP="00ED5964">
      <w:pPr>
        <w:jc w:val="both"/>
        <w:rPr>
          <w:rFonts w:ascii="Arial" w:hAnsi="Arial" w:cs="Arial"/>
          <w:sz w:val="28"/>
          <w:szCs w:val="28"/>
        </w:rPr>
      </w:pPr>
      <w:r w:rsidRPr="00500EF8">
        <w:rPr>
          <w:rFonts w:ascii="Arial" w:hAnsi="Arial" w:cs="Arial"/>
          <w:sz w:val="28"/>
          <w:szCs w:val="28"/>
        </w:rPr>
        <w:t xml:space="preserve">Module Code: </w:t>
      </w:r>
      <w:r w:rsidR="00500EF8" w:rsidRPr="00500EF8">
        <w:rPr>
          <w:rFonts w:ascii="Arial" w:hAnsi="Arial" w:cs="Arial"/>
          <w:sz w:val="28"/>
          <w:szCs w:val="28"/>
        </w:rPr>
        <w:t>LCHS4001</w:t>
      </w:r>
    </w:p>
    <w:p w14:paraId="4EEB2DA3" w14:textId="45444DE0" w:rsidR="00ED5964" w:rsidRPr="00500EF8" w:rsidRDefault="00ED5964" w:rsidP="00ED5964">
      <w:pPr>
        <w:jc w:val="both"/>
        <w:rPr>
          <w:rFonts w:ascii="Arial" w:hAnsi="Arial" w:cs="Arial"/>
          <w:sz w:val="28"/>
          <w:szCs w:val="28"/>
        </w:rPr>
      </w:pPr>
      <w:r w:rsidRPr="00500EF8">
        <w:rPr>
          <w:rFonts w:ascii="Arial" w:hAnsi="Arial" w:cs="Arial"/>
          <w:sz w:val="28"/>
          <w:szCs w:val="28"/>
        </w:rPr>
        <w:t xml:space="preserve">Module: </w:t>
      </w:r>
      <w:r w:rsidR="00500EF8" w:rsidRPr="00500EF8">
        <w:rPr>
          <w:rFonts w:ascii="Arial" w:hAnsi="Arial" w:cs="Arial"/>
          <w:sz w:val="28"/>
          <w:szCs w:val="28"/>
        </w:rPr>
        <w:t xml:space="preserve">Academic and Employability Skills </w:t>
      </w:r>
    </w:p>
    <w:p w14:paraId="112342CB" w14:textId="276549C1" w:rsidR="00ED5964" w:rsidRPr="00500EF8" w:rsidRDefault="00ED5964" w:rsidP="00ED5964">
      <w:pPr>
        <w:jc w:val="both"/>
        <w:rPr>
          <w:rFonts w:ascii="Arial" w:hAnsi="Arial" w:cs="Arial"/>
          <w:sz w:val="28"/>
          <w:szCs w:val="28"/>
        </w:rPr>
      </w:pPr>
      <w:r w:rsidRPr="00500EF8">
        <w:rPr>
          <w:rFonts w:ascii="Arial" w:hAnsi="Arial" w:cs="Arial"/>
          <w:sz w:val="28"/>
          <w:szCs w:val="28"/>
        </w:rPr>
        <w:t xml:space="preserve">Lecturer: </w:t>
      </w:r>
      <w:r w:rsidR="00500EF8" w:rsidRPr="00500EF8">
        <w:rPr>
          <w:rFonts w:ascii="Arial" w:hAnsi="Arial" w:cs="Arial"/>
          <w:sz w:val="28"/>
          <w:szCs w:val="28"/>
        </w:rPr>
        <w:t>Daniel</w:t>
      </w:r>
    </w:p>
    <w:p w14:paraId="78C0B80E" w14:textId="77777777" w:rsidR="00ED5964" w:rsidRPr="00500EF8" w:rsidRDefault="00ED5964" w:rsidP="00ED5964">
      <w:pPr>
        <w:jc w:val="both"/>
        <w:rPr>
          <w:rFonts w:ascii="Arial" w:hAnsi="Arial" w:cs="Arial"/>
          <w:sz w:val="28"/>
          <w:szCs w:val="28"/>
        </w:rPr>
      </w:pPr>
    </w:p>
    <w:p w14:paraId="0C6F95D6" w14:textId="77777777" w:rsidR="00ED5964" w:rsidRPr="00500EF8" w:rsidRDefault="00ED5964" w:rsidP="00ED5964">
      <w:pPr>
        <w:jc w:val="both"/>
        <w:rPr>
          <w:rFonts w:ascii="Arial" w:hAnsi="Arial" w:cs="Arial"/>
          <w:sz w:val="28"/>
          <w:szCs w:val="28"/>
        </w:rPr>
      </w:pPr>
    </w:p>
    <w:p w14:paraId="71D7459F" w14:textId="77777777" w:rsidR="00ED5964" w:rsidRPr="00500EF8" w:rsidRDefault="00ED5964" w:rsidP="00ED5964">
      <w:pPr>
        <w:jc w:val="both"/>
        <w:rPr>
          <w:rFonts w:ascii="Arial" w:hAnsi="Arial" w:cs="Arial"/>
          <w:sz w:val="28"/>
          <w:szCs w:val="28"/>
        </w:rPr>
      </w:pPr>
    </w:p>
    <w:p w14:paraId="38621A58" w14:textId="77777777" w:rsidR="00ED5964" w:rsidRPr="00500EF8" w:rsidRDefault="00ED5964" w:rsidP="00ED5964">
      <w:pPr>
        <w:jc w:val="both"/>
        <w:rPr>
          <w:rFonts w:ascii="Arial" w:hAnsi="Arial" w:cs="Arial"/>
          <w:sz w:val="28"/>
          <w:szCs w:val="28"/>
        </w:rPr>
      </w:pPr>
    </w:p>
    <w:p w14:paraId="6988A1DC" w14:textId="77777777" w:rsidR="00ED5964" w:rsidRPr="00500EF8" w:rsidRDefault="00ED5964" w:rsidP="00ED5964">
      <w:pPr>
        <w:jc w:val="both"/>
        <w:rPr>
          <w:rFonts w:ascii="Arial" w:hAnsi="Arial" w:cs="Arial"/>
          <w:sz w:val="28"/>
          <w:szCs w:val="28"/>
        </w:rPr>
      </w:pPr>
    </w:p>
    <w:p w14:paraId="25C114EE" w14:textId="77777777" w:rsidR="00ED5964" w:rsidRPr="00500EF8" w:rsidRDefault="00ED5964" w:rsidP="00ED5964">
      <w:pPr>
        <w:jc w:val="both"/>
        <w:rPr>
          <w:rFonts w:ascii="Arial" w:hAnsi="Arial" w:cs="Arial"/>
          <w:sz w:val="28"/>
          <w:szCs w:val="28"/>
        </w:rPr>
      </w:pPr>
    </w:p>
    <w:p w14:paraId="4A73B1BE" w14:textId="77777777" w:rsidR="00ED5964" w:rsidRPr="00500EF8" w:rsidRDefault="00ED5964" w:rsidP="00ED5964">
      <w:pPr>
        <w:jc w:val="both"/>
        <w:rPr>
          <w:rFonts w:ascii="Arial" w:hAnsi="Arial" w:cs="Arial"/>
          <w:sz w:val="28"/>
          <w:szCs w:val="28"/>
        </w:rPr>
      </w:pPr>
    </w:p>
    <w:p w14:paraId="072506E1" w14:textId="1227C7B6" w:rsidR="00ED5964" w:rsidRPr="00500EF8" w:rsidRDefault="00ED5964" w:rsidP="00ED5964">
      <w:pPr>
        <w:jc w:val="both"/>
        <w:rPr>
          <w:rFonts w:ascii="Arial" w:hAnsi="Arial" w:cs="Arial"/>
          <w:sz w:val="28"/>
          <w:szCs w:val="28"/>
        </w:rPr>
      </w:pPr>
      <w:r w:rsidRPr="00500EF8">
        <w:rPr>
          <w:rFonts w:ascii="Arial" w:hAnsi="Arial" w:cs="Arial"/>
          <w:sz w:val="28"/>
          <w:szCs w:val="28"/>
        </w:rPr>
        <w:t xml:space="preserve">Submitted on:  </w:t>
      </w:r>
      <w:r w:rsidR="00500EF8" w:rsidRPr="00500EF8">
        <w:rPr>
          <w:rFonts w:ascii="Arial" w:hAnsi="Arial" w:cs="Arial"/>
          <w:sz w:val="28"/>
          <w:szCs w:val="28"/>
        </w:rPr>
        <w:t>20</w:t>
      </w:r>
      <w:r w:rsidR="00500EF8" w:rsidRPr="00500EF8">
        <w:rPr>
          <w:rFonts w:ascii="Arial" w:hAnsi="Arial" w:cs="Arial"/>
          <w:sz w:val="28"/>
          <w:szCs w:val="28"/>
          <w:vertAlign w:val="superscript"/>
        </w:rPr>
        <w:t>th</w:t>
      </w:r>
      <w:r w:rsidR="00500EF8" w:rsidRPr="00500EF8">
        <w:rPr>
          <w:rFonts w:ascii="Arial" w:hAnsi="Arial" w:cs="Arial"/>
          <w:sz w:val="28"/>
          <w:szCs w:val="28"/>
        </w:rPr>
        <w:t xml:space="preserve"> November 2025</w:t>
      </w:r>
    </w:p>
    <w:p w14:paraId="3C6FB008" w14:textId="77777777" w:rsidR="00ED5964" w:rsidRPr="007A1906" w:rsidRDefault="00ED5964" w:rsidP="00ED5964">
      <w:pPr>
        <w:jc w:val="both"/>
        <w:rPr>
          <w:rFonts w:cs="Segoe UI"/>
          <w:sz w:val="28"/>
          <w:szCs w:val="28"/>
        </w:rPr>
      </w:pPr>
    </w:p>
    <w:p w14:paraId="3EA711CF" w14:textId="77777777" w:rsidR="00ED5964" w:rsidRPr="007A1906" w:rsidRDefault="00ED5964" w:rsidP="00ED5964">
      <w:pPr>
        <w:jc w:val="both"/>
        <w:rPr>
          <w:rFonts w:cs="Segoe UI"/>
          <w:sz w:val="28"/>
          <w:szCs w:val="28"/>
        </w:rPr>
      </w:pPr>
    </w:p>
    <w:p w14:paraId="32C3A4F9" w14:textId="77777777" w:rsidR="00ED5964" w:rsidRPr="007A1906" w:rsidRDefault="00ED5964" w:rsidP="00ED5964">
      <w:pPr>
        <w:jc w:val="both"/>
        <w:rPr>
          <w:rFonts w:cs="Segoe UI"/>
          <w:sz w:val="28"/>
          <w:szCs w:val="28"/>
        </w:rPr>
      </w:pPr>
    </w:p>
    <w:p w14:paraId="1434F2B1" w14:textId="77777777" w:rsidR="00ED5964" w:rsidRPr="007A1906" w:rsidRDefault="00ED5964" w:rsidP="00ED5964">
      <w:pPr>
        <w:jc w:val="both"/>
        <w:rPr>
          <w:rFonts w:cs="Segoe UI"/>
          <w:sz w:val="28"/>
          <w:szCs w:val="28"/>
        </w:rPr>
      </w:pPr>
    </w:p>
    <w:p w14:paraId="4F979E62" w14:textId="77777777" w:rsidR="00ED5964" w:rsidRPr="007A1906" w:rsidRDefault="00ED5964" w:rsidP="00ED5964">
      <w:pPr>
        <w:jc w:val="both"/>
        <w:rPr>
          <w:rFonts w:cs="Segoe UI"/>
          <w:sz w:val="28"/>
          <w:szCs w:val="28"/>
        </w:rPr>
      </w:pPr>
    </w:p>
    <w:p w14:paraId="4180CDBC" w14:textId="77777777" w:rsidR="00ED5964" w:rsidRPr="007A1906" w:rsidRDefault="00ED5964" w:rsidP="00ED5964">
      <w:pPr>
        <w:jc w:val="both"/>
        <w:rPr>
          <w:rFonts w:cs="Segoe UI"/>
          <w:sz w:val="28"/>
          <w:szCs w:val="28"/>
        </w:rPr>
      </w:pPr>
    </w:p>
    <w:sdt>
      <w:sdtPr>
        <w:rPr>
          <w:rFonts w:eastAsiaTheme="minorEastAsia" w:cs="Segoe U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500EF8" w:rsidRDefault="00184A9A">
          <w:pPr>
            <w:pStyle w:val="TOCHeading"/>
            <w:rPr>
              <w:rFonts w:ascii="Arial" w:hAnsi="Arial" w:cs="Arial"/>
              <w:color w:val="4472C4" w:themeColor="accent1"/>
              <w:sz w:val="32"/>
              <w:szCs w:val="32"/>
            </w:rPr>
          </w:pPr>
          <w:r w:rsidRPr="00500EF8">
            <w:rPr>
              <w:rFonts w:ascii="Arial" w:hAnsi="Arial" w:cs="Arial"/>
              <w:color w:val="4472C4" w:themeColor="accent1"/>
              <w:sz w:val="32"/>
              <w:szCs w:val="32"/>
            </w:rPr>
            <w:t>Table of Contents</w:t>
          </w:r>
        </w:p>
        <w:p w14:paraId="47836CD8" w14:textId="3C22A317" w:rsidR="00183CB9" w:rsidRPr="00500EF8" w:rsidRDefault="00184A9A">
          <w:pPr>
            <w:pStyle w:val="TOC1"/>
            <w:tabs>
              <w:tab w:val="right" w:leader="dot" w:pos="9016"/>
            </w:tabs>
            <w:rPr>
              <w:rFonts w:ascii="Arial" w:hAnsi="Arial" w:cs="Arial"/>
              <w:b w:val="0"/>
              <w:bCs w:val="0"/>
              <w:i w:val="0"/>
              <w:iCs w:val="0"/>
              <w:noProof/>
              <w:sz w:val="28"/>
              <w:szCs w:val="28"/>
            </w:rPr>
          </w:pPr>
          <w:r w:rsidRPr="007A1906">
            <w:rPr>
              <w:rFonts w:cs="Segoe UI"/>
              <w:b w:val="0"/>
              <w:bCs w:val="0"/>
            </w:rPr>
            <w:fldChar w:fldCharType="begin"/>
          </w:r>
          <w:r w:rsidRPr="007A1906">
            <w:rPr>
              <w:rFonts w:cs="Segoe UI"/>
            </w:rPr>
            <w:instrText xml:space="preserve"> TOC \o "1-3" \h \z \u </w:instrText>
          </w:r>
          <w:r w:rsidRPr="007A1906">
            <w:rPr>
              <w:rFonts w:cs="Segoe UI"/>
              <w:b w:val="0"/>
              <w:bCs w:val="0"/>
            </w:rPr>
            <w:fldChar w:fldCharType="separate"/>
          </w:r>
          <w:hyperlink w:anchor="_Toc212100517" w:history="1">
            <w:r w:rsidR="00183CB9" w:rsidRPr="00500EF8">
              <w:rPr>
                <w:rStyle w:val="Hyperlink"/>
                <w:rFonts w:ascii="Arial" w:hAnsi="Arial" w:cs="Arial"/>
                <w:noProof/>
                <w:sz w:val="28"/>
                <w:szCs w:val="28"/>
              </w:rPr>
              <w:t>1: Written Report</w:t>
            </w:r>
            <w:r w:rsidR="00183CB9" w:rsidRPr="00500EF8">
              <w:rPr>
                <w:rFonts w:ascii="Arial" w:hAnsi="Arial" w:cs="Arial"/>
                <w:noProof/>
                <w:webHidden/>
                <w:sz w:val="28"/>
                <w:szCs w:val="28"/>
              </w:rPr>
              <w:tab/>
            </w:r>
            <w:r w:rsidR="00183CB9" w:rsidRPr="00500EF8">
              <w:rPr>
                <w:rFonts w:ascii="Arial" w:hAnsi="Arial" w:cs="Arial"/>
                <w:noProof/>
                <w:webHidden/>
                <w:sz w:val="28"/>
                <w:szCs w:val="28"/>
              </w:rPr>
              <w:fldChar w:fldCharType="begin"/>
            </w:r>
            <w:r w:rsidR="00183CB9" w:rsidRPr="00500EF8">
              <w:rPr>
                <w:rFonts w:ascii="Arial" w:hAnsi="Arial" w:cs="Arial"/>
                <w:noProof/>
                <w:webHidden/>
                <w:sz w:val="28"/>
                <w:szCs w:val="28"/>
              </w:rPr>
              <w:instrText xml:space="preserve"> PAGEREF _Toc212100517 \h </w:instrText>
            </w:r>
            <w:r w:rsidR="00183CB9" w:rsidRPr="00500EF8">
              <w:rPr>
                <w:rFonts w:ascii="Arial" w:hAnsi="Arial" w:cs="Arial"/>
                <w:noProof/>
                <w:webHidden/>
                <w:sz w:val="28"/>
                <w:szCs w:val="28"/>
              </w:rPr>
            </w:r>
            <w:r w:rsidR="00183CB9" w:rsidRPr="00500EF8">
              <w:rPr>
                <w:rFonts w:ascii="Arial" w:hAnsi="Arial" w:cs="Arial"/>
                <w:noProof/>
                <w:webHidden/>
                <w:sz w:val="28"/>
                <w:szCs w:val="28"/>
              </w:rPr>
              <w:fldChar w:fldCharType="separate"/>
            </w:r>
            <w:r w:rsidR="00183CB9" w:rsidRPr="00500EF8">
              <w:rPr>
                <w:rFonts w:ascii="Arial" w:hAnsi="Arial" w:cs="Arial"/>
                <w:noProof/>
                <w:webHidden/>
                <w:sz w:val="28"/>
                <w:szCs w:val="28"/>
              </w:rPr>
              <w:t>3</w:t>
            </w:r>
            <w:r w:rsidR="00183CB9" w:rsidRPr="00500EF8">
              <w:rPr>
                <w:rFonts w:ascii="Arial" w:hAnsi="Arial" w:cs="Arial"/>
                <w:noProof/>
                <w:webHidden/>
                <w:sz w:val="28"/>
                <w:szCs w:val="28"/>
              </w:rPr>
              <w:fldChar w:fldCharType="end"/>
            </w:r>
          </w:hyperlink>
        </w:p>
        <w:p w14:paraId="17F37CB4" w14:textId="41DF4631" w:rsidR="00183CB9" w:rsidRPr="00500EF8" w:rsidRDefault="00183CB9">
          <w:pPr>
            <w:pStyle w:val="TOC2"/>
            <w:tabs>
              <w:tab w:val="right" w:leader="dot" w:pos="9016"/>
            </w:tabs>
            <w:rPr>
              <w:rFonts w:ascii="Arial" w:hAnsi="Arial" w:cs="Arial"/>
              <w:b w:val="0"/>
              <w:bCs w:val="0"/>
              <w:noProof/>
              <w:sz w:val="28"/>
              <w:szCs w:val="28"/>
            </w:rPr>
          </w:pPr>
          <w:hyperlink w:anchor="_Toc212100518" w:history="1">
            <w:r w:rsidRPr="00500EF8">
              <w:rPr>
                <w:rStyle w:val="Hyperlink"/>
                <w:rFonts w:ascii="Arial" w:hAnsi="Arial" w:cs="Arial"/>
                <w:noProof/>
                <w:sz w:val="28"/>
                <w:szCs w:val="28"/>
              </w:rPr>
              <w:t>1.1 Introduction</w:t>
            </w:r>
            <w:r w:rsidRPr="00500EF8">
              <w:rPr>
                <w:rFonts w:ascii="Arial" w:hAnsi="Arial" w:cs="Arial"/>
                <w:noProof/>
                <w:webHidden/>
                <w:sz w:val="28"/>
                <w:szCs w:val="28"/>
              </w:rPr>
              <w:tab/>
            </w:r>
            <w:r w:rsidRPr="00500EF8">
              <w:rPr>
                <w:rFonts w:ascii="Arial" w:hAnsi="Arial" w:cs="Arial"/>
                <w:noProof/>
                <w:webHidden/>
                <w:sz w:val="28"/>
                <w:szCs w:val="28"/>
              </w:rPr>
              <w:fldChar w:fldCharType="begin"/>
            </w:r>
            <w:r w:rsidRPr="00500EF8">
              <w:rPr>
                <w:rFonts w:ascii="Arial" w:hAnsi="Arial" w:cs="Arial"/>
                <w:noProof/>
                <w:webHidden/>
                <w:sz w:val="28"/>
                <w:szCs w:val="28"/>
              </w:rPr>
              <w:instrText xml:space="preserve"> PAGEREF _Toc212100518 \h </w:instrText>
            </w:r>
            <w:r w:rsidRPr="00500EF8">
              <w:rPr>
                <w:rFonts w:ascii="Arial" w:hAnsi="Arial" w:cs="Arial"/>
                <w:noProof/>
                <w:webHidden/>
                <w:sz w:val="28"/>
                <w:szCs w:val="28"/>
              </w:rPr>
            </w:r>
            <w:r w:rsidRPr="00500EF8">
              <w:rPr>
                <w:rFonts w:ascii="Arial" w:hAnsi="Arial" w:cs="Arial"/>
                <w:noProof/>
                <w:webHidden/>
                <w:sz w:val="28"/>
                <w:szCs w:val="28"/>
              </w:rPr>
              <w:fldChar w:fldCharType="separate"/>
            </w:r>
            <w:r w:rsidRPr="00500EF8">
              <w:rPr>
                <w:rFonts w:ascii="Arial" w:hAnsi="Arial" w:cs="Arial"/>
                <w:noProof/>
                <w:webHidden/>
                <w:sz w:val="28"/>
                <w:szCs w:val="28"/>
              </w:rPr>
              <w:t>3</w:t>
            </w:r>
            <w:r w:rsidRPr="00500EF8">
              <w:rPr>
                <w:rFonts w:ascii="Arial" w:hAnsi="Arial" w:cs="Arial"/>
                <w:noProof/>
                <w:webHidden/>
                <w:sz w:val="28"/>
                <w:szCs w:val="28"/>
              </w:rPr>
              <w:fldChar w:fldCharType="end"/>
            </w:r>
          </w:hyperlink>
        </w:p>
        <w:p w14:paraId="7303BDE2" w14:textId="34D98162" w:rsidR="00183CB9" w:rsidRPr="00500EF8" w:rsidRDefault="00183CB9">
          <w:pPr>
            <w:pStyle w:val="TOC2"/>
            <w:tabs>
              <w:tab w:val="right" w:leader="dot" w:pos="9016"/>
            </w:tabs>
            <w:rPr>
              <w:rFonts w:ascii="Arial" w:hAnsi="Arial" w:cs="Arial"/>
              <w:b w:val="0"/>
              <w:bCs w:val="0"/>
              <w:noProof/>
              <w:sz w:val="28"/>
              <w:szCs w:val="28"/>
            </w:rPr>
          </w:pPr>
          <w:hyperlink w:anchor="_Toc212100519" w:history="1">
            <w:r w:rsidRPr="00500EF8">
              <w:rPr>
                <w:rStyle w:val="Hyperlink"/>
                <w:rFonts w:ascii="Arial" w:hAnsi="Arial" w:cs="Arial"/>
                <w:noProof/>
                <w:sz w:val="28"/>
                <w:szCs w:val="28"/>
              </w:rPr>
              <w:t xml:space="preserve">1.2 Description of, and background to, </w:t>
            </w:r>
            <w:r w:rsidR="00FE2798">
              <w:rPr>
                <w:rStyle w:val="Hyperlink"/>
                <w:rFonts w:ascii="Arial" w:hAnsi="Arial" w:cs="Arial"/>
                <w:noProof/>
                <w:sz w:val="28"/>
                <w:szCs w:val="28"/>
              </w:rPr>
              <w:t>Midwifery</w:t>
            </w:r>
            <w:r w:rsidRPr="00500EF8">
              <w:rPr>
                <w:rStyle w:val="Hyperlink"/>
                <w:rFonts w:ascii="Arial" w:hAnsi="Arial" w:cs="Arial"/>
                <w:noProof/>
                <w:sz w:val="28"/>
                <w:szCs w:val="28"/>
              </w:rPr>
              <w:t xml:space="preserve"> in Healthcare</w:t>
            </w:r>
            <w:r w:rsidRPr="00500EF8">
              <w:rPr>
                <w:rFonts w:ascii="Arial" w:hAnsi="Arial" w:cs="Arial"/>
                <w:noProof/>
                <w:webHidden/>
                <w:sz w:val="28"/>
                <w:szCs w:val="28"/>
              </w:rPr>
              <w:tab/>
            </w:r>
            <w:r w:rsidRPr="00500EF8">
              <w:rPr>
                <w:rFonts w:ascii="Arial" w:hAnsi="Arial" w:cs="Arial"/>
                <w:noProof/>
                <w:webHidden/>
                <w:sz w:val="28"/>
                <w:szCs w:val="28"/>
              </w:rPr>
              <w:fldChar w:fldCharType="begin"/>
            </w:r>
            <w:r w:rsidRPr="00500EF8">
              <w:rPr>
                <w:rFonts w:ascii="Arial" w:hAnsi="Arial" w:cs="Arial"/>
                <w:noProof/>
                <w:webHidden/>
                <w:sz w:val="28"/>
                <w:szCs w:val="28"/>
              </w:rPr>
              <w:instrText xml:space="preserve"> PAGEREF _Toc212100519 \h </w:instrText>
            </w:r>
            <w:r w:rsidRPr="00500EF8">
              <w:rPr>
                <w:rFonts w:ascii="Arial" w:hAnsi="Arial" w:cs="Arial"/>
                <w:noProof/>
                <w:webHidden/>
                <w:sz w:val="28"/>
                <w:szCs w:val="28"/>
              </w:rPr>
            </w:r>
            <w:r w:rsidRPr="00500EF8">
              <w:rPr>
                <w:rFonts w:ascii="Arial" w:hAnsi="Arial" w:cs="Arial"/>
                <w:noProof/>
                <w:webHidden/>
                <w:sz w:val="28"/>
                <w:szCs w:val="28"/>
              </w:rPr>
              <w:fldChar w:fldCharType="separate"/>
            </w:r>
            <w:r w:rsidRPr="00500EF8">
              <w:rPr>
                <w:rFonts w:ascii="Arial" w:hAnsi="Arial" w:cs="Arial"/>
                <w:noProof/>
                <w:webHidden/>
                <w:sz w:val="28"/>
                <w:szCs w:val="28"/>
              </w:rPr>
              <w:t>3</w:t>
            </w:r>
            <w:r w:rsidRPr="00500EF8">
              <w:rPr>
                <w:rFonts w:ascii="Arial" w:hAnsi="Arial" w:cs="Arial"/>
                <w:noProof/>
                <w:webHidden/>
                <w:sz w:val="28"/>
                <w:szCs w:val="28"/>
              </w:rPr>
              <w:fldChar w:fldCharType="end"/>
            </w:r>
          </w:hyperlink>
        </w:p>
        <w:p w14:paraId="719885A7" w14:textId="1DB26CD7" w:rsidR="00183CB9" w:rsidRPr="00500EF8" w:rsidRDefault="00183CB9">
          <w:pPr>
            <w:pStyle w:val="TOC2"/>
            <w:tabs>
              <w:tab w:val="right" w:leader="dot" w:pos="9016"/>
            </w:tabs>
            <w:rPr>
              <w:rFonts w:ascii="Arial" w:hAnsi="Arial" w:cs="Arial"/>
              <w:b w:val="0"/>
              <w:bCs w:val="0"/>
              <w:noProof/>
              <w:sz w:val="28"/>
              <w:szCs w:val="28"/>
            </w:rPr>
          </w:pPr>
          <w:hyperlink w:anchor="_Toc212100520" w:history="1">
            <w:r w:rsidRPr="00500EF8">
              <w:rPr>
                <w:rStyle w:val="Hyperlink"/>
                <w:rFonts w:ascii="Arial" w:hAnsi="Arial" w:cs="Arial"/>
                <w:noProof/>
                <w:sz w:val="28"/>
                <w:szCs w:val="28"/>
              </w:rPr>
              <w:t xml:space="preserve">1.4 Strategies to improve the skills for </w:t>
            </w:r>
            <w:r w:rsidR="00FE2798">
              <w:rPr>
                <w:rStyle w:val="Hyperlink"/>
                <w:rFonts w:ascii="Arial" w:hAnsi="Arial" w:cs="Arial"/>
                <w:noProof/>
                <w:sz w:val="28"/>
                <w:szCs w:val="28"/>
              </w:rPr>
              <w:t>Midwifery</w:t>
            </w:r>
            <w:r w:rsidRPr="00500EF8">
              <w:rPr>
                <w:rFonts w:ascii="Arial" w:hAnsi="Arial" w:cs="Arial"/>
                <w:noProof/>
                <w:webHidden/>
                <w:sz w:val="28"/>
                <w:szCs w:val="28"/>
              </w:rPr>
              <w:tab/>
            </w:r>
            <w:r w:rsidRPr="00500EF8">
              <w:rPr>
                <w:rFonts w:ascii="Arial" w:hAnsi="Arial" w:cs="Arial"/>
                <w:noProof/>
                <w:webHidden/>
                <w:sz w:val="28"/>
                <w:szCs w:val="28"/>
              </w:rPr>
              <w:fldChar w:fldCharType="begin"/>
            </w:r>
            <w:r w:rsidRPr="00500EF8">
              <w:rPr>
                <w:rFonts w:ascii="Arial" w:hAnsi="Arial" w:cs="Arial"/>
                <w:noProof/>
                <w:webHidden/>
                <w:sz w:val="28"/>
                <w:szCs w:val="28"/>
              </w:rPr>
              <w:instrText xml:space="preserve"> PAGEREF _Toc212100520 \h </w:instrText>
            </w:r>
            <w:r w:rsidRPr="00500EF8">
              <w:rPr>
                <w:rFonts w:ascii="Arial" w:hAnsi="Arial" w:cs="Arial"/>
                <w:noProof/>
                <w:webHidden/>
                <w:sz w:val="28"/>
                <w:szCs w:val="28"/>
              </w:rPr>
            </w:r>
            <w:r w:rsidRPr="00500EF8">
              <w:rPr>
                <w:rFonts w:ascii="Arial" w:hAnsi="Arial" w:cs="Arial"/>
                <w:noProof/>
                <w:webHidden/>
                <w:sz w:val="28"/>
                <w:szCs w:val="28"/>
              </w:rPr>
              <w:fldChar w:fldCharType="separate"/>
            </w:r>
            <w:r w:rsidRPr="00500EF8">
              <w:rPr>
                <w:rFonts w:ascii="Arial" w:hAnsi="Arial" w:cs="Arial"/>
                <w:noProof/>
                <w:webHidden/>
                <w:sz w:val="28"/>
                <w:szCs w:val="28"/>
              </w:rPr>
              <w:t>3</w:t>
            </w:r>
            <w:r w:rsidRPr="00500EF8">
              <w:rPr>
                <w:rFonts w:ascii="Arial" w:hAnsi="Arial" w:cs="Arial"/>
                <w:noProof/>
                <w:webHidden/>
                <w:sz w:val="28"/>
                <w:szCs w:val="28"/>
              </w:rPr>
              <w:fldChar w:fldCharType="end"/>
            </w:r>
          </w:hyperlink>
        </w:p>
        <w:p w14:paraId="034C4FEF" w14:textId="6268BF45" w:rsidR="00183CB9" w:rsidRPr="00500EF8" w:rsidRDefault="00183CB9">
          <w:pPr>
            <w:pStyle w:val="TOC2"/>
            <w:tabs>
              <w:tab w:val="right" w:leader="dot" w:pos="9016"/>
            </w:tabs>
            <w:rPr>
              <w:rFonts w:ascii="Arial" w:hAnsi="Arial" w:cs="Arial"/>
              <w:b w:val="0"/>
              <w:bCs w:val="0"/>
              <w:noProof/>
              <w:sz w:val="28"/>
              <w:szCs w:val="28"/>
            </w:rPr>
          </w:pPr>
          <w:hyperlink w:anchor="_Toc212100521" w:history="1">
            <w:r w:rsidRPr="00500EF8">
              <w:rPr>
                <w:rStyle w:val="Hyperlink"/>
                <w:rFonts w:ascii="Arial" w:hAnsi="Arial" w:cs="Arial"/>
                <w:noProof/>
                <w:sz w:val="28"/>
                <w:szCs w:val="28"/>
              </w:rPr>
              <w:t>1.4 Conclusion</w:t>
            </w:r>
            <w:r w:rsidRPr="00500EF8">
              <w:rPr>
                <w:rFonts w:ascii="Arial" w:hAnsi="Arial" w:cs="Arial"/>
                <w:noProof/>
                <w:webHidden/>
                <w:sz w:val="28"/>
                <w:szCs w:val="28"/>
              </w:rPr>
              <w:tab/>
            </w:r>
            <w:r w:rsidRPr="00500EF8">
              <w:rPr>
                <w:rFonts w:ascii="Arial" w:hAnsi="Arial" w:cs="Arial"/>
                <w:noProof/>
                <w:webHidden/>
                <w:sz w:val="28"/>
                <w:szCs w:val="28"/>
              </w:rPr>
              <w:fldChar w:fldCharType="begin"/>
            </w:r>
            <w:r w:rsidRPr="00500EF8">
              <w:rPr>
                <w:rFonts w:ascii="Arial" w:hAnsi="Arial" w:cs="Arial"/>
                <w:noProof/>
                <w:webHidden/>
                <w:sz w:val="28"/>
                <w:szCs w:val="28"/>
              </w:rPr>
              <w:instrText xml:space="preserve"> PAGEREF _Toc212100521 \h </w:instrText>
            </w:r>
            <w:r w:rsidRPr="00500EF8">
              <w:rPr>
                <w:rFonts w:ascii="Arial" w:hAnsi="Arial" w:cs="Arial"/>
                <w:noProof/>
                <w:webHidden/>
                <w:sz w:val="28"/>
                <w:szCs w:val="28"/>
              </w:rPr>
            </w:r>
            <w:r w:rsidRPr="00500EF8">
              <w:rPr>
                <w:rFonts w:ascii="Arial" w:hAnsi="Arial" w:cs="Arial"/>
                <w:noProof/>
                <w:webHidden/>
                <w:sz w:val="28"/>
                <w:szCs w:val="28"/>
              </w:rPr>
              <w:fldChar w:fldCharType="separate"/>
            </w:r>
            <w:r w:rsidRPr="00500EF8">
              <w:rPr>
                <w:rFonts w:ascii="Arial" w:hAnsi="Arial" w:cs="Arial"/>
                <w:noProof/>
                <w:webHidden/>
                <w:sz w:val="28"/>
                <w:szCs w:val="28"/>
              </w:rPr>
              <w:t>3</w:t>
            </w:r>
            <w:r w:rsidRPr="00500EF8">
              <w:rPr>
                <w:rFonts w:ascii="Arial" w:hAnsi="Arial" w:cs="Arial"/>
                <w:noProof/>
                <w:webHidden/>
                <w:sz w:val="28"/>
                <w:szCs w:val="28"/>
              </w:rPr>
              <w:fldChar w:fldCharType="end"/>
            </w:r>
          </w:hyperlink>
        </w:p>
        <w:p w14:paraId="21A32578" w14:textId="02BCFD41" w:rsidR="00183CB9" w:rsidRPr="00500EF8" w:rsidRDefault="00183CB9">
          <w:pPr>
            <w:pStyle w:val="TOC2"/>
            <w:tabs>
              <w:tab w:val="right" w:leader="dot" w:pos="9016"/>
            </w:tabs>
            <w:rPr>
              <w:rFonts w:ascii="Arial" w:hAnsi="Arial" w:cs="Arial"/>
              <w:b w:val="0"/>
              <w:bCs w:val="0"/>
              <w:noProof/>
              <w:sz w:val="28"/>
              <w:szCs w:val="28"/>
            </w:rPr>
          </w:pPr>
          <w:hyperlink w:anchor="_Toc212100522" w:history="1">
            <w:r w:rsidRPr="00500EF8">
              <w:rPr>
                <w:rStyle w:val="Hyperlink"/>
                <w:rFonts w:ascii="Arial" w:hAnsi="Arial" w:cs="Arial"/>
                <w:noProof/>
                <w:sz w:val="28"/>
                <w:szCs w:val="28"/>
              </w:rPr>
              <w:t>1.5 Reference List</w:t>
            </w:r>
            <w:r w:rsidRPr="00500EF8">
              <w:rPr>
                <w:rFonts w:ascii="Arial" w:hAnsi="Arial" w:cs="Arial"/>
                <w:noProof/>
                <w:webHidden/>
                <w:sz w:val="28"/>
                <w:szCs w:val="28"/>
              </w:rPr>
              <w:tab/>
            </w:r>
            <w:r w:rsidRPr="00500EF8">
              <w:rPr>
                <w:rFonts w:ascii="Arial" w:hAnsi="Arial" w:cs="Arial"/>
                <w:noProof/>
                <w:webHidden/>
                <w:sz w:val="28"/>
                <w:szCs w:val="28"/>
              </w:rPr>
              <w:fldChar w:fldCharType="begin"/>
            </w:r>
            <w:r w:rsidRPr="00500EF8">
              <w:rPr>
                <w:rFonts w:ascii="Arial" w:hAnsi="Arial" w:cs="Arial"/>
                <w:noProof/>
                <w:webHidden/>
                <w:sz w:val="28"/>
                <w:szCs w:val="28"/>
              </w:rPr>
              <w:instrText xml:space="preserve"> PAGEREF _Toc212100522 \h </w:instrText>
            </w:r>
            <w:r w:rsidRPr="00500EF8">
              <w:rPr>
                <w:rFonts w:ascii="Arial" w:hAnsi="Arial" w:cs="Arial"/>
                <w:noProof/>
                <w:webHidden/>
                <w:sz w:val="28"/>
                <w:szCs w:val="28"/>
              </w:rPr>
            </w:r>
            <w:r w:rsidRPr="00500EF8">
              <w:rPr>
                <w:rFonts w:ascii="Arial" w:hAnsi="Arial" w:cs="Arial"/>
                <w:noProof/>
                <w:webHidden/>
                <w:sz w:val="28"/>
                <w:szCs w:val="28"/>
              </w:rPr>
              <w:fldChar w:fldCharType="separate"/>
            </w:r>
            <w:r w:rsidRPr="00500EF8">
              <w:rPr>
                <w:rFonts w:ascii="Arial" w:hAnsi="Arial" w:cs="Arial"/>
                <w:noProof/>
                <w:webHidden/>
                <w:sz w:val="28"/>
                <w:szCs w:val="28"/>
              </w:rPr>
              <w:t>4</w:t>
            </w:r>
            <w:r w:rsidRPr="00500EF8">
              <w:rPr>
                <w:rFonts w:ascii="Arial" w:hAnsi="Arial" w:cs="Arial"/>
                <w:noProof/>
                <w:webHidden/>
                <w:sz w:val="28"/>
                <w:szCs w:val="28"/>
              </w:rPr>
              <w:fldChar w:fldCharType="end"/>
            </w:r>
          </w:hyperlink>
        </w:p>
        <w:p w14:paraId="6138A55F" w14:textId="0AE1356E" w:rsidR="00184A9A" w:rsidRPr="007A1906" w:rsidRDefault="00184A9A">
          <w:pPr>
            <w:rPr>
              <w:rFonts w:cs="Segoe UI"/>
            </w:rPr>
          </w:pPr>
          <w:r w:rsidRPr="007A1906">
            <w:rPr>
              <w:rFonts w:cs="Segoe UI"/>
              <w:b/>
              <w:bCs/>
              <w:noProof/>
            </w:rPr>
            <w:fldChar w:fldCharType="end"/>
          </w:r>
        </w:p>
      </w:sdtContent>
    </w:sdt>
    <w:p w14:paraId="4A159F97" w14:textId="77777777" w:rsidR="00ED5964" w:rsidRPr="007A1906" w:rsidRDefault="00ED5964" w:rsidP="00ED5964">
      <w:pPr>
        <w:jc w:val="both"/>
        <w:rPr>
          <w:rFonts w:cs="Segoe UI"/>
          <w:b/>
          <w:bCs/>
          <w:sz w:val="28"/>
          <w:szCs w:val="28"/>
        </w:rPr>
      </w:pPr>
    </w:p>
    <w:p w14:paraId="09E24E55" w14:textId="77777777" w:rsidR="00ED5964" w:rsidRPr="007A1906" w:rsidRDefault="00ED5964" w:rsidP="00ED5964">
      <w:pPr>
        <w:jc w:val="both"/>
        <w:rPr>
          <w:rFonts w:cs="Segoe UI"/>
          <w:b/>
          <w:bCs/>
          <w:sz w:val="28"/>
          <w:szCs w:val="28"/>
        </w:rPr>
      </w:pPr>
    </w:p>
    <w:p w14:paraId="40BC340F" w14:textId="77777777" w:rsidR="00ED5964" w:rsidRPr="007A1906" w:rsidRDefault="00ED5964" w:rsidP="00ED5964">
      <w:pPr>
        <w:jc w:val="both"/>
        <w:rPr>
          <w:rFonts w:cs="Segoe UI"/>
          <w:b/>
          <w:bCs/>
          <w:sz w:val="28"/>
          <w:szCs w:val="28"/>
        </w:rPr>
      </w:pPr>
    </w:p>
    <w:p w14:paraId="41A63835" w14:textId="77777777" w:rsidR="00ED5964" w:rsidRPr="007A1906" w:rsidRDefault="00ED5964" w:rsidP="00ED5964">
      <w:pPr>
        <w:jc w:val="both"/>
        <w:rPr>
          <w:rFonts w:cs="Segoe UI"/>
          <w:b/>
          <w:bCs/>
          <w:sz w:val="28"/>
          <w:szCs w:val="28"/>
        </w:rPr>
      </w:pPr>
    </w:p>
    <w:p w14:paraId="123865CA" w14:textId="77777777" w:rsidR="00ED5964" w:rsidRPr="007A1906" w:rsidRDefault="00ED5964" w:rsidP="00ED5964">
      <w:pPr>
        <w:jc w:val="both"/>
        <w:rPr>
          <w:rFonts w:cs="Segoe UI"/>
          <w:b/>
          <w:bCs/>
          <w:sz w:val="28"/>
          <w:szCs w:val="28"/>
        </w:rPr>
      </w:pPr>
    </w:p>
    <w:p w14:paraId="2A21042D" w14:textId="77777777" w:rsidR="00ED5964" w:rsidRPr="007A1906" w:rsidRDefault="00ED5964" w:rsidP="00ED5964">
      <w:pPr>
        <w:jc w:val="both"/>
        <w:rPr>
          <w:rFonts w:cs="Segoe UI"/>
          <w:b/>
          <w:bCs/>
          <w:sz w:val="28"/>
          <w:szCs w:val="28"/>
        </w:rPr>
      </w:pPr>
    </w:p>
    <w:p w14:paraId="48382F67" w14:textId="77777777" w:rsidR="00ED5964" w:rsidRPr="007A1906" w:rsidRDefault="00ED5964" w:rsidP="00ED5964">
      <w:pPr>
        <w:jc w:val="both"/>
        <w:rPr>
          <w:rFonts w:cs="Segoe UI"/>
          <w:b/>
          <w:bCs/>
          <w:sz w:val="28"/>
          <w:szCs w:val="28"/>
        </w:rPr>
      </w:pPr>
    </w:p>
    <w:p w14:paraId="6A057EFD" w14:textId="77777777" w:rsidR="00ED5964" w:rsidRPr="007A1906" w:rsidRDefault="00ED5964" w:rsidP="00ED5964">
      <w:pPr>
        <w:jc w:val="both"/>
        <w:rPr>
          <w:rFonts w:cs="Segoe UI"/>
          <w:b/>
          <w:bCs/>
          <w:sz w:val="28"/>
          <w:szCs w:val="28"/>
        </w:rPr>
      </w:pPr>
    </w:p>
    <w:p w14:paraId="55078F3B" w14:textId="77777777" w:rsidR="00ED5964" w:rsidRPr="007A1906" w:rsidRDefault="00ED5964" w:rsidP="00ED5964">
      <w:pPr>
        <w:jc w:val="both"/>
        <w:rPr>
          <w:rFonts w:cs="Segoe UI"/>
          <w:b/>
          <w:bCs/>
          <w:sz w:val="28"/>
          <w:szCs w:val="28"/>
        </w:rPr>
      </w:pPr>
    </w:p>
    <w:p w14:paraId="4CEF6B46" w14:textId="77777777" w:rsidR="005709B1" w:rsidRPr="007A1906" w:rsidRDefault="005709B1" w:rsidP="005709B1">
      <w:pPr>
        <w:rPr>
          <w:rFonts w:cs="Segoe UI"/>
        </w:rPr>
      </w:pPr>
    </w:p>
    <w:p w14:paraId="3E34A5EF" w14:textId="77777777" w:rsidR="002E71BA" w:rsidRPr="007A1906" w:rsidRDefault="002E71BA">
      <w:pPr>
        <w:rPr>
          <w:rFonts w:cs="Segoe UI"/>
          <w:b/>
          <w:bCs/>
          <w:sz w:val="21"/>
          <w:szCs w:val="21"/>
        </w:rPr>
      </w:pPr>
      <w:r w:rsidRPr="007A1906">
        <w:rPr>
          <w:rFonts w:cs="Segoe UI"/>
          <w:b/>
          <w:bCs/>
          <w:sz w:val="21"/>
          <w:szCs w:val="21"/>
        </w:rPr>
        <w:br w:type="page"/>
      </w:r>
    </w:p>
    <w:p w14:paraId="4AD7A5C1" w14:textId="193C2316" w:rsidR="002A5577" w:rsidRPr="007A1906" w:rsidRDefault="002A5577" w:rsidP="002A5577">
      <w:pPr>
        <w:rPr>
          <w:rFonts w:cs="Segoe UI"/>
          <w:b/>
          <w:bCs/>
          <w:sz w:val="21"/>
          <w:szCs w:val="21"/>
        </w:rPr>
      </w:pPr>
    </w:p>
    <w:p w14:paraId="77C18CB4" w14:textId="04172E19" w:rsidR="00933720" w:rsidRPr="00500EF8" w:rsidRDefault="00AA77C8" w:rsidP="008579D1">
      <w:pPr>
        <w:pStyle w:val="Heading1"/>
        <w:rPr>
          <w:rFonts w:ascii="Arial" w:hAnsi="Arial" w:cs="Arial"/>
          <w:color w:val="4472C4" w:themeColor="accent1"/>
        </w:rPr>
      </w:pPr>
      <w:bookmarkStart w:id="0" w:name="_Toc212100517"/>
      <w:r w:rsidRPr="00500EF8">
        <w:rPr>
          <w:rFonts w:ascii="Arial" w:hAnsi="Arial" w:cs="Arial"/>
          <w:color w:val="4472C4" w:themeColor="accent1"/>
        </w:rPr>
        <w:t>1</w:t>
      </w:r>
      <w:r w:rsidR="00A035CD" w:rsidRPr="00500EF8">
        <w:rPr>
          <w:rFonts w:ascii="Arial" w:hAnsi="Arial" w:cs="Arial"/>
          <w:color w:val="4472C4" w:themeColor="accent1"/>
        </w:rPr>
        <w:t xml:space="preserve">: </w:t>
      </w:r>
      <w:r w:rsidR="00A513B0" w:rsidRPr="00500EF8">
        <w:rPr>
          <w:rFonts w:ascii="Arial" w:hAnsi="Arial" w:cs="Arial"/>
          <w:color w:val="4472C4" w:themeColor="accent1"/>
        </w:rPr>
        <w:t>Written Report</w:t>
      </w:r>
      <w:bookmarkEnd w:id="0"/>
    </w:p>
    <w:p w14:paraId="0CAE5527" w14:textId="5EF93391" w:rsidR="00AC7BE2" w:rsidRPr="00500EF8" w:rsidRDefault="00AC7BE2" w:rsidP="008579D1">
      <w:pPr>
        <w:rPr>
          <w:rFonts w:ascii="Arial" w:hAnsi="Arial" w:cs="Arial"/>
          <w:sz w:val="32"/>
          <w:szCs w:val="32"/>
        </w:rPr>
      </w:pPr>
    </w:p>
    <w:p w14:paraId="2F840957" w14:textId="0D89150C" w:rsidR="00500295" w:rsidRPr="00500EF8" w:rsidRDefault="00AA77C8" w:rsidP="008579D1">
      <w:pPr>
        <w:pStyle w:val="Heading2"/>
        <w:rPr>
          <w:rFonts w:ascii="Arial" w:hAnsi="Arial" w:cs="Arial"/>
          <w:b/>
          <w:bCs/>
          <w:color w:val="4472C4" w:themeColor="accent1"/>
          <w:sz w:val="32"/>
          <w:szCs w:val="32"/>
        </w:rPr>
      </w:pPr>
      <w:bookmarkStart w:id="1" w:name="_Toc212100518"/>
      <w:r w:rsidRPr="00500EF8">
        <w:rPr>
          <w:rFonts w:ascii="Arial" w:hAnsi="Arial" w:cs="Arial"/>
          <w:b/>
          <w:bCs/>
          <w:color w:val="4472C4" w:themeColor="accent1"/>
          <w:sz w:val="32"/>
          <w:szCs w:val="32"/>
        </w:rPr>
        <w:t>1</w:t>
      </w:r>
      <w:r w:rsidR="00500295" w:rsidRPr="00500EF8">
        <w:rPr>
          <w:rFonts w:ascii="Arial" w:hAnsi="Arial" w:cs="Arial"/>
          <w:b/>
          <w:bCs/>
          <w:color w:val="4472C4" w:themeColor="accent1"/>
          <w:sz w:val="32"/>
          <w:szCs w:val="32"/>
        </w:rPr>
        <w:t xml:space="preserve">.1 </w:t>
      </w:r>
      <w:r w:rsidR="00A035CD" w:rsidRPr="00500EF8">
        <w:rPr>
          <w:rFonts w:ascii="Arial" w:hAnsi="Arial" w:cs="Arial"/>
          <w:b/>
          <w:bCs/>
          <w:color w:val="4472C4" w:themeColor="accent1"/>
          <w:sz w:val="32"/>
          <w:szCs w:val="32"/>
        </w:rPr>
        <w:t>Introduction</w:t>
      </w:r>
      <w:bookmarkEnd w:id="1"/>
    </w:p>
    <w:p w14:paraId="73DB1B84" w14:textId="03F730E1" w:rsidR="006E5A15" w:rsidRPr="00500EF8" w:rsidRDefault="006E5A15" w:rsidP="008579D1">
      <w:pPr>
        <w:pStyle w:val="NormalWeb"/>
        <w:rPr>
          <w:rFonts w:ascii="Arial" w:hAnsi="Arial" w:cs="Arial"/>
          <w:sz w:val="28"/>
          <w:szCs w:val="28"/>
        </w:rPr>
      </w:pPr>
      <w:r w:rsidRPr="00500EF8">
        <w:rPr>
          <w:rFonts w:ascii="Arial" w:hAnsi="Arial" w:cs="Arial"/>
          <w:sz w:val="28"/>
          <w:szCs w:val="28"/>
        </w:rPr>
        <w:t xml:space="preserve">Midwives are vital medical practitioners that provide care and help to women in their pregnancy, delivery and postnatal periods. Because of its influence on maternal and infant health, as well as successful and safe birth experiences of families, I chose midwifery (Mahmood et al., 2025). This role brings together the gap between medical care and emotional care provided to women and babies, who are made to be healthier (Clesse et al., 2018). The value of midwifery, the skills required to practice the good and how they can be improved to better patient care will be </w:t>
      </w:r>
      <w:r w:rsidR="00500EF8" w:rsidRPr="00500EF8">
        <w:rPr>
          <w:rFonts w:ascii="Arial" w:hAnsi="Arial" w:cs="Arial"/>
          <w:sz w:val="28"/>
          <w:szCs w:val="28"/>
        </w:rPr>
        <w:t>analysed</w:t>
      </w:r>
      <w:r w:rsidRPr="00500EF8">
        <w:rPr>
          <w:rFonts w:ascii="Arial" w:hAnsi="Arial" w:cs="Arial"/>
          <w:sz w:val="28"/>
          <w:szCs w:val="28"/>
        </w:rPr>
        <w:t xml:space="preserve"> in this paper.</w:t>
      </w:r>
    </w:p>
    <w:p w14:paraId="4CC61BC1" w14:textId="77777777" w:rsidR="00F36ADC" w:rsidRPr="007A1906" w:rsidRDefault="00F36ADC" w:rsidP="008579D1">
      <w:pPr>
        <w:spacing w:after="0" w:line="240" w:lineRule="auto"/>
        <w:rPr>
          <w:rFonts w:cs="Segoe UI"/>
          <w:b/>
          <w:bCs/>
          <w:sz w:val="21"/>
          <w:szCs w:val="21"/>
        </w:rPr>
      </w:pPr>
    </w:p>
    <w:p w14:paraId="50A9FBC6" w14:textId="4C1ECA38" w:rsidR="008B0B22" w:rsidRPr="00500EF8" w:rsidRDefault="00AA77C8" w:rsidP="008579D1">
      <w:pPr>
        <w:pStyle w:val="Heading2"/>
        <w:rPr>
          <w:rFonts w:ascii="Arial" w:hAnsi="Arial" w:cs="Arial"/>
          <w:b/>
          <w:bCs/>
          <w:color w:val="4472C4" w:themeColor="accent1"/>
          <w:sz w:val="32"/>
          <w:szCs w:val="32"/>
        </w:rPr>
      </w:pPr>
      <w:bookmarkStart w:id="2" w:name="_Toc212100519"/>
      <w:r w:rsidRPr="00500EF8">
        <w:rPr>
          <w:rFonts w:ascii="Arial" w:hAnsi="Arial" w:cs="Arial"/>
          <w:b/>
          <w:bCs/>
          <w:color w:val="4472C4" w:themeColor="accent1"/>
          <w:sz w:val="32"/>
          <w:szCs w:val="32"/>
        </w:rPr>
        <w:t>1</w:t>
      </w:r>
      <w:r w:rsidR="002370CE" w:rsidRPr="00500EF8">
        <w:rPr>
          <w:rFonts w:ascii="Arial" w:hAnsi="Arial" w:cs="Arial"/>
          <w:b/>
          <w:bCs/>
          <w:color w:val="4472C4" w:themeColor="accent1"/>
          <w:sz w:val="32"/>
          <w:szCs w:val="32"/>
        </w:rPr>
        <w:t xml:space="preserve">.2 </w:t>
      </w:r>
      <w:r w:rsidR="006912C4" w:rsidRPr="00500EF8">
        <w:rPr>
          <w:rFonts w:ascii="Arial" w:hAnsi="Arial" w:cs="Arial"/>
          <w:b/>
          <w:bCs/>
          <w:color w:val="4472C4" w:themeColor="accent1"/>
          <w:sz w:val="32"/>
          <w:szCs w:val="32"/>
        </w:rPr>
        <w:t>Description</w:t>
      </w:r>
      <w:r w:rsidR="00070818" w:rsidRPr="00500EF8">
        <w:rPr>
          <w:rFonts w:ascii="Arial" w:hAnsi="Arial" w:cs="Arial"/>
          <w:b/>
          <w:bCs/>
          <w:color w:val="4472C4" w:themeColor="accent1"/>
          <w:sz w:val="32"/>
          <w:szCs w:val="32"/>
        </w:rPr>
        <w:t xml:space="preserve"> of</w:t>
      </w:r>
      <w:r w:rsidR="006912C4" w:rsidRPr="00500EF8">
        <w:rPr>
          <w:rFonts w:ascii="Arial" w:hAnsi="Arial" w:cs="Arial"/>
          <w:b/>
          <w:bCs/>
          <w:color w:val="4472C4" w:themeColor="accent1"/>
          <w:sz w:val="32"/>
          <w:szCs w:val="32"/>
        </w:rPr>
        <w:t>, and background to</w:t>
      </w:r>
      <w:r w:rsidR="00CD4774" w:rsidRPr="00500EF8">
        <w:rPr>
          <w:rFonts w:ascii="Arial" w:hAnsi="Arial" w:cs="Arial"/>
          <w:b/>
          <w:bCs/>
          <w:color w:val="4472C4" w:themeColor="accent1"/>
          <w:sz w:val="32"/>
          <w:szCs w:val="32"/>
        </w:rPr>
        <w:t>,</w:t>
      </w:r>
      <w:r w:rsidR="00376E0A" w:rsidRPr="00500EF8">
        <w:rPr>
          <w:rFonts w:ascii="Arial" w:hAnsi="Arial" w:cs="Arial"/>
          <w:b/>
          <w:bCs/>
          <w:color w:val="4472C4" w:themeColor="accent1"/>
          <w:sz w:val="32"/>
          <w:szCs w:val="32"/>
        </w:rPr>
        <w:t xml:space="preserve"> midwifery</w:t>
      </w:r>
      <w:r w:rsidR="008B0B22" w:rsidRPr="00500EF8">
        <w:rPr>
          <w:rFonts w:ascii="Arial" w:hAnsi="Arial" w:cs="Arial"/>
          <w:b/>
          <w:bCs/>
          <w:color w:val="4472C4" w:themeColor="accent1"/>
          <w:sz w:val="32"/>
          <w:szCs w:val="32"/>
        </w:rPr>
        <w:t xml:space="preserve"> in </w:t>
      </w:r>
      <w:bookmarkEnd w:id="2"/>
      <w:r w:rsidR="00500EF8" w:rsidRPr="00500EF8">
        <w:rPr>
          <w:rFonts w:ascii="Arial" w:hAnsi="Arial" w:cs="Arial"/>
          <w:b/>
          <w:bCs/>
          <w:color w:val="4472C4" w:themeColor="accent1"/>
          <w:sz w:val="32"/>
          <w:szCs w:val="32"/>
        </w:rPr>
        <w:t>healthcare</w:t>
      </w:r>
      <w:r w:rsidR="008B0B22" w:rsidRPr="00500EF8">
        <w:rPr>
          <w:rFonts w:ascii="Arial" w:hAnsi="Arial" w:cs="Arial"/>
          <w:b/>
          <w:bCs/>
          <w:color w:val="4472C4" w:themeColor="accent1"/>
          <w:sz w:val="32"/>
          <w:szCs w:val="32"/>
        </w:rPr>
        <w:t xml:space="preserve"> </w:t>
      </w:r>
    </w:p>
    <w:p w14:paraId="6FFBAA39" w14:textId="721C076B" w:rsidR="006E5A15" w:rsidRPr="00500EF8" w:rsidRDefault="006E5A15" w:rsidP="008579D1">
      <w:pPr>
        <w:pStyle w:val="NormalWeb"/>
        <w:rPr>
          <w:rFonts w:ascii="Arial" w:hAnsi="Arial" w:cs="Arial"/>
          <w:sz w:val="28"/>
          <w:szCs w:val="28"/>
        </w:rPr>
      </w:pPr>
      <w:r w:rsidRPr="00500EF8">
        <w:rPr>
          <w:rFonts w:ascii="Arial" w:hAnsi="Arial" w:cs="Arial"/>
          <w:sz w:val="28"/>
          <w:szCs w:val="28"/>
        </w:rPr>
        <w:t xml:space="preserve">Women have traditionally used midwives in terms of pregnancy, delivery </w:t>
      </w:r>
      <w:r w:rsidR="00500EF8" w:rsidRPr="00500EF8">
        <w:rPr>
          <w:rFonts w:ascii="Arial" w:hAnsi="Arial" w:cs="Arial"/>
          <w:sz w:val="28"/>
          <w:szCs w:val="28"/>
        </w:rPr>
        <w:t>and</w:t>
      </w:r>
      <w:r w:rsidRPr="00500EF8">
        <w:rPr>
          <w:rFonts w:ascii="Arial" w:hAnsi="Arial" w:cs="Arial"/>
          <w:sz w:val="28"/>
          <w:szCs w:val="28"/>
        </w:rPr>
        <w:t xml:space="preserve"> </w:t>
      </w:r>
      <w:r w:rsidR="00500EF8" w:rsidRPr="00500EF8">
        <w:rPr>
          <w:rFonts w:ascii="Arial" w:hAnsi="Arial" w:cs="Arial"/>
          <w:sz w:val="28"/>
          <w:szCs w:val="28"/>
        </w:rPr>
        <w:t>post-partum</w:t>
      </w:r>
      <w:r w:rsidRPr="00500EF8">
        <w:rPr>
          <w:rFonts w:ascii="Arial" w:hAnsi="Arial" w:cs="Arial"/>
          <w:sz w:val="28"/>
          <w:szCs w:val="28"/>
        </w:rPr>
        <w:t xml:space="preserve"> care. Essentially, midwives have played an important role in a safe delivery practice particularly before the obstetric care became a common practice (Dent,2024). Midwifery offers now prenatal, postnatal and delivery care which includes medical developments. Midwives now collaborate with obstetricians and other healthcare experts in assisting women and families by offering holistic care to ensure the well-being of mother and child during the perinatal period (Bradford et al., 2022). </w:t>
      </w:r>
    </w:p>
    <w:p w14:paraId="338DD8E9" w14:textId="4E64FBB6" w:rsidR="006E5A15" w:rsidRPr="00500EF8" w:rsidRDefault="006E5A15" w:rsidP="008579D1">
      <w:pPr>
        <w:pStyle w:val="NormalWeb"/>
        <w:rPr>
          <w:rFonts w:ascii="Arial" w:hAnsi="Arial" w:cs="Arial"/>
          <w:sz w:val="28"/>
          <w:szCs w:val="28"/>
        </w:rPr>
      </w:pPr>
      <w:r w:rsidRPr="00500EF8">
        <w:rPr>
          <w:rFonts w:ascii="Arial" w:hAnsi="Arial" w:cs="Arial"/>
          <w:sz w:val="28"/>
          <w:szCs w:val="28"/>
        </w:rPr>
        <w:t xml:space="preserve">The responsibilities of midwives include health and well-being, assistance in </w:t>
      </w:r>
      <w:r w:rsidR="00500EF8" w:rsidRPr="00500EF8">
        <w:rPr>
          <w:rFonts w:ascii="Arial" w:hAnsi="Arial" w:cs="Arial"/>
          <w:sz w:val="28"/>
          <w:szCs w:val="28"/>
        </w:rPr>
        <w:t>childbirth</w:t>
      </w:r>
      <w:r w:rsidRPr="00500EF8">
        <w:rPr>
          <w:rFonts w:ascii="Arial" w:hAnsi="Arial" w:cs="Arial"/>
          <w:sz w:val="28"/>
          <w:szCs w:val="28"/>
        </w:rPr>
        <w:t xml:space="preserve">, childbirth strategies, and after childbirth care. They instruct the mothers in nursing and care of newborns as well as recovery (Mahmood et al., 2025). The primary role of midwives is to ensure that both the mother and the child are safe as well as offer emotional support during delivery. </w:t>
      </w:r>
    </w:p>
    <w:p w14:paraId="7296BF99" w14:textId="24BE4C9D" w:rsidR="006E5A15" w:rsidRPr="00500EF8" w:rsidRDefault="006E5A15" w:rsidP="008579D1">
      <w:pPr>
        <w:pStyle w:val="NormalWeb"/>
        <w:rPr>
          <w:rFonts w:ascii="Arial" w:hAnsi="Arial" w:cs="Arial"/>
          <w:sz w:val="28"/>
          <w:szCs w:val="28"/>
        </w:rPr>
      </w:pPr>
      <w:r w:rsidRPr="00500EF8">
        <w:rPr>
          <w:rFonts w:ascii="Arial" w:hAnsi="Arial" w:cs="Arial"/>
          <w:sz w:val="28"/>
          <w:szCs w:val="28"/>
        </w:rPr>
        <w:t>The obstetrics experience required of midwives should be coupled with the skills to communicate effectively and show empathy (Mahmood et al., 2025). Midwives apply these abilities to manage complicated health conditions empathetically and sympathetically.</w:t>
      </w:r>
    </w:p>
    <w:p w14:paraId="78AB3BB9" w14:textId="77777777" w:rsidR="00B70D30" w:rsidRPr="007A1906" w:rsidRDefault="00B70D30" w:rsidP="008579D1">
      <w:pPr>
        <w:pStyle w:val="NormalWeb"/>
        <w:rPr>
          <w:rFonts w:ascii="Segoe UI" w:hAnsi="Segoe UI" w:cs="Segoe UI"/>
        </w:rPr>
      </w:pPr>
    </w:p>
    <w:p w14:paraId="13C4E9A4" w14:textId="76528821" w:rsidR="00376E0A" w:rsidRPr="007A1906" w:rsidRDefault="00376E0A" w:rsidP="008579D1">
      <w:pPr>
        <w:pStyle w:val="Heading1"/>
      </w:pPr>
      <w:bookmarkStart w:id="3" w:name="_Toc212100520"/>
    </w:p>
    <w:p w14:paraId="0443FC3E" w14:textId="6E0AFD98" w:rsidR="00376E0A" w:rsidRPr="00206BBD" w:rsidRDefault="00376E0A" w:rsidP="008579D1">
      <w:pPr>
        <w:pStyle w:val="Heading1"/>
        <w:rPr>
          <w:b w:val="0"/>
        </w:rPr>
      </w:pPr>
      <w:r w:rsidRPr="00206BBD">
        <w:rPr>
          <w:rFonts w:ascii="Arial" w:hAnsi="Arial" w:cs="Arial"/>
          <w:b w:val="0"/>
        </w:rPr>
        <w:t>1.3</w:t>
      </w:r>
      <w:r w:rsidRPr="00206BBD">
        <w:rPr>
          <w:b w:val="0"/>
        </w:rPr>
        <w:t xml:space="preserve"> </w:t>
      </w:r>
      <w:r w:rsidRPr="00206BBD">
        <w:rPr>
          <w:rStyle w:val="Strong"/>
          <w:rFonts w:ascii="Arial" w:hAnsi="Arial" w:cs="Arial"/>
          <w:b/>
        </w:rPr>
        <w:t>Evaluation of the Skills Needed for Midwifery in Healthcare</w:t>
      </w:r>
      <w:r w:rsidRPr="00206BBD">
        <w:rPr>
          <w:rStyle w:val="Strong"/>
          <w:rFonts w:cs="Segoe UI"/>
          <w:b/>
        </w:rPr>
        <w:t xml:space="preserve"> </w:t>
      </w:r>
    </w:p>
    <w:p w14:paraId="321EAA57" w14:textId="19460457" w:rsidR="006E5A15" w:rsidRPr="00500EF8" w:rsidRDefault="006E5A15" w:rsidP="008579D1">
      <w:pPr>
        <w:pStyle w:val="NormalWeb"/>
        <w:rPr>
          <w:rFonts w:ascii="Arial" w:hAnsi="Arial" w:cs="Arial"/>
          <w:sz w:val="28"/>
          <w:szCs w:val="28"/>
        </w:rPr>
      </w:pPr>
      <w:r w:rsidRPr="00500EF8">
        <w:rPr>
          <w:rFonts w:ascii="Arial" w:hAnsi="Arial" w:cs="Arial"/>
          <w:sz w:val="28"/>
          <w:szCs w:val="28"/>
        </w:rPr>
        <w:t>There are numerous skills that mothers and children require midwives to possess (Stoodley et al., 2023). Midwifery traits are clinical expertise, communication, and empathy. These capabilities are needed to provide quality care in stressful situations and positive health results.</w:t>
      </w:r>
    </w:p>
    <w:p w14:paraId="29838C89" w14:textId="64F6DBC4" w:rsidR="006E5A15" w:rsidRPr="00500EF8" w:rsidRDefault="00376E0A" w:rsidP="008579D1">
      <w:pPr>
        <w:pStyle w:val="NormalWeb"/>
        <w:numPr>
          <w:ilvl w:val="0"/>
          <w:numId w:val="23"/>
        </w:numPr>
        <w:rPr>
          <w:rFonts w:ascii="Arial" w:hAnsi="Arial" w:cs="Arial"/>
          <w:sz w:val="28"/>
          <w:szCs w:val="28"/>
        </w:rPr>
      </w:pPr>
      <w:r w:rsidRPr="00206BBD">
        <w:rPr>
          <w:rStyle w:val="Heading1Char"/>
          <w:rFonts w:ascii="Arial" w:hAnsi="Arial" w:cs="Arial"/>
        </w:rPr>
        <w:t>Clinical Expertise</w:t>
      </w:r>
      <w:r w:rsidRPr="007A1906">
        <w:rPr>
          <w:rFonts w:ascii="Segoe UI" w:hAnsi="Segoe UI" w:cs="Segoe UI"/>
        </w:rPr>
        <w:br/>
      </w:r>
      <w:r w:rsidR="006E5A15" w:rsidRPr="00500EF8">
        <w:rPr>
          <w:rFonts w:ascii="Arial" w:hAnsi="Arial" w:cs="Arial"/>
          <w:sz w:val="28"/>
          <w:szCs w:val="28"/>
        </w:rPr>
        <w:t xml:space="preserve">Midwives may have the greatest skill as clinical expertise. This competence deals with the evaluation, surveillance, and care of the health of mothers and babies throughout prenatal stages, birth and childbirth (Tallam et al., 2025). Midwives </w:t>
      </w:r>
      <w:r w:rsidR="00500EF8" w:rsidRPr="00500EF8">
        <w:rPr>
          <w:rFonts w:ascii="Arial" w:hAnsi="Arial" w:cs="Arial"/>
          <w:sz w:val="28"/>
          <w:szCs w:val="28"/>
        </w:rPr>
        <w:t>can</w:t>
      </w:r>
      <w:r w:rsidR="006E5A15" w:rsidRPr="00500EF8">
        <w:rPr>
          <w:rFonts w:ascii="Arial" w:hAnsi="Arial" w:cs="Arial"/>
          <w:sz w:val="28"/>
          <w:szCs w:val="28"/>
        </w:rPr>
        <w:t xml:space="preserve"> respond fast and efficiently in the event of preeclampsia and fetal distress since they are usually the first to be noticed. Midwives </w:t>
      </w:r>
      <w:r w:rsidR="00500EF8" w:rsidRPr="00500EF8">
        <w:rPr>
          <w:rFonts w:ascii="Arial" w:hAnsi="Arial" w:cs="Arial"/>
          <w:sz w:val="28"/>
          <w:szCs w:val="28"/>
        </w:rPr>
        <w:t>must</w:t>
      </w:r>
      <w:r w:rsidR="006E5A15" w:rsidRPr="00500EF8">
        <w:rPr>
          <w:rFonts w:ascii="Arial" w:hAnsi="Arial" w:cs="Arial"/>
          <w:sz w:val="28"/>
          <w:szCs w:val="28"/>
        </w:rPr>
        <w:t xml:space="preserve"> interpret the fetal heart rates during the labor and make medical decisions (Tallam et al., 2025). Clinical knowledge might enable midwives to recognize life-threatening signs.</w:t>
      </w:r>
    </w:p>
    <w:p w14:paraId="17844B14" w14:textId="53D02502" w:rsidR="006E5A15" w:rsidRPr="00500EF8" w:rsidRDefault="00376E0A" w:rsidP="008579D1">
      <w:pPr>
        <w:pStyle w:val="NormalWeb"/>
        <w:numPr>
          <w:ilvl w:val="0"/>
          <w:numId w:val="23"/>
        </w:numPr>
        <w:rPr>
          <w:rFonts w:ascii="Arial" w:hAnsi="Arial" w:cs="Arial"/>
          <w:sz w:val="28"/>
          <w:szCs w:val="28"/>
        </w:rPr>
      </w:pPr>
      <w:r w:rsidRPr="00206BBD">
        <w:rPr>
          <w:rStyle w:val="Heading1Char"/>
          <w:rFonts w:ascii="Arial" w:hAnsi="Arial" w:cs="Arial"/>
        </w:rPr>
        <w:t>Communication Skills</w:t>
      </w:r>
      <w:r w:rsidRPr="007A1906">
        <w:rPr>
          <w:rFonts w:ascii="Segoe UI" w:hAnsi="Segoe UI" w:cs="Segoe UI"/>
        </w:rPr>
        <w:br/>
      </w:r>
      <w:r w:rsidR="006E5A15" w:rsidRPr="00500EF8">
        <w:rPr>
          <w:rFonts w:ascii="Arial" w:hAnsi="Arial" w:cs="Arial"/>
          <w:sz w:val="28"/>
          <w:szCs w:val="28"/>
        </w:rPr>
        <w:t>Communication is very vital in the midwifery. Midwives should be able to communicate with mothers and other family members as well as other medical staff to coordinate care (Baranowska et al., 2021). Effective communication fosters a sense of trust with the mother allowing her to be updated and assisted in delivering the child. Midwives should also communicate with ease and warmth technical healthcare information. As an example, a midwife might have to rationalize to a woman about a possible problem and make her aware of the procedures (Baranowska et al., 2021). Without effective communication, there will be anxiety, poor decision-making, and medical blunders.</w:t>
      </w:r>
    </w:p>
    <w:p w14:paraId="77DCB69D" w14:textId="77777777" w:rsidR="006E5A15" w:rsidRPr="00500EF8" w:rsidRDefault="00376E0A" w:rsidP="008579D1">
      <w:pPr>
        <w:pStyle w:val="NormalWeb"/>
        <w:numPr>
          <w:ilvl w:val="0"/>
          <w:numId w:val="23"/>
        </w:numPr>
        <w:rPr>
          <w:rFonts w:ascii="Arial" w:hAnsi="Arial" w:cs="Arial"/>
          <w:sz w:val="28"/>
          <w:szCs w:val="28"/>
        </w:rPr>
      </w:pPr>
      <w:r w:rsidRPr="00206BBD">
        <w:rPr>
          <w:rStyle w:val="Heading1Char"/>
          <w:rFonts w:ascii="Arial" w:hAnsi="Arial" w:cs="Arial"/>
        </w:rPr>
        <w:t>Empathy and Emotional Support</w:t>
      </w:r>
      <w:r w:rsidRPr="007A1906">
        <w:rPr>
          <w:rFonts w:ascii="Segoe UI" w:hAnsi="Segoe UI" w:cs="Segoe UI"/>
        </w:rPr>
        <w:br/>
      </w:r>
      <w:r w:rsidR="006E5A15" w:rsidRPr="00500EF8">
        <w:rPr>
          <w:rFonts w:ascii="Arial" w:hAnsi="Arial" w:cs="Arial"/>
          <w:sz w:val="28"/>
          <w:szCs w:val="28"/>
        </w:rPr>
        <w:t xml:space="preserve">Midwives should be compassionate since giving birth is a traumatic and emotional moment to mothers and their family. The midwives should emotionally and psychologically support women to make them feel powerful and comfortable. sympathy lowers the levels of tension and anxiety and enhances birth (Tallam et al., 2025). The presence of a midwife during a long labor can ease or calm a woman since she feels more optimistic. Midwives lacking empathy might not be able to create trust and rapport and this might result to unpleasant birth experience among the moms. </w:t>
      </w:r>
    </w:p>
    <w:p w14:paraId="4AF69374" w14:textId="40E6F89F" w:rsidR="006E5A15" w:rsidRPr="00500EF8" w:rsidRDefault="006E5A15" w:rsidP="008579D1">
      <w:pPr>
        <w:pStyle w:val="NormalWeb"/>
        <w:rPr>
          <w:rFonts w:ascii="Arial" w:hAnsi="Arial" w:cs="Arial"/>
          <w:sz w:val="28"/>
          <w:szCs w:val="28"/>
        </w:rPr>
      </w:pPr>
      <w:r w:rsidRPr="00500EF8">
        <w:rPr>
          <w:rFonts w:ascii="Arial" w:hAnsi="Arial" w:cs="Arial"/>
          <w:sz w:val="28"/>
          <w:szCs w:val="28"/>
        </w:rPr>
        <w:t>Without such skills, midwives can find it difficult to carry out their duties thus leading to negative patient outcomes. The consequences of clinical inexperience and lack of communication may be neglected complications and lack of cooperation and trust with the patient. Compassion will enable the moms to feel at ease in a delicate situation which will enhance their emotional wellbeing and birth. Midwives can enhance maternal and newborn health by cultivating these skills to provide high-quality and caring care.</w:t>
      </w:r>
    </w:p>
    <w:p w14:paraId="33F5148B" w14:textId="26FA5D66" w:rsidR="00376E0A" w:rsidRPr="00206BBD" w:rsidRDefault="00376E0A" w:rsidP="008579D1">
      <w:pPr>
        <w:pStyle w:val="Heading3"/>
        <w:rPr>
          <w:rStyle w:val="Heading1Char"/>
          <w:rFonts w:ascii="Arial" w:hAnsi="Arial" w:cs="Arial"/>
        </w:rPr>
      </w:pPr>
      <w:bookmarkStart w:id="4" w:name="_Toc212100522"/>
      <w:bookmarkEnd w:id="3"/>
      <w:r w:rsidRPr="00206BBD">
        <w:rPr>
          <w:rFonts w:ascii="Arial" w:hAnsi="Arial" w:cs="Arial"/>
          <w:b/>
          <w:bCs/>
          <w:sz w:val="32"/>
          <w:szCs w:val="32"/>
        </w:rPr>
        <w:t xml:space="preserve">1.4 </w:t>
      </w:r>
      <w:r w:rsidRPr="00206BBD">
        <w:rPr>
          <w:rStyle w:val="Heading1Char"/>
          <w:rFonts w:ascii="Arial" w:hAnsi="Arial" w:cs="Arial"/>
        </w:rPr>
        <w:t xml:space="preserve">Strategies to Improve the Skills for Midwifery </w:t>
      </w:r>
    </w:p>
    <w:p w14:paraId="5EBBD9D6" w14:textId="2BA939A6" w:rsidR="006E5A15" w:rsidRPr="00500EF8" w:rsidRDefault="006E5A15" w:rsidP="008579D1">
      <w:pPr>
        <w:pStyle w:val="NormalWeb"/>
        <w:rPr>
          <w:rFonts w:ascii="Arial" w:hAnsi="Arial" w:cs="Arial"/>
          <w:sz w:val="28"/>
          <w:szCs w:val="28"/>
        </w:rPr>
      </w:pPr>
      <w:r w:rsidRPr="00500EF8">
        <w:rPr>
          <w:rFonts w:ascii="Arial" w:hAnsi="Arial" w:cs="Arial"/>
          <w:sz w:val="28"/>
          <w:szCs w:val="28"/>
        </w:rPr>
        <w:t xml:space="preserve">Midwifery abilities can be enhanced through </w:t>
      </w:r>
      <w:r w:rsidR="00500EF8" w:rsidRPr="00500EF8">
        <w:rPr>
          <w:rFonts w:ascii="Arial" w:hAnsi="Arial" w:cs="Arial"/>
          <w:sz w:val="28"/>
          <w:szCs w:val="28"/>
        </w:rPr>
        <w:t>several</w:t>
      </w:r>
      <w:r w:rsidRPr="00500EF8">
        <w:rPr>
          <w:rFonts w:ascii="Arial" w:hAnsi="Arial" w:cs="Arial"/>
          <w:sz w:val="28"/>
          <w:szCs w:val="28"/>
        </w:rPr>
        <w:t xml:space="preserve"> ways. These strategies enhance clinical competence, communication, and empathy of midwives in ensuring that women and newborns receive this best care (Skubic et al., 2025).</w:t>
      </w:r>
    </w:p>
    <w:p w14:paraId="25B8D721" w14:textId="4BEBD76E" w:rsidR="006E5A15" w:rsidRPr="00500EF8" w:rsidRDefault="00376E0A" w:rsidP="008579D1">
      <w:pPr>
        <w:pStyle w:val="NormalWeb"/>
        <w:numPr>
          <w:ilvl w:val="0"/>
          <w:numId w:val="24"/>
        </w:numPr>
        <w:rPr>
          <w:rFonts w:ascii="Arial" w:hAnsi="Arial" w:cs="Arial"/>
          <w:sz w:val="28"/>
          <w:szCs w:val="28"/>
        </w:rPr>
      </w:pPr>
      <w:r w:rsidRPr="00FB61D2">
        <w:rPr>
          <w:rStyle w:val="Heading1Char"/>
          <w:rFonts w:ascii="Arial" w:hAnsi="Arial" w:cs="Arial"/>
        </w:rPr>
        <w:t>Ongoing Professional Development</w:t>
      </w:r>
      <w:r w:rsidRPr="007A1906">
        <w:rPr>
          <w:rFonts w:ascii="Segoe UI" w:hAnsi="Segoe UI" w:cs="Segoe UI"/>
        </w:rPr>
        <w:br/>
      </w:r>
      <w:r w:rsidR="006E5A15" w:rsidRPr="00500EF8">
        <w:rPr>
          <w:rFonts w:ascii="Arial" w:hAnsi="Arial" w:cs="Arial"/>
          <w:sz w:val="28"/>
          <w:szCs w:val="28"/>
        </w:rPr>
        <w:t xml:space="preserve">Life-long learning and training enhance clinical skills and remain abreast with best practices. Midwives are supposed to participate in workshops, conferences, and training courses </w:t>
      </w:r>
      <w:r w:rsidR="00500EF8" w:rsidRPr="00500EF8">
        <w:rPr>
          <w:rFonts w:ascii="Arial" w:hAnsi="Arial" w:cs="Arial"/>
          <w:sz w:val="28"/>
          <w:szCs w:val="28"/>
        </w:rPr>
        <w:t>to</w:t>
      </w:r>
      <w:r w:rsidR="006E5A15" w:rsidRPr="00500EF8">
        <w:rPr>
          <w:rFonts w:ascii="Arial" w:hAnsi="Arial" w:cs="Arial"/>
          <w:sz w:val="28"/>
          <w:szCs w:val="28"/>
        </w:rPr>
        <w:t xml:space="preserve"> learn more about obstetrics, the work with newborns and learning about new technologies in healthcare (Skubic et al., 2025). Midwives can be also trained in terms of advanced neonatal resuscitation in case of an emergency. By staying informed about the evidence-based practices, midwives can make improved clinical judgment and offer evidence-based and safer care. This method was selected because the healthcare practice changes and midwives require ongoing education to cope with the new births (Rodriguez Martin et al., 2024).</w:t>
      </w:r>
    </w:p>
    <w:p w14:paraId="08A6190A" w14:textId="6F26D254" w:rsidR="006E5A15" w:rsidRPr="00500EF8" w:rsidRDefault="00376E0A" w:rsidP="008579D1">
      <w:pPr>
        <w:pStyle w:val="NormalWeb"/>
        <w:numPr>
          <w:ilvl w:val="0"/>
          <w:numId w:val="24"/>
        </w:numPr>
        <w:rPr>
          <w:rFonts w:ascii="Arial" w:hAnsi="Arial" w:cs="Arial"/>
          <w:sz w:val="28"/>
          <w:szCs w:val="28"/>
        </w:rPr>
      </w:pPr>
      <w:r w:rsidRPr="00FB61D2">
        <w:rPr>
          <w:rStyle w:val="Heading1Char"/>
          <w:rFonts w:ascii="Arial" w:hAnsi="Arial" w:cs="Arial"/>
        </w:rPr>
        <w:t>Simulation-Based Training</w:t>
      </w:r>
      <w:r w:rsidRPr="00EE1E20">
        <w:rPr>
          <w:rStyle w:val="Heading1Char"/>
        </w:rPr>
        <w:br/>
      </w:r>
      <w:r w:rsidR="006E5A15" w:rsidRPr="00500EF8">
        <w:rPr>
          <w:rFonts w:ascii="Arial" w:hAnsi="Arial" w:cs="Arial"/>
          <w:sz w:val="28"/>
          <w:szCs w:val="28"/>
        </w:rPr>
        <w:t>The simulations allow midwives to practice in life situations under a controlled setting. The training increases both technical and non-technical skills such as decision-making, pressure communication, and shoulder dystocia and fetal distress (Skubic et al., 2025). Midwives may rehearse in a situation without a patient developing confidence and competence. Midwives would be able to pretend that they were having a high-risk birth that would need emergency care. This method can be used to improve midwives in terms of clinical and communication skills both through practice and to make them more prepared to face situations that are difficult to predict (Rodriguez Martin et al., 2024).</w:t>
      </w:r>
    </w:p>
    <w:p w14:paraId="31A9B455" w14:textId="704D11AE" w:rsidR="006E5A15" w:rsidRPr="00500EF8" w:rsidRDefault="00376E0A" w:rsidP="008579D1">
      <w:pPr>
        <w:pStyle w:val="NormalWeb"/>
        <w:numPr>
          <w:ilvl w:val="0"/>
          <w:numId w:val="24"/>
        </w:numPr>
        <w:rPr>
          <w:rFonts w:ascii="Arial" w:hAnsi="Arial" w:cs="Arial"/>
          <w:sz w:val="28"/>
          <w:szCs w:val="28"/>
        </w:rPr>
      </w:pPr>
      <w:r w:rsidRPr="001F6C33">
        <w:rPr>
          <w:rStyle w:val="Heading1Char"/>
          <w:rFonts w:ascii="Arial" w:hAnsi="Arial" w:cs="Arial"/>
        </w:rPr>
        <w:t>Peer Mentorship and Support Networks</w:t>
      </w:r>
      <w:r w:rsidRPr="007A1906">
        <w:rPr>
          <w:rFonts w:ascii="Segoe UI" w:hAnsi="Segoe UI" w:cs="Segoe UI"/>
        </w:rPr>
        <w:br/>
      </w:r>
      <w:r w:rsidR="006E5A15" w:rsidRPr="00500EF8">
        <w:rPr>
          <w:rFonts w:ascii="Arial" w:hAnsi="Arial" w:cs="Arial"/>
          <w:sz w:val="28"/>
          <w:szCs w:val="28"/>
        </w:rPr>
        <w:t xml:space="preserve">Being mentored by the experienced midwives offers substantial experience and skill acquisition. Peer support networks allow new midwives to seek advice of experienced midwives on challenging cases and practises. An internally senior colleague can be observed by a rookie midwife when a labour process and delivery unfold </w:t>
      </w:r>
      <w:r w:rsidR="00500EF8" w:rsidRPr="00500EF8">
        <w:rPr>
          <w:rFonts w:ascii="Arial" w:hAnsi="Arial" w:cs="Arial"/>
          <w:sz w:val="28"/>
          <w:szCs w:val="28"/>
        </w:rPr>
        <w:t>to</w:t>
      </w:r>
      <w:r w:rsidR="006E5A15" w:rsidRPr="00500EF8">
        <w:rPr>
          <w:rFonts w:ascii="Arial" w:hAnsi="Arial" w:cs="Arial"/>
          <w:sz w:val="28"/>
          <w:szCs w:val="28"/>
        </w:rPr>
        <w:t xml:space="preserve"> learn how to address some problems (Skubic et al., 2025). Peer mentorship enhances confidence levels, stress levels, and teamwork. The selected method promotes tacit knowledge sharing, teamwork, and the best practices throughout the profession (Rodriguez Martin et al., 2024). </w:t>
      </w:r>
    </w:p>
    <w:p w14:paraId="788F7478" w14:textId="19C83BC5" w:rsidR="00376E0A" w:rsidRPr="00500EF8" w:rsidRDefault="006E5A15" w:rsidP="008579D1">
      <w:pPr>
        <w:pStyle w:val="NormalWeb"/>
        <w:rPr>
          <w:rFonts w:ascii="Arial" w:hAnsi="Arial" w:cs="Arial"/>
          <w:sz w:val="28"/>
          <w:szCs w:val="28"/>
        </w:rPr>
      </w:pPr>
      <w:r w:rsidRPr="00500EF8">
        <w:rPr>
          <w:rFonts w:ascii="Arial" w:hAnsi="Arial" w:cs="Arial"/>
          <w:sz w:val="28"/>
          <w:szCs w:val="28"/>
        </w:rPr>
        <w:t>These strategies enhance midwifery skills by a practical approach, continuing education and professional support to enhance care.</w:t>
      </w:r>
    </w:p>
    <w:p w14:paraId="32742651" w14:textId="573807EE" w:rsidR="00376E0A" w:rsidRPr="001F6C33" w:rsidRDefault="00376E0A" w:rsidP="008579D1">
      <w:pPr>
        <w:pStyle w:val="Heading1"/>
        <w:rPr>
          <w:rFonts w:ascii="Arial" w:hAnsi="Arial" w:cs="Arial"/>
          <w:b w:val="0"/>
          <w:bCs/>
        </w:rPr>
      </w:pPr>
      <w:r w:rsidRPr="001F6C33">
        <w:rPr>
          <w:rFonts w:ascii="Arial" w:hAnsi="Arial" w:cs="Arial"/>
          <w:b w:val="0"/>
          <w:bCs/>
        </w:rPr>
        <w:t xml:space="preserve">1.4 </w:t>
      </w:r>
      <w:r w:rsidRPr="001F6C33">
        <w:rPr>
          <w:rStyle w:val="Strong"/>
          <w:rFonts w:ascii="Arial" w:hAnsi="Arial" w:cs="Arial"/>
          <w:b/>
          <w:bCs w:val="0"/>
        </w:rPr>
        <w:t xml:space="preserve">Conclusion </w:t>
      </w:r>
    </w:p>
    <w:p w14:paraId="074FF061" w14:textId="6F7B116B" w:rsidR="006E5A15" w:rsidRPr="00500EF8" w:rsidRDefault="006E5A15" w:rsidP="008579D1">
      <w:pPr>
        <w:pStyle w:val="NormalWeb"/>
        <w:rPr>
          <w:rFonts w:ascii="Arial" w:hAnsi="Arial" w:cs="Arial"/>
          <w:sz w:val="28"/>
          <w:szCs w:val="28"/>
        </w:rPr>
      </w:pPr>
      <w:r w:rsidRPr="00500EF8">
        <w:rPr>
          <w:rFonts w:ascii="Arial" w:hAnsi="Arial" w:cs="Arial"/>
          <w:sz w:val="28"/>
          <w:szCs w:val="28"/>
        </w:rPr>
        <w:t>The midwives play a critical role in maternal and neonatal health. Clinical expertise, communication and empathy are essential conditions that midwives should possess to deliver safe, effective and humanized care. Continued professional development, training based on simulation, and peer mentoring are some of the ways through which midwives can enhance patient outcomes. These measures develop individuals and enhance care of mother and baby which makes midwifery practice strong and flexible to adapt to evolving healthcare needs.</w:t>
      </w:r>
    </w:p>
    <w:p w14:paraId="4352EDCC" w14:textId="77777777" w:rsidR="003C6777" w:rsidRPr="007A1906" w:rsidRDefault="003C6777" w:rsidP="00376E0A">
      <w:pPr>
        <w:pStyle w:val="NormalWeb"/>
        <w:rPr>
          <w:rFonts w:ascii="Segoe UI" w:hAnsi="Segoe UI" w:cs="Segoe UI"/>
        </w:rPr>
      </w:pPr>
    </w:p>
    <w:p w14:paraId="5239439B" w14:textId="77777777" w:rsidR="003C6777" w:rsidRPr="007A1906" w:rsidRDefault="003C6777" w:rsidP="00376E0A">
      <w:pPr>
        <w:pStyle w:val="NormalWeb"/>
        <w:rPr>
          <w:rFonts w:ascii="Segoe UI" w:hAnsi="Segoe UI" w:cs="Segoe UI"/>
        </w:rPr>
      </w:pPr>
    </w:p>
    <w:p w14:paraId="26640D87" w14:textId="77777777" w:rsidR="003C6777" w:rsidRPr="007A1906" w:rsidRDefault="003C6777" w:rsidP="00376E0A">
      <w:pPr>
        <w:pStyle w:val="NormalWeb"/>
        <w:rPr>
          <w:rFonts w:ascii="Segoe UI" w:hAnsi="Segoe UI" w:cs="Segoe UI"/>
        </w:rPr>
      </w:pPr>
    </w:p>
    <w:p w14:paraId="11F0C432" w14:textId="77777777" w:rsidR="003C6777" w:rsidRPr="007A1906" w:rsidRDefault="003C6777" w:rsidP="00376E0A">
      <w:pPr>
        <w:pStyle w:val="NormalWeb"/>
        <w:rPr>
          <w:rFonts w:ascii="Segoe UI" w:hAnsi="Segoe UI" w:cs="Segoe UI"/>
        </w:rPr>
      </w:pPr>
    </w:p>
    <w:p w14:paraId="02206608" w14:textId="77777777" w:rsidR="003C6777" w:rsidRPr="007A1906" w:rsidRDefault="003C6777" w:rsidP="00376E0A">
      <w:pPr>
        <w:pStyle w:val="NormalWeb"/>
        <w:rPr>
          <w:rFonts w:ascii="Segoe UI" w:hAnsi="Segoe UI" w:cs="Segoe UI"/>
        </w:rPr>
      </w:pPr>
    </w:p>
    <w:p w14:paraId="30941F12" w14:textId="77777777" w:rsidR="003C6777" w:rsidRPr="007A1906" w:rsidRDefault="003C6777" w:rsidP="00376E0A">
      <w:pPr>
        <w:pStyle w:val="NormalWeb"/>
        <w:rPr>
          <w:rFonts w:ascii="Segoe UI" w:hAnsi="Segoe UI" w:cs="Segoe UI"/>
        </w:rPr>
      </w:pPr>
    </w:p>
    <w:p w14:paraId="5B74138B" w14:textId="77777777" w:rsidR="003C6777" w:rsidRPr="007A1906" w:rsidRDefault="003C6777" w:rsidP="00376E0A">
      <w:pPr>
        <w:pStyle w:val="NormalWeb"/>
        <w:rPr>
          <w:rFonts w:ascii="Segoe UI" w:hAnsi="Segoe UI" w:cs="Segoe UI"/>
        </w:rPr>
      </w:pPr>
    </w:p>
    <w:p w14:paraId="24C0E57E" w14:textId="77777777" w:rsidR="003C6777" w:rsidRPr="007A1906" w:rsidRDefault="003C6777" w:rsidP="00376E0A">
      <w:pPr>
        <w:pStyle w:val="NormalWeb"/>
        <w:rPr>
          <w:rFonts w:ascii="Segoe UI" w:hAnsi="Segoe UI" w:cs="Segoe UI"/>
        </w:rPr>
      </w:pPr>
    </w:p>
    <w:p w14:paraId="13868EBE" w14:textId="77777777" w:rsidR="003C6777" w:rsidRDefault="003C6777" w:rsidP="00376E0A">
      <w:pPr>
        <w:pStyle w:val="NormalWeb"/>
        <w:rPr>
          <w:rFonts w:ascii="Segoe UI" w:hAnsi="Segoe UI" w:cs="Segoe UI"/>
        </w:rPr>
      </w:pPr>
    </w:p>
    <w:p w14:paraId="3172607F" w14:textId="77777777" w:rsidR="00B70D30" w:rsidRDefault="00B70D30" w:rsidP="00376E0A">
      <w:pPr>
        <w:pStyle w:val="NormalWeb"/>
        <w:rPr>
          <w:rFonts w:ascii="Segoe UI" w:hAnsi="Segoe UI" w:cs="Segoe UI"/>
        </w:rPr>
      </w:pPr>
    </w:p>
    <w:p w14:paraId="14BAC6EB" w14:textId="77777777" w:rsidR="00B70D30" w:rsidRDefault="00B70D30" w:rsidP="00376E0A">
      <w:pPr>
        <w:pStyle w:val="NormalWeb"/>
        <w:rPr>
          <w:rFonts w:ascii="Segoe UI" w:hAnsi="Segoe UI" w:cs="Segoe UI"/>
        </w:rPr>
      </w:pPr>
    </w:p>
    <w:p w14:paraId="7E1EE340" w14:textId="77777777" w:rsidR="00B70D30" w:rsidRDefault="00B70D30" w:rsidP="00376E0A">
      <w:pPr>
        <w:pStyle w:val="NormalWeb"/>
        <w:rPr>
          <w:rFonts w:ascii="Segoe UI" w:hAnsi="Segoe UI" w:cs="Segoe UI"/>
        </w:rPr>
      </w:pPr>
    </w:p>
    <w:p w14:paraId="7B86417A" w14:textId="77777777" w:rsidR="00B70D30" w:rsidRDefault="00B70D30" w:rsidP="00376E0A">
      <w:pPr>
        <w:pStyle w:val="NormalWeb"/>
        <w:rPr>
          <w:rFonts w:ascii="Segoe UI" w:hAnsi="Segoe UI" w:cs="Segoe UI"/>
        </w:rPr>
      </w:pPr>
    </w:p>
    <w:p w14:paraId="318BE5B0" w14:textId="77777777" w:rsidR="00B70D30" w:rsidRDefault="00B70D30" w:rsidP="00376E0A">
      <w:pPr>
        <w:pStyle w:val="NormalWeb"/>
        <w:rPr>
          <w:rFonts w:ascii="Segoe UI" w:hAnsi="Segoe UI" w:cs="Segoe UI"/>
        </w:rPr>
      </w:pPr>
    </w:p>
    <w:p w14:paraId="54DC450F" w14:textId="77777777" w:rsidR="00B70D30" w:rsidRDefault="00B70D30" w:rsidP="00376E0A">
      <w:pPr>
        <w:pStyle w:val="NormalWeb"/>
        <w:rPr>
          <w:rFonts w:ascii="Segoe UI" w:hAnsi="Segoe UI" w:cs="Segoe UI"/>
        </w:rPr>
      </w:pPr>
    </w:p>
    <w:p w14:paraId="6988FAE7" w14:textId="77777777" w:rsidR="00B70D30" w:rsidRPr="007A1906" w:rsidRDefault="00B70D30" w:rsidP="00376E0A">
      <w:pPr>
        <w:pStyle w:val="NormalWeb"/>
        <w:rPr>
          <w:rFonts w:ascii="Segoe UI" w:hAnsi="Segoe UI" w:cs="Segoe UI"/>
        </w:rPr>
      </w:pPr>
    </w:p>
    <w:p w14:paraId="17411040" w14:textId="77777777" w:rsidR="003C6777" w:rsidRPr="007A1906" w:rsidRDefault="003C6777" w:rsidP="00376E0A">
      <w:pPr>
        <w:pStyle w:val="NormalWeb"/>
        <w:rPr>
          <w:rFonts w:ascii="Segoe UI" w:hAnsi="Segoe UI" w:cs="Segoe UI"/>
        </w:rPr>
      </w:pPr>
    </w:p>
    <w:p w14:paraId="157DA4A2" w14:textId="257FAED3" w:rsidR="006B4B48" w:rsidRPr="00EE1E20" w:rsidRDefault="00AA77C8" w:rsidP="006B4B48">
      <w:pPr>
        <w:pStyle w:val="Heading2"/>
        <w:rPr>
          <w:rFonts w:ascii="Arial" w:hAnsi="Arial" w:cs="Arial"/>
          <w:b/>
          <w:bCs/>
          <w:color w:val="4472C4" w:themeColor="accent1"/>
          <w:sz w:val="32"/>
          <w:szCs w:val="32"/>
        </w:rPr>
      </w:pPr>
      <w:r w:rsidRPr="00EE1E20">
        <w:rPr>
          <w:rFonts w:ascii="Arial" w:hAnsi="Arial" w:cs="Arial"/>
          <w:b/>
          <w:bCs/>
          <w:color w:val="4472C4" w:themeColor="accent1"/>
          <w:sz w:val="32"/>
          <w:szCs w:val="32"/>
        </w:rPr>
        <w:t>1</w:t>
      </w:r>
      <w:r w:rsidR="00226D31" w:rsidRPr="00EE1E20">
        <w:rPr>
          <w:rFonts w:ascii="Arial" w:hAnsi="Arial" w:cs="Arial"/>
          <w:b/>
          <w:bCs/>
          <w:color w:val="4472C4" w:themeColor="accent1"/>
          <w:sz w:val="32"/>
          <w:szCs w:val="32"/>
        </w:rPr>
        <w:t>.5 Reference List</w:t>
      </w:r>
      <w:bookmarkEnd w:id="4"/>
    </w:p>
    <w:p w14:paraId="10218F74" w14:textId="77777777" w:rsidR="006B4B48" w:rsidRPr="00EE1E20" w:rsidRDefault="006B4B48" w:rsidP="006B4B48">
      <w:pPr>
        <w:pStyle w:val="NormalWeb"/>
        <w:rPr>
          <w:rFonts w:ascii="Arial" w:hAnsi="Arial" w:cs="Arial"/>
          <w:sz w:val="28"/>
          <w:szCs w:val="28"/>
        </w:rPr>
      </w:pPr>
      <w:r w:rsidRPr="00EE1E20">
        <w:rPr>
          <w:rFonts w:ascii="Arial" w:hAnsi="Arial" w:cs="Arial"/>
          <w:sz w:val="28"/>
          <w:szCs w:val="28"/>
        </w:rPr>
        <w:t xml:space="preserve">Baranowska, B., Pawlicka, P., Kiersnowska, I., Misztal, A., Kajdy, A., Sys, D. &amp; Doroszewska, A. (2021) ‘Woman’s Needs and Satisfaction Regarding the Communication with Doctors and Midwives during Labour, Delivery and Early Postpartum’, </w:t>
      </w:r>
      <w:r w:rsidRPr="00EE1E20">
        <w:rPr>
          <w:rStyle w:val="Emphasis"/>
          <w:rFonts w:ascii="Arial" w:eastAsiaTheme="majorEastAsia" w:hAnsi="Arial" w:cs="Arial"/>
          <w:sz w:val="28"/>
          <w:szCs w:val="28"/>
        </w:rPr>
        <w:t>Healthcare</w:t>
      </w:r>
      <w:r w:rsidRPr="00EE1E20">
        <w:rPr>
          <w:rFonts w:ascii="Arial" w:hAnsi="Arial" w:cs="Arial"/>
          <w:sz w:val="28"/>
          <w:szCs w:val="28"/>
        </w:rPr>
        <w:t xml:space="preserve">, 9(4), 382. doi: 10.3390/healthcare9040382 </w:t>
      </w:r>
      <w:hyperlink r:id="rId9" w:history="1">
        <w:r w:rsidRPr="00EE1E20">
          <w:rPr>
            <w:rStyle w:val="Hyperlink"/>
            <w:rFonts w:ascii="Arial" w:hAnsi="Arial" w:cs="Arial"/>
            <w:sz w:val="28"/>
            <w:szCs w:val="28"/>
          </w:rPr>
          <w:t>https://pmc.ncbi.nlm.nih.gov/articles/PMC8066117/</w:t>
        </w:r>
      </w:hyperlink>
      <w:r w:rsidRPr="00EE1E20">
        <w:rPr>
          <w:rFonts w:ascii="Arial" w:hAnsi="Arial" w:cs="Arial"/>
          <w:sz w:val="28"/>
          <w:szCs w:val="28"/>
        </w:rPr>
        <w:t xml:space="preserve"> </w:t>
      </w:r>
    </w:p>
    <w:p w14:paraId="72891C3F" w14:textId="77777777" w:rsidR="006B4B48" w:rsidRPr="00EE1E20" w:rsidRDefault="006B4B48" w:rsidP="006B4B48">
      <w:pPr>
        <w:pStyle w:val="NormalWeb"/>
        <w:rPr>
          <w:rFonts w:ascii="Arial" w:hAnsi="Arial" w:cs="Arial"/>
          <w:sz w:val="28"/>
          <w:szCs w:val="28"/>
        </w:rPr>
      </w:pPr>
      <w:r w:rsidRPr="00EE1E20">
        <w:rPr>
          <w:rFonts w:ascii="Arial" w:hAnsi="Arial" w:cs="Arial"/>
          <w:sz w:val="28"/>
          <w:szCs w:val="28"/>
        </w:rPr>
        <w:t xml:space="preserve">Bradford, B.F., Wilson, A.N., Portela, A., McConville, F., Fernandez Turienzo, C. &amp; Homer, C.S.E. (2022) ‘Midwifery continuity of care: A scoping review of where, how, by whom and for whom?’, </w:t>
      </w:r>
      <w:r w:rsidRPr="00EE1E20">
        <w:rPr>
          <w:rStyle w:val="Emphasis"/>
          <w:rFonts w:ascii="Arial" w:eastAsiaTheme="majorEastAsia" w:hAnsi="Arial" w:cs="Arial"/>
          <w:sz w:val="28"/>
          <w:szCs w:val="28"/>
        </w:rPr>
        <w:t>PLOS Global Public Health</w:t>
      </w:r>
      <w:r w:rsidRPr="00EE1E20">
        <w:rPr>
          <w:rFonts w:ascii="Arial" w:hAnsi="Arial" w:cs="Arial"/>
          <w:sz w:val="28"/>
          <w:szCs w:val="28"/>
        </w:rPr>
        <w:t xml:space="preserve">, 2(10), e0000935. doi: 10.1371/journal.pgph.0000935. </w:t>
      </w:r>
      <w:hyperlink r:id="rId10" w:history="1">
        <w:r w:rsidRPr="00EE1E20">
          <w:rPr>
            <w:rStyle w:val="Hyperlink"/>
            <w:rFonts w:ascii="Arial" w:hAnsi="Arial" w:cs="Arial"/>
            <w:sz w:val="28"/>
            <w:szCs w:val="28"/>
          </w:rPr>
          <w:t>https://pmc.ncbi.nlm.nih.gov/articles/PMC10021789/</w:t>
        </w:r>
      </w:hyperlink>
      <w:r w:rsidRPr="00EE1E20">
        <w:rPr>
          <w:rFonts w:ascii="Arial" w:hAnsi="Arial" w:cs="Arial"/>
          <w:sz w:val="28"/>
          <w:szCs w:val="28"/>
        </w:rPr>
        <w:t xml:space="preserve"> </w:t>
      </w:r>
    </w:p>
    <w:p w14:paraId="110D8531" w14:textId="77777777" w:rsidR="006B4B48" w:rsidRPr="00EE1E20" w:rsidRDefault="006B4B48" w:rsidP="006B4B48">
      <w:pPr>
        <w:pStyle w:val="NormalWeb"/>
        <w:rPr>
          <w:rFonts w:ascii="Arial" w:hAnsi="Arial" w:cs="Arial"/>
          <w:sz w:val="28"/>
          <w:szCs w:val="28"/>
        </w:rPr>
      </w:pPr>
      <w:r w:rsidRPr="00EE1E20">
        <w:rPr>
          <w:rFonts w:ascii="Arial" w:hAnsi="Arial" w:cs="Arial"/>
          <w:sz w:val="28"/>
          <w:szCs w:val="28"/>
        </w:rPr>
        <w:t>Clesse, C., Lighezzolo</w:t>
      </w:r>
      <w:r w:rsidRPr="00EE1E20">
        <w:rPr>
          <w:rFonts w:ascii="Arial" w:hAnsi="Arial" w:cs="Arial"/>
          <w:sz w:val="28"/>
          <w:szCs w:val="28"/>
        </w:rPr>
        <w:noBreakHyphen/>
        <w:t xml:space="preserve">Alnot, J., de Lavergne, S., Hamlin, S. &amp; Scheffler, M. (2018) ‘The evolution of birth medicalisation: A systematic review’, </w:t>
      </w:r>
      <w:r w:rsidRPr="00EE1E20">
        <w:rPr>
          <w:rStyle w:val="Emphasis"/>
          <w:rFonts w:ascii="Arial" w:eastAsiaTheme="majorEastAsia" w:hAnsi="Arial" w:cs="Arial"/>
          <w:sz w:val="28"/>
          <w:szCs w:val="28"/>
        </w:rPr>
        <w:t>Midwifery</w:t>
      </w:r>
      <w:r w:rsidRPr="00EE1E20">
        <w:rPr>
          <w:rFonts w:ascii="Arial" w:hAnsi="Arial" w:cs="Arial"/>
          <w:sz w:val="28"/>
          <w:szCs w:val="28"/>
        </w:rPr>
        <w:t>, 66, pp. 161</w:t>
      </w:r>
      <w:r w:rsidRPr="00EE1E20">
        <w:rPr>
          <w:rFonts w:ascii="Arial" w:hAnsi="Arial" w:cs="Arial"/>
          <w:sz w:val="28"/>
          <w:szCs w:val="28"/>
        </w:rPr>
        <w:noBreakHyphen/>
        <w:t xml:space="preserve">167. doi: 10.1016/j.midw.2018.08.003 </w:t>
      </w:r>
      <w:hyperlink r:id="rId11" w:history="1">
        <w:r w:rsidRPr="00EE1E20">
          <w:rPr>
            <w:rStyle w:val="Hyperlink"/>
            <w:rFonts w:ascii="Arial" w:hAnsi="Arial" w:cs="Arial"/>
            <w:sz w:val="28"/>
            <w:szCs w:val="28"/>
          </w:rPr>
          <w:t>https://pubmed.ncbi.nlm.nih.gov/30176390/</w:t>
        </w:r>
      </w:hyperlink>
      <w:r w:rsidRPr="00EE1E20">
        <w:rPr>
          <w:rFonts w:ascii="Arial" w:hAnsi="Arial" w:cs="Arial"/>
          <w:sz w:val="28"/>
          <w:szCs w:val="28"/>
        </w:rPr>
        <w:t xml:space="preserve"> </w:t>
      </w:r>
    </w:p>
    <w:p w14:paraId="4EBB5648" w14:textId="77777777" w:rsidR="006B4B48" w:rsidRPr="00EE1E20" w:rsidRDefault="006B4B48" w:rsidP="006B4B48">
      <w:pPr>
        <w:pStyle w:val="NormalWeb"/>
        <w:rPr>
          <w:rFonts w:ascii="Arial" w:hAnsi="Arial" w:cs="Arial"/>
          <w:sz w:val="28"/>
          <w:szCs w:val="28"/>
        </w:rPr>
      </w:pPr>
      <w:r w:rsidRPr="00EE1E20">
        <w:rPr>
          <w:rFonts w:ascii="Arial" w:hAnsi="Arial" w:cs="Arial"/>
          <w:sz w:val="28"/>
          <w:szCs w:val="28"/>
        </w:rPr>
        <w:t xml:space="preserve">Dent, M. (2024) ‘The Essential Role of Midwifery Care in Modern Healthcare’, </w:t>
      </w:r>
      <w:r w:rsidRPr="00EE1E20">
        <w:rPr>
          <w:rStyle w:val="Emphasis"/>
          <w:rFonts w:ascii="Arial" w:eastAsiaTheme="majorEastAsia" w:hAnsi="Arial" w:cs="Arial"/>
          <w:sz w:val="28"/>
          <w:szCs w:val="28"/>
        </w:rPr>
        <w:t>Journal of Labor and Childbirth</w:t>
      </w:r>
      <w:r w:rsidRPr="00EE1E20">
        <w:rPr>
          <w:rFonts w:ascii="Arial" w:hAnsi="Arial" w:cs="Arial"/>
          <w:sz w:val="28"/>
          <w:szCs w:val="28"/>
        </w:rPr>
        <w:t xml:space="preserve">, 7(4). Available at: </w:t>
      </w:r>
      <w:hyperlink r:id="rId12" w:history="1">
        <w:r w:rsidRPr="00EE1E20">
          <w:rPr>
            <w:rStyle w:val="Hyperlink"/>
            <w:rFonts w:ascii="Arial" w:hAnsi="Arial" w:cs="Arial"/>
            <w:sz w:val="28"/>
            <w:szCs w:val="28"/>
          </w:rPr>
          <w:t>https://www.openaccessjournals.com/articles/the-essential-role-of-midwifery-care-in-modern-healthcare-17913.html</w:t>
        </w:r>
      </w:hyperlink>
      <w:r w:rsidRPr="00EE1E20">
        <w:rPr>
          <w:rFonts w:ascii="Arial" w:hAnsi="Arial" w:cs="Arial"/>
          <w:sz w:val="28"/>
          <w:szCs w:val="28"/>
        </w:rPr>
        <w:t xml:space="preserve"> (Accessed: 19 November 2025).</w:t>
      </w:r>
    </w:p>
    <w:p w14:paraId="03E9EBD1" w14:textId="1865C520" w:rsidR="006B4B48" w:rsidRPr="00EE1E20" w:rsidRDefault="006B4B48" w:rsidP="006B4B48">
      <w:pPr>
        <w:pStyle w:val="NormalWeb"/>
        <w:rPr>
          <w:rFonts w:ascii="Arial" w:hAnsi="Arial" w:cs="Arial"/>
          <w:sz w:val="28"/>
          <w:szCs w:val="28"/>
        </w:rPr>
      </w:pPr>
      <w:r w:rsidRPr="00EE1E20">
        <w:rPr>
          <w:rFonts w:ascii="Arial" w:hAnsi="Arial" w:cs="Arial"/>
          <w:sz w:val="28"/>
          <w:szCs w:val="28"/>
        </w:rPr>
        <w:t>Mahmood,H.R., Hossain, L., Sayeed, A., Azrin, F., Mallick, T., Hayder, T., Ahmed, A., Jabeen, S., Tonmon, T.T., Rahman, M.M., Hassan, A.K.M.M., Siddique, M.A.B., Zaman, S., Rahman, A., Murshid, H.B., Nadia, N., Mahmud, M., Alim, M.A., Hoque, D.M.E., Hasan, A.S.M., El Arifeen, S., Rahman, A.E. &amp; Rasghuvanshi, V.S. (2025) ‘Effect of involvement of midwives in maternal care on patient and provider satisfaction in secondary</w:t>
      </w:r>
      <w:r w:rsidRPr="00EE1E20">
        <w:rPr>
          <w:rFonts w:ascii="Arial" w:hAnsi="Arial" w:cs="Arial"/>
          <w:sz w:val="28"/>
          <w:szCs w:val="28"/>
        </w:rPr>
        <w:noBreakHyphen/>
        <w:t>level public health facilities in Bangladesh: a comparative quasi</w:t>
      </w:r>
      <w:r w:rsidRPr="00EE1E20">
        <w:rPr>
          <w:rFonts w:ascii="Arial" w:hAnsi="Arial" w:cs="Arial"/>
          <w:sz w:val="28"/>
          <w:szCs w:val="28"/>
        </w:rPr>
        <w:noBreakHyphen/>
        <w:t xml:space="preserve">experimental study’, </w:t>
      </w:r>
      <w:r w:rsidRPr="00EE1E20">
        <w:rPr>
          <w:rStyle w:val="Emphasis"/>
          <w:rFonts w:ascii="Arial" w:eastAsiaTheme="majorEastAsia" w:hAnsi="Arial" w:cs="Arial"/>
          <w:sz w:val="28"/>
          <w:szCs w:val="28"/>
        </w:rPr>
        <w:t>Journal of Global Health</w:t>
      </w:r>
      <w:r w:rsidRPr="00EE1E20">
        <w:rPr>
          <w:rFonts w:ascii="Arial" w:hAnsi="Arial" w:cs="Arial"/>
          <w:sz w:val="28"/>
          <w:szCs w:val="28"/>
        </w:rPr>
        <w:t xml:space="preserve">, 15, 04183. doi: 10.7189/jogh.15.04183 </w:t>
      </w:r>
      <w:hyperlink r:id="rId13" w:history="1">
        <w:r w:rsidRPr="00EE1E20">
          <w:rPr>
            <w:rStyle w:val="Hyperlink"/>
            <w:rFonts w:ascii="Arial" w:hAnsi="Arial" w:cs="Arial"/>
            <w:sz w:val="28"/>
            <w:szCs w:val="28"/>
          </w:rPr>
          <w:t>https://pmc.ncbi.nlm.nih.gov/articles/PMC12231468/</w:t>
        </w:r>
      </w:hyperlink>
      <w:r w:rsidRPr="00EE1E20">
        <w:rPr>
          <w:rFonts w:ascii="Arial" w:hAnsi="Arial" w:cs="Arial"/>
          <w:sz w:val="28"/>
          <w:szCs w:val="28"/>
        </w:rPr>
        <w:t xml:space="preserve"> </w:t>
      </w:r>
    </w:p>
    <w:p w14:paraId="4008545E" w14:textId="77777777" w:rsidR="006B4B48" w:rsidRPr="00EE1E20" w:rsidRDefault="006B4B48" w:rsidP="006B4B48">
      <w:pPr>
        <w:pStyle w:val="NormalWeb"/>
        <w:rPr>
          <w:rFonts w:ascii="Arial" w:hAnsi="Arial" w:cs="Arial"/>
          <w:sz w:val="28"/>
          <w:szCs w:val="28"/>
        </w:rPr>
      </w:pPr>
      <w:r w:rsidRPr="00EE1E20">
        <w:rPr>
          <w:rFonts w:ascii="Arial" w:hAnsi="Arial" w:cs="Arial"/>
          <w:sz w:val="28"/>
          <w:szCs w:val="28"/>
        </w:rPr>
        <w:t>Rodríguez</w:t>
      </w:r>
      <w:r w:rsidRPr="00EE1E20">
        <w:rPr>
          <w:rFonts w:ascii="Arial" w:hAnsi="Arial" w:cs="Arial"/>
          <w:sz w:val="28"/>
          <w:szCs w:val="28"/>
        </w:rPr>
        <w:noBreakHyphen/>
        <w:t xml:space="preserve">Martín, S., Greig, Y., Shaw, E. &amp; McKellar, L. (2024) ‘Strategies and interventions used to provide communication education for midwifery students: A scoping review’, </w:t>
      </w:r>
      <w:r w:rsidRPr="00EE1E20">
        <w:rPr>
          <w:rStyle w:val="Emphasis"/>
          <w:rFonts w:ascii="Arial" w:eastAsiaTheme="majorEastAsia" w:hAnsi="Arial" w:cs="Arial"/>
          <w:sz w:val="28"/>
          <w:szCs w:val="28"/>
        </w:rPr>
        <w:t>Nurse Education in Practice</w:t>
      </w:r>
      <w:r w:rsidRPr="00EE1E20">
        <w:rPr>
          <w:rFonts w:ascii="Arial" w:hAnsi="Arial" w:cs="Arial"/>
          <w:sz w:val="28"/>
          <w:szCs w:val="28"/>
        </w:rPr>
        <w:t xml:space="preserve">, 78(1), 103995. doi: 10.1016/j.nepr.2024.103995. </w:t>
      </w:r>
      <w:hyperlink r:id="rId14" w:history="1">
        <w:r w:rsidRPr="00EE1E20">
          <w:rPr>
            <w:rStyle w:val="Hyperlink"/>
            <w:rFonts w:ascii="Arial" w:hAnsi="Arial" w:cs="Arial"/>
            <w:sz w:val="28"/>
            <w:szCs w:val="28"/>
          </w:rPr>
          <w:t>https://www.researchgate.net/publication/380557931_Strategies_and_interventions_used_to_provide_communication_education_for_midwifery_students_A_scoping_review</w:t>
        </w:r>
      </w:hyperlink>
      <w:r w:rsidRPr="00EE1E20">
        <w:rPr>
          <w:rFonts w:ascii="Arial" w:hAnsi="Arial" w:cs="Arial"/>
          <w:sz w:val="28"/>
          <w:szCs w:val="28"/>
        </w:rPr>
        <w:t xml:space="preserve"> </w:t>
      </w:r>
    </w:p>
    <w:p w14:paraId="1A9970C5" w14:textId="77777777" w:rsidR="006B4B48" w:rsidRPr="00EE1E20" w:rsidRDefault="006B4B48" w:rsidP="006B4B48">
      <w:pPr>
        <w:pStyle w:val="NormalWeb"/>
        <w:rPr>
          <w:rFonts w:ascii="Arial" w:hAnsi="Arial" w:cs="Arial"/>
          <w:sz w:val="28"/>
          <w:szCs w:val="28"/>
        </w:rPr>
      </w:pPr>
      <w:r w:rsidRPr="00EE1E20">
        <w:rPr>
          <w:rFonts w:ascii="Arial" w:hAnsi="Arial" w:cs="Arial"/>
          <w:sz w:val="28"/>
          <w:szCs w:val="28"/>
        </w:rPr>
        <w:t>Skubic, M., Stanek Zidarič, T., Jug Došler, A. &amp; Šerjak, L. (2025) ‘Enhancing midwifery students’ knowledge and skills in communication, counselling, and therapeutic approaches through an elective pilot course: a mixed</w:t>
      </w:r>
      <w:r w:rsidRPr="00EE1E20">
        <w:rPr>
          <w:rFonts w:ascii="Arial" w:hAnsi="Arial" w:cs="Arial"/>
          <w:sz w:val="28"/>
          <w:szCs w:val="28"/>
        </w:rPr>
        <w:noBreakHyphen/>
        <w:t xml:space="preserve">methods study’, </w:t>
      </w:r>
      <w:r w:rsidRPr="00EE1E20">
        <w:rPr>
          <w:rStyle w:val="Emphasis"/>
          <w:rFonts w:ascii="Arial" w:eastAsiaTheme="majorEastAsia" w:hAnsi="Arial" w:cs="Arial"/>
          <w:sz w:val="28"/>
          <w:szCs w:val="28"/>
        </w:rPr>
        <w:t>Healthcare</w:t>
      </w:r>
      <w:r w:rsidRPr="00EE1E20">
        <w:rPr>
          <w:rFonts w:ascii="Arial" w:hAnsi="Arial" w:cs="Arial"/>
          <w:sz w:val="28"/>
          <w:szCs w:val="28"/>
        </w:rPr>
        <w:t xml:space="preserve">, 13(10), 1180. doi: 10.3390/healthcare13101180. </w:t>
      </w:r>
      <w:hyperlink r:id="rId15" w:history="1">
        <w:r w:rsidRPr="00EE1E20">
          <w:rPr>
            <w:rStyle w:val="Hyperlink"/>
            <w:rFonts w:ascii="Arial" w:hAnsi="Arial" w:cs="Arial"/>
            <w:sz w:val="28"/>
            <w:szCs w:val="28"/>
          </w:rPr>
          <w:t>https://pmc.ncbi.nlm.nih.gov/articles/PMC12110920/</w:t>
        </w:r>
      </w:hyperlink>
      <w:r w:rsidRPr="00EE1E20">
        <w:rPr>
          <w:rFonts w:ascii="Arial" w:hAnsi="Arial" w:cs="Arial"/>
          <w:sz w:val="28"/>
          <w:szCs w:val="28"/>
        </w:rPr>
        <w:t xml:space="preserve"> </w:t>
      </w:r>
    </w:p>
    <w:p w14:paraId="0B87E826" w14:textId="77777777" w:rsidR="006B4B48" w:rsidRPr="00EE1E20" w:rsidRDefault="006B4B48" w:rsidP="006B4B48">
      <w:pPr>
        <w:pStyle w:val="NormalWeb"/>
        <w:rPr>
          <w:rFonts w:ascii="Arial" w:hAnsi="Arial" w:cs="Arial"/>
          <w:sz w:val="28"/>
          <w:szCs w:val="28"/>
        </w:rPr>
      </w:pPr>
      <w:r w:rsidRPr="00EE1E20">
        <w:rPr>
          <w:rFonts w:ascii="Arial" w:hAnsi="Arial" w:cs="Arial"/>
          <w:sz w:val="28"/>
          <w:szCs w:val="28"/>
        </w:rPr>
        <w:t>Stoodley, C., McKellar, L., Ziaian, T., Steen, M., Fereday, J. &amp; Gwilt, I. (2023) ‘The role of midwives in supporting the development of the mother</w:t>
      </w:r>
      <w:r w:rsidRPr="00EE1E20">
        <w:rPr>
          <w:rFonts w:ascii="Arial" w:hAnsi="Arial" w:cs="Arial"/>
          <w:sz w:val="28"/>
          <w:szCs w:val="28"/>
        </w:rPr>
        <w:noBreakHyphen/>
        <w:t xml:space="preserve">infant relationship: a scoping review’, </w:t>
      </w:r>
      <w:r w:rsidRPr="00EE1E20">
        <w:rPr>
          <w:rStyle w:val="Emphasis"/>
          <w:rFonts w:ascii="Arial" w:eastAsiaTheme="majorEastAsia" w:hAnsi="Arial" w:cs="Arial"/>
          <w:sz w:val="28"/>
          <w:szCs w:val="28"/>
        </w:rPr>
        <w:t>BMC Psychology</w:t>
      </w:r>
      <w:r w:rsidRPr="00EE1E20">
        <w:rPr>
          <w:rFonts w:ascii="Arial" w:hAnsi="Arial" w:cs="Arial"/>
          <w:sz w:val="28"/>
          <w:szCs w:val="28"/>
        </w:rPr>
        <w:t>, 11, 71. doi: 10.1186/s40359</w:t>
      </w:r>
      <w:r w:rsidRPr="00EE1E20">
        <w:rPr>
          <w:rFonts w:ascii="Arial" w:hAnsi="Arial" w:cs="Arial"/>
          <w:sz w:val="28"/>
          <w:szCs w:val="28"/>
        </w:rPr>
        <w:noBreakHyphen/>
        <w:t>023</w:t>
      </w:r>
      <w:r w:rsidRPr="00EE1E20">
        <w:rPr>
          <w:rFonts w:ascii="Arial" w:hAnsi="Arial" w:cs="Arial"/>
          <w:sz w:val="28"/>
          <w:szCs w:val="28"/>
        </w:rPr>
        <w:noBreakHyphen/>
        <w:t>01092</w:t>
      </w:r>
      <w:r w:rsidRPr="00EE1E20">
        <w:rPr>
          <w:rFonts w:ascii="Arial" w:hAnsi="Arial" w:cs="Arial"/>
          <w:sz w:val="28"/>
          <w:szCs w:val="28"/>
        </w:rPr>
        <w:noBreakHyphen/>
        <w:t xml:space="preserve">8. </w:t>
      </w:r>
      <w:hyperlink r:id="rId16" w:history="1">
        <w:r w:rsidRPr="00EE1E20">
          <w:rPr>
            <w:rStyle w:val="Hyperlink"/>
            <w:rFonts w:ascii="Arial" w:hAnsi="Arial" w:cs="Arial"/>
            <w:sz w:val="28"/>
            <w:szCs w:val="28"/>
          </w:rPr>
          <w:t>https://pmc.ncbi.nlm.nih.gov/articles/PMC10015829/</w:t>
        </w:r>
      </w:hyperlink>
      <w:r w:rsidRPr="00EE1E20">
        <w:rPr>
          <w:rFonts w:ascii="Arial" w:hAnsi="Arial" w:cs="Arial"/>
          <w:sz w:val="28"/>
          <w:szCs w:val="28"/>
        </w:rPr>
        <w:t xml:space="preserve"> </w:t>
      </w:r>
    </w:p>
    <w:p w14:paraId="77E19E37" w14:textId="77777777" w:rsidR="006B4B48" w:rsidRPr="00EE1E20" w:rsidRDefault="006B4B48" w:rsidP="006B4B48">
      <w:pPr>
        <w:pStyle w:val="NormalWeb"/>
        <w:rPr>
          <w:rFonts w:ascii="Arial" w:hAnsi="Arial" w:cs="Arial"/>
          <w:sz w:val="28"/>
          <w:szCs w:val="28"/>
        </w:rPr>
      </w:pPr>
      <w:r w:rsidRPr="00EE1E20">
        <w:rPr>
          <w:rFonts w:ascii="Arial" w:hAnsi="Arial" w:cs="Arial"/>
          <w:sz w:val="28"/>
          <w:szCs w:val="28"/>
        </w:rPr>
        <w:t xml:space="preserve">Tallam, E., Kaura, D. &amp; Mash, R. (2025) ‘Exploring midwifery competence and confidence based on midwives’ experiences and stakeholders’ insights in Kenya: a descriptive phenomenological approach’, </w:t>
      </w:r>
      <w:r w:rsidRPr="00EE1E20">
        <w:rPr>
          <w:rStyle w:val="Emphasis"/>
          <w:rFonts w:ascii="Arial" w:eastAsiaTheme="majorEastAsia" w:hAnsi="Arial" w:cs="Arial"/>
          <w:sz w:val="28"/>
          <w:szCs w:val="28"/>
        </w:rPr>
        <w:t>BMC Nursing</w:t>
      </w:r>
      <w:r w:rsidRPr="00EE1E20">
        <w:rPr>
          <w:rFonts w:ascii="Arial" w:hAnsi="Arial" w:cs="Arial"/>
          <w:sz w:val="28"/>
          <w:szCs w:val="28"/>
        </w:rPr>
        <w:t>, 24, Article no. 1017. doi: 10.1186/s12912</w:t>
      </w:r>
      <w:r w:rsidRPr="00EE1E20">
        <w:rPr>
          <w:rFonts w:ascii="Arial" w:hAnsi="Arial" w:cs="Arial"/>
          <w:sz w:val="28"/>
          <w:szCs w:val="28"/>
        </w:rPr>
        <w:noBreakHyphen/>
        <w:t>025</w:t>
      </w:r>
      <w:r w:rsidRPr="00EE1E20">
        <w:rPr>
          <w:rFonts w:ascii="Arial" w:hAnsi="Arial" w:cs="Arial"/>
          <w:sz w:val="28"/>
          <w:szCs w:val="28"/>
        </w:rPr>
        <w:noBreakHyphen/>
        <w:t>03589</w:t>
      </w:r>
      <w:r w:rsidRPr="00EE1E20">
        <w:rPr>
          <w:rFonts w:ascii="Arial" w:hAnsi="Arial" w:cs="Arial"/>
          <w:sz w:val="28"/>
          <w:szCs w:val="28"/>
        </w:rPr>
        <w:noBreakHyphen/>
        <w:t xml:space="preserve">6. </w:t>
      </w:r>
      <w:hyperlink r:id="rId17" w:history="1">
        <w:r w:rsidRPr="00EE1E20">
          <w:rPr>
            <w:rStyle w:val="Hyperlink"/>
            <w:rFonts w:ascii="Arial" w:hAnsi="Arial" w:cs="Arial"/>
            <w:sz w:val="28"/>
            <w:szCs w:val="28"/>
          </w:rPr>
          <w:t>https://bmcnurs.biomedcentral.com/articles/10.1186/s12912-025-03589-6</w:t>
        </w:r>
      </w:hyperlink>
      <w:r w:rsidRPr="00EE1E20">
        <w:rPr>
          <w:rFonts w:ascii="Arial" w:hAnsi="Arial" w:cs="Arial"/>
          <w:sz w:val="28"/>
          <w:szCs w:val="28"/>
        </w:rPr>
        <w:t xml:space="preserve"> </w:t>
      </w:r>
    </w:p>
    <w:p w14:paraId="1D0F2D59" w14:textId="04FD5966" w:rsidR="004552CE" w:rsidRPr="00EE1E20" w:rsidRDefault="004552CE" w:rsidP="005E44B5">
      <w:pPr>
        <w:rPr>
          <w:rFonts w:ascii="Arial" w:hAnsi="Arial" w:cs="Arial"/>
          <w:color w:val="FF0000"/>
          <w:sz w:val="28"/>
          <w:szCs w:val="28"/>
        </w:rPr>
      </w:pPr>
    </w:p>
    <w:sectPr w:rsidR="004552CE" w:rsidRPr="00EE1E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4F77B" w14:textId="77777777" w:rsidR="00DE05E0" w:rsidRDefault="00DE05E0" w:rsidP="003C7C97">
      <w:pPr>
        <w:spacing w:after="0" w:line="240" w:lineRule="auto"/>
      </w:pPr>
      <w:r>
        <w:separator/>
      </w:r>
    </w:p>
  </w:endnote>
  <w:endnote w:type="continuationSeparator" w:id="0">
    <w:p w14:paraId="0265B19A" w14:textId="77777777" w:rsidR="00DE05E0" w:rsidRDefault="00DE05E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02966" w14:textId="77777777" w:rsidR="00DE05E0" w:rsidRDefault="00DE05E0" w:rsidP="003C7C97">
      <w:pPr>
        <w:spacing w:after="0" w:line="240" w:lineRule="auto"/>
      </w:pPr>
      <w:r>
        <w:separator/>
      </w:r>
    </w:p>
  </w:footnote>
  <w:footnote w:type="continuationSeparator" w:id="0">
    <w:p w14:paraId="102F21CD" w14:textId="77777777" w:rsidR="00DE05E0" w:rsidRDefault="00DE05E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1B7FF3"/>
    <w:multiLevelType w:val="multilevel"/>
    <w:tmpl w:val="CC5C6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80630B"/>
    <w:multiLevelType w:val="multilevel"/>
    <w:tmpl w:val="E0A808D0"/>
    <w:lvl w:ilvl="0">
      <w:start w:val="1"/>
      <w:numFmt w:val="decimal"/>
      <w:lvlText w:val="%1."/>
      <w:lvlJc w:val="left"/>
      <w:pPr>
        <w:tabs>
          <w:tab w:val="num" w:pos="785"/>
        </w:tabs>
        <w:ind w:left="785"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78087">
    <w:abstractNumId w:val="7"/>
  </w:num>
  <w:num w:numId="2" w16cid:durableId="1880974295">
    <w:abstractNumId w:val="1"/>
  </w:num>
  <w:num w:numId="3" w16cid:durableId="829561332">
    <w:abstractNumId w:val="10"/>
  </w:num>
  <w:num w:numId="4" w16cid:durableId="81534741">
    <w:abstractNumId w:val="20"/>
  </w:num>
  <w:num w:numId="5" w16cid:durableId="1119035297">
    <w:abstractNumId w:val="17"/>
  </w:num>
  <w:num w:numId="6" w16cid:durableId="1898542638">
    <w:abstractNumId w:val="18"/>
  </w:num>
  <w:num w:numId="7" w16cid:durableId="914902726">
    <w:abstractNumId w:val="21"/>
  </w:num>
  <w:num w:numId="8" w16cid:durableId="522283276">
    <w:abstractNumId w:val="14"/>
  </w:num>
  <w:num w:numId="9" w16cid:durableId="34937166">
    <w:abstractNumId w:val="5"/>
  </w:num>
  <w:num w:numId="10" w16cid:durableId="396512605">
    <w:abstractNumId w:val="12"/>
  </w:num>
  <w:num w:numId="11" w16cid:durableId="1439108414">
    <w:abstractNumId w:val="13"/>
  </w:num>
  <w:num w:numId="12" w16cid:durableId="1911383149">
    <w:abstractNumId w:val="11"/>
  </w:num>
  <w:num w:numId="13" w16cid:durableId="1994219833">
    <w:abstractNumId w:val="16"/>
  </w:num>
  <w:num w:numId="14" w16cid:durableId="2077390128">
    <w:abstractNumId w:val="9"/>
  </w:num>
  <w:num w:numId="15" w16cid:durableId="146752516">
    <w:abstractNumId w:val="4"/>
  </w:num>
  <w:num w:numId="16" w16cid:durableId="1565797827">
    <w:abstractNumId w:val="6"/>
  </w:num>
  <w:num w:numId="17" w16cid:durableId="299726380">
    <w:abstractNumId w:val="22"/>
  </w:num>
  <w:num w:numId="18" w16cid:durableId="1219976156">
    <w:abstractNumId w:val="19"/>
  </w:num>
  <w:num w:numId="19" w16cid:durableId="254092019">
    <w:abstractNumId w:val="8"/>
  </w:num>
  <w:num w:numId="20" w16cid:durableId="761225075">
    <w:abstractNumId w:val="15"/>
  </w:num>
  <w:num w:numId="21" w16cid:durableId="854539354">
    <w:abstractNumId w:val="23"/>
  </w:num>
  <w:num w:numId="22" w16cid:durableId="1906184154">
    <w:abstractNumId w:val="0"/>
  </w:num>
  <w:num w:numId="23" w16cid:durableId="2011059300">
    <w:abstractNumId w:val="2"/>
  </w:num>
  <w:num w:numId="24" w16cid:durableId="5115289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964"/>
    <w:rsid w:val="0001715D"/>
    <w:rsid w:val="00022C42"/>
    <w:rsid w:val="00027B15"/>
    <w:rsid w:val="00030A05"/>
    <w:rsid w:val="00070818"/>
    <w:rsid w:val="0008238F"/>
    <w:rsid w:val="00082EC6"/>
    <w:rsid w:val="000833CA"/>
    <w:rsid w:val="00085388"/>
    <w:rsid w:val="000D41DC"/>
    <w:rsid w:val="00125D37"/>
    <w:rsid w:val="00127C1A"/>
    <w:rsid w:val="00133E5E"/>
    <w:rsid w:val="00150D81"/>
    <w:rsid w:val="00166CEB"/>
    <w:rsid w:val="0016790B"/>
    <w:rsid w:val="00183CB9"/>
    <w:rsid w:val="00184A9A"/>
    <w:rsid w:val="001947DF"/>
    <w:rsid w:val="001B22BB"/>
    <w:rsid w:val="001B619C"/>
    <w:rsid w:val="001D1D3C"/>
    <w:rsid w:val="001F6C33"/>
    <w:rsid w:val="00206BBD"/>
    <w:rsid w:val="002205D4"/>
    <w:rsid w:val="00222C3A"/>
    <w:rsid w:val="00226D31"/>
    <w:rsid w:val="00236401"/>
    <w:rsid w:val="002370CE"/>
    <w:rsid w:val="00242974"/>
    <w:rsid w:val="00290669"/>
    <w:rsid w:val="002976D4"/>
    <w:rsid w:val="002A5577"/>
    <w:rsid w:val="002B4AA4"/>
    <w:rsid w:val="002E71BA"/>
    <w:rsid w:val="002F5066"/>
    <w:rsid w:val="003003FD"/>
    <w:rsid w:val="00310245"/>
    <w:rsid w:val="00316C95"/>
    <w:rsid w:val="003458DB"/>
    <w:rsid w:val="003523D3"/>
    <w:rsid w:val="00364C35"/>
    <w:rsid w:val="00376E0A"/>
    <w:rsid w:val="00396F60"/>
    <w:rsid w:val="003A51D6"/>
    <w:rsid w:val="003B125E"/>
    <w:rsid w:val="003B2A5E"/>
    <w:rsid w:val="003C6777"/>
    <w:rsid w:val="003C7C97"/>
    <w:rsid w:val="00406B8D"/>
    <w:rsid w:val="00410068"/>
    <w:rsid w:val="0041618E"/>
    <w:rsid w:val="0042295C"/>
    <w:rsid w:val="00426EEC"/>
    <w:rsid w:val="004466C3"/>
    <w:rsid w:val="004552CE"/>
    <w:rsid w:val="00481FF7"/>
    <w:rsid w:val="00500295"/>
    <w:rsid w:val="00500EF8"/>
    <w:rsid w:val="00501AAF"/>
    <w:rsid w:val="00527AFA"/>
    <w:rsid w:val="005419DA"/>
    <w:rsid w:val="005678AC"/>
    <w:rsid w:val="005709B1"/>
    <w:rsid w:val="00572B3B"/>
    <w:rsid w:val="005836D2"/>
    <w:rsid w:val="00587C58"/>
    <w:rsid w:val="005949C6"/>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B4B48"/>
    <w:rsid w:val="006C5138"/>
    <w:rsid w:val="006C689B"/>
    <w:rsid w:val="006E005C"/>
    <w:rsid w:val="006E5A15"/>
    <w:rsid w:val="006E6EE5"/>
    <w:rsid w:val="006F0029"/>
    <w:rsid w:val="007138EF"/>
    <w:rsid w:val="007632A9"/>
    <w:rsid w:val="00774092"/>
    <w:rsid w:val="00782830"/>
    <w:rsid w:val="0078664A"/>
    <w:rsid w:val="007A1906"/>
    <w:rsid w:val="007B0F6D"/>
    <w:rsid w:val="007C4AF6"/>
    <w:rsid w:val="007C62C3"/>
    <w:rsid w:val="007D25AA"/>
    <w:rsid w:val="007F0873"/>
    <w:rsid w:val="00805726"/>
    <w:rsid w:val="00815117"/>
    <w:rsid w:val="00830595"/>
    <w:rsid w:val="00850001"/>
    <w:rsid w:val="008520F8"/>
    <w:rsid w:val="00855F34"/>
    <w:rsid w:val="008579D1"/>
    <w:rsid w:val="0086275D"/>
    <w:rsid w:val="008826B6"/>
    <w:rsid w:val="008B0B22"/>
    <w:rsid w:val="008C58B0"/>
    <w:rsid w:val="008C591B"/>
    <w:rsid w:val="008C6182"/>
    <w:rsid w:val="00926458"/>
    <w:rsid w:val="00933720"/>
    <w:rsid w:val="00944C3D"/>
    <w:rsid w:val="009C39BE"/>
    <w:rsid w:val="009C7E52"/>
    <w:rsid w:val="009E4934"/>
    <w:rsid w:val="009E56F2"/>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70D30"/>
    <w:rsid w:val="00B81790"/>
    <w:rsid w:val="00B81BBC"/>
    <w:rsid w:val="00BD03D5"/>
    <w:rsid w:val="00C3215E"/>
    <w:rsid w:val="00C45272"/>
    <w:rsid w:val="00C47770"/>
    <w:rsid w:val="00C75856"/>
    <w:rsid w:val="00C85A7C"/>
    <w:rsid w:val="00C95214"/>
    <w:rsid w:val="00CC3F59"/>
    <w:rsid w:val="00CD0702"/>
    <w:rsid w:val="00CD4774"/>
    <w:rsid w:val="00D10AAF"/>
    <w:rsid w:val="00D27540"/>
    <w:rsid w:val="00D4006B"/>
    <w:rsid w:val="00D40D7A"/>
    <w:rsid w:val="00D64A0D"/>
    <w:rsid w:val="00D750B4"/>
    <w:rsid w:val="00D81C18"/>
    <w:rsid w:val="00D8461A"/>
    <w:rsid w:val="00D95CAF"/>
    <w:rsid w:val="00DB60B6"/>
    <w:rsid w:val="00DC1CC6"/>
    <w:rsid w:val="00DE05E0"/>
    <w:rsid w:val="00E067A8"/>
    <w:rsid w:val="00E13924"/>
    <w:rsid w:val="00E15FD5"/>
    <w:rsid w:val="00E1725A"/>
    <w:rsid w:val="00E33758"/>
    <w:rsid w:val="00E53E5E"/>
    <w:rsid w:val="00E64325"/>
    <w:rsid w:val="00E673C5"/>
    <w:rsid w:val="00E67967"/>
    <w:rsid w:val="00E82723"/>
    <w:rsid w:val="00E908AA"/>
    <w:rsid w:val="00EA29A5"/>
    <w:rsid w:val="00EA329E"/>
    <w:rsid w:val="00EC107C"/>
    <w:rsid w:val="00EC7EBE"/>
    <w:rsid w:val="00EC7FD2"/>
    <w:rsid w:val="00ED5964"/>
    <w:rsid w:val="00EE1E20"/>
    <w:rsid w:val="00F1720B"/>
    <w:rsid w:val="00F36ADC"/>
    <w:rsid w:val="00F5577B"/>
    <w:rsid w:val="00F605C6"/>
    <w:rsid w:val="00F632FD"/>
    <w:rsid w:val="00F6785B"/>
    <w:rsid w:val="00F915D6"/>
    <w:rsid w:val="00FB61D2"/>
    <w:rsid w:val="00FC650D"/>
    <w:rsid w:val="00FE2798"/>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631711573">
      <w:bodyDiv w:val="1"/>
      <w:marLeft w:val="0"/>
      <w:marRight w:val="0"/>
      <w:marTop w:val="0"/>
      <w:marBottom w:val="0"/>
      <w:divBdr>
        <w:top w:val="none" w:sz="0" w:space="0" w:color="auto"/>
        <w:left w:val="none" w:sz="0" w:space="0" w:color="auto"/>
        <w:bottom w:val="none" w:sz="0" w:space="0" w:color="auto"/>
        <w:right w:val="none" w:sz="0" w:space="0" w:color="auto"/>
      </w:divBdr>
    </w:div>
    <w:div w:id="717556635">
      <w:bodyDiv w:val="1"/>
      <w:marLeft w:val="0"/>
      <w:marRight w:val="0"/>
      <w:marTop w:val="0"/>
      <w:marBottom w:val="0"/>
      <w:divBdr>
        <w:top w:val="none" w:sz="0" w:space="0" w:color="auto"/>
        <w:left w:val="none" w:sz="0" w:space="0" w:color="auto"/>
        <w:bottom w:val="none" w:sz="0" w:space="0" w:color="auto"/>
        <w:right w:val="none" w:sz="0" w:space="0" w:color="auto"/>
      </w:divBdr>
    </w:div>
    <w:div w:id="1162043542">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29441320">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mc.ncbi.nlm.nih.gov/articles/PMC1223146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penaccessjournals.com/articles/the-essential-role-of-midwifery-care-in-modern-healthcare-17913.html" TargetMode="External"/><Relationship Id="rId17" Type="http://schemas.openxmlformats.org/officeDocument/2006/relationships/hyperlink" Target="https://bmcnurs.biomedcentral.com/articles/10.1186/s12912-025-03589-6" TargetMode="External"/><Relationship Id="rId2" Type="http://schemas.openxmlformats.org/officeDocument/2006/relationships/numbering" Target="numbering.xml"/><Relationship Id="rId16" Type="http://schemas.openxmlformats.org/officeDocument/2006/relationships/hyperlink" Target="https://pmc.ncbi.nlm.nih.gov/articles/PMC100158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30176390/" TargetMode="External"/><Relationship Id="rId5" Type="http://schemas.openxmlformats.org/officeDocument/2006/relationships/webSettings" Target="webSettings.xml"/><Relationship Id="rId15" Type="http://schemas.openxmlformats.org/officeDocument/2006/relationships/hyperlink" Target="https://pmc.ncbi.nlm.nih.gov/articles/PMC12110920/" TargetMode="External"/><Relationship Id="rId10" Type="http://schemas.openxmlformats.org/officeDocument/2006/relationships/hyperlink" Target="https://pmc.ncbi.nlm.nih.gov/articles/PMC1002178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mc.ncbi.nlm.nih.gov/articles/PMC8066117/" TargetMode="External"/><Relationship Id="rId14" Type="http://schemas.openxmlformats.org/officeDocument/2006/relationships/hyperlink" Target="https://www.researchgate.net/publication/380557931_Strategies_and_interventions_used_to_provide_communication_education_for_midwifery_students_A_scoping_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19DAC5-A917-4B2D-A67F-BBD9D9C7E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1869</Words>
  <Characters>10657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Shamaila Shafaq</cp:lastModifiedBy>
  <cp:revision>2</cp:revision>
  <dcterms:created xsi:type="dcterms:W3CDTF">2025-11-20T19:43:00Z</dcterms:created>
  <dcterms:modified xsi:type="dcterms:W3CDTF">2025-11-20T19:43:00Z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