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816BB" w14:textId="77777777" w:rsidR="00946074" w:rsidRDefault="00946074" w:rsidP="00946074">
      <w:pPr>
        <w:jc w:val="center"/>
        <w:rPr>
          <w:rFonts w:ascii="Arial" w:hAnsi="Arial" w:cs="Arial"/>
          <w:sz w:val="52"/>
          <w:szCs w:val="52"/>
        </w:rPr>
      </w:pPr>
    </w:p>
    <w:p w14:paraId="42445F1A" w14:textId="77777777" w:rsidR="00946074" w:rsidRDefault="00946074" w:rsidP="00946074">
      <w:pPr>
        <w:jc w:val="center"/>
        <w:rPr>
          <w:rFonts w:ascii="Arial" w:hAnsi="Arial" w:cs="Arial"/>
          <w:sz w:val="52"/>
          <w:szCs w:val="52"/>
        </w:rPr>
      </w:pPr>
    </w:p>
    <w:p w14:paraId="1C6D16CE" w14:textId="77777777" w:rsidR="00960017" w:rsidRDefault="00960017" w:rsidP="00946074">
      <w:pPr>
        <w:jc w:val="center"/>
        <w:rPr>
          <w:rFonts w:ascii="Arial" w:hAnsi="Arial" w:cs="Arial"/>
          <w:sz w:val="52"/>
          <w:szCs w:val="52"/>
        </w:rPr>
      </w:pPr>
    </w:p>
    <w:p w14:paraId="4673A659" w14:textId="36149E14" w:rsidR="00D81DD8" w:rsidRPr="00946074" w:rsidRDefault="00D81DD8" w:rsidP="00D81DD8">
      <w:pPr>
        <w:rPr>
          <w:rFonts w:ascii="Arial" w:hAnsi="Arial" w:cs="Arial"/>
          <w:sz w:val="52"/>
          <w:szCs w:val="52"/>
        </w:rPr>
      </w:pPr>
      <w:r>
        <w:rPr>
          <w:rFonts w:ascii="Arial" w:hAnsi="Arial" w:cs="Arial"/>
          <w:sz w:val="52"/>
          <w:szCs w:val="52"/>
        </w:rPr>
        <w:t xml:space="preserve">                    </w:t>
      </w:r>
      <w:r w:rsidRPr="00946074">
        <w:rPr>
          <w:rFonts w:ascii="Arial" w:hAnsi="Arial" w:cs="Arial"/>
          <w:sz w:val="52"/>
          <w:szCs w:val="52"/>
        </w:rPr>
        <w:t>HAJRA NIAZ</w:t>
      </w:r>
    </w:p>
    <w:p w14:paraId="4B431BAF" w14:textId="66684D99" w:rsidR="00D81DD8" w:rsidRPr="00946074" w:rsidRDefault="00D81DD8" w:rsidP="00D81DD8">
      <w:pPr>
        <w:rPr>
          <w:rFonts w:ascii="Arial" w:hAnsi="Arial" w:cs="Arial"/>
          <w:sz w:val="52"/>
          <w:szCs w:val="52"/>
        </w:rPr>
      </w:pPr>
      <w:r>
        <w:rPr>
          <w:rFonts w:ascii="Arial" w:hAnsi="Arial" w:cs="Arial"/>
          <w:sz w:val="52"/>
          <w:szCs w:val="52"/>
        </w:rPr>
        <w:t xml:space="preserve">                       </w:t>
      </w:r>
      <w:r w:rsidRPr="00946074">
        <w:rPr>
          <w:rFonts w:ascii="Arial" w:hAnsi="Arial" w:cs="Arial"/>
          <w:sz w:val="52"/>
          <w:szCs w:val="52"/>
        </w:rPr>
        <w:t>2129740</w:t>
      </w:r>
      <w:r>
        <w:rPr>
          <w:rFonts w:ascii="Arial" w:hAnsi="Arial" w:cs="Arial"/>
          <w:sz w:val="52"/>
          <w:szCs w:val="52"/>
        </w:rPr>
        <w:t xml:space="preserve">                </w:t>
      </w:r>
    </w:p>
    <w:p w14:paraId="237B976F" w14:textId="77777777" w:rsidR="00E66D8A" w:rsidRPr="00946074" w:rsidRDefault="00FD4C13" w:rsidP="00946074">
      <w:pPr>
        <w:jc w:val="center"/>
        <w:rPr>
          <w:rFonts w:ascii="Arial" w:hAnsi="Arial" w:cs="Arial"/>
          <w:sz w:val="52"/>
          <w:szCs w:val="52"/>
        </w:rPr>
      </w:pPr>
      <w:r w:rsidRPr="00946074">
        <w:rPr>
          <w:rFonts w:ascii="Arial" w:hAnsi="Arial" w:cs="Arial"/>
          <w:sz w:val="52"/>
          <w:szCs w:val="52"/>
        </w:rPr>
        <w:t>BMHP 6029</w:t>
      </w:r>
    </w:p>
    <w:p w14:paraId="00B738CD" w14:textId="77777777" w:rsidR="00B13513" w:rsidRPr="00946074" w:rsidRDefault="00E66D8A" w:rsidP="00946074">
      <w:pPr>
        <w:jc w:val="center"/>
        <w:rPr>
          <w:rFonts w:ascii="Arial" w:hAnsi="Arial" w:cs="Arial"/>
          <w:sz w:val="52"/>
          <w:szCs w:val="52"/>
        </w:rPr>
      </w:pPr>
      <w:r w:rsidRPr="00946074">
        <w:rPr>
          <w:rFonts w:ascii="Arial" w:hAnsi="Arial" w:cs="Arial"/>
          <w:sz w:val="52"/>
          <w:szCs w:val="52"/>
        </w:rPr>
        <w:t>PSYCHOPATHO</w:t>
      </w:r>
      <w:r w:rsidR="00B13513" w:rsidRPr="00946074">
        <w:rPr>
          <w:rFonts w:ascii="Arial" w:hAnsi="Arial" w:cs="Arial"/>
          <w:sz w:val="52"/>
          <w:szCs w:val="52"/>
        </w:rPr>
        <w:t>LOGICAL CLASSIFICATIONS AND PROVISIONS</w:t>
      </w:r>
    </w:p>
    <w:p w14:paraId="500C6AB2" w14:textId="77777777" w:rsidR="00946074" w:rsidRDefault="00946074" w:rsidP="00946074">
      <w:pPr>
        <w:jc w:val="center"/>
        <w:rPr>
          <w:rFonts w:ascii="Arial" w:hAnsi="Arial" w:cs="Arial"/>
          <w:sz w:val="52"/>
          <w:szCs w:val="52"/>
        </w:rPr>
      </w:pPr>
      <w:r w:rsidRPr="00946074">
        <w:rPr>
          <w:rFonts w:ascii="Arial" w:hAnsi="Arial" w:cs="Arial"/>
          <w:sz w:val="52"/>
          <w:szCs w:val="52"/>
        </w:rPr>
        <w:t>NEALE HADDON</w:t>
      </w:r>
    </w:p>
    <w:p w14:paraId="6FDA3450" w14:textId="77777777" w:rsidR="0030671E" w:rsidRDefault="0030671E" w:rsidP="00946074">
      <w:pPr>
        <w:jc w:val="center"/>
        <w:rPr>
          <w:rFonts w:ascii="Arial" w:hAnsi="Arial" w:cs="Arial"/>
          <w:sz w:val="52"/>
          <w:szCs w:val="52"/>
        </w:rPr>
      </w:pPr>
    </w:p>
    <w:p w14:paraId="5CE05CEF" w14:textId="77777777" w:rsidR="0030671E" w:rsidRDefault="0030671E" w:rsidP="00946074">
      <w:pPr>
        <w:jc w:val="center"/>
        <w:rPr>
          <w:rFonts w:ascii="Arial" w:hAnsi="Arial" w:cs="Arial"/>
          <w:sz w:val="52"/>
          <w:szCs w:val="52"/>
        </w:rPr>
      </w:pPr>
    </w:p>
    <w:p w14:paraId="6CF2BD96" w14:textId="77777777" w:rsidR="0030671E" w:rsidRDefault="0030671E" w:rsidP="00946074">
      <w:pPr>
        <w:jc w:val="center"/>
        <w:rPr>
          <w:rFonts w:ascii="Arial" w:hAnsi="Arial" w:cs="Arial"/>
          <w:sz w:val="52"/>
          <w:szCs w:val="52"/>
        </w:rPr>
      </w:pPr>
    </w:p>
    <w:p w14:paraId="7BD0B1A8" w14:textId="77777777" w:rsidR="0030671E" w:rsidRDefault="0030671E" w:rsidP="00946074">
      <w:pPr>
        <w:jc w:val="center"/>
        <w:rPr>
          <w:rFonts w:ascii="Arial" w:hAnsi="Arial" w:cs="Arial"/>
          <w:sz w:val="52"/>
          <w:szCs w:val="52"/>
        </w:rPr>
      </w:pPr>
    </w:p>
    <w:p w14:paraId="5BA20F35" w14:textId="77777777" w:rsidR="0030671E" w:rsidRDefault="0030671E" w:rsidP="0030671E">
      <w:pPr>
        <w:jc w:val="center"/>
        <w:rPr>
          <w:rFonts w:ascii="Arial" w:hAnsi="Arial" w:cs="Arial"/>
        </w:rPr>
      </w:pPr>
    </w:p>
    <w:p w14:paraId="50392E94" w14:textId="77777777" w:rsidR="0030671E" w:rsidRDefault="0030671E" w:rsidP="0030671E">
      <w:pPr>
        <w:jc w:val="center"/>
        <w:rPr>
          <w:rFonts w:ascii="Arial" w:hAnsi="Arial" w:cs="Arial"/>
        </w:rPr>
      </w:pPr>
    </w:p>
    <w:p w14:paraId="328B94E9" w14:textId="77777777" w:rsidR="0030671E" w:rsidRDefault="0030671E" w:rsidP="0030671E">
      <w:pPr>
        <w:jc w:val="center"/>
        <w:rPr>
          <w:rFonts w:ascii="Arial" w:hAnsi="Arial" w:cs="Arial"/>
        </w:rPr>
      </w:pPr>
    </w:p>
    <w:p w14:paraId="36ACB9EA" w14:textId="77777777" w:rsidR="0030671E" w:rsidRDefault="0030671E" w:rsidP="0030671E">
      <w:pPr>
        <w:jc w:val="center"/>
        <w:rPr>
          <w:rFonts w:ascii="Arial" w:hAnsi="Arial" w:cs="Arial"/>
        </w:rPr>
      </w:pPr>
    </w:p>
    <w:p w14:paraId="10C0224D" w14:textId="77777777" w:rsidR="0030671E" w:rsidRDefault="0030671E" w:rsidP="0030671E">
      <w:pPr>
        <w:jc w:val="center"/>
        <w:rPr>
          <w:rFonts w:ascii="Arial" w:hAnsi="Arial" w:cs="Arial"/>
        </w:rPr>
      </w:pPr>
    </w:p>
    <w:p w14:paraId="4D6776F7" w14:textId="77777777" w:rsidR="00DE7617" w:rsidRPr="00DE7617" w:rsidRDefault="00DE7617" w:rsidP="00DE7617">
      <w:pPr>
        <w:rPr>
          <w:rFonts w:ascii="Arial" w:hAnsi="Arial" w:cs="Arial"/>
          <w:b/>
          <w:bCs/>
        </w:rPr>
      </w:pPr>
      <w:r w:rsidRPr="00DE7617">
        <w:rPr>
          <w:rFonts w:ascii="Arial" w:hAnsi="Arial" w:cs="Arial"/>
          <w:b/>
          <w:bCs/>
        </w:rPr>
        <w:lastRenderedPageBreak/>
        <w:t>Contents</w:t>
      </w:r>
    </w:p>
    <w:p w14:paraId="154BBF78" w14:textId="66026437" w:rsidR="00DE7617" w:rsidRPr="00DE7617" w:rsidRDefault="00DE7617" w:rsidP="00DE7617">
      <w:pPr>
        <w:numPr>
          <w:ilvl w:val="0"/>
          <w:numId w:val="2"/>
        </w:numPr>
        <w:rPr>
          <w:rFonts w:ascii="Arial" w:hAnsi="Arial" w:cs="Arial"/>
        </w:rPr>
      </w:pPr>
      <w:r w:rsidRPr="00DE7617">
        <w:rPr>
          <w:rFonts w:ascii="Arial" w:hAnsi="Arial" w:cs="Arial"/>
          <w:b/>
          <w:bCs/>
        </w:rPr>
        <w:t>Introduction</w:t>
      </w:r>
      <w:r w:rsidRPr="00DE7617">
        <w:rPr>
          <w:rFonts w:ascii="Arial" w:hAnsi="Arial" w:cs="Arial"/>
        </w:rPr>
        <w:t xml:space="preserve"> .................................................................. </w:t>
      </w:r>
      <w:r w:rsidR="0047508B">
        <w:rPr>
          <w:rFonts w:ascii="Arial" w:hAnsi="Arial" w:cs="Arial"/>
        </w:rPr>
        <w:t>3</w:t>
      </w:r>
    </w:p>
    <w:p w14:paraId="15FD2674" w14:textId="0FAB72A6" w:rsidR="00DE7617" w:rsidRPr="00DE7617" w:rsidRDefault="00DE7617" w:rsidP="00DE7617">
      <w:pPr>
        <w:numPr>
          <w:ilvl w:val="0"/>
          <w:numId w:val="2"/>
        </w:numPr>
        <w:rPr>
          <w:rFonts w:ascii="Arial" w:hAnsi="Arial" w:cs="Arial"/>
        </w:rPr>
      </w:pPr>
      <w:r w:rsidRPr="00DE7617">
        <w:rPr>
          <w:rFonts w:ascii="Arial" w:hAnsi="Arial" w:cs="Arial"/>
          <w:b/>
          <w:bCs/>
        </w:rPr>
        <w:t>Classification and Diagnosis</w:t>
      </w:r>
      <w:r w:rsidRPr="00DE7617">
        <w:rPr>
          <w:rFonts w:ascii="Arial" w:hAnsi="Arial" w:cs="Arial"/>
        </w:rPr>
        <w:t xml:space="preserve"> ........................................... </w:t>
      </w:r>
      <w:r w:rsidR="0047508B">
        <w:rPr>
          <w:rFonts w:ascii="Arial" w:hAnsi="Arial" w:cs="Arial"/>
        </w:rPr>
        <w:t>4</w:t>
      </w:r>
    </w:p>
    <w:p w14:paraId="2BB8EB09" w14:textId="79ABFBDC" w:rsidR="00DE7617" w:rsidRPr="00DE7617" w:rsidRDefault="00DE7617" w:rsidP="00DE7617">
      <w:pPr>
        <w:numPr>
          <w:ilvl w:val="0"/>
          <w:numId w:val="2"/>
        </w:numPr>
        <w:rPr>
          <w:rFonts w:ascii="Arial" w:hAnsi="Arial" w:cs="Arial"/>
        </w:rPr>
      </w:pPr>
      <w:r w:rsidRPr="00DE7617">
        <w:rPr>
          <w:rFonts w:ascii="Arial" w:hAnsi="Arial" w:cs="Arial"/>
          <w:b/>
          <w:bCs/>
        </w:rPr>
        <w:t>Treatments and Approaches</w:t>
      </w:r>
      <w:r w:rsidRPr="00DE7617">
        <w:rPr>
          <w:rFonts w:ascii="Arial" w:hAnsi="Arial" w:cs="Arial"/>
        </w:rPr>
        <w:t xml:space="preserve"> ............................................ </w:t>
      </w:r>
      <w:r w:rsidR="0047508B">
        <w:rPr>
          <w:rFonts w:ascii="Arial" w:hAnsi="Arial" w:cs="Arial"/>
        </w:rPr>
        <w:t>5</w:t>
      </w:r>
    </w:p>
    <w:p w14:paraId="701D8944" w14:textId="135EC334" w:rsidR="00DE7617" w:rsidRPr="00DE7617" w:rsidRDefault="00DE7617" w:rsidP="00DE7617">
      <w:pPr>
        <w:numPr>
          <w:ilvl w:val="0"/>
          <w:numId w:val="2"/>
        </w:numPr>
        <w:rPr>
          <w:rFonts w:ascii="Arial" w:hAnsi="Arial" w:cs="Arial"/>
        </w:rPr>
      </w:pPr>
      <w:r w:rsidRPr="00DE7617">
        <w:rPr>
          <w:rFonts w:ascii="Arial" w:hAnsi="Arial" w:cs="Arial"/>
          <w:b/>
          <w:bCs/>
        </w:rPr>
        <w:t>Rehabilitation and Long-Term Management</w:t>
      </w:r>
      <w:r w:rsidRPr="00DE7617">
        <w:rPr>
          <w:rFonts w:ascii="Arial" w:hAnsi="Arial" w:cs="Arial"/>
        </w:rPr>
        <w:t xml:space="preserve"> ....................... </w:t>
      </w:r>
      <w:r w:rsidR="0047508B">
        <w:rPr>
          <w:rFonts w:ascii="Arial" w:hAnsi="Arial" w:cs="Arial"/>
        </w:rPr>
        <w:t>6</w:t>
      </w:r>
    </w:p>
    <w:p w14:paraId="3827DD1B" w14:textId="6A38F941" w:rsidR="00DE7617" w:rsidRPr="00DE7617" w:rsidRDefault="00DE7617" w:rsidP="00DE7617">
      <w:pPr>
        <w:numPr>
          <w:ilvl w:val="0"/>
          <w:numId w:val="2"/>
        </w:numPr>
        <w:rPr>
          <w:rFonts w:ascii="Arial" w:hAnsi="Arial" w:cs="Arial"/>
        </w:rPr>
      </w:pPr>
      <w:r w:rsidRPr="00DE7617">
        <w:rPr>
          <w:rFonts w:ascii="Arial" w:hAnsi="Arial" w:cs="Arial"/>
          <w:b/>
          <w:bCs/>
        </w:rPr>
        <w:t>Current Debate, Policy and Legal Framework</w:t>
      </w:r>
      <w:r w:rsidRPr="00DE7617">
        <w:rPr>
          <w:rFonts w:ascii="Arial" w:hAnsi="Arial" w:cs="Arial"/>
        </w:rPr>
        <w:t xml:space="preserve"> .................... </w:t>
      </w:r>
      <w:r w:rsidR="0047508B">
        <w:rPr>
          <w:rFonts w:ascii="Arial" w:hAnsi="Arial" w:cs="Arial"/>
        </w:rPr>
        <w:t>7</w:t>
      </w:r>
    </w:p>
    <w:p w14:paraId="6C5A21C2" w14:textId="4253430D" w:rsidR="00DE7617" w:rsidRPr="00DE7617" w:rsidRDefault="00DE7617" w:rsidP="00DE7617">
      <w:pPr>
        <w:numPr>
          <w:ilvl w:val="0"/>
          <w:numId w:val="2"/>
        </w:numPr>
        <w:rPr>
          <w:rFonts w:ascii="Arial" w:hAnsi="Arial" w:cs="Arial"/>
        </w:rPr>
      </w:pPr>
      <w:r w:rsidRPr="00DE7617">
        <w:rPr>
          <w:rFonts w:ascii="Arial" w:hAnsi="Arial" w:cs="Arial"/>
          <w:b/>
          <w:bCs/>
        </w:rPr>
        <w:t>Recommendations</w:t>
      </w:r>
      <w:r w:rsidRPr="00DE7617">
        <w:rPr>
          <w:rFonts w:ascii="Arial" w:hAnsi="Arial" w:cs="Arial"/>
        </w:rPr>
        <w:t xml:space="preserve"> ....................................................... </w:t>
      </w:r>
      <w:r w:rsidR="0047508B">
        <w:rPr>
          <w:rFonts w:ascii="Arial" w:hAnsi="Arial" w:cs="Arial"/>
        </w:rPr>
        <w:t>8</w:t>
      </w:r>
    </w:p>
    <w:p w14:paraId="58CDFE38" w14:textId="51991BBA" w:rsidR="00DE7617" w:rsidRPr="00DE7617" w:rsidRDefault="00DE7617" w:rsidP="00DE7617">
      <w:pPr>
        <w:numPr>
          <w:ilvl w:val="0"/>
          <w:numId w:val="2"/>
        </w:numPr>
        <w:rPr>
          <w:rFonts w:ascii="Arial" w:hAnsi="Arial" w:cs="Arial"/>
        </w:rPr>
      </w:pPr>
      <w:r w:rsidRPr="00DE7617">
        <w:rPr>
          <w:rFonts w:ascii="Arial" w:hAnsi="Arial" w:cs="Arial"/>
          <w:b/>
          <w:bCs/>
        </w:rPr>
        <w:t>Conclusion</w:t>
      </w:r>
      <w:r w:rsidRPr="00DE7617">
        <w:rPr>
          <w:rFonts w:ascii="Arial" w:hAnsi="Arial" w:cs="Arial"/>
        </w:rPr>
        <w:t xml:space="preserve"> ................................................................ </w:t>
      </w:r>
      <w:r w:rsidR="00667BCA">
        <w:rPr>
          <w:rFonts w:ascii="Arial" w:hAnsi="Arial" w:cs="Arial"/>
        </w:rPr>
        <w:t>9</w:t>
      </w:r>
    </w:p>
    <w:p w14:paraId="6BF3B1B5" w14:textId="3C892740" w:rsidR="00DE7617" w:rsidRPr="00DE7617" w:rsidRDefault="00DE7617" w:rsidP="00DE7617">
      <w:pPr>
        <w:numPr>
          <w:ilvl w:val="0"/>
          <w:numId w:val="2"/>
        </w:numPr>
        <w:rPr>
          <w:rFonts w:ascii="Arial" w:hAnsi="Arial" w:cs="Arial"/>
        </w:rPr>
      </w:pPr>
      <w:r w:rsidRPr="00DE7617">
        <w:rPr>
          <w:rFonts w:ascii="Arial" w:hAnsi="Arial" w:cs="Arial"/>
          <w:b/>
          <w:bCs/>
        </w:rPr>
        <w:t>References</w:t>
      </w:r>
      <w:r w:rsidRPr="00DE7617">
        <w:rPr>
          <w:rFonts w:ascii="Arial" w:hAnsi="Arial" w:cs="Arial"/>
        </w:rPr>
        <w:t xml:space="preserve"> ............................................................... </w:t>
      </w:r>
      <w:r w:rsidR="00667BCA">
        <w:rPr>
          <w:rFonts w:ascii="Arial" w:hAnsi="Arial" w:cs="Arial"/>
        </w:rPr>
        <w:t>10</w:t>
      </w:r>
    </w:p>
    <w:p w14:paraId="749AABB9" w14:textId="77777777" w:rsidR="00296F09" w:rsidRDefault="00296F09" w:rsidP="00296F09">
      <w:pPr>
        <w:rPr>
          <w:rFonts w:ascii="Arial" w:hAnsi="Arial" w:cs="Arial"/>
        </w:rPr>
      </w:pPr>
    </w:p>
    <w:p w14:paraId="540D93E2" w14:textId="77777777" w:rsidR="00296F09" w:rsidRDefault="00296F09" w:rsidP="00296F09">
      <w:pPr>
        <w:rPr>
          <w:rFonts w:ascii="Arial" w:hAnsi="Arial" w:cs="Arial"/>
        </w:rPr>
      </w:pPr>
    </w:p>
    <w:p w14:paraId="1F376A8C" w14:textId="77777777" w:rsidR="00296F09" w:rsidRDefault="00296F09" w:rsidP="00296F09">
      <w:pPr>
        <w:rPr>
          <w:rFonts w:ascii="Arial" w:hAnsi="Arial" w:cs="Arial"/>
        </w:rPr>
      </w:pPr>
    </w:p>
    <w:p w14:paraId="7B078138" w14:textId="77777777" w:rsidR="00296F09" w:rsidRDefault="00296F09" w:rsidP="00296F09">
      <w:pPr>
        <w:rPr>
          <w:rFonts w:ascii="Arial" w:hAnsi="Arial" w:cs="Arial"/>
        </w:rPr>
      </w:pPr>
    </w:p>
    <w:p w14:paraId="7D14D551" w14:textId="77777777" w:rsidR="00296F09" w:rsidRDefault="00296F09" w:rsidP="00296F09">
      <w:pPr>
        <w:rPr>
          <w:rFonts w:ascii="Arial" w:hAnsi="Arial" w:cs="Arial"/>
        </w:rPr>
      </w:pPr>
    </w:p>
    <w:p w14:paraId="2D1568B1" w14:textId="77777777" w:rsidR="00296F09" w:rsidRDefault="00296F09" w:rsidP="00296F09">
      <w:pPr>
        <w:rPr>
          <w:rFonts w:ascii="Arial" w:hAnsi="Arial" w:cs="Arial"/>
        </w:rPr>
      </w:pPr>
    </w:p>
    <w:p w14:paraId="1A50F49C" w14:textId="77777777" w:rsidR="00296F09" w:rsidRDefault="00296F09" w:rsidP="00296F09">
      <w:pPr>
        <w:rPr>
          <w:rFonts w:ascii="Arial" w:hAnsi="Arial" w:cs="Arial"/>
        </w:rPr>
      </w:pPr>
    </w:p>
    <w:p w14:paraId="4CAB3209" w14:textId="77777777" w:rsidR="00296F09" w:rsidRDefault="00296F09" w:rsidP="00296F09">
      <w:pPr>
        <w:rPr>
          <w:rFonts w:ascii="Arial" w:hAnsi="Arial" w:cs="Arial"/>
        </w:rPr>
      </w:pPr>
    </w:p>
    <w:p w14:paraId="6FF76324" w14:textId="77777777" w:rsidR="00296F09" w:rsidRDefault="00296F09" w:rsidP="00296F09">
      <w:pPr>
        <w:rPr>
          <w:rFonts w:ascii="Arial" w:hAnsi="Arial" w:cs="Arial"/>
        </w:rPr>
      </w:pPr>
    </w:p>
    <w:p w14:paraId="15B36C5B" w14:textId="77777777" w:rsidR="00296F09" w:rsidRDefault="00296F09" w:rsidP="00296F09">
      <w:pPr>
        <w:rPr>
          <w:rFonts w:ascii="Arial" w:hAnsi="Arial" w:cs="Arial"/>
        </w:rPr>
      </w:pPr>
    </w:p>
    <w:p w14:paraId="755F5D68" w14:textId="77777777" w:rsidR="00296F09" w:rsidRDefault="00296F09" w:rsidP="00296F09">
      <w:pPr>
        <w:rPr>
          <w:rFonts w:ascii="Arial" w:hAnsi="Arial" w:cs="Arial"/>
        </w:rPr>
      </w:pPr>
    </w:p>
    <w:p w14:paraId="268A9C31" w14:textId="77777777" w:rsidR="00296F09" w:rsidRDefault="00296F09" w:rsidP="00296F09">
      <w:pPr>
        <w:rPr>
          <w:rFonts w:ascii="Arial" w:hAnsi="Arial" w:cs="Arial"/>
        </w:rPr>
      </w:pPr>
    </w:p>
    <w:p w14:paraId="6A40AB16" w14:textId="77777777" w:rsidR="00296F09" w:rsidRDefault="00296F09" w:rsidP="00296F09">
      <w:pPr>
        <w:rPr>
          <w:rFonts w:ascii="Arial" w:hAnsi="Arial" w:cs="Arial"/>
        </w:rPr>
      </w:pPr>
    </w:p>
    <w:p w14:paraId="05DA0005" w14:textId="77777777" w:rsidR="008E626D" w:rsidRDefault="008E626D" w:rsidP="00296F09">
      <w:pPr>
        <w:rPr>
          <w:rFonts w:ascii="Arial" w:hAnsi="Arial" w:cs="Arial"/>
          <w:b/>
          <w:bCs/>
          <w:sz w:val="28"/>
          <w:szCs w:val="28"/>
        </w:rPr>
      </w:pPr>
    </w:p>
    <w:p w14:paraId="52B8C26D" w14:textId="77777777" w:rsidR="008E626D" w:rsidRDefault="008E626D" w:rsidP="00296F09">
      <w:pPr>
        <w:rPr>
          <w:rFonts w:ascii="Arial" w:hAnsi="Arial" w:cs="Arial"/>
          <w:b/>
          <w:bCs/>
          <w:sz w:val="28"/>
          <w:szCs w:val="28"/>
        </w:rPr>
      </w:pPr>
    </w:p>
    <w:p w14:paraId="63D08A47" w14:textId="77777777" w:rsidR="008E626D" w:rsidRDefault="008E626D" w:rsidP="00296F09">
      <w:pPr>
        <w:rPr>
          <w:rFonts w:ascii="Arial" w:hAnsi="Arial" w:cs="Arial"/>
          <w:b/>
          <w:bCs/>
          <w:sz w:val="28"/>
          <w:szCs w:val="28"/>
        </w:rPr>
      </w:pPr>
    </w:p>
    <w:p w14:paraId="3C9A1BD7" w14:textId="77777777" w:rsidR="008E626D" w:rsidRDefault="008E626D" w:rsidP="00296F09">
      <w:pPr>
        <w:rPr>
          <w:rFonts w:ascii="Arial" w:hAnsi="Arial" w:cs="Arial"/>
          <w:b/>
          <w:bCs/>
          <w:sz w:val="28"/>
          <w:szCs w:val="28"/>
        </w:rPr>
      </w:pPr>
    </w:p>
    <w:p w14:paraId="291EAB72" w14:textId="77777777" w:rsidR="008E626D" w:rsidRDefault="008E626D" w:rsidP="00296F09">
      <w:pPr>
        <w:rPr>
          <w:rFonts w:ascii="Arial" w:hAnsi="Arial" w:cs="Arial"/>
          <w:b/>
          <w:bCs/>
          <w:sz w:val="28"/>
          <w:szCs w:val="28"/>
        </w:rPr>
      </w:pPr>
    </w:p>
    <w:p w14:paraId="63D89DEE" w14:textId="77777777" w:rsidR="008E626D" w:rsidRDefault="008E626D" w:rsidP="00296F09">
      <w:pPr>
        <w:rPr>
          <w:rFonts w:ascii="Arial" w:hAnsi="Arial" w:cs="Arial"/>
          <w:b/>
          <w:bCs/>
          <w:sz w:val="28"/>
          <w:szCs w:val="28"/>
        </w:rPr>
      </w:pPr>
    </w:p>
    <w:p w14:paraId="24EEB608" w14:textId="4D851FCC" w:rsidR="00285FEA" w:rsidRPr="00285FEA" w:rsidRDefault="00285FEA" w:rsidP="00E80DC7">
      <w:pPr>
        <w:spacing w:line="360" w:lineRule="auto"/>
        <w:jc w:val="both"/>
        <w:rPr>
          <w:rFonts w:ascii="Arial" w:hAnsi="Arial" w:cs="Arial"/>
          <w:b/>
          <w:bCs/>
          <w:sz w:val="36"/>
          <w:szCs w:val="36"/>
        </w:rPr>
      </w:pPr>
      <w:r w:rsidRPr="00285FEA">
        <w:rPr>
          <w:rFonts w:ascii="Arial" w:hAnsi="Arial" w:cs="Arial"/>
          <w:b/>
          <w:bCs/>
          <w:sz w:val="36"/>
          <w:szCs w:val="36"/>
        </w:rPr>
        <w:lastRenderedPageBreak/>
        <w:t>Introduction</w:t>
      </w:r>
    </w:p>
    <w:p w14:paraId="74CA07FA" w14:textId="12BC6276"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Autism Spectrum Disorder (ASD), often referred to more simply as autism, is a neurodevelopmental condition characterised by persistent differences in social communication and social interaction, together with restricted, repetitive patterns of behaviour, interests and activities (World Health Organization, 2019). Autism is described as a spectrum because it affects individuals in different ways and with varying levels of support need. Some autistic people </w:t>
      </w:r>
      <w:r w:rsidR="00F03A87" w:rsidRPr="00285FEA">
        <w:rPr>
          <w:rFonts w:ascii="Arial" w:hAnsi="Arial" w:cs="Arial"/>
          <w:sz w:val="22"/>
          <w:szCs w:val="22"/>
        </w:rPr>
        <w:t>need</w:t>
      </w:r>
      <w:r w:rsidRPr="00285FEA">
        <w:rPr>
          <w:rFonts w:ascii="Arial" w:hAnsi="Arial" w:cs="Arial"/>
          <w:sz w:val="22"/>
          <w:szCs w:val="22"/>
        </w:rPr>
        <w:t xml:space="preserve"> substantial </w:t>
      </w:r>
      <w:r w:rsidR="008127B6" w:rsidRPr="00285FEA">
        <w:rPr>
          <w:rFonts w:ascii="Arial" w:hAnsi="Arial" w:cs="Arial"/>
          <w:sz w:val="22"/>
          <w:szCs w:val="22"/>
        </w:rPr>
        <w:t>aid</w:t>
      </w:r>
      <w:r w:rsidRPr="00285FEA">
        <w:rPr>
          <w:rFonts w:ascii="Arial" w:hAnsi="Arial" w:cs="Arial"/>
          <w:sz w:val="22"/>
          <w:szCs w:val="22"/>
        </w:rPr>
        <w:t xml:space="preserve"> in everyday life, while others live independently and may not be diagnosed until adolescence or adulthood (NICE, 2012). Studying autism is important because it has significant implications not only for health services, but also for education, employment, social care and legal rights.</w:t>
      </w:r>
    </w:p>
    <w:p w14:paraId="0A28FE18" w14:textId="77777777" w:rsidR="008127B6" w:rsidRDefault="00285FEA" w:rsidP="008127B6">
      <w:pPr>
        <w:spacing w:line="360" w:lineRule="auto"/>
        <w:jc w:val="both"/>
        <w:rPr>
          <w:rFonts w:ascii="Arial" w:hAnsi="Arial" w:cs="Arial"/>
          <w:sz w:val="22"/>
          <w:szCs w:val="22"/>
        </w:rPr>
      </w:pPr>
      <w:r w:rsidRPr="00285FEA">
        <w:rPr>
          <w:rFonts w:ascii="Arial" w:hAnsi="Arial" w:cs="Arial"/>
          <w:sz w:val="22"/>
          <w:szCs w:val="22"/>
        </w:rPr>
        <w:t xml:space="preserve">In the UK, autism has become an increasingly important public health and policy issue because of rising demand for diagnosis and support. NHS England data show that in March 2025 there were 224,382 people with an open referral for suspected autism, and 89.9% had been waiting at least 13 weeks, far beyond the recommended timeframe for </w:t>
      </w:r>
      <w:r w:rsidR="008127B6" w:rsidRPr="00285FEA">
        <w:rPr>
          <w:rFonts w:ascii="Arial" w:hAnsi="Arial" w:cs="Arial"/>
          <w:sz w:val="22"/>
          <w:szCs w:val="22"/>
        </w:rPr>
        <w:t>prompt</w:t>
      </w:r>
      <w:r w:rsidRPr="00285FEA">
        <w:rPr>
          <w:rFonts w:ascii="Arial" w:hAnsi="Arial" w:cs="Arial"/>
          <w:sz w:val="22"/>
          <w:szCs w:val="22"/>
        </w:rPr>
        <w:t xml:space="preserve"> assessment (NHS England, 2025). These figures highlight that autism is not only a diagnostic category but also a major service-delivery challenge. UK prevalence estimates also </w:t>
      </w:r>
      <w:r w:rsidR="008127B6" w:rsidRPr="00285FEA">
        <w:rPr>
          <w:rFonts w:ascii="Arial" w:hAnsi="Arial" w:cs="Arial"/>
          <w:sz w:val="22"/>
          <w:szCs w:val="22"/>
        </w:rPr>
        <w:t>prove</w:t>
      </w:r>
      <w:r w:rsidRPr="00285FEA">
        <w:rPr>
          <w:rFonts w:ascii="Arial" w:hAnsi="Arial" w:cs="Arial"/>
          <w:sz w:val="22"/>
          <w:szCs w:val="22"/>
        </w:rPr>
        <w:t xml:space="preserve"> its significance. National survey evidence has suggested that autism affects around 1% or more of the population, although exact figures vary depending on case identification methods and population sampled (</w:t>
      </w:r>
      <w:proofErr w:type="spellStart"/>
      <w:r w:rsidRPr="00285FEA">
        <w:rPr>
          <w:rFonts w:ascii="Arial" w:hAnsi="Arial" w:cs="Arial"/>
          <w:sz w:val="22"/>
          <w:szCs w:val="22"/>
        </w:rPr>
        <w:t>Brugha</w:t>
      </w:r>
      <w:proofErr w:type="spellEnd"/>
      <w:r w:rsidRPr="00285FEA">
        <w:rPr>
          <w:rFonts w:ascii="Arial" w:hAnsi="Arial" w:cs="Arial"/>
          <w:sz w:val="22"/>
          <w:szCs w:val="22"/>
        </w:rPr>
        <w:t xml:space="preserve"> et al., 2011; NHS Digital, 2025).</w:t>
      </w:r>
    </w:p>
    <w:p w14:paraId="44A6AAFD" w14:textId="53E4C366" w:rsidR="00285FEA" w:rsidRPr="008127B6" w:rsidRDefault="00285FEA" w:rsidP="008127B6">
      <w:pPr>
        <w:spacing w:line="360" w:lineRule="auto"/>
        <w:jc w:val="both"/>
        <w:rPr>
          <w:rFonts w:ascii="Arial" w:hAnsi="Arial" w:cs="Arial"/>
          <w:sz w:val="22"/>
          <w:szCs w:val="22"/>
        </w:rPr>
      </w:pPr>
      <w:r w:rsidRPr="00285FEA">
        <w:rPr>
          <w:rFonts w:ascii="Arial" w:hAnsi="Arial" w:cs="Arial"/>
          <w:b/>
          <w:bCs/>
          <w:sz w:val="36"/>
          <w:szCs w:val="36"/>
        </w:rPr>
        <w:t>Classification and Diagnosis</w:t>
      </w:r>
    </w:p>
    <w:p w14:paraId="48FA8633"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In ICD-11, autism is classified under neurodevelopmental disorders, reflecting its early developmental onset and lifelong impact on functioning (World Health Organization, 2019). This classification places autism alongside other conditions such as ADHD, developmental language disorder and intellectual developmental disorder. ICD-11 moved away from earlier subtype distinctions such as Asperger’s syndrome and instead uses a single autism spectrum category with specifiers relating to intellectual development, functional language and associated features (Reed et al., 2023). This dimensional model is intended to better capture the diversity of autistic presentation and reduce the artificial separation created by earlier diagnostic systems.</w:t>
      </w:r>
    </w:p>
    <w:p w14:paraId="4DFB27A5"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The key diagnostic features of autism in ICD-11 are persistent differences in reciprocal social interaction and communication, combined with restricted, repetitive and inflexible patterns of behaviour, interests or activities (World Health Organization, 2019). These may include sensory sensitivities, repetitive movements, insistence on sameness, intense interests, or </w:t>
      </w:r>
      <w:r w:rsidRPr="00285FEA">
        <w:rPr>
          <w:rFonts w:ascii="Arial" w:hAnsi="Arial" w:cs="Arial"/>
          <w:sz w:val="22"/>
          <w:szCs w:val="22"/>
        </w:rPr>
        <w:lastRenderedPageBreak/>
        <w:t>difficulty coping with change. Importantly, autism is diagnosed through clinical assessment rather than through a biological test. Developmental history, behavioural observation and collateral information from parents, carers or other informants are all central to diagnosis (Lord et al., 2020).</w:t>
      </w:r>
    </w:p>
    <w:p w14:paraId="372CCBF8" w14:textId="723A10F0"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Internationally, diagnostic practices differ depending on healthcare systems, funding models and professional cultures. Some countries rely more heavily on standardised tools, while others place greater emphasis on clinical judgement. Diagnostic thresholds may also vary according to educational entitlement, insurance criteria or social service access. Although ICD-11 aims to improve international consistency, how autism is recognised still depends heavily on local systems and clinician </w:t>
      </w:r>
      <w:r w:rsidR="00FB1A83" w:rsidRPr="00285FEA">
        <w:rPr>
          <w:rFonts w:ascii="Arial" w:hAnsi="Arial" w:cs="Arial"/>
          <w:sz w:val="22"/>
          <w:szCs w:val="22"/>
        </w:rPr>
        <w:t>ability</w:t>
      </w:r>
      <w:r w:rsidRPr="00285FEA">
        <w:rPr>
          <w:rFonts w:ascii="Arial" w:hAnsi="Arial" w:cs="Arial"/>
          <w:sz w:val="22"/>
          <w:szCs w:val="22"/>
        </w:rPr>
        <w:t xml:space="preserve"> (Stein et al., 2020). In practice, this means that the same individual may be </w:t>
      </w:r>
      <w:r w:rsidR="00FB1A83" w:rsidRPr="00285FEA">
        <w:rPr>
          <w:rFonts w:ascii="Arial" w:hAnsi="Arial" w:cs="Arial"/>
          <w:sz w:val="22"/>
          <w:szCs w:val="22"/>
        </w:rPr>
        <w:t>found</w:t>
      </w:r>
      <w:r w:rsidRPr="00285FEA">
        <w:rPr>
          <w:rFonts w:ascii="Arial" w:hAnsi="Arial" w:cs="Arial"/>
          <w:sz w:val="22"/>
          <w:szCs w:val="22"/>
        </w:rPr>
        <w:t xml:space="preserve"> earlier in one country than another.</w:t>
      </w:r>
    </w:p>
    <w:p w14:paraId="4C99B991" w14:textId="77777777" w:rsidR="00285FEA" w:rsidRDefault="00285FEA" w:rsidP="00E80DC7">
      <w:pPr>
        <w:spacing w:line="360" w:lineRule="auto"/>
        <w:jc w:val="both"/>
        <w:rPr>
          <w:rFonts w:ascii="Arial" w:hAnsi="Arial" w:cs="Arial"/>
          <w:sz w:val="22"/>
          <w:szCs w:val="22"/>
        </w:rPr>
      </w:pPr>
      <w:r w:rsidRPr="00285FEA">
        <w:rPr>
          <w:rFonts w:ascii="Arial" w:hAnsi="Arial" w:cs="Arial"/>
          <w:sz w:val="22"/>
          <w:szCs w:val="22"/>
        </w:rPr>
        <w:t>In the UK, autism diagnosis is guided primarily by National Institute for Health and Care Excellence (NICE) guidelines. NICE guideline CG128 covers recognition, referral and diagnosis in under-19s, while CG142 covers diagnosis and management in adults (NICE, 2011; NICE, 2012). These guidelines recommend multidisciplinary assessment carried out by trained autism teams and stress that diagnosis should not rely on any single tool or brief appointment. For children, the autism team should include professionals able to assess special circumstances, including co-occurring mental health or developmental conditions (NICE, 2011). For adults, NICE recommends structured assessment that considers differential diagnosis and coexisting disorders such as anxiety, depression or ADHD (NICE, 2012).</w:t>
      </w:r>
    </w:p>
    <w:p w14:paraId="42685932" w14:textId="6A5263EB" w:rsidR="00285FEA" w:rsidRPr="00285FEA" w:rsidRDefault="00285FEA" w:rsidP="0047508B">
      <w:pPr>
        <w:spacing w:line="360" w:lineRule="auto"/>
        <w:rPr>
          <w:rFonts w:ascii="Arial" w:hAnsi="Arial" w:cs="Arial"/>
          <w:sz w:val="22"/>
          <w:szCs w:val="22"/>
        </w:rPr>
      </w:pPr>
      <w:r w:rsidRPr="00285FEA">
        <w:rPr>
          <w:rFonts w:ascii="Arial" w:hAnsi="Arial" w:cs="Arial"/>
          <w:sz w:val="22"/>
          <w:szCs w:val="22"/>
        </w:rPr>
        <w:t>Another major issue is diagnostic inequality. Research in England has found that autism prevalence and identification rates vary by ethnicity and social disadvantage, suggesting that diagnosis is influenced not only by clinical presentation but also by structural and cultural factors (Roman-Urrestarazu et al., 2021). Gender is also highly relevant. Autism has historically been conceptualised through male-based behavioural profiles, which can make female presentations less visible. Girls and women may camouflage autistic traits by copying social behaviour, making eye contact or rehearsing conversation, which contributes to later diagnosis or missed identification (Hull et al., 2021; Perry et al., 2021). This has important implications for UK clinical settings, as delayed recognition may increase emotional distress and reduce access to support.</w:t>
      </w:r>
    </w:p>
    <w:p w14:paraId="2F9FB8B1" w14:textId="77777777" w:rsidR="0047508B" w:rsidRDefault="00285FEA" w:rsidP="0047508B">
      <w:pPr>
        <w:spacing w:line="360" w:lineRule="auto"/>
        <w:jc w:val="both"/>
        <w:rPr>
          <w:rFonts w:ascii="Arial" w:hAnsi="Arial" w:cs="Arial"/>
          <w:sz w:val="22"/>
          <w:szCs w:val="22"/>
        </w:rPr>
      </w:pPr>
      <w:r w:rsidRPr="00285FEA">
        <w:rPr>
          <w:rFonts w:ascii="Arial" w:hAnsi="Arial" w:cs="Arial"/>
          <w:sz w:val="22"/>
          <w:szCs w:val="22"/>
        </w:rPr>
        <w:t xml:space="preserve">There is also debate about terminology. The phrase “autism spectrum disorder” </w:t>
      </w:r>
      <w:r w:rsidR="00577FA2" w:rsidRPr="00285FEA">
        <w:rPr>
          <w:rFonts w:ascii="Arial" w:hAnsi="Arial" w:cs="Arial"/>
          <w:sz w:val="22"/>
          <w:szCs w:val="22"/>
        </w:rPr>
        <w:t>stays</w:t>
      </w:r>
      <w:r w:rsidRPr="00285FEA">
        <w:rPr>
          <w:rFonts w:ascii="Arial" w:hAnsi="Arial" w:cs="Arial"/>
          <w:sz w:val="22"/>
          <w:szCs w:val="22"/>
        </w:rPr>
        <w:t xml:space="preserve"> widely used in diagnostic systems, but many autistic people and advocacy groups prefer the terms “autism” or “autistic condition” because “disorder” can appear pathologising (Kapp, 2020). </w:t>
      </w:r>
    </w:p>
    <w:p w14:paraId="4C079766" w14:textId="77777777" w:rsidR="000523CC" w:rsidRDefault="000523CC" w:rsidP="0047508B">
      <w:pPr>
        <w:spacing w:line="360" w:lineRule="auto"/>
        <w:jc w:val="both"/>
        <w:rPr>
          <w:rFonts w:ascii="Arial" w:hAnsi="Arial" w:cs="Arial"/>
          <w:b/>
          <w:bCs/>
          <w:sz w:val="36"/>
          <w:szCs w:val="36"/>
        </w:rPr>
      </w:pPr>
    </w:p>
    <w:p w14:paraId="082173B3" w14:textId="0DA69DFC" w:rsidR="00285FEA" w:rsidRPr="0047508B" w:rsidRDefault="00285FEA" w:rsidP="0047508B">
      <w:pPr>
        <w:spacing w:line="360" w:lineRule="auto"/>
        <w:jc w:val="both"/>
        <w:rPr>
          <w:rFonts w:ascii="Arial" w:hAnsi="Arial" w:cs="Arial"/>
          <w:sz w:val="22"/>
          <w:szCs w:val="22"/>
        </w:rPr>
      </w:pPr>
      <w:r w:rsidRPr="00285FEA">
        <w:rPr>
          <w:rFonts w:ascii="Arial" w:hAnsi="Arial" w:cs="Arial"/>
          <w:b/>
          <w:bCs/>
          <w:sz w:val="36"/>
          <w:szCs w:val="36"/>
        </w:rPr>
        <w:lastRenderedPageBreak/>
        <w:t>Treatment Approaches</w:t>
      </w:r>
    </w:p>
    <w:p w14:paraId="066044F7"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Autism itself is not treated in the same way as a mental illness such as depression or schizophrenia. UK guidance does not aim to remove autism, but rather to support functioning, reduce distress and address co-occurring difficulties (NICE, 2013). NICE recommends that interventions should be individualised, evidence-based and focused on communication, daily living, family support and mental health where needed.</w:t>
      </w:r>
    </w:p>
    <w:p w14:paraId="36426E47"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For children and young people, NICE recommends psychosocial and developmental approaches rather than unproven biomedical interventions. Parent- or carer-mediated programmes can help families understand behaviour, improve interaction and support communication development (NICE, 2013). Structured support for social communication and environmental adaptations may also be beneficial. For adults, NICE recommends psychoeducation, support with employment and daily living, and adapted mental health interventions where autism co-occurs with anxiety or depression (NICE, 2012).</w:t>
      </w:r>
    </w:p>
    <w:p w14:paraId="2D8D7CA0" w14:textId="22DC7EB2"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Psychological treatment is often most relevant where autistic people experience co-occurring mental health difficulties. Rates of anxiety, depression, obsessive-compulsive disorder and ADHD are significantly higher among autistic people than in the general population (Lai et al., 2019). Adapted cognitive behavioural therapy may be effective for some autistic individuals, especially when it uses concrete language, predictable structure and sensory awareness. However, access to appropriately adapted therapy in the NHS </w:t>
      </w:r>
      <w:r w:rsidR="008F1F91" w:rsidRPr="00285FEA">
        <w:rPr>
          <w:rFonts w:ascii="Arial" w:hAnsi="Arial" w:cs="Arial"/>
          <w:sz w:val="22"/>
          <w:szCs w:val="22"/>
        </w:rPr>
        <w:t>stays</w:t>
      </w:r>
      <w:r w:rsidRPr="00285FEA">
        <w:rPr>
          <w:rFonts w:ascii="Arial" w:hAnsi="Arial" w:cs="Arial"/>
          <w:sz w:val="22"/>
          <w:szCs w:val="22"/>
        </w:rPr>
        <w:t xml:space="preserve"> inconsistent. While NHS Talking Therapies may support some autistic adults with common mental disorders, services are not always designed around autistic communication styles or sensory needs, which can limit effectiveness in practice.</w:t>
      </w:r>
    </w:p>
    <w:p w14:paraId="27F2D002" w14:textId="005B0AF4"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Pharmacological treatment also has an important but limited role. There is no medication that treats the core characteristics of autism itself. Instead, medication may be used for co-occurring conditions such as ADHD, anxiety, sleep disturbance or severe irritability (NICE, 2012; NICE, 2013). NICE explicitly </w:t>
      </w:r>
      <w:r w:rsidR="0089370E" w:rsidRPr="00285FEA">
        <w:rPr>
          <w:rFonts w:ascii="Arial" w:hAnsi="Arial" w:cs="Arial"/>
          <w:sz w:val="22"/>
          <w:szCs w:val="22"/>
        </w:rPr>
        <w:t>recommends</w:t>
      </w:r>
      <w:r w:rsidRPr="00285FEA">
        <w:rPr>
          <w:rFonts w:ascii="Arial" w:hAnsi="Arial" w:cs="Arial"/>
          <w:sz w:val="22"/>
          <w:szCs w:val="22"/>
        </w:rPr>
        <w:t xml:space="preserve"> against using medication to target the core features of autism alone. This is an important safeguard, especially in a pressured health system where medication may sometimes be prescribed because specialist psychosocial support is unavailable. In that sense, prescribing patterns may reflect systemic service pressures rather than best practice.</w:t>
      </w:r>
    </w:p>
    <w:p w14:paraId="292293F3"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The UK healthcare system manages autism through a fragmented mix of paediatric, mental health, speech and language, occupational therapy, primary care and social care services. This can create major accessibility issues. NICE recommends local multidisciplinary autism teams for under-19s and coordinated support across sectors (NICE, 2013). However, service </w:t>
      </w:r>
      <w:r w:rsidRPr="00285FEA">
        <w:rPr>
          <w:rFonts w:ascii="Arial" w:hAnsi="Arial" w:cs="Arial"/>
          <w:sz w:val="22"/>
          <w:szCs w:val="22"/>
        </w:rPr>
        <w:lastRenderedPageBreak/>
        <w:t>availability varies across regions, creating postcode inequalities. Delays in diagnosis often lead to delays in treatment, educational support and mental health intervention. Therefore, although the UK has strong clinical guidance, implementation is limited by workforce shortages and under-resourcing.</w:t>
      </w:r>
    </w:p>
    <w:p w14:paraId="2E92A619" w14:textId="77777777" w:rsidR="00285FEA" w:rsidRPr="00285FEA" w:rsidRDefault="00285FEA" w:rsidP="00E80DC7">
      <w:pPr>
        <w:spacing w:line="360" w:lineRule="auto"/>
        <w:jc w:val="both"/>
        <w:rPr>
          <w:rFonts w:ascii="Arial" w:hAnsi="Arial" w:cs="Arial"/>
          <w:b/>
          <w:bCs/>
          <w:sz w:val="36"/>
          <w:szCs w:val="36"/>
        </w:rPr>
      </w:pPr>
      <w:r w:rsidRPr="00285FEA">
        <w:rPr>
          <w:rFonts w:ascii="Arial" w:hAnsi="Arial" w:cs="Arial"/>
          <w:b/>
          <w:bCs/>
          <w:sz w:val="36"/>
          <w:szCs w:val="36"/>
        </w:rPr>
        <w:t>Rehabilitation and Long-Term Management</w:t>
      </w:r>
    </w:p>
    <w:p w14:paraId="4AFAD83C"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Because autism is a lifelong neurodevelopmental condition, long-term management is central to care. Rehabilitation in autism does not mean restoring someone to a “normal” developmental state. Instead, it involves supporting autonomy, participation, emotional wellbeing, communication and quality of life over time (World Health Organization, 2019). In the UK, this requires collaboration between health services, schools, local authorities, employers and third-sector organisations.</w:t>
      </w:r>
    </w:p>
    <w:p w14:paraId="144656C2" w14:textId="5756DB72"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NICE recommends community-based multidisciplinary support, especially for children and young people, and stresses the importance of transition planning from child to adult services (NICE, 2013). However, transition </w:t>
      </w:r>
      <w:r w:rsidR="00E66283" w:rsidRPr="00285FEA">
        <w:rPr>
          <w:rFonts w:ascii="Arial" w:hAnsi="Arial" w:cs="Arial"/>
          <w:sz w:val="22"/>
          <w:szCs w:val="22"/>
        </w:rPr>
        <w:t>stays</w:t>
      </w:r>
      <w:r w:rsidRPr="00285FEA">
        <w:rPr>
          <w:rFonts w:ascii="Arial" w:hAnsi="Arial" w:cs="Arial"/>
          <w:sz w:val="22"/>
          <w:szCs w:val="22"/>
        </w:rPr>
        <w:t xml:space="preserve"> a weak area in UK practice. Many young people lose continuity of support when they move from paediatric or CAMHS-based care into adult services, where eligibility thresholds and service structures differ. This discontinuity can increase vulnerability to mental health crises, educational disengagement and family stress.</w:t>
      </w:r>
    </w:p>
    <w:p w14:paraId="697B0599" w14:textId="28FE4753"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Long-term management also depends heavily on social care. Under the Care Act 2014, local authorities in England have duties to assess adult support needs and promote wellbeing. For autistic adults, this may include help with independent living, access to community activities, support for carers and </w:t>
      </w:r>
      <w:r w:rsidR="00A149E5" w:rsidRPr="00285FEA">
        <w:rPr>
          <w:rFonts w:ascii="Arial" w:hAnsi="Arial" w:cs="Arial"/>
          <w:sz w:val="22"/>
          <w:szCs w:val="22"/>
        </w:rPr>
        <w:t>aid</w:t>
      </w:r>
      <w:r w:rsidRPr="00285FEA">
        <w:rPr>
          <w:rFonts w:ascii="Arial" w:hAnsi="Arial" w:cs="Arial"/>
          <w:sz w:val="22"/>
          <w:szCs w:val="22"/>
        </w:rPr>
        <w:t xml:space="preserve"> with daily functioning. However, social care thresholds are often high, and local funding pressures mean that many individuals receive only limited support (Department of Health and Social Care, 2014).</w:t>
      </w:r>
    </w:p>
    <w:p w14:paraId="2F92B678" w14:textId="17298709"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Community participation </w:t>
      </w:r>
      <w:r w:rsidR="00A149E5" w:rsidRPr="00285FEA">
        <w:rPr>
          <w:rFonts w:ascii="Arial" w:hAnsi="Arial" w:cs="Arial"/>
          <w:sz w:val="22"/>
          <w:szCs w:val="22"/>
        </w:rPr>
        <w:t>stays</w:t>
      </w:r>
      <w:r w:rsidRPr="00285FEA">
        <w:rPr>
          <w:rFonts w:ascii="Arial" w:hAnsi="Arial" w:cs="Arial"/>
          <w:sz w:val="22"/>
          <w:szCs w:val="22"/>
        </w:rPr>
        <w:t xml:space="preserve"> a major challenge. Autistic people </w:t>
      </w:r>
      <w:r w:rsidR="00A149E5" w:rsidRPr="00285FEA">
        <w:rPr>
          <w:rFonts w:ascii="Arial" w:hAnsi="Arial" w:cs="Arial"/>
          <w:sz w:val="22"/>
          <w:szCs w:val="22"/>
        </w:rPr>
        <w:t>often</w:t>
      </w:r>
      <w:r w:rsidRPr="00285FEA">
        <w:rPr>
          <w:rFonts w:ascii="Arial" w:hAnsi="Arial" w:cs="Arial"/>
          <w:sz w:val="22"/>
          <w:szCs w:val="22"/>
        </w:rPr>
        <w:t xml:space="preserve"> face barriers in education, employment and housing, not simply because of their neurology but because environments are poorly adapted. ONS data show that disabled employees with autism experienced one of the widest </w:t>
      </w:r>
      <w:r w:rsidR="00A149E5" w:rsidRPr="00285FEA">
        <w:rPr>
          <w:rFonts w:ascii="Arial" w:hAnsi="Arial" w:cs="Arial"/>
          <w:sz w:val="22"/>
          <w:szCs w:val="22"/>
        </w:rPr>
        <w:t>disabilities</w:t>
      </w:r>
      <w:r w:rsidRPr="00285FEA">
        <w:rPr>
          <w:rFonts w:ascii="Arial" w:hAnsi="Arial" w:cs="Arial"/>
          <w:sz w:val="22"/>
          <w:szCs w:val="22"/>
        </w:rPr>
        <w:t xml:space="preserve"> pay gaps in the UK, at 27.9% in 2023 (ONS, 2024). This suggests that legal protections alone are not enough to achieve genuine inclusion.</w:t>
      </w:r>
    </w:p>
    <w:p w14:paraId="2A6EE50C"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The Mental Health Act 1983, amended in 2007, also has relevance to long-term autism management, particularly in cases involving inpatient care. Concerns have been raised for many years about autistic people being detained in mental health settings because of inadequate community provision rather than because of treatable psychiatric illness. The Care Quality Commission has continued to highlight inequalities affecting autistic people and people </w:t>
      </w:r>
      <w:r w:rsidRPr="00285FEA">
        <w:rPr>
          <w:rFonts w:ascii="Arial" w:hAnsi="Arial" w:cs="Arial"/>
          <w:sz w:val="22"/>
          <w:szCs w:val="22"/>
        </w:rPr>
        <w:lastRenderedPageBreak/>
        <w:t>with learning disabilities within the Mental Health Act system (CQC, 2025). Ethically, this is highly significant because it suggests that compulsory intervention may sometimes result from service failure rather than genuine clinical necessity.</w:t>
      </w:r>
    </w:p>
    <w:p w14:paraId="26AC3705" w14:textId="30583E01" w:rsidR="00285FEA" w:rsidRPr="00A149E5" w:rsidRDefault="00285FEA" w:rsidP="00A149E5">
      <w:pPr>
        <w:rPr>
          <w:rFonts w:ascii="Arial" w:hAnsi="Arial" w:cs="Arial"/>
          <w:sz w:val="22"/>
          <w:szCs w:val="22"/>
        </w:rPr>
      </w:pPr>
      <w:r w:rsidRPr="00285FEA">
        <w:rPr>
          <w:rFonts w:ascii="Arial" w:hAnsi="Arial" w:cs="Arial"/>
          <w:b/>
          <w:bCs/>
          <w:sz w:val="36"/>
          <w:szCs w:val="36"/>
        </w:rPr>
        <w:t>Current Debates, Policy and Legal Framework</w:t>
      </w:r>
    </w:p>
    <w:p w14:paraId="37C78DEA"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A major contemporary debate concerns the neurodiversity movement, which argues that autism should be understood as a form of natural human variation rather than simply as a disorder (Kapp, 2020). This perspective has influenced policy, education and clinical language by challenging deficit-based assumptions and promoting acceptance and accommodation. It has also encouraged greater recognition of autistic strengths and the role of environmental barriers in producing disability.</w:t>
      </w:r>
    </w:p>
    <w:p w14:paraId="7D9C0E57"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However, the neurodiversity perspective is not without criticism. Some scholars and clinicians argue that a purely difference-based model may understate the severe impairments experienced by some autistic people, particularly those with intellectual disability, minimal speech or high support needs (Stein et al., 2020). A balanced perspective is therefore needed. Autism can be both a meaningful identity and a disabling condition, depending on the person and context.</w:t>
      </w:r>
    </w:p>
    <w:p w14:paraId="66DF129E"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UK policy is shaped by several key legal frameworks. The Equality Act 2010 protects autistic people from discrimination and requires reasonable adjustments in employment, education and services where autism meets the legal definition of disability (Equality Act, 2010). The Care Act 2014 governs access to adult social care, while the Mental Health Act 1983 regulates compulsory assessment and treatment in mental health settings. Together, these laws create an important framework of rights, but implementation is often inconsistent because of funding shortages and service variation.</w:t>
      </w:r>
    </w:p>
    <w:p w14:paraId="16DA30B6" w14:textId="5A1F4603" w:rsid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NHS and government policy also influence care pathways. NICE guidance </w:t>
      </w:r>
      <w:r w:rsidR="00582AEE" w:rsidRPr="00285FEA">
        <w:rPr>
          <w:rFonts w:ascii="Arial" w:hAnsi="Arial" w:cs="Arial"/>
          <w:sz w:val="22"/>
          <w:szCs w:val="22"/>
        </w:rPr>
        <w:t>stays</w:t>
      </w:r>
      <w:r w:rsidRPr="00285FEA">
        <w:rPr>
          <w:rFonts w:ascii="Arial" w:hAnsi="Arial" w:cs="Arial"/>
          <w:sz w:val="22"/>
          <w:szCs w:val="22"/>
        </w:rPr>
        <w:t xml:space="preserve"> central to evidence-based clinical practice (NICE, 2011; NICE, 2012; NICE, 2013). Meanwhile, policy initiatives such as Building the Right Support have aimed to reduce inappropriate inpatient admission and strengthen community alternatives for autistic people and people with learning disabilities (Department of Health and Social Care et al., 2022). Yet the persistence of long waiting lists and inpatient inequalities suggests that policy ambition has not yet been fully translated into practice.</w:t>
      </w:r>
    </w:p>
    <w:p w14:paraId="51D3FDF9" w14:textId="50DF622F" w:rsidR="00D047A4" w:rsidRPr="00CA6232" w:rsidRDefault="00CA6232" w:rsidP="00E80DC7">
      <w:pPr>
        <w:spacing w:line="360" w:lineRule="auto"/>
        <w:jc w:val="both"/>
        <w:rPr>
          <w:rFonts w:ascii="Arial" w:hAnsi="Arial" w:cs="Arial"/>
          <w:b/>
          <w:bCs/>
          <w:sz w:val="36"/>
          <w:szCs w:val="36"/>
        </w:rPr>
      </w:pPr>
      <w:r w:rsidRPr="00CA6232">
        <w:rPr>
          <w:rFonts w:ascii="Arial" w:hAnsi="Arial" w:cs="Arial"/>
          <w:b/>
          <w:bCs/>
          <w:sz w:val="36"/>
          <w:szCs w:val="36"/>
        </w:rPr>
        <w:t>Recommendations</w:t>
      </w:r>
      <w:r w:rsidR="00D047A4" w:rsidRPr="00CA6232">
        <w:rPr>
          <w:rFonts w:ascii="Arial" w:hAnsi="Arial" w:cs="Arial"/>
          <w:b/>
          <w:bCs/>
          <w:sz w:val="36"/>
          <w:szCs w:val="36"/>
        </w:rPr>
        <w:t>.</w:t>
      </w:r>
    </w:p>
    <w:p w14:paraId="296A7BB3" w14:textId="77777777" w:rsidR="00D047A4" w:rsidRPr="00582AEE" w:rsidRDefault="00D047A4" w:rsidP="00D047A4">
      <w:pPr>
        <w:spacing w:line="360" w:lineRule="auto"/>
        <w:jc w:val="both"/>
        <w:rPr>
          <w:rFonts w:ascii="Arial" w:hAnsi="Arial" w:cs="Arial"/>
          <w:sz w:val="22"/>
          <w:szCs w:val="22"/>
        </w:rPr>
      </w:pPr>
      <w:r w:rsidRPr="00582AEE">
        <w:rPr>
          <w:rFonts w:ascii="Arial" w:hAnsi="Arial" w:cs="Arial"/>
          <w:sz w:val="22"/>
          <w:szCs w:val="22"/>
        </w:rPr>
        <w:t xml:space="preserve">Autism services in the UK need improvement in three main areas. First, diagnostic capacity should be expanded to reduce waiting times. NHS Digital reported that in December 2025, </w:t>
      </w:r>
      <w:r w:rsidRPr="00582AEE">
        <w:rPr>
          <w:rFonts w:ascii="Arial" w:hAnsi="Arial" w:cs="Arial"/>
          <w:sz w:val="22"/>
          <w:szCs w:val="22"/>
        </w:rPr>
        <w:lastRenderedPageBreak/>
        <w:t>254,108 people had an open referral for suspected autism, and 90.1% had been waiting at least 13 weeks. Only 3.6% of those waiting longer than 13 weeks had received a first appointment within the recommended timeframe, showing major delays in access to diagnosis (NHS Digital, 2026). Increasing specialist teams and streamlining referral systems would help address this backlog.</w:t>
      </w:r>
    </w:p>
    <w:p w14:paraId="75184622" w14:textId="7BD3CAC4" w:rsidR="00D047A4" w:rsidRPr="00582AEE" w:rsidRDefault="00D047A4" w:rsidP="00D047A4">
      <w:pPr>
        <w:spacing w:line="360" w:lineRule="auto"/>
        <w:jc w:val="both"/>
        <w:rPr>
          <w:rFonts w:ascii="Arial" w:hAnsi="Arial" w:cs="Arial"/>
          <w:sz w:val="22"/>
          <w:szCs w:val="22"/>
        </w:rPr>
      </w:pPr>
      <w:r w:rsidRPr="00582AEE">
        <w:rPr>
          <w:rFonts w:ascii="Arial" w:hAnsi="Arial" w:cs="Arial"/>
          <w:sz w:val="22"/>
          <w:szCs w:val="22"/>
        </w:rPr>
        <w:t xml:space="preserve">Second, early identification and prompt referral should be strengthened, especially for children and young people. NICE guidance states that specialist autism teams should advise on referrals, assess needs and carry out diagnostic assessments, ensuring that children with suspected autism are </w:t>
      </w:r>
      <w:r w:rsidR="00582AEE" w:rsidRPr="00582AEE">
        <w:rPr>
          <w:rFonts w:ascii="Arial" w:hAnsi="Arial" w:cs="Arial"/>
          <w:sz w:val="22"/>
          <w:szCs w:val="22"/>
        </w:rPr>
        <w:t>found</w:t>
      </w:r>
      <w:r w:rsidRPr="00582AEE">
        <w:rPr>
          <w:rFonts w:ascii="Arial" w:hAnsi="Arial" w:cs="Arial"/>
          <w:sz w:val="22"/>
          <w:szCs w:val="22"/>
        </w:rPr>
        <w:t xml:space="preserve"> and assessed appropriately (NICE, 2011). Earlier diagnosis can improve access to educational support, family guidance and tailored interventions.</w:t>
      </w:r>
    </w:p>
    <w:p w14:paraId="3F478AD3" w14:textId="1025F799" w:rsidR="00D047A4" w:rsidRPr="00582AEE" w:rsidRDefault="00D047A4" w:rsidP="00D047A4">
      <w:pPr>
        <w:spacing w:line="360" w:lineRule="auto"/>
        <w:jc w:val="both"/>
        <w:rPr>
          <w:rFonts w:ascii="Arial" w:hAnsi="Arial" w:cs="Arial"/>
          <w:sz w:val="22"/>
          <w:szCs w:val="22"/>
        </w:rPr>
      </w:pPr>
      <w:r w:rsidRPr="00582AEE">
        <w:rPr>
          <w:rFonts w:ascii="Arial" w:hAnsi="Arial" w:cs="Arial"/>
          <w:sz w:val="22"/>
          <w:szCs w:val="22"/>
        </w:rPr>
        <w:t xml:space="preserve">Third, post-diagnostic support should be better coordinated. NICE recommends that every child or young person diagnosed with autism should have a case manager or key worker to coordinate treatment, care, support and transition planning (NICE, 2013). This is important because diagnosis alone does not meet long-term support needs. Families often </w:t>
      </w:r>
      <w:r w:rsidR="00582AEE" w:rsidRPr="00582AEE">
        <w:rPr>
          <w:rFonts w:ascii="Arial" w:hAnsi="Arial" w:cs="Arial"/>
          <w:sz w:val="22"/>
          <w:szCs w:val="22"/>
        </w:rPr>
        <w:t>need</w:t>
      </w:r>
      <w:r w:rsidRPr="00582AEE">
        <w:rPr>
          <w:rFonts w:ascii="Arial" w:hAnsi="Arial" w:cs="Arial"/>
          <w:sz w:val="22"/>
          <w:szCs w:val="22"/>
        </w:rPr>
        <w:t xml:space="preserve"> ongoing help across health, education and social care systems. Overall, reducing delays, improving early referral and strengthening coordinated support would make autism services more effective and more responsive to patient needs in the UK (NHS Digital, 2026; NICE, 2011; NICE, 2013).</w:t>
      </w:r>
    </w:p>
    <w:p w14:paraId="139B2781" w14:textId="77777777" w:rsidR="00D047A4" w:rsidRPr="00285FEA" w:rsidRDefault="00D047A4" w:rsidP="00E80DC7">
      <w:pPr>
        <w:spacing w:line="360" w:lineRule="auto"/>
        <w:jc w:val="both"/>
        <w:rPr>
          <w:rFonts w:ascii="Arial" w:hAnsi="Arial" w:cs="Arial"/>
          <w:sz w:val="22"/>
          <w:szCs w:val="22"/>
        </w:rPr>
      </w:pPr>
    </w:p>
    <w:p w14:paraId="4B8B6C84" w14:textId="77777777" w:rsidR="00285FEA" w:rsidRPr="00285FEA" w:rsidRDefault="00285FEA" w:rsidP="00E80DC7">
      <w:pPr>
        <w:spacing w:line="360" w:lineRule="auto"/>
        <w:jc w:val="both"/>
        <w:rPr>
          <w:rFonts w:ascii="Arial" w:hAnsi="Arial" w:cs="Arial"/>
          <w:b/>
          <w:bCs/>
          <w:sz w:val="36"/>
          <w:szCs w:val="36"/>
        </w:rPr>
      </w:pPr>
      <w:r w:rsidRPr="00285FEA">
        <w:rPr>
          <w:rFonts w:ascii="Arial" w:hAnsi="Arial" w:cs="Arial"/>
          <w:b/>
          <w:bCs/>
          <w:sz w:val="36"/>
          <w:szCs w:val="36"/>
        </w:rPr>
        <w:t>Conclusion</w:t>
      </w:r>
    </w:p>
    <w:p w14:paraId="3ECED8D9" w14:textId="36FB20EE"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Autism Spectrum Disorder is a complex and important neurodevelopmental condition with wide-ranging implications for health, education, social care and law in the UK. ICD-11 provides a broader, more flexible classification framework that better reflects the diversity of autistic presentation. In the UK, NICE guidelines offer strong recommendations for diagnosis, treatment and support, but significant problems </w:t>
      </w:r>
      <w:r w:rsidR="00AB7AF9" w:rsidRPr="00285FEA">
        <w:rPr>
          <w:rFonts w:ascii="Arial" w:hAnsi="Arial" w:cs="Arial"/>
          <w:sz w:val="22"/>
          <w:szCs w:val="22"/>
        </w:rPr>
        <w:t>stay</w:t>
      </w:r>
      <w:r w:rsidRPr="00285FEA">
        <w:rPr>
          <w:rFonts w:ascii="Arial" w:hAnsi="Arial" w:cs="Arial"/>
          <w:sz w:val="22"/>
          <w:szCs w:val="22"/>
        </w:rPr>
        <w:t xml:space="preserve"> in implementation, particularly in relation to diagnostic delays, regional inequality and access to adapted mental health care.</w:t>
      </w:r>
    </w:p>
    <w:p w14:paraId="05DCAA45" w14:textId="6756E36C" w:rsidR="00036ED1" w:rsidRDefault="00036ED1">
      <w:pPr>
        <w:rPr>
          <w:rFonts w:ascii="Arial" w:hAnsi="Arial" w:cs="Arial"/>
          <w:sz w:val="22"/>
          <w:szCs w:val="22"/>
        </w:rPr>
      </w:pPr>
      <w:r>
        <w:rPr>
          <w:rFonts w:ascii="Arial" w:hAnsi="Arial" w:cs="Arial"/>
          <w:sz w:val="22"/>
          <w:szCs w:val="22"/>
        </w:rPr>
        <w:br w:type="page"/>
      </w:r>
    </w:p>
    <w:p w14:paraId="0B5F9069" w14:textId="77777777" w:rsidR="00AB7AF9" w:rsidRDefault="00AB7AF9" w:rsidP="00E80DC7">
      <w:pPr>
        <w:spacing w:line="360" w:lineRule="auto"/>
        <w:jc w:val="both"/>
        <w:rPr>
          <w:rFonts w:ascii="Arial" w:hAnsi="Arial" w:cs="Arial"/>
          <w:sz w:val="22"/>
          <w:szCs w:val="22"/>
        </w:rPr>
      </w:pPr>
    </w:p>
    <w:p w14:paraId="584D219D" w14:textId="2F1CFB2D" w:rsidR="00396B42" w:rsidRPr="00AB7AF9" w:rsidRDefault="00285FEA" w:rsidP="00E80DC7">
      <w:pPr>
        <w:spacing w:line="360" w:lineRule="auto"/>
        <w:jc w:val="both"/>
        <w:rPr>
          <w:rFonts w:ascii="Arial" w:hAnsi="Arial" w:cs="Arial"/>
          <w:sz w:val="22"/>
          <w:szCs w:val="22"/>
        </w:rPr>
      </w:pPr>
      <w:r w:rsidRPr="00285FEA">
        <w:rPr>
          <w:rFonts w:ascii="Arial" w:hAnsi="Arial" w:cs="Arial"/>
          <w:b/>
          <w:bCs/>
          <w:sz w:val="36"/>
          <w:szCs w:val="36"/>
        </w:rPr>
        <w:t>Reference List</w:t>
      </w:r>
    </w:p>
    <w:p w14:paraId="4548CCC0" w14:textId="77777777" w:rsidR="00396B42" w:rsidRDefault="00396B42" w:rsidP="00E80DC7">
      <w:pPr>
        <w:spacing w:line="360" w:lineRule="auto"/>
        <w:jc w:val="both"/>
        <w:rPr>
          <w:rFonts w:ascii="Arial" w:hAnsi="Arial" w:cs="Arial"/>
          <w:b/>
          <w:bCs/>
          <w:sz w:val="36"/>
          <w:szCs w:val="36"/>
        </w:rPr>
      </w:pPr>
    </w:p>
    <w:p w14:paraId="14DF91FB" w14:textId="220F7002" w:rsidR="00276EAE" w:rsidRDefault="00276EAE" w:rsidP="00E80DC7">
      <w:pPr>
        <w:spacing w:line="360" w:lineRule="auto"/>
        <w:jc w:val="both"/>
        <w:rPr>
          <w:rFonts w:ascii="Arial" w:hAnsi="Arial" w:cs="Arial"/>
          <w:sz w:val="22"/>
          <w:szCs w:val="22"/>
        </w:rPr>
      </w:pPr>
      <w:proofErr w:type="spellStart"/>
      <w:r w:rsidRPr="00285FEA">
        <w:rPr>
          <w:rFonts w:ascii="Arial" w:hAnsi="Arial" w:cs="Arial"/>
          <w:sz w:val="22"/>
          <w:szCs w:val="22"/>
        </w:rPr>
        <w:t>Brugha</w:t>
      </w:r>
      <w:proofErr w:type="spellEnd"/>
      <w:r w:rsidRPr="00285FEA">
        <w:rPr>
          <w:rFonts w:ascii="Arial" w:hAnsi="Arial" w:cs="Arial"/>
          <w:sz w:val="22"/>
          <w:szCs w:val="22"/>
        </w:rPr>
        <w:t xml:space="preserve">, T.S., McManus, S., Bankart, J., Scott, F., Purdon, S., Smith, J., Bebbington, P., Jenkins, R. and Meltzer, H. (2011) ‘Epidemiology of autism spectrum disorders in adults in the community in England’, </w:t>
      </w:r>
      <w:r w:rsidRPr="00285FEA">
        <w:rPr>
          <w:rFonts w:ascii="Arial" w:hAnsi="Arial" w:cs="Arial"/>
          <w:i/>
          <w:iCs/>
          <w:sz w:val="22"/>
          <w:szCs w:val="22"/>
        </w:rPr>
        <w:t>Archives of General Psychiatry</w:t>
      </w:r>
      <w:r w:rsidRPr="00285FEA">
        <w:rPr>
          <w:rFonts w:ascii="Arial" w:hAnsi="Arial" w:cs="Arial"/>
          <w:sz w:val="22"/>
          <w:szCs w:val="22"/>
        </w:rPr>
        <w:t>, 68(5), pp. 459–465.</w:t>
      </w:r>
    </w:p>
    <w:p w14:paraId="7F94E20B" w14:textId="77777777" w:rsidR="00396B42" w:rsidRPr="00396B42" w:rsidRDefault="00396B42" w:rsidP="00E80DC7">
      <w:pPr>
        <w:spacing w:line="360" w:lineRule="auto"/>
        <w:jc w:val="both"/>
        <w:rPr>
          <w:rFonts w:ascii="Arial" w:hAnsi="Arial" w:cs="Arial"/>
          <w:b/>
          <w:bCs/>
          <w:sz w:val="36"/>
          <w:szCs w:val="36"/>
        </w:rPr>
      </w:pPr>
    </w:p>
    <w:p w14:paraId="5FF01782"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Care Quality Commission (CQC) (2025) </w:t>
      </w:r>
      <w:r w:rsidRPr="00285FEA">
        <w:rPr>
          <w:rFonts w:ascii="Arial" w:hAnsi="Arial" w:cs="Arial"/>
          <w:i/>
          <w:iCs/>
          <w:sz w:val="22"/>
          <w:szCs w:val="22"/>
        </w:rPr>
        <w:t>Monitoring the Mental Health Act in 2024 to 2025</w:t>
      </w:r>
      <w:r w:rsidRPr="00285FEA">
        <w:rPr>
          <w:rFonts w:ascii="Arial" w:hAnsi="Arial" w:cs="Arial"/>
          <w:sz w:val="22"/>
          <w:szCs w:val="22"/>
        </w:rPr>
        <w:t>. London: CQC.</w:t>
      </w:r>
    </w:p>
    <w:p w14:paraId="4D719CD0" w14:textId="77777777" w:rsidR="00396B42" w:rsidRDefault="00396B42" w:rsidP="00E80DC7">
      <w:pPr>
        <w:spacing w:line="360" w:lineRule="auto"/>
        <w:jc w:val="both"/>
        <w:rPr>
          <w:rFonts w:ascii="Arial" w:hAnsi="Arial" w:cs="Arial"/>
          <w:sz w:val="22"/>
          <w:szCs w:val="22"/>
        </w:rPr>
      </w:pPr>
    </w:p>
    <w:p w14:paraId="18C2C174"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Department of Health and Social Care (2014) </w:t>
      </w:r>
      <w:r w:rsidRPr="00285FEA">
        <w:rPr>
          <w:rFonts w:ascii="Arial" w:hAnsi="Arial" w:cs="Arial"/>
          <w:i/>
          <w:iCs/>
          <w:sz w:val="22"/>
          <w:szCs w:val="22"/>
        </w:rPr>
        <w:t>Care Act 2014</w:t>
      </w:r>
      <w:r w:rsidRPr="00285FEA">
        <w:rPr>
          <w:rFonts w:ascii="Arial" w:hAnsi="Arial" w:cs="Arial"/>
          <w:sz w:val="22"/>
          <w:szCs w:val="22"/>
        </w:rPr>
        <w:t>. London: The Stationery Office.</w:t>
      </w:r>
    </w:p>
    <w:p w14:paraId="1642E211" w14:textId="77777777" w:rsidR="00396B42" w:rsidRDefault="00396B42" w:rsidP="00E80DC7">
      <w:pPr>
        <w:spacing w:line="360" w:lineRule="auto"/>
        <w:jc w:val="both"/>
        <w:rPr>
          <w:rFonts w:ascii="Arial" w:hAnsi="Arial" w:cs="Arial"/>
          <w:sz w:val="22"/>
          <w:szCs w:val="22"/>
        </w:rPr>
      </w:pPr>
    </w:p>
    <w:p w14:paraId="02842FD9"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Department of Health and Social Care, NHS England and Local Government Association (2022) </w:t>
      </w:r>
      <w:r w:rsidRPr="00285FEA">
        <w:rPr>
          <w:rFonts w:ascii="Arial" w:hAnsi="Arial" w:cs="Arial"/>
          <w:i/>
          <w:iCs/>
          <w:sz w:val="22"/>
          <w:szCs w:val="22"/>
        </w:rPr>
        <w:t>Building the Right Support action plan</w:t>
      </w:r>
      <w:r w:rsidRPr="00285FEA">
        <w:rPr>
          <w:rFonts w:ascii="Arial" w:hAnsi="Arial" w:cs="Arial"/>
          <w:sz w:val="22"/>
          <w:szCs w:val="22"/>
        </w:rPr>
        <w:t>. London: DHSC.</w:t>
      </w:r>
    </w:p>
    <w:p w14:paraId="2C644D78" w14:textId="77777777" w:rsidR="00396B42" w:rsidRDefault="00396B42" w:rsidP="00E80DC7">
      <w:pPr>
        <w:spacing w:line="360" w:lineRule="auto"/>
        <w:jc w:val="both"/>
        <w:rPr>
          <w:rFonts w:ascii="Arial" w:hAnsi="Arial" w:cs="Arial"/>
          <w:sz w:val="22"/>
          <w:szCs w:val="22"/>
        </w:rPr>
      </w:pPr>
    </w:p>
    <w:p w14:paraId="242C4DDB"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Equality Act 2010. (c.15). London: The Stationery Office.</w:t>
      </w:r>
    </w:p>
    <w:p w14:paraId="641523A8" w14:textId="77777777" w:rsidR="00396B42" w:rsidRDefault="00396B42" w:rsidP="00E80DC7">
      <w:pPr>
        <w:spacing w:line="360" w:lineRule="auto"/>
        <w:jc w:val="both"/>
        <w:rPr>
          <w:rFonts w:ascii="Arial" w:hAnsi="Arial" w:cs="Arial"/>
          <w:sz w:val="22"/>
          <w:szCs w:val="22"/>
        </w:rPr>
      </w:pPr>
    </w:p>
    <w:p w14:paraId="52B3A2FA"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Hull, L., Levy, L., Lai, M.-C., Petrides, K.V., Baron-Cohen, S., Allison, C., Smith, P. and Mandy, W. (2021) ‘Is social camouflaging associated with anxiety and depression in autistic adults?’, </w:t>
      </w:r>
      <w:r w:rsidRPr="00285FEA">
        <w:rPr>
          <w:rFonts w:ascii="Arial" w:hAnsi="Arial" w:cs="Arial"/>
          <w:i/>
          <w:iCs/>
          <w:sz w:val="22"/>
          <w:szCs w:val="22"/>
        </w:rPr>
        <w:t>Molecular Autism</w:t>
      </w:r>
      <w:r w:rsidRPr="00285FEA">
        <w:rPr>
          <w:rFonts w:ascii="Arial" w:hAnsi="Arial" w:cs="Arial"/>
          <w:sz w:val="22"/>
          <w:szCs w:val="22"/>
        </w:rPr>
        <w:t>, 12(13), pp. 1–12.</w:t>
      </w:r>
    </w:p>
    <w:p w14:paraId="6D7C55B4" w14:textId="77777777" w:rsidR="00396B42" w:rsidRDefault="00396B42" w:rsidP="00E80DC7">
      <w:pPr>
        <w:spacing w:line="360" w:lineRule="auto"/>
        <w:jc w:val="both"/>
        <w:rPr>
          <w:rFonts w:ascii="Arial" w:hAnsi="Arial" w:cs="Arial"/>
          <w:sz w:val="22"/>
          <w:szCs w:val="22"/>
        </w:rPr>
      </w:pPr>
    </w:p>
    <w:p w14:paraId="50802830"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Johnson, M.H. (2012) ‘Executive function and developmental disorders: the flip side of the coin’, </w:t>
      </w:r>
      <w:r w:rsidRPr="00285FEA">
        <w:rPr>
          <w:rFonts w:ascii="Arial" w:hAnsi="Arial" w:cs="Arial"/>
          <w:i/>
          <w:iCs/>
          <w:sz w:val="22"/>
          <w:szCs w:val="22"/>
        </w:rPr>
        <w:t>Trends in Cognitive Sciences</w:t>
      </w:r>
      <w:r w:rsidRPr="00285FEA">
        <w:rPr>
          <w:rFonts w:ascii="Arial" w:hAnsi="Arial" w:cs="Arial"/>
          <w:sz w:val="22"/>
          <w:szCs w:val="22"/>
        </w:rPr>
        <w:t>, 16(9), pp. 454–457.</w:t>
      </w:r>
    </w:p>
    <w:p w14:paraId="0F05642F" w14:textId="77777777" w:rsidR="00396B42" w:rsidRDefault="00396B42" w:rsidP="00E80DC7">
      <w:pPr>
        <w:spacing w:line="360" w:lineRule="auto"/>
        <w:jc w:val="both"/>
        <w:rPr>
          <w:rFonts w:ascii="Arial" w:hAnsi="Arial" w:cs="Arial"/>
          <w:sz w:val="22"/>
          <w:szCs w:val="22"/>
        </w:rPr>
      </w:pPr>
    </w:p>
    <w:p w14:paraId="5F928B55"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Kapp, S.K. (2020) </w:t>
      </w:r>
      <w:r w:rsidRPr="00285FEA">
        <w:rPr>
          <w:rFonts w:ascii="Arial" w:hAnsi="Arial" w:cs="Arial"/>
          <w:i/>
          <w:iCs/>
          <w:sz w:val="22"/>
          <w:szCs w:val="22"/>
        </w:rPr>
        <w:t>Autistic community and the neurodiversity movement</w:t>
      </w:r>
      <w:r w:rsidRPr="00285FEA">
        <w:rPr>
          <w:rFonts w:ascii="Arial" w:hAnsi="Arial" w:cs="Arial"/>
          <w:sz w:val="22"/>
          <w:szCs w:val="22"/>
        </w:rPr>
        <w:t>. Singapore: Palgrave Macmillan.</w:t>
      </w:r>
    </w:p>
    <w:p w14:paraId="44E176BE" w14:textId="77777777" w:rsidR="00396B42" w:rsidRDefault="00396B42" w:rsidP="00E80DC7">
      <w:pPr>
        <w:spacing w:line="360" w:lineRule="auto"/>
        <w:jc w:val="both"/>
        <w:rPr>
          <w:rFonts w:ascii="Arial" w:hAnsi="Arial" w:cs="Arial"/>
          <w:sz w:val="22"/>
          <w:szCs w:val="22"/>
        </w:rPr>
      </w:pPr>
    </w:p>
    <w:p w14:paraId="13F82A2D"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lastRenderedPageBreak/>
        <w:t xml:space="preserve">Lai, M.-C., Kassee, C., </w:t>
      </w:r>
      <w:proofErr w:type="spellStart"/>
      <w:r w:rsidRPr="00285FEA">
        <w:rPr>
          <w:rFonts w:ascii="Arial" w:hAnsi="Arial" w:cs="Arial"/>
          <w:sz w:val="22"/>
          <w:szCs w:val="22"/>
        </w:rPr>
        <w:t>Besney</w:t>
      </w:r>
      <w:proofErr w:type="spellEnd"/>
      <w:r w:rsidRPr="00285FEA">
        <w:rPr>
          <w:rFonts w:ascii="Arial" w:hAnsi="Arial" w:cs="Arial"/>
          <w:sz w:val="22"/>
          <w:szCs w:val="22"/>
        </w:rPr>
        <w:t xml:space="preserve">, R., Bonato, S., Hull, L., Mandy, W., Szatmari, P. and Ameis, S.H. (2019) ‘Prevalence of co-occurring mental health diagnoses in the autism population: a systematic review and meta-analysis’, </w:t>
      </w:r>
      <w:r w:rsidRPr="00285FEA">
        <w:rPr>
          <w:rFonts w:ascii="Arial" w:hAnsi="Arial" w:cs="Arial"/>
          <w:i/>
          <w:iCs/>
          <w:sz w:val="22"/>
          <w:szCs w:val="22"/>
        </w:rPr>
        <w:t>The Lancet Psychiatry</w:t>
      </w:r>
      <w:r w:rsidRPr="00285FEA">
        <w:rPr>
          <w:rFonts w:ascii="Arial" w:hAnsi="Arial" w:cs="Arial"/>
          <w:sz w:val="22"/>
          <w:szCs w:val="22"/>
        </w:rPr>
        <w:t>, 6(10), pp. 819–829.</w:t>
      </w:r>
    </w:p>
    <w:p w14:paraId="30382C2C" w14:textId="77777777" w:rsidR="00396B42" w:rsidRDefault="00396B42" w:rsidP="00E80DC7">
      <w:pPr>
        <w:spacing w:line="360" w:lineRule="auto"/>
        <w:jc w:val="both"/>
        <w:rPr>
          <w:rFonts w:ascii="Arial" w:hAnsi="Arial" w:cs="Arial"/>
          <w:sz w:val="22"/>
          <w:szCs w:val="22"/>
        </w:rPr>
      </w:pPr>
    </w:p>
    <w:p w14:paraId="3276C236"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Lord, C., Charman, T., Havdahl, A., Carbone, P., Anagnostou, E., Boyd, B., Carr, T., de Vries, P.J., Dissanayake, C., Divan, G., Freitag, C.M., </w:t>
      </w:r>
      <w:proofErr w:type="spellStart"/>
      <w:r w:rsidRPr="00285FEA">
        <w:rPr>
          <w:rFonts w:ascii="Arial" w:hAnsi="Arial" w:cs="Arial"/>
          <w:sz w:val="22"/>
          <w:szCs w:val="22"/>
        </w:rPr>
        <w:t>Fombonne</w:t>
      </w:r>
      <w:proofErr w:type="spellEnd"/>
      <w:r w:rsidRPr="00285FEA">
        <w:rPr>
          <w:rFonts w:ascii="Arial" w:hAnsi="Arial" w:cs="Arial"/>
          <w:sz w:val="22"/>
          <w:szCs w:val="22"/>
        </w:rPr>
        <w:t xml:space="preserve">, E., Hertz-Picciotto, I., Hoekstra, R.A., Klin, A., Landa, R., Myers, S., Odom, S., Shih, A. and McCauley, J.B. (2020) ‘The Lancet Commission on the future of care and clinical research in autism’, </w:t>
      </w:r>
      <w:r w:rsidRPr="00285FEA">
        <w:rPr>
          <w:rFonts w:ascii="Arial" w:hAnsi="Arial" w:cs="Arial"/>
          <w:i/>
          <w:iCs/>
          <w:sz w:val="22"/>
          <w:szCs w:val="22"/>
        </w:rPr>
        <w:t>The Lancet</w:t>
      </w:r>
      <w:r w:rsidRPr="00285FEA">
        <w:rPr>
          <w:rFonts w:ascii="Arial" w:hAnsi="Arial" w:cs="Arial"/>
          <w:sz w:val="22"/>
          <w:szCs w:val="22"/>
        </w:rPr>
        <w:t>, 396(10265), pp. 271–334.</w:t>
      </w:r>
    </w:p>
    <w:p w14:paraId="47B35A3C" w14:textId="77777777" w:rsidR="00396B42" w:rsidRDefault="00396B42" w:rsidP="00E80DC7">
      <w:pPr>
        <w:spacing w:line="360" w:lineRule="auto"/>
        <w:jc w:val="both"/>
        <w:rPr>
          <w:rFonts w:ascii="Arial" w:hAnsi="Arial" w:cs="Arial"/>
          <w:sz w:val="22"/>
          <w:szCs w:val="22"/>
        </w:rPr>
      </w:pPr>
    </w:p>
    <w:p w14:paraId="11055E7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Mental Health Act 1983. (c.20). London: The Stationery Office.</w:t>
      </w:r>
    </w:p>
    <w:p w14:paraId="78EA07CC" w14:textId="77777777" w:rsidR="00396B42" w:rsidRDefault="00396B42" w:rsidP="00E80DC7">
      <w:pPr>
        <w:spacing w:line="360" w:lineRule="auto"/>
        <w:jc w:val="both"/>
        <w:rPr>
          <w:rFonts w:ascii="Arial" w:hAnsi="Arial" w:cs="Arial"/>
          <w:sz w:val="22"/>
          <w:szCs w:val="22"/>
        </w:rPr>
      </w:pPr>
    </w:p>
    <w:p w14:paraId="1606EF8D"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National Institute for Health and Care Excellence (NICE) (2011) </w:t>
      </w:r>
      <w:r w:rsidRPr="00285FEA">
        <w:rPr>
          <w:rFonts w:ascii="Arial" w:hAnsi="Arial" w:cs="Arial"/>
          <w:i/>
          <w:iCs/>
          <w:sz w:val="22"/>
          <w:szCs w:val="22"/>
        </w:rPr>
        <w:t>autism spectrum disorder in under 19s: recognition, referral and diagnosis (CG128)</w:t>
      </w:r>
      <w:r w:rsidRPr="00285FEA">
        <w:rPr>
          <w:rFonts w:ascii="Arial" w:hAnsi="Arial" w:cs="Arial"/>
          <w:sz w:val="22"/>
          <w:szCs w:val="22"/>
        </w:rPr>
        <w:t>. London: NICE.</w:t>
      </w:r>
    </w:p>
    <w:p w14:paraId="633E03E4" w14:textId="77777777" w:rsidR="00396B42" w:rsidRDefault="00396B42" w:rsidP="00E80DC7">
      <w:pPr>
        <w:spacing w:line="360" w:lineRule="auto"/>
        <w:jc w:val="both"/>
        <w:rPr>
          <w:rFonts w:ascii="Arial" w:hAnsi="Arial" w:cs="Arial"/>
          <w:sz w:val="22"/>
          <w:szCs w:val="22"/>
        </w:rPr>
      </w:pPr>
    </w:p>
    <w:p w14:paraId="6A54F747" w14:textId="77777777" w:rsidR="00396B42"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National Institute for Health and Care Excellence (NICE) (2011) </w:t>
      </w:r>
      <w:r w:rsidRPr="00D66889">
        <w:rPr>
          <w:rFonts w:ascii="Arial" w:hAnsi="Arial" w:cs="Arial"/>
          <w:i/>
          <w:iCs/>
          <w:sz w:val="22"/>
          <w:szCs w:val="22"/>
        </w:rPr>
        <w:t>autism spectrum disorder in under 19s: recognition, referral and diagnosis (CG128)</w:t>
      </w:r>
      <w:r w:rsidRPr="00D66889">
        <w:rPr>
          <w:rFonts w:ascii="Arial" w:hAnsi="Arial" w:cs="Arial"/>
          <w:sz w:val="22"/>
          <w:szCs w:val="22"/>
        </w:rPr>
        <w:t>. London: NICE.</w:t>
      </w:r>
    </w:p>
    <w:p w14:paraId="2320BDA8" w14:textId="5D2833B8" w:rsidR="00276EAE"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 </w:t>
      </w:r>
    </w:p>
    <w:p w14:paraId="3A1889C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National Institute for Health and Care Excellence (NICE) (2012) </w:t>
      </w:r>
      <w:r w:rsidRPr="00285FEA">
        <w:rPr>
          <w:rFonts w:ascii="Arial" w:hAnsi="Arial" w:cs="Arial"/>
          <w:i/>
          <w:iCs/>
          <w:sz w:val="22"/>
          <w:szCs w:val="22"/>
        </w:rPr>
        <w:t>autism spectrum disorder in adults: diagnosis and management (CG142)</w:t>
      </w:r>
      <w:r w:rsidRPr="00285FEA">
        <w:rPr>
          <w:rFonts w:ascii="Arial" w:hAnsi="Arial" w:cs="Arial"/>
          <w:sz w:val="22"/>
          <w:szCs w:val="22"/>
        </w:rPr>
        <w:t>. London: NICE.</w:t>
      </w:r>
    </w:p>
    <w:p w14:paraId="7234EF06" w14:textId="77777777" w:rsidR="00396B42" w:rsidRDefault="00396B42" w:rsidP="00E80DC7">
      <w:pPr>
        <w:spacing w:line="360" w:lineRule="auto"/>
        <w:jc w:val="both"/>
        <w:rPr>
          <w:rFonts w:ascii="Arial" w:hAnsi="Arial" w:cs="Arial"/>
          <w:sz w:val="22"/>
          <w:szCs w:val="22"/>
        </w:rPr>
      </w:pPr>
    </w:p>
    <w:p w14:paraId="11430B49" w14:textId="77777777" w:rsidR="00396B42" w:rsidRDefault="00396B42" w:rsidP="00E80DC7">
      <w:pPr>
        <w:spacing w:line="360" w:lineRule="auto"/>
        <w:jc w:val="both"/>
        <w:rPr>
          <w:rFonts w:ascii="Arial" w:hAnsi="Arial" w:cs="Arial"/>
          <w:sz w:val="22"/>
          <w:szCs w:val="22"/>
        </w:rPr>
      </w:pPr>
    </w:p>
    <w:p w14:paraId="5A6B9161"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National Institute for Health and Care Excellence (NICE) (2013) </w:t>
      </w:r>
      <w:r w:rsidRPr="00285FEA">
        <w:rPr>
          <w:rFonts w:ascii="Arial" w:hAnsi="Arial" w:cs="Arial"/>
          <w:i/>
          <w:iCs/>
          <w:sz w:val="22"/>
          <w:szCs w:val="22"/>
        </w:rPr>
        <w:t>autism spectrum disorder in under 19s: support and management (CG170)</w:t>
      </w:r>
      <w:r w:rsidRPr="00285FEA">
        <w:rPr>
          <w:rFonts w:ascii="Arial" w:hAnsi="Arial" w:cs="Arial"/>
          <w:sz w:val="22"/>
          <w:szCs w:val="22"/>
        </w:rPr>
        <w:t>. London: NICE.</w:t>
      </w:r>
    </w:p>
    <w:p w14:paraId="35EEEB9F" w14:textId="77777777" w:rsidR="00396B42" w:rsidRDefault="00396B42" w:rsidP="00E80DC7">
      <w:pPr>
        <w:spacing w:line="360" w:lineRule="auto"/>
        <w:jc w:val="both"/>
        <w:rPr>
          <w:rFonts w:ascii="Arial" w:hAnsi="Arial" w:cs="Arial"/>
          <w:sz w:val="22"/>
          <w:szCs w:val="22"/>
        </w:rPr>
      </w:pPr>
    </w:p>
    <w:p w14:paraId="78A213FA" w14:textId="77777777" w:rsidR="00396B42"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National Institute for Health and Care Excellence (NICE) (2013) </w:t>
      </w:r>
      <w:r w:rsidRPr="00D66889">
        <w:rPr>
          <w:rFonts w:ascii="Arial" w:hAnsi="Arial" w:cs="Arial"/>
          <w:i/>
          <w:iCs/>
          <w:sz w:val="22"/>
          <w:szCs w:val="22"/>
        </w:rPr>
        <w:t>autism spectrum disorder in under 19s: support and management (CG170)</w:t>
      </w:r>
      <w:r w:rsidRPr="00D66889">
        <w:rPr>
          <w:rFonts w:ascii="Arial" w:hAnsi="Arial" w:cs="Arial"/>
          <w:sz w:val="22"/>
          <w:szCs w:val="22"/>
        </w:rPr>
        <w:t>. London: NICE.</w:t>
      </w:r>
    </w:p>
    <w:p w14:paraId="6BB52581" w14:textId="29D201F6" w:rsidR="00276EAE" w:rsidRPr="00D66889"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 </w:t>
      </w:r>
    </w:p>
    <w:p w14:paraId="1F6CBBF4"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lastRenderedPageBreak/>
        <w:t xml:space="preserve">National Institute for Health and Care Excellence (NICE) (2021) </w:t>
      </w:r>
      <w:r w:rsidRPr="00285FEA">
        <w:rPr>
          <w:rFonts w:ascii="Arial" w:hAnsi="Arial" w:cs="Arial"/>
          <w:i/>
          <w:iCs/>
          <w:sz w:val="22"/>
          <w:szCs w:val="22"/>
        </w:rPr>
        <w:t>2021 surveillance of autism (NICE guidelines CG128, CG142 and CG170)</w:t>
      </w:r>
      <w:r w:rsidRPr="00285FEA">
        <w:rPr>
          <w:rFonts w:ascii="Arial" w:hAnsi="Arial" w:cs="Arial"/>
          <w:sz w:val="22"/>
          <w:szCs w:val="22"/>
        </w:rPr>
        <w:t>. London: NICE.</w:t>
      </w:r>
    </w:p>
    <w:p w14:paraId="64093667" w14:textId="77777777" w:rsidR="001E7FA8" w:rsidRDefault="001E7FA8" w:rsidP="00E80DC7">
      <w:pPr>
        <w:spacing w:line="360" w:lineRule="auto"/>
        <w:jc w:val="both"/>
        <w:rPr>
          <w:rFonts w:ascii="Arial" w:hAnsi="Arial" w:cs="Arial"/>
          <w:sz w:val="22"/>
          <w:szCs w:val="22"/>
        </w:rPr>
      </w:pPr>
    </w:p>
    <w:p w14:paraId="29733D4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NHS Digital (2025) </w:t>
      </w:r>
      <w:r w:rsidRPr="00285FEA">
        <w:rPr>
          <w:rFonts w:ascii="Arial" w:hAnsi="Arial" w:cs="Arial"/>
          <w:i/>
          <w:iCs/>
          <w:sz w:val="22"/>
          <w:szCs w:val="22"/>
        </w:rPr>
        <w:t>Survey of mental health and wellbeing, England 2023–24: autism spectrum disorder</w:t>
      </w:r>
      <w:r w:rsidRPr="00285FEA">
        <w:rPr>
          <w:rFonts w:ascii="Arial" w:hAnsi="Arial" w:cs="Arial"/>
          <w:sz w:val="22"/>
          <w:szCs w:val="22"/>
        </w:rPr>
        <w:t>. Leeds: NHS Digital.</w:t>
      </w:r>
    </w:p>
    <w:p w14:paraId="52DB5A86" w14:textId="77777777" w:rsidR="001E7FA8" w:rsidRDefault="001E7FA8" w:rsidP="00E80DC7">
      <w:pPr>
        <w:spacing w:line="360" w:lineRule="auto"/>
        <w:jc w:val="both"/>
        <w:rPr>
          <w:rFonts w:ascii="Arial" w:hAnsi="Arial" w:cs="Arial"/>
          <w:sz w:val="22"/>
          <w:szCs w:val="22"/>
        </w:rPr>
      </w:pPr>
    </w:p>
    <w:p w14:paraId="0289584A" w14:textId="77777777" w:rsidR="001E7FA8"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NHS Digital (2026) </w:t>
      </w:r>
      <w:r w:rsidRPr="00D66889">
        <w:rPr>
          <w:rFonts w:ascii="Arial" w:hAnsi="Arial" w:cs="Arial"/>
          <w:i/>
          <w:iCs/>
          <w:sz w:val="22"/>
          <w:szCs w:val="22"/>
        </w:rPr>
        <w:t>Autism Statistics, January 2025 to December 2025</w:t>
      </w:r>
      <w:r w:rsidRPr="00D66889">
        <w:rPr>
          <w:rFonts w:ascii="Arial" w:hAnsi="Arial" w:cs="Arial"/>
          <w:sz w:val="22"/>
          <w:szCs w:val="22"/>
        </w:rPr>
        <w:t>. Leeds: NHS Digital.</w:t>
      </w:r>
    </w:p>
    <w:p w14:paraId="4503C5FB" w14:textId="442CB786" w:rsidR="00276EAE"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 </w:t>
      </w:r>
    </w:p>
    <w:p w14:paraId="3CCF168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NHS England (2025) </w:t>
      </w:r>
      <w:r w:rsidRPr="00285FEA">
        <w:rPr>
          <w:rFonts w:ascii="Arial" w:hAnsi="Arial" w:cs="Arial"/>
          <w:i/>
          <w:iCs/>
          <w:sz w:val="22"/>
          <w:szCs w:val="22"/>
        </w:rPr>
        <w:t>Autism statistics, April 2024 to March 2025</w:t>
      </w:r>
      <w:r w:rsidRPr="00285FEA">
        <w:rPr>
          <w:rFonts w:ascii="Arial" w:hAnsi="Arial" w:cs="Arial"/>
          <w:sz w:val="22"/>
          <w:szCs w:val="22"/>
        </w:rPr>
        <w:t>. Leeds: NHS England.</w:t>
      </w:r>
    </w:p>
    <w:p w14:paraId="06977474" w14:textId="77777777" w:rsidR="001E7FA8" w:rsidRDefault="001E7FA8" w:rsidP="00E80DC7">
      <w:pPr>
        <w:spacing w:line="360" w:lineRule="auto"/>
        <w:jc w:val="both"/>
        <w:rPr>
          <w:rFonts w:ascii="Arial" w:hAnsi="Arial" w:cs="Arial"/>
          <w:sz w:val="22"/>
          <w:szCs w:val="22"/>
        </w:rPr>
      </w:pPr>
    </w:p>
    <w:p w14:paraId="6FA146C2"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Office for National Statistics (ONS) (2024) </w:t>
      </w:r>
      <w:r w:rsidRPr="00285FEA">
        <w:rPr>
          <w:rFonts w:ascii="Arial" w:hAnsi="Arial" w:cs="Arial"/>
          <w:i/>
          <w:iCs/>
          <w:sz w:val="22"/>
          <w:szCs w:val="22"/>
        </w:rPr>
        <w:t>Disability pay gaps in the UK: 2014 to 2023</w:t>
      </w:r>
      <w:r w:rsidRPr="00285FEA">
        <w:rPr>
          <w:rFonts w:ascii="Arial" w:hAnsi="Arial" w:cs="Arial"/>
          <w:sz w:val="22"/>
          <w:szCs w:val="22"/>
        </w:rPr>
        <w:t>. Newport: ONS.</w:t>
      </w:r>
    </w:p>
    <w:p w14:paraId="7608F0B4" w14:textId="77777777" w:rsidR="001E7FA8" w:rsidRDefault="001E7FA8" w:rsidP="00E80DC7">
      <w:pPr>
        <w:spacing w:line="360" w:lineRule="auto"/>
        <w:jc w:val="both"/>
        <w:rPr>
          <w:rFonts w:ascii="Arial" w:hAnsi="Arial" w:cs="Arial"/>
          <w:sz w:val="22"/>
          <w:szCs w:val="22"/>
        </w:rPr>
      </w:pPr>
    </w:p>
    <w:p w14:paraId="19248660"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Perry, E., Mandy, W., Hull, L. and Cage, E. (2021) ‘Understanding camouflaging as a response to autism-related stigma: a social identity theory approach’, </w:t>
      </w:r>
      <w:r w:rsidRPr="00285FEA">
        <w:rPr>
          <w:rFonts w:ascii="Arial" w:hAnsi="Arial" w:cs="Arial"/>
          <w:i/>
          <w:iCs/>
          <w:sz w:val="22"/>
          <w:szCs w:val="22"/>
        </w:rPr>
        <w:t>Journal of Autism and Developmental Disorders</w:t>
      </w:r>
      <w:r w:rsidRPr="00285FEA">
        <w:rPr>
          <w:rFonts w:ascii="Arial" w:hAnsi="Arial" w:cs="Arial"/>
          <w:sz w:val="22"/>
          <w:szCs w:val="22"/>
        </w:rPr>
        <w:t>, 52(2), pp. 800–810.</w:t>
      </w:r>
    </w:p>
    <w:p w14:paraId="3EF2F109" w14:textId="77777777" w:rsidR="001E7FA8" w:rsidRDefault="001E7FA8" w:rsidP="00E80DC7">
      <w:pPr>
        <w:spacing w:line="360" w:lineRule="auto"/>
        <w:jc w:val="both"/>
        <w:rPr>
          <w:rFonts w:ascii="Arial" w:hAnsi="Arial" w:cs="Arial"/>
          <w:sz w:val="22"/>
          <w:szCs w:val="22"/>
        </w:rPr>
      </w:pPr>
    </w:p>
    <w:p w14:paraId="2943DB21"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Reed, G.M., First, M.B., Kogan, C.S., Hyman, S.E., Gureje, O., Gaebel, W., Maj, M., Stein, D.J. and Saxena, S. (2023) ‘Innovations and changes in the ICD-11 classification of mental, behavioural and neurodevelopmental disorders’, </w:t>
      </w:r>
      <w:r w:rsidRPr="00285FEA">
        <w:rPr>
          <w:rFonts w:ascii="Arial" w:hAnsi="Arial" w:cs="Arial"/>
          <w:i/>
          <w:iCs/>
          <w:sz w:val="22"/>
          <w:szCs w:val="22"/>
        </w:rPr>
        <w:t>World Psychiatry</w:t>
      </w:r>
      <w:r w:rsidRPr="00285FEA">
        <w:rPr>
          <w:rFonts w:ascii="Arial" w:hAnsi="Arial" w:cs="Arial"/>
          <w:sz w:val="22"/>
          <w:szCs w:val="22"/>
        </w:rPr>
        <w:t>, 22(1), pp. 3–19.</w:t>
      </w:r>
    </w:p>
    <w:p w14:paraId="1F2D89BD" w14:textId="77777777" w:rsidR="001E7FA8" w:rsidRDefault="001E7FA8" w:rsidP="00E80DC7">
      <w:pPr>
        <w:spacing w:line="360" w:lineRule="auto"/>
        <w:jc w:val="both"/>
        <w:rPr>
          <w:rFonts w:ascii="Arial" w:hAnsi="Arial" w:cs="Arial"/>
          <w:sz w:val="22"/>
          <w:szCs w:val="22"/>
        </w:rPr>
      </w:pPr>
    </w:p>
    <w:p w14:paraId="2B3A5B0E"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Roman-Urrestarazu, A., van Kessel, R., Allison, C., Matthews, F., </w:t>
      </w:r>
      <w:proofErr w:type="spellStart"/>
      <w:r w:rsidRPr="00285FEA">
        <w:rPr>
          <w:rFonts w:ascii="Arial" w:hAnsi="Arial" w:cs="Arial"/>
          <w:sz w:val="22"/>
          <w:szCs w:val="22"/>
        </w:rPr>
        <w:t>Brayne</w:t>
      </w:r>
      <w:proofErr w:type="spellEnd"/>
      <w:r w:rsidRPr="00285FEA">
        <w:rPr>
          <w:rFonts w:ascii="Arial" w:hAnsi="Arial" w:cs="Arial"/>
          <w:sz w:val="22"/>
          <w:szCs w:val="22"/>
        </w:rPr>
        <w:t xml:space="preserve">, C. and Baron-Cohen, S. (2021) ‘Association of race/ethnicity and social disadvantage with autism prevalence in 7-year-old children in England’, </w:t>
      </w:r>
      <w:r w:rsidRPr="00285FEA">
        <w:rPr>
          <w:rFonts w:ascii="Arial" w:hAnsi="Arial" w:cs="Arial"/>
          <w:i/>
          <w:iCs/>
          <w:sz w:val="22"/>
          <w:szCs w:val="22"/>
        </w:rPr>
        <w:t xml:space="preserve">JAMA </w:t>
      </w:r>
      <w:proofErr w:type="spellStart"/>
      <w:r w:rsidRPr="00285FEA">
        <w:rPr>
          <w:rFonts w:ascii="Arial" w:hAnsi="Arial" w:cs="Arial"/>
          <w:i/>
          <w:iCs/>
          <w:sz w:val="22"/>
          <w:szCs w:val="22"/>
        </w:rPr>
        <w:t>Pediatrics</w:t>
      </w:r>
      <w:proofErr w:type="spellEnd"/>
      <w:r w:rsidRPr="00285FEA">
        <w:rPr>
          <w:rFonts w:ascii="Arial" w:hAnsi="Arial" w:cs="Arial"/>
          <w:sz w:val="22"/>
          <w:szCs w:val="22"/>
        </w:rPr>
        <w:t>, 175(6), p. e210054.</w:t>
      </w:r>
    </w:p>
    <w:p w14:paraId="1190CB58" w14:textId="77777777" w:rsidR="001E7FA8" w:rsidRDefault="001E7FA8" w:rsidP="00E80DC7">
      <w:pPr>
        <w:spacing w:line="360" w:lineRule="auto"/>
        <w:jc w:val="both"/>
        <w:rPr>
          <w:rFonts w:ascii="Arial" w:hAnsi="Arial" w:cs="Arial"/>
          <w:sz w:val="22"/>
          <w:szCs w:val="22"/>
        </w:rPr>
      </w:pPr>
    </w:p>
    <w:p w14:paraId="78C3E84C"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Stein, D.J., Szatmari, P., Gaebel, W., Berk, M., Vieta, E., Maj, M., de Vries, Y.A., Roest, A.M., de Jonge, P., Maercker, A., Brewin, C.R., Pike, K.M., Grilo, C.M., Fineberg, N.A., Briken, P., Cohen-</w:t>
      </w:r>
      <w:proofErr w:type="spellStart"/>
      <w:r w:rsidRPr="00285FEA">
        <w:rPr>
          <w:rFonts w:ascii="Arial" w:hAnsi="Arial" w:cs="Arial"/>
          <w:sz w:val="22"/>
          <w:szCs w:val="22"/>
        </w:rPr>
        <w:t>Kettenis</w:t>
      </w:r>
      <w:proofErr w:type="spellEnd"/>
      <w:r w:rsidRPr="00285FEA">
        <w:rPr>
          <w:rFonts w:ascii="Arial" w:hAnsi="Arial" w:cs="Arial"/>
          <w:sz w:val="22"/>
          <w:szCs w:val="22"/>
        </w:rPr>
        <w:t xml:space="preserve">, P.T. and Reed, G.M. (2020) ‘Mental, behavioural and neurodevelopmental disorders in the ICD-11: an international perspective on key changes and controversies’, </w:t>
      </w:r>
      <w:r w:rsidRPr="00285FEA">
        <w:rPr>
          <w:rFonts w:ascii="Arial" w:hAnsi="Arial" w:cs="Arial"/>
          <w:i/>
          <w:iCs/>
          <w:sz w:val="22"/>
          <w:szCs w:val="22"/>
        </w:rPr>
        <w:t>BMC Medicine</w:t>
      </w:r>
      <w:r w:rsidRPr="00285FEA">
        <w:rPr>
          <w:rFonts w:ascii="Arial" w:hAnsi="Arial" w:cs="Arial"/>
          <w:sz w:val="22"/>
          <w:szCs w:val="22"/>
        </w:rPr>
        <w:t>, 18, p. 21.</w:t>
      </w:r>
    </w:p>
    <w:p w14:paraId="7010A93B" w14:textId="77777777" w:rsidR="001E7FA8" w:rsidRDefault="001E7FA8" w:rsidP="00E80DC7">
      <w:pPr>
        <w:spacing w:line="360" w:lineRule="auto"/>
        <w:jc w:val="both"/>
        <w:rPr>
          <w:rFonts w:ascii="Arial" w:hAnsi="Arial" w:cs="Arial"/>
          <w:sz w:val="22"/>
          <w:szCs w:val="22"/>
        </w:rPr>
      </w:pPr>
    </w:p>
    <w:p w14:paraId="0EB39F01"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World Health Organization (2019) </w:t>
      </w:r>
      <w:r w:rsidRPr="00285FEA">
        <w:rPr>
          <w:rFonts w:ascii="Arial" w:hAnsi="Arial" w:cs="Arial"/>
          <w:i/>
          <w:iCs/>
          <w:sz w:val="22"/>
          <w:szCs w:val="22"/>
        </w:rPr>
        <w:t>International classification of diseases for mortality and morbidity statistics (11th Revision)</w:t>
      </w:r>
      <w:r w:rsidRPr="00285FEA">
        <w:rPr>
          <w:rFonts w:ascii="Arial" w:hAnsi="Arial" w:cs="Arial"/>
          <w:sz w:val="22"/>
          <w:szCs w:val="22"/>
        </w:rPr>
        <w:t>. Geneva: WHO.</w:t>
      </w:r>
    </w:p>
    <w:p w14:paraId="1B9E14EB" w14:textId="77777777" w:rsidR="007C7FF4" w:rsidRPr="00285FEA" w:rsidRDefault="007C7FF4" w:rsidP="00D66889">
      <w:pPr>
        <w:spacing w:line="360" w:lineRule="auto"/>
        <w:jc w:val="both"/>
        <w:rPr>
          <w:rFonts w:ascii="Arial" w:hAnsi="Arial" w:cs="Arial"/>
          <w:sz w:val="22"/>
          <w:szCs w:val="22"/>
        </w:rPr>
      </w:pPr>
    </w:p>
    <w:p w14:paraId="5F865132" w14:textId="77777777" w:rsidR="00285FEA" w:rsidRDefault="00285FEA" w:rsidP="00285FEA">
      <w:pPr>
        <w:spacing w:line="360" w:lineRule="auto"/>
        <w:jc w:val="both"/>
        <w:rPr>
          <w:rFonts w:ascii="Arial" w:hAnsi="Arial" w:cs="Arial"/>
          <w:b/>
          <w:bCs/>
          <w:sz w:val="36"/>
          <w:szCs w:val="36"/>
        </w:rPr>
      </w:pPr>
      <w:r w:rsidRPr="00285FEA">
        <w:rPr>
          <w:rFonts w:ascii="Arial" w:hAnsi="Arial" w:cs="Arial"/>
          <w:b/>
          <w:bCs/>
          <w:vanish/>
          <w:sz w:val="36"/>
          <w:szCs w:val="36"/>
        </w:rPr>
        <w:t>Top of Form</w:t>
      </w:r>
    </w:p>
    <w:p w14:paraId="626C10BC" w14:textId="77777777" w:rsidR="001E7FA8" w:rsidRPr="00285FEA" w:rsidRDefault="001E7FA8" w:rsidP="00285FEA">
      <w:pPr>
        <w:spacing w:line="360" w:lineRule="auto"/>
        <w:jc w:val="both"/>
        <w:rPr>
          <w:rFonts w:ascii="Arial" w:hAnsi="Arial" w:cs="Arial"/>
          <w:b/>
          <w:bCs/>
          <w:vanish/>
          <w:sz w:val="36"/>
          <w:szCs w:val="36"/>
        </w:rPr>
      </w:pPr>
    </w:p>
    <w:p w14:paraId="3EE5D4F7" w14:textId="77777777" w:rsidR="00285FEA" w:rsidRPr="00285FEA" w:rsidRDefault="00285FEA" w:rsidP="00285FEA">
      <w:pPr>
        <w:spacing w:line="360" w:lineRule="auto"/>
        <w:jc w:val="both"/>
        <w:rPr>
          <w:rFonts w:ascii="Arial" w:hAnsi="Arial" w:cs="Arial"/>
          <w:b/>
          <w:bCs/>
          <w:sz w:val="36"/>
          <w:szCs w:val="36"/>
        </w:rPr>
      </w:pPr>
    </w:p>
    <w:p w14:paraId="1227CD7E" w14:textId="77777777" w:rsidR="00285FEA" w:rsidRPr="00285FEA" w:rsidRDefault="00285FEA" w:rsidP="00285FEA">
      <w:pPr>
        <w:spacing w:line="360" w:lineRule="auto"/>
        <w:jc w:val="both"/>
        <w:rPr>
          <w:rFonts w:ascii="Arial" w:hAnsi="Arial" w:cs="Arial"/>
          <w:b/>
          <w:bCs/>
          <w:vanish/>
          <w:sz w:val="36"/>
          <w:szCs w:val="36"/>
        </w:rPr>
      </w:pPr>
      <w:r w:rsidRPr="00285FEA">
        <w:rPr>
          <w:rFonts w:ascii="Arial" w:hAnsi="Arial" w:cs="Arial"/>
          <w:b/>
          <w:bCs/>
          <w:vanish/>
          <w:sz w:val="36"/>
          <w:szCs w:val="36"/>
        </w:rPr>
        <w:t>Bottom of Form</w:t>
      </w:r>
    </w:p>
    <w:p w14:paraId="75745E58" w14:textId="77777777" w:rsidR="004738F4" w:rsidRPr="0043150A" w:rsidRDefault="004738F4" w:rsidP="00285FEA">
      <w:pPr>
        <w:spacing w:line="360" w:lineRule="auto"/>
        <w:jc w:val="both"/>
        <w:rPr>
          <w:rFonts w:ascii="Arial" w:hAnsi="Arial" w:cs="Arial"/>
          <w:sz w:val="22"/>
          <w:szCs w:val="22"/>
        </w:rPr>
      </w:pPr>
    </w:p>
    <w:sectPr w:rsidR="004738F4" w:rsidRPr="0043150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FE518" w14:textId="77777777" w:rsidR="00F63A0A" w:rsidRDefault="00F63A0A" w:rsidP="00B52655">
      <w:pPr>
        <w:spacing w:after="0" w:line="240" w:lineRule="auto"/>
      </w:pPr>
      <w:r>
        <w:separator/>
      </w:r>
    </w:p>
  </w:endnote>
  <w:endnote w:type="continuationSeparator" w:id="0">
    <w:p w14:paraId="263A5EE2" w14:textId="77777777" w:rsidR="00F63A0A" w:rsidRDefault="00F63A0A" w:rsidP="00B52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476135"/>
      <w:docPartObj>
        <w:docPartGallery w:val="Page Numbers (Bottom of Page)"/>
        <w:docPartUnique/>
      </w:docPartObj>
    </w:sdtPr>
    <w:sdtEndPr>
      <w:rPr>
        <w:noProof/>
      </w:rPr>
    </w:sdtEndPr>
    <w:sdtContent>
      <w:p w14:paraId="0A60E1FE" w14:textId="0E9DAFBD" w:rsidR="00E737E8" w:rsidRDefault="00E73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A3E8CF" w14:textId="77777777" w:rsidR="00B52655" w:rsidRDefault="00B52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4BC04" w14:textId="77777777" w:rsidR="00F63A0A" w:rsidRDefault="00F63A0A" w:rsidP="00B52655">
      <w:pPr>
        <w:spacing w:after="0" w:line="240" w:lineRule="auto"/>
      </w:pPr>
      <w:r>
        <w:separator/>
      </w:r>
    </w:p>
  </w:footnote>
  <w:footnote w:type="continuationSeparator" w:id="0">
    <w:p w14:paraId="50C2231E" w14:textId="77777777" w:rsidR="00F63A0A" w:rsidRDefault="00F63A0A" w:rsidP="00B52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F4321"/>
    <w:multiLevelType w:val="multilevel"/>
    <w:tmpl w:val="3918C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1C2F22"/>
    <w:multiLevelType w:val="multilevel"/>
    <w:tmpl w:val="AF3047C6"/>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7437264">
    <w:abstractNumId w:val="1"/>
  </w:num>
  <w:num w:numId="2" w16cid:durableId="1492141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04C"/>
    <w:rsid w:val="00003496"/>
    <w:rsid w:val="00036ED1"/>
    <w:rsid w:val="000513A5"/>
    <w:rsid w:val="000523CC"/>
    <w:rsid w:val="00054C19"/>
    <w:rsid w:val="00064CFB"/>
    <w:rsid w:val="000C1801"/>
    <w:rsid w:val="000F26B8"/>
    <w:rsid w:val="001C50B1"/>
    <w:rsid w:val="001C7FA0"/>
    <w:rsid w:val="001D35DA"/>
    <w:rsid w:val="001D3D1B"/>
    <w:rsid w:val="001E7FA8"/>
    <w:rsid w:val="00221E0F"/>
    <w:rsid w:val="002378CC"/>
    <w:rsid w:val="00276EAE"/>
    <w:rsid w:val="00285BD4"/>
    <w:rsid w:val="00285FEA"/>
    <w:rsid w:val="00296F09"/>
    <w:rsid w:val="002A0A78"/>
    <w:rsid w:val="002B0BBB"/>
    <w:rsid w:val="0030671E"/>
    <w:rsid w:val="00317419"/>
    <w:rsid w:val="0032031A"/>
    <w:rsid w:val="00340864"/>
    <w:rsid w:val="00396B42"/>
    <w:rsid w:val="00430685"/>
    <w:rsid w:val="0043150A"/>
    <w:rsid w:val="00444AA7"/>
    <w:rsid w:val="004738F4"/>
    <w:rsid w:val="0047508B"/>
    <w:rsid w:val="004907C0"/>
    <w:rsid w:val="004D72D6"/>
    <w:rsid w:val="00500FCF"/>
    <w:rsid w:val="005375BA"/>
    <w:rsid w:val="00557A1E"/>
    <w:rsid w:val="00577FA2"/>
    <w:rsid w:val="00582AEE"/>
    <w:rsid w:val="005A241A"/>
    <w:rsid w:val="005C5D9A"/>
    <w:rsid w:val="005F7455"/>
    <w:rsid w:val="00644B44"/>
    <w:rsid w:val="00667BCA"/>
    <w:rsid w:val="00682E20"/>
    <w:rsid w:val="006A788C"/>
    <w:rsid w:val="006D5E97"/>
    <w:rsid w:val="0074751C"/>
    <w:rsid w:val="00770513"/>
    <w:rsid w:val="007C7FF4"/>
    <w:rsid w:val="007E1274"/>
    <w:rsid w:val="0080240F"/>
    <w:rsid w:val="008127B6"/>
    <w:rsid w:val="0084392F"/>
    <w:rsid w:val="00865E32"/>
    <w:rsid w:val="00886D41"/>
    <w:rsid w:val="0089370E"/>
    <w:rsid w:val="008E5571"/>
    <w:rsid w:val="008E626D"/>
    <w:rsid w:val="008F1F91"/>
    <w:rsid w:val="00946074"/>
    <w:rsid w:val="00960017"/>
    <w:rsid w:val="00971018"/>
    <w:rsid w:val="0097533D"/>
    <w:rsid w:val="009A3F53"/>
    <w:rsid w:val="009E5D73"/>
    <w:rsid w:val="009F26C5"/>
    <w:rsid w:val="00A03F5C"/>
    <w:rsid w:val="00A149E5"/>
    <w:rsid w:val="00A4130B"/>
    <w:rsid w:val="00A6427D"/>
    <w:rsid w:val="00A64E86"/>
    <w:rsid w:val="00AA51DE"/>
    <w:rsid w:val="00AB7AF9"/>
    <w:rsid w:val="00AC2EE7"/>
    <w:rsid w:val="00AF1506"/>
    <w:rsid w:val="00B01B79"/>
    <w:rsid w:val="00B13513"/>
    <w:rsid w:val="00B4204C"/>
    <w:rsid w:val="00B52655"/>
    <w:rsid w:val="00B73048"/>
    <w:rsid w:val="00BC76F0"/>
    <w:rsid w:val="00BE02F1"/>
    <w:rsid w:val="00BF5ABD"/>
    <w:rsid w:val="00C05CB5"/>
    <w:rsid w:val="00C20D62"/>
    <w:rsid w:val="00C5360D"/>
    <w:rsid w:val="00C5509B"/>
    <w:rsid w:val="00C74914"/>
    <w:rsid w:val="00C94EB3"/>
    <w:rsid w:val="00C9768D"/>
    <w:rsid w:val="00CA6232"/>
    <w:rsid w:val="00CA77D3"/>
    <w:rsid w:val="00D047A4"/>
    <w:rsid w:val="00D66889"/>
    <w:rsid w:val="00D81DD8"/>
    <w:rsid w:val="00D93D99"/>
    <w:rsid w:val="00D94A9E"/>
    <w:rsid w:val="00DA3700"/>
    <w:rsid w:val="00DE7617"/>
    <w:rsid w:val="00E66283"/>
    <w:rsid w:val="00E66D8A"/>
    <w:rsid w:val="00E737E8"/>
    <w:rsid w:val="00E80DC7"/>
    <w:rsid w:val="00E90C81"/>
    <w:rsid w:val="00EE6913"/>
    <w:rsid w:val="00EF4E5C"/>
    <w:rsid w:val="00F03A87"/>
    <w:rsid w:val="00F17F80"/>
    <w:rsid w:val="00F63A0A"/>
    <w:rsid w:val="00F9267C"/>
    <w:rsid w:val="00FB1A83"/>
    <w:rsid w:val="00FB20B4"/>
    <w:rsid w:val="00FC5C56"/>
    <w:rsid w:val="00FD4C13"/>
    <w:rsid w:val="00FE1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1042"/>
  <w15:chartTrackingRefBased/>
  <w15:docId w15:val="{47F9F466-910C-4738-B14D-244238150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04C"/>
    <w:rPr>
      <w:rFonts w:eastAsiaTheme="majorEastAsia" w:cstheme="majorBidi"/>
      <w:color w:val="272727" w:themeColor="text1" w:themeTint="D8"/>
    </w:rPr>
  </w:style>
  <w:style w:type="paragraph" w:styleId="Title">
    <w:name w:val="Title"/>
    <w:basedOn w:val="Normal"/>
    <w:next w:val="Normal"/>
    <w:link w:val="TitleChar"/>
    <w:uiPriority w:val="10"/>
    <w:qFormat/>
    <w:rsid w:val="00B42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04C"/>
    <w:pPr>
      <w:spacing w:before="160"/>
      <w:jc w:val="center"/>
    </w:pPr>
    <w:rPr>
      <w:i/>
      <w:iCs/>
      <w:color w:val="404040" w:themeColor="text1" w:themeTint="BF"/>
    </w:rPr>
  </w:style>
  <w:style w:type="character" w:customStyle="1" w:styleId="QuoteChar">
    <w:name w:val="Quote Char"/>
    <w:basedOn w:val="DefaultParagraphFont"/>
    <w:link w:val="Quote"/>
    <w:uiPriority w:val="29"/>
    <w:rsid w:val="00B4204C"/>
    <w:rPr>
      <w:i/>
      <w:iCs/>
      <w:color w:val="404040" w:themeColor="text1" w:themeTint="BF"/>
    </w:rPr>
  </w:style>
  <w:style w:type="paragraph" w:styleId="ListParagraph">
    <w:name w:val="List Paragraph"/>
    <w:basedOn w:val="Normal"/>
    <w:uiPriority w:val="34"/>
    <w:qFormat/>
    <w:rsid w:val="00B4204C"/>
    <w:pPr>
      <w:ind w:left="720"/>
      <w:contextualSpacing/>
    </w:pPr>
  </w:style>
  <w:style w:type="character" w:styleId="IntenseEmphasis">
    <w:name w:val="Intense Emphasis"/>
    <w:basedOn w:val="DefaultParagraphFont"/>
    <w:uiPriority w:val="21"/>
    <w:qFormat/>
    <w:rsid w:val="00B4204C"/>
    <w:rPr>
      <w:i/>
      <w:iCs/>
      <w:color w:val="0F4761" w:themeColor="accent1" w:themeShade="BF"/>
    </w:rPr>
  </w:style>
  <w:style w:type="paragraph" w:styleId="IntenseQuote">
    <w:name w:val="Intense Quote"/>
    <w:basedOn w:val="Normal"/>
    <w:next w:val="Normal"/>
    <w:link w:val="IntenseQuoteChar"/>
    <w:uiPriority w:val="30"/>
    <w:qFormat/>
    <w:rsid w:val="00B42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04C"/>
    <w:rPr>
      <w:i/>
      <w:iCs/>
      <w:color w:val="0F4761" w:themeColor="accent1" w:themeShade="BF"/>
    </w:rPr>
  </w:style>
  <w:style w:type="character" w:styleId="IntenseReference">
    <w:name w:val="Intense Reference"/>
    <w:basedOn w:val="DefaultParagraphFont"/>
    <w:uiPriority w:val="32"/>
    <w:qFormat/>
    <w:rsid w:val="00B4204C"/>
    <w:rPr>
      <w:b/>
      <w:bCs/>
      <w:smallCaps/>
      <w:color w:val="0F4761" w:themeColor="accent1" w:themeShade="BF"/>
      <w:spacing w:val="5"/>
    </w:rPr>
  </w:style>
  <w:style w:type="character" w:styleId="Hyperlink">
    <w:name w:val="Hyperlink"/>
    <w:basedOn w:val="DefaultParagraphFont"/>
    <w:uiPriority w:val="99"/>
    <w:unhideWhenUsed/>
    <w:rsid w:val="00C94EB3"/>
    <w:rPr>
      <w:color w:val="467886" w:themeColor="hyperlink"/>
      <w:u w:val="single"/>
    </w:rPr>
  </w:style>
  <w:style w:type="character" w:styleId="UnresolvedMention">
    <w:name w:val="Unresolved Mention"/>
    <w:basedOn w:val="DefaultParagraphFont"/>
    <w:uiPriority w:val="99"/>
    <w:semiHidden/>
    <w:unhideWhenUsed/>
    <w:rsid w:val="00C94EB3"/>
    <w:rPr>
      <w:color w:val="605E5C"/>
      <w:shd w:val="clear" w:color="auto" w:fill="E1DFDD"/>
    </w:rPr>
  </w:style>
  <w:style w:type="paragraph" w:styleId="Header">
    <w:name w:val="header"/>
    <w:basedOn w:val="Normal"/>
    <w:link w:val="HeaderChar"/>
    <w:uiPriority w:val="99"/>
    <w:unhideWhenUsed/>
    <w:rsid w:val="00B52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655"/>
  </w:style>
  <w:style w:type="paragraph" w:styleId="Footer">
    <w:name w:val="footer"/>
    <w:basedOn w:val="Normal"/>
    <w:link w:val="FooterChar"/>
    <w:uiPriority w:val="99"/>
    <w:unhideWhenUsed/>
    <w:rsid w:val="00B52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151</TotalTime>
  <Pages>12</Pages>
  <Words>3135</Words>
  <Characters>17876</Characters>
  <Application>Microsoft Office Word</Application>
  <DocSecurity>0</DocSecurity>
  <Lines>148</Lines>
  <Paragraphs>41</Paragraphs>
  <ScaleCrop>false</ScaleCrop>
  <Company/>
  <LinksUpToDate>false</LinksUpToDate>
  <CharactersWithSpaces>20970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Niaz</dc:creator>
  <cp:keywords/>
  <dc:description/>
  <cp:lastModifiedBy>Hajra Niaz</cp:lastModifiedBy>
  <cp:revision>104</cp:revision>
  <dcterms:created xsi:type="dcterms:W3CDTF">2026-02-28T05:21:00Z</dcterms:created>
  <dcterms:modified xsi:type="dcterms:W3CDTF">2026-03-16T12:16:00Z</dcterms:modified>
</cp:coreProperties>
</file>